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
        <w:rPr>
          <w:rFonts w:ascii="SimHei" w:hAnsi="SimHei" w:eastAsia="SimHei" w:cs="SimHei"/>
          <w:b/>
          <w:color w:val="000000"/>
          <w:sz w:val="84"/>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2"/>
        </w:rPr>
        <w:t xml:space="preserve">南京市第二医院一号楼计算机网络系统改造</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Times New Roman" w:hAnsi="Times New Roman" w:eastAsia="Times New Roman" w:cs="Times New Roman"/>
          <w:b/>
          <w:color w:val="000000"/>
          <w:sz w:val="32"/>
        </w:rPr>
        <w:t xml:space="preserve">JSZC-320100-JTGS-G2026-0021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南京市第二医院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江苏骏通建设项目管理咨询有限公司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6</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第一章投标邀请</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受</w:t>
      </w:r>
      <w:r>
        <w:rPr>
          <w:rFonts w:ascii="SimSun" w:hAnsi="SimSun" w:eastAsia="SimSun" w:cs="SimSun"/>
          <w:color w:val="000000"/>
          <w:sz w:val="24"/>
        </w:rPr>
        <w:t xml:space="preserve">南京市第二医院（采购单位）委托，江苏骏通建设项目管理咨询有限公司（以下简称“代理机构”）就南京市第二医院一号楼计算机网络系统改造（项目名称）进行公开招标采购，欢迎符合条件的供应商投标。</w:t>
      </w:r>
      <w:r/>
    </w:p>
    <w:p>
      <w:pPr>
        <w:ind w:left="0" w:right="0" w:firstLine="465"/>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一、项目基本情况</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1.项目编号：</w:t>
      </w:r>
      <w:r>
        <w:rPr>
          <w:rFonts w:ascii="SimSun" w:hAnsi="SimSun" w:eastAsia="SimSun" w:cs="SimSun"/>
          <w:color w:val="000000"/>
          <w:sz w:val="24"/>
        </w:rPr>
        <w:t xml:space="preserve">JSZC-320100-JTGS-G2026-0021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2.项目名称：南京市第二医院一号楼计算机网络系统改造</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3.预算金额：170万元</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4.最高限价：170万元</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5.采购需求：南京市第二医院一号楼计算机网络系统改造（详细内容见本招标文件第四章）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6.合同履行期限：合同签订后30天内交付并完成安装调试及验收等相关工作。</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8.本项目不接受进口产品投标。</w:t>
      </w:r>
      <w:r/>
    </w:p>
    <w:p>
      <w:pPr>
        <w:ind w:left="0" w:right="0" w:firstLine="465"/>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1.1满足《中华人民共和国政府采购法》第二十二条的相关规定，供应商提供《南京市政府采购供应商信用记录表暨信用承诺书》：</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1.1具有独立承担民事责任的能力（提供法人或者其他组织的营业执照，自然人的身份证明复印件）；</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1.2具有良好的商业信誉和健全的财务会计制度（提供对应资料或承诺书，格式见招标文件附件）；</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1.3具有履行合同所必需的设备和专业技术能力（提供对应资料或承诺书，格式见招标文件附件）；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1.4有依法缴纳税收和社会保障资金的良好记录（提供对应资料或承诺书，格式见招标文件附件）；</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1.5参加政府采购活动前三年内，在经营活动中没有重大违法记录（提供对应资料或承诺书，格式见招标文件附件）；</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1.6法律、行政法规规定的其他条件：无。</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政府采购供应商应当以书面形式向采购人或政府采购代理机构作出信用承诺。供应商在中标（成交）后，应按采购文件要求，将上述由信用承诺书替代的证明材料提交采购人或采购代理机构核验。经核验无误后，由采购人或采购代理机构发出中标（成交）通知书。</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其中不适用信用承诺的情形：</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（一）供应商被列入严重失信主体名单；</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（二）南京市政府采购供应商诚信档案管理系统中诚信档案分在40分以下；</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（三）被相关监督部门作出行政处罚且尚处在处罚有效期内；</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（四）其他法律、行政法规规定的不适用信用承诺的情形。</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本项目采购标的对应的中小企业划分标准所属行业为：工业。</w:t>
      </w:r>
      <w:r/>
    </w:p>
    <w:p>
      <w:pPr>
        <w:numPr>
          <w:ilvl w:val="0"/>
          <w:numId w:val="2"/>
        </w:numPr>
        <w:jc w:val="both"/>
        <w:spacing w:before="0" w:after="0" w:line="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 供应商参加本次政府采购活动时，在采购文件发布之日起至递交响应文件截止日前，应先登录“信用南京”在</w:t>
      </w:r>
      <w:r>
        <w:rPr>
          <w:rFonts w:ascii="SimSun" w:hAnsi="SimSun" w:eastAsia="SimSun" w:cs="SimSun"/>
          <w:color w:val="000000"/>
          <w:sz w:val="24"/>
        </w:rPr>
        <w:t xml:space="preserve">线打印其“南京市政府采购供应商信用记录表暨信用承诺书”，经法定代表人签名盖章后作为响应文件的组成部分，“南京市政府采购供应商信用记录表暨信用承诺书”是参加本次政府采购活动的必备材料。</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（二）本项目特定资格要求：无</w:t>
      </w:r>
      <w:r/>
    </w:p>
    <w:p>
      <w:pPr>
        <w:ind w:left="0" w:right="0" w:firstLine="465"/>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2.方式：在“江苏政府采购网”免费下载。</w:t>
      </w:r>
      <w:r/>
    </w:p>
    <w:p>
      <w:pPr>
        <w:ind w:left="0" w:right="0" w:firstLine="465"/>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1.提交投标文件截止时间、开标时间</w:t>
      </w:r>
      <w:r>
        <w:rPr>
          <w:rFonts w:ascii="SimSun" w:hAnsi="SimSun" w:eastAsia="SimSun" w:cs="SimSun"/>
          <w:color w:val="000000"/>
          <w:sz w:val="24"/>
        </w:rPr>
        <w:t xml:space="preserve">：</w:t>
      </w:r>
      <w:r>
        <w:rPr>
          <w:rFonts w:ascii="SimSun" w:hAnsi="SimSun" w:eastAsia="SimSun" w:cs="SimSun"/>
          <w:b/>
          <w:color w:val="000000"/>
          <w:sz w:val="24"/>
        </w:rPr>
        <w:t xml:space="preserve">2026年7月23日14时30分</w:t>
      </w:r>
      <w:r>
        <w:rPr>
          <w:rFonts w:ascii="SimSun" w:hAnsi="SimSun" w:eastAsia="SimSun" w:cs="SimSun"/>
          <w:color w:val="000000"/>
          <w:sz w:val="24"/>
        </w:rPr>
        <w:t xml:space="preserve">（北京时间）。</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五、公告期限</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公告期限为自本公告发布之日起5个工作日。</w:t>
      </w:r>
      <w:r/>
    </w:p>
    <w:p>
      <w:pPr>
        <w:ind w:left="0" w:right="0" w:firstLine="498"/>
        <w:spacing w:before="145" w:after="145"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六、其他事宜</w:t>
      </w:r>
      <w:r/>
    </w:p>
    <w:p>
      <w:pPr>
        <w:ind w:left="0" w:right="0" w:firstLine="480"/>
        <w:jc w:val="both"/>
        <w:spacing w:before="0" w:after="0" w:line="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本次招标不收取投标保证金。</w:t>
      </w:r>
      <w:r/>
    </w:p>
    <w:p>
      <w:pPr>
        <w:ind w:left="0" w:right="0" w:firstLine="480"/>
        <w:jc w:val="both"/>
        <w:spacing w:before="0" w:after="0" w:line="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2.本项目不组织勘察及答疑，供应商如对采购需求有疑问，请咨询采购单位联系人。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4.有关本次招标的事项若存在变动或修改，请及时关注“江苏政府采购网”（www.ccgp-jiangsu.gov.cn）更正公告。</w:t>
      </w:r>
      <w:r/>
    </w:p>
    <w:p>
      <w:pPr>
        <w:ind w:left="0" w:right="0" w:firstLine="482"/>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代理机构提出，由代理机构负责答复。</w:t>
      </w:r>
      <w:r/>
    </w:p>
    <w:p>
      <w:pPr>
        <w:ind w:left="0" w:right="0" w:firstLine="465"/>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名称：南京市第二医院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地址：南京市鼓楼区钟阜路1号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联系人：秦老师</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联系电话：025-85091725  </w:t>
      </w:r>
      <w:r/>
    </w:p>
    <w:p>
      <w:pPr>
        <w:numPr>
          <w:ilvl w:val="0"/>
          <w:numId w:val="3"/>
        </w:numPr>
        <w:jc w:val="both"/>
        <w:spacing w:before="0" w:after="0" w:line="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名称：江苏骏通建设项目管理咨询有限公司</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址：南京市鼓楼区中山北路346号老学堂创意园58号楼9楼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联系人：陈工</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联系电话：025-83605026</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第二章</w:t>
      </w:r>
      <w:r>
        <w:rPr>
          <w:rFonts w:ascii="Arial" w:hAnsi="Arial" w:eastAsia="Arial" w:cs="Arial"/>
          <w:color w:val="000000"/>
          <w:sz w:val="36"/>
          <w:u w:val="none"/>
        </w:rPr>
        <w:t xml:space="preserve">投标人须知</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.合格的投标人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满足招标公告对供应商资格要求的规定。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满足招标文件规定的实质性要求和条件。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w:t>
      </w:r>
      <w:r>
        <w:rPr>
          <w:rFonts w:ascii="KaiTi" w:hAnsi="KaiTi" w:eastAsia="KaiTi" w:cs="KaiTi"/>
          <w:b/>
          <w:color w:val="000000"/>
          <w:sz w:val="28"/>
        </w:rPr>
        <w:t xml:space="preserve">.适用法律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w:t>
      </w:r>
      <w:r>
        <w:rPr>
          <w:rFonts w:ascii="KaiTi" w:hAnsi="KaiTi" w:eastAsia="KaiTi" w:cs="KaiTi"/>
          <w:b/>
          <w:color w:val="000000"/>
          <w:sz w:val="28"/>
        </w:rPr>
        <w:t xml:space="preserve">.投标费用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投标人应自行承担所有与参加投标有关的费用，无论投标过程中的做法和结果如何，代理机构在任何情况下均无义务和责任承担这些费用。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w:t>
      </w:r>
      <w:r>
        <w:rPr>
          <w:rFonts w:ascii="KaiTi" w:hAnsi="KaiTi" w:eastAsia="KaiTi" w:cs="KaiTi"/>
          <w:b/>
          <w:color w:val="000000"/>
          <w:sz w:val="28"/>
        </w:rPr>
        <w:t xml:space="preserve">.招标文件构成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投标人应仔细检查招标文件是否齐全，如有缺漏请立即与代理机构联系。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w:t>
      </w:r>
      <w:r>
        <w:rPr>
          <w:rFonts w:ascii="KaiTi" w:hAnsi="KaiTi" w:eastAsia="KaiTi" w:cs="KaiTi"/>
          <w:b/>
          <w:color w:val="000000"/>
          <w:sz w:val="28"/>
        </w:rPr>
        <w:t xml:space="preserve">.招标文件的澄清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任何要求对招标文件进行澄清的投标人，应在投标截止期十日前按招标公告中的通讯地址，以书面形式通知代理机构。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w:t>
      </w:r>
      <w:r>
        <w:rPr>
          <w:rFonts w:ascii="KaiTi" w:hAnsi="KaiTi" w:eastAsia="KaiTi" w:cs="KaiTi"/>
          <w:b/>
          <w:color w:val="000000"/>
          <w:sz w:val="28"/>
        </w:rPr>
        <w:t xml:space="preserve">.招标文件的修改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w:t>
      </w:r>
      <w:r>
        <w:rPr>
          <w:rFonts w:ascii="SimSun" w:hAnsi="SimSun" w:eastAsia="SimSun" w:cs="SimSun"/>
          <w:color w:val="000000"/>
          <w:sz w:val="24"/>
        </w:rPr>
        <w:t xml:space="preserve">，代理机构可以对招标文件进行修改。招标文件的修改将在原公告媒体发布更正公告，更正内容将作为招标文件的组成部分，并对投标人具有约束力。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代理机构有权按照法定的要求推迟投标截止日期和开标日期，并在原公告媒体发布更正公告。</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w:t>
      </w:r>
      <w:r>
        <w:rPr>
          <w:rFonts w:ascii="KaiTi" w:hAnsi="KaiTi" w:eastAsia="KaiTi" w:cs="KaiTi"/>
          <w:b/>
          <w:color w:val="000000"/>
          <w:sz w:val="28"/>
        </w:rPr>
        <w:t xml:space="preserve">.投标文件的语言及度量衡单位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w:t>
      </w:r>
      <w:r>
        <w:rPr>
          <w:rFonts w:ascii="KaiTi" w:hAnsi="KaiTi" w:eastAsia="KaiTi" w:cs="KaiTi"/>
          <w:b/>
          <w:color w:val="000000"/>
          <w:sz w:val="28"/>
        </w:rPr>
        <w:t xml:space="preserve">.投标文件构成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w:t>
      </w:r>
      <w:r>
        <w:rPr>
          <w:rFonts w:ascii="KaiTi" w:hAnsi="KaiTi" w:eastAsia="KaiTi" w:cs="KaiTi"/>
          <w:b/>
          <w:color w:val="000000"/>
          <w:sz w:val="28"/>
        </w:rPr>
        <w:t xml:space="preserve">.证明投标人及投标标的符合招标文件规定的文件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投标文件中的单价和总价无特殊规定的采用人民币报价，以元为单位标注。招标文件另有规定的按规定执行。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w:t>
      </w:r>
      <w:r>
        <w:rPr>
          <w:rFonts w:ascii="KaiTi" w:hAnsi="KaiTi" w:eastAsia="KaiTi" w:cs="KaiTi"/>
          <w:b/>
          <w:color w:val="000000"/>
          <w:sz w:val="28"/>
        </w:rPr>
        <w:t xml:space="preserve">.投标函和开标一览表及核心产品品牌一览表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投标人应按照招标文件规定格式完整、正确填报投标函、开标一览表及核心产品品牌一览表。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对于采用货币报价的项目，开标一览表中的投标总报价应与投标分项报价表中的投标总报价一致，如不一致评标时以开标一览表中价格为准。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核心产品品牌一览表中所投核心产品品牌缺项的将视为无效投标。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w:t>
      </w:r>
      <w:r>
        <w:rPr>
          <w:rFonts w:ascii="KaiTi" w:hAnsi="KaiTi" w:eastAsia="KaiTi" w:cs="KaiTi"/>
          <w:b/>
          <w:color w:val="000000"/>
          <w:sz w:val="28"/>
        </w:rPr>
        <w:t xml:space="preserve">.投标文件的递交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代理机构可以按照规定，通过修改招标文件酌情延长投标截止时间，在此情况下，投标人的所有权利和义务均以延长后新的截止时间为准。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8.投标文件的拒收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投标截止时间后上传的任何投标文件将被拒绝。</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9.投标文件的撤回和修改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0.开标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1.评标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评标由依法组建的评标委员会（以下简称“评委会”）进行。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评委会由采购人代表和有关方面专家组成，人员构成符合政府采购有关规定。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凡是与审查、澄清、评价和比较投标的有关资料以及授标建议等，采购人、评委、代理机构均不得向投标人或与评标无关的其他人员透露。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代理机构和评委会不向未中标的投标人解释未中标原因，也不公布评标过程中的相关细节。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3.投标文件的澄清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4.投标文件的审查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未通过资格审查或符合性审查的投标人，代理机构将通过苏采云系统告知其具体原因，评标结束后不再接受有关询问。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投标人在开、评标全过程中应保持通讯畅通，及时登录苏采云系统查阅、答复相关信息，并安排专人与代理机构及评委会联系。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 异常低价投标审查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24.7.1评标过程中出现下列情形之一的，评委会应当启动异常低价投标审查程序：</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（1）投标报价低于全部通过符合性审查供应商投标报价平均值50%的，即投标报价&lt;全部通过符合性审查供应商投标报价平均值×50%；</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（2）投标报价低于通过符合性审查的次低报价供应商投标报价50%的，即投标报价&lt;通过符合性审查的次低报价供应商投标报价×50%；</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（3）投标报价低于采购项目最高限价45%的，即投标报价&lt;采购项目最高限价×45%；</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（4）评委会基于专业判断，认为供应商报价过低，有可能影响产品质量或者不能诚信履约的其他情形。</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投标人不具备招标文件中规定资格要求。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投标人的报价超过了采购预算或最高限价或单价上限。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评委会按照本招标文件规定对投标人进行异常低价投标审查后，认为投标人不能证明其报价合理性的。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符合资格条件的供应商或者对招标文件作实质响应的供应商不足三家。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25.4 如出现25.2.1或25.3情形，招标活动失败，评审委员会应对招标文件是否存在不合理条款进行论证，并在评审报告中写明论证意见。</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代理机构将在“江苏政府采购网”发布中标公告，公告期限为1个工作日。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向评审专家、采购人或代理机构工作人员行贿或者提供其他不正当利益。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与其他供应商、评审专家、采购人或代理机构工作人员恶意串通。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属于本文件规定的无效投标情形，但在评标过程中未被评委会发现。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中标结果确定后，代理机构将向中标人发出《中标通知书》。中标人可在中标结果公告届满之日起三十日内，登录苏采云系统下载。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中标供应商可通过南京市公共资源交易平台网站“小企业融资平台”，选择相应的金融机构办理融资贷款。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32.供应商认为采购文件、采购过程和采购结果使自己的权益受到损害的，可以在知道或应知其权益受到损害之日起七个工作日内，按照第34条、第35条之规定以书面形式向采购人或代理机构提出质疑。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33.供应商应当在法定质疑期内一次性提出针对同一采购程序环节的质疑。供应商如在法定期限内对同一采购程序环节提出多次质疑的，代理机构或采购人将只对供应商第一次质疑作出答复。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34.供应商提出质疑应提交《质疑函》原件，且尽可能通过邮寄方式送达，代理机构和采购人不接受无运单的快件。《质疑函》应按照本招标文件中《质疑函范本》的格式和内容填写。</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rPr>
          <w:rFonts w:ascii="SimSun" w:hAnsi="SimSun" w:eastAsia="SimSun" w:cs="SimSun"/>
          <w:b/>
          <w:color w:val="000000"/>
          <w:sz w:val="24"/>
        </w:rPr>
        <w:t xml:space="preserve">供应商根据质疑事项向相应的质疑答复主体提出质疑，具体详见采购文件第一章。由采购人负责答复的质疑，采购人将《质疑函》《质疑答复函》抄送代理机构。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属于第33条规定的对同一采购程序环节提出的多次质疑；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left="0" w:right="0" w:firstLine="465"/>
        <w:spacing w:before="145" w:after="145"/>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本项目中的货物全部由中小企业制造的，投标供应商享受中小企业扶持政策。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（2）在中国境内生产的组件成本占比达到规定比例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43.4对本国产品的支持政策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本项目如既有本国产品又有非本国产品参与竞争，依法对本国产品给予价格评审优惠，具体详见第五章。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43.5政策执行要求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（1）产品在中国境内生产的组件成本核算规则。产品在中国境内生产的组件成本，按照《中国境内生产的组件成本核算基本规则》计算，详见</w:t>
      </w:r>
      <w:r>
        <w:rPr>
          <w:rFonts w:ascii="SimSun" w:hAnsi="SimSun" w:eastAsia="SimSun" w:cs="SimSun"/>
          <w:color w:val="000000"/>
          <w:sz w:val="24"/>
          <w:highlight w:val="white"/>
        </w:rPr>
        <w:t xml:space="preserve">《国务院办公厅关于在政府采购中实施本国产品标准及相关政策的通知》（国办发〔2025〕34号）规定。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（2）有关证明文件。</w:t>
      </w:r>
      <w:r>
        <w:rPr>
          <w:rFonts w:ascii="SimSun" w:hAnsi="SimSun" w:eastAsia="SimSun" w:cs="SimSun"/>
          <w:b/>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第三章合同文本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w:t>
      </w:r>
      <w:r>
        <w:rPr>
          <w:rFonts w:ascii="SimSun" w:hAnsi="SimSun" w:eastAsia="SimSun" w:cs="SimSun"/>
          <w:color w:val="000000"/>
          <w:sz w:val="24"/>
        </w:rPr>
        <w:t xml:space="preserve">为本项目的合同条款，合同双方不得对招标、投标文件内容作实质性修改。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甲方：南京市第二医院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根据《中华人民共和国民法典》、中华人民共和国政府采购法》等法律法规的规定，按照本次招标结果，经甲乙双方共同协商签订本合同。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第一条供货一览表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1"/>
        <w:gridCol w:w="1282"/>
        <w:gridCol w:w="1132"/>
        <w:gridCol w:w="1694"/>
        <w:gridCol w:w="1015"/>
        <w:gridCol w:w="801"/>
        <w:gridCol w:w="1236"/>
        <w:gridCol w:w="1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免费质保期</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477"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合同总价款：</w:t>
      </w:r>
      <w:r>
        <w:rPr>
          <w:rFonts w:ascii="SimSun" w:hAnsi="SimSun" w:eastAsia="SimSun" w:cs="SimSun"/>
          <w:color w:val="000000"/>
          <w:sz w:val="24"/>
          <w:u w:val="single"/>
        </w:rPr>
        <w:t xml:space="preserve">XXXXX</w:t>
      </w:r>
      <w:r>
        <w:rPr>
          <w:rFonts w:ascii="SimSun" w:hAnsi="SimSun" w:eastAsia="SimSun" w:cs="SimSun"/>
          <w:color w:val="000000"/>
          <w:sz w:val="24"/>
        </w:rPr>
        <w:t xml:space="preserve">元；大写：人民币</w:t>
      </w:r>
      <w:r>
        <w:rPr>
          <w:rFonts w:ascii="SimSun" w:hAnsi="SimSun" w:eastAsia="SimSun" w:cs="SimSun"/>
          <w:color w:val="000000"/>
          <w:sz w:val="24"/>
          <w:u w:val="single"/>
        </w:rPr>
        <w:t xml:space="preserve">XXXXXXXX</w:t>
      </w:r>
      <w:r>
        <w:rPr>
          <w:rFonts w:ascii="SimSun" w:hAnsi="SimSun" w:eastAsia="SimSun" w:cs="SimSun"/>
          <w:color w:val="000000"/>
          <w:sz w:val="24"/>
        </w:rPr>
        <w:t xml:space="preserve">元整。合同生效时间以签订时间为准，交货期为</w:t>
      </w:r>
      <w:r>
        <w:rPr>
          <w:rFonts w:ascii="SimSun" w:hAnsi="SimSun" w:eastAsia="SimSun" w:cs="SimSun"/>
          <w:color w:val="000000"/>
          <w:sz w:val="24"/>
          <w:u w:val="single"/>
        </w:rPr>
        <w:t xml:space="preserve"> X </w:t>
      </w:r>
      <w:r>
        <w:rPr>
          <w:rFonts w:ascii="SimSun" w:hAnsi="SimSun" w:eastAsia="SimSun" w:cs="SimSun"/>
          <w:color w:val="000000"/>
          <w:sz w:val="24"/>
        </w:rPr>
        <w:t xml:space="preserve">个工作日。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本合同总价款是货物设计、制造、包装、仓储、运输、安装及验收合格之前及保修期内备品备件发生的所有含税费用。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本合同总价款还包含乙方应当提供的伴随服务/售后服务费用。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本合同执行期间合同总价款不变。</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第二条权利保证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对本合同所约定的设备价格负责,如果产生与设备价值、成本相关的任何法律纠纷由乙方承担,甲方不承担任何相关法律责任。乙方保证提供的商品、服务不存在任何法律纠纷,甲方在使用该商品或服务以及其中的任何一部分时,侵犯任何的专利权、商标权、工业设计权或其他知识产权,如收到来自第三方的侵权诉讼或索赔,所有责任及由此造成的损失由乙方承担。</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第三条质量保证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1、乙方所提供的货物的技术规格应与招标文件规定的技术规格及所附的“技术规格响应表”相一致；若技术性能无特殊说明，则按国家有关部门最新颁布的标准及规范为准。</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第四条包装要求</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2、每一包装单元内应附详细的装箱单和质量合格凭证。</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第五条交货和验收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1、乙方应按照本合同或招投标文件规定的时间和方式向甲方交付货物，交货地点由甲方指定。</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如招标文件对交货时间未明确规定，则乙方应当在验收前将货物交付甲方。</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3、货物的到货验收包括：型号、规格、数量、外观质量、及货物包装是否完好。</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将所提供货物的装箱清单、用户手册、原厂保修卡、进口报关单、随机资料及配件、随机工具等交付给甲方；乙方不能完整交付货物及本款规定的单证和工具的，视为未按合同约定交货，乙方负责补齐，因此导致逾期交付的，由乙方承担相关的违约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5、乙方对货物或系统进行安装调试的，甲方应在货物安装调试完毕后的</w:t>
      </w:r>
      <w:r>
        <w:rPr>
          <w:rFonts w:ascii="SimSun" w:hAnsi="SimSun" w:eastAsia="SimSun" w:cs="SimSun"/>
          <w:color w:val="000000"/>
          <w:sz w:val="24"/>
          <w:u w:val="single"/>
        </w:rPr>
        <w:t xml:space="preserve"> 5</w:t>
      </w:r>
      <w:r>
        <w:rPr>
          <w:rFonts w:ascii="SimSun" w:hAnsi="SimSun" w:eastAsia="SimSun" w:cs="SimSun"/>
          <w:color w:val="000000"/>
          <w:sz w:val="24"/>
        </w:rPr>
        <w:t xml:space="preserve">个工作日内进行质量验收。验收合格的，由甲方签署验收单。招标文件对检验期限另有规定的，从其规定。</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6、货物和系统调试验收的标准：按行业通行标准、厂方出厂标准和乙方投标文件的承诺（详见合同附件载明的标准，并不低于国家相关标准）。</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第六条伴随服务／售后服务</w:t>
      </w:r>
      <w:r/>
    </w:p>
    <w:p>
      <w:pPr>
        <w:ind w:left="0" w:right="0" w:firstLine="560"/>
        <w:spacing w:before="0" w:after="0"/>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1、乙方应按照国家有关法律法规规章和“三包”规定以及合同的服务承诺提供服务。</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2、除前款规定外，乙方还应提供下列服务：</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（1）货物的现场安装、调试和/或启动监督；</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（2）就货物的安装、启动、运行及维护等对甲方人员进行免费培训。</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3、双方作如下约定：</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保修期自甲方在货物质量验收单上签字之日起计算，</w:t>
      </w:r>
      <w:r>
        <w:rPr>
          <w:rFonts w:ascii="SimSun" w:hAnsi="SimSun" w:eastAsia="SimSun" w:cs="SimSun"/>
          <w:b/>
          <w:color w:val="000000"/>
          <w:sz w:val="24"/>
          <w:u w:val="single"/>
        </w:rPr>
        <w:t xml:space="preserve">质保期X年。质保期内若设备发生故障（非人为），由乙方全部承担。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货物故障报修的响应时间为：为 </w:t>
      </w:r>
      <w:r>
        <w:rPr>
          <w:rFonts w:ascii="SimSun" w:hAnsi="SimSun" w:eastAsia="SimSun" w:cs="SimSun"/>
          <w:b/>
          <w:color w:val="000000"/>
          <w:sz w:val="24"/>
          <w:u w:val="single"/>
        </w:rPr>
        <w:t xml:space="preserve">  X </w:t>
      </w:r>
      <w:r>
        <w:rPr>
          <w:rFonts w:ascii="SimSun" w:hAnsi="SimSun" w:eastAsia="SimSun" w:cs="SimSun"/>
          <w:color w:val="000000"/>
          <w:sz w:val="24"/>
        </w:rPr>
        <w:t xml:space="preserve">小时，到达现场时间为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X  </w:t>
      </w:r>
      <w:r>
        <w:rPr>
          <w:rFonts w:ascii="SimSun" w:hAnsi="SimSun" w:eastAsia="SimSun" w:cs="SimSun"/>
          <w:color w:val="000000"/>
          <w:sz w:val="24"/>
        </w:rPr>
        <w:t xml:space="preserve">小时。</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rPr>
          <w:rFonts w:ascii="SimSun" w:hAnsi="SimSun" w:eastAsia="SimSun" w:cs="SimSun"/>
          <w:b/>
          <w:color w:val="000000"/>
          <w:sz w:val="24"/>
          <w:u w:val="single"/>
        </w:rPr>
        <w:t xml:space="preserve">装机后安排专业工程师培训至操作熟练为止，根据医院要求安排工作人员到设备相关地方培训。</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第七条货款支付</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2、乙方向甲方开具发票，甲方在签署验收单后付款。</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① 合同签订后，甲方支付合同总价款的30%作为预付款。</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② 供货结束并验收合格后，甲方支付合同总价款的60%。</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③ 供货满一年后，甲方支付合同总价款的10%</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④ 满足合同约定支付条件的，甲方收到乙方发票后10个工作日内，将资金支付到合同约定的乙方账户。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违约责任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1、甲方无正当理由拒收货物、拒付货物款的，由甲方向乙方偿付合同总价的</w:t>
      </w:r>
      <w:r>
        <w:rPr>
          <w:rFonts w:ascii="SimSun" w:hAnsi="SimSun" w:eastAsia="SimSun" w:cs="SimSun"/>
          <w:color w:val="000000"/>
          <w:sz w:val="24"/>
          <w:u w:val="single"/>
        </w:rPr>
        <w:t xml:space="preserve">5 </w:t>
      </w:r>
      <w:r>
        <w:rPr>
          <w:rFonts w:ascii="SimSun" w:hAnsi="SimSun" w:eastAsia="SimSun" w:cs="SimSun"/>
          <w:color w:val="000000"/>
          <w:sz w:val="24"/>
        </w:rPr>
        <w:t xml:space="preserve">%违约金。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2、乙方逾期交付货物的，每逾期1天，乙方向甲方偿付逾期交货部分货款总额的的</w:t>
      </w:r>
      <w:r>
        <w:rPr>
          <w:rFonts w:ascii="SimSun" w:hAnsi="SimSun" w:eastAsia="SimSun" w:cs="SimSun"/>
          <w:color w:val="000000"/>
          <w:sz w:val="24"/>
          <w:u w:val="single"/>
        </w:rPr>
        <w:t xml:space="preserve"> 3 </w:t>
      </w:r>
      <w:r>
        <w:rPr>
          <w:rFonts w:ascii="SimSun" w:hAnsi="SimSun" w:eastAsia="SimSun" w:cs="SimSun"/>
          <w:color w:val="000000"/>
          <w:sz w:val="24"/>
        </w:rPr>
        <w:t xml:space="preserve">%违约金。如乙方逾期交货达30天，甲方有权解除合同，解除合同的通知以书面通知为准。</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3、乙方所交付的货物品种、型号、规格不符合合同规定的，甲方有权拒收。甲方拒收的，乙方应向甲方支付货款总额</w:t>
      </w:r>
      <w:r>
        <w:rPr>
          <w:rFonts w:ascii="SimSun" w:hAnsi="SimSun" w:eastAsia="SimSun" w:cs="SimSun"/>
          <w:b/>
          <w:color w:val="000000"/>
          <w:sz w:val="24"/>
          <w:u w:val="single"/>
        </w:rPr>
        <w:t xml:space="preserve">5%</w:t>
      </w:r>
      <w:r>
        <w:rPr>
          <w:rFonts w:ascii="SimSun" w:hAnsi="SimSun" w:eastAsia="SimSun" w:cs="SimSun"/>
          <w:color w:val="000000"/>
          <w:sz w:val="24"/>
        </w:rPr>
        <w:t xml:space="preserve">的违约金。</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5、乙方未按本合同的规定和“服务承诺”提供伴随服务/售后服务的，应按合同总价款的</w:t>
      </w:r>
      <w:r>
        <w:rPr>
          <w:rFonts w:ascii="SimSun" w:hAnsi="SimSun" w:eastAsia="SimSun" w:cs="SimSun"/>
          <w:color w:val="000000"/>
          <w:sz w:val="24"/>
          <w:u w:val="single"/>
        </w:rPr>
        <w:t xml:space="preserve">5</w:t>
      </w:r>
      <w:r>
        <w:rPr>
          <w:rFonts w:ascii="SimSun" w:hAnsi="SimSun" w:eastAsia="SimSun" w:cs="SimSun"/>
          <w:color w:val="000000"/>
          <w:sz w:val="24"/>
        </w:rPr>
        <w:t xml:space="preserve">%向甲方承担违约责任。</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6、乙方在承担上述2-5款一项或多项违约责任后，仍应继续履行合同规定的义务（甲方解除合同的除外）。甲方未能及时追究乙方的任何一项违约责任并不表明甲方放弃追究乙方该项或其他违约责任。</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合同的转让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第十条争议的解决</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2、因履行本合同引起的或与本合同有关的争议，甲、乙双方应首先通过友好协商解决，如果协商不能解决争议，可采取以下</w:t>
      </w:r>
      <w:r>
        <w:rPr>
          <w:rFonts w:ascii="SimSun" w:hAnsi="SimSun" w:eastAsia="SimSun" w:cs="SimSun"/>
          <w:color w:val="000000"/>
          <w:sz w:val="24"/>
          <w:u w:val="single"/>
        </w:rPr>
        <w:t xml:space="preserve"> （1） </w:t>
      </w:r>
      <w:r>
        <w:rPr>
          <w:rFonts w:ascii="SimSun" w:hAnsi="SimSun" w:eastAsia="SimSun" w:cs="SimSun"/>
          <w:color w:val="000000"/>
          <w:sz w:val="24"/>
        </w:rPr>
        <w:t xml:space="preserve">方式解决争议：</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（2）向（当地）仲裁委员会按其仲裁规则申请仲裁。</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3、在仲裁期间，本合同应继续履行。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第十一条合同生效及其他</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2、本合同一式肆份，甲方执叁份，乙方执壹份，具同等法律效力。</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法人或委托代理人（签字）：法人或委托代理人（签字）：</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核对人：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审核人：</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第四章  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项目属性：货物类项目。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二、项目背景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信息化建设标准与规范体系下，推动国家医疗健康大数据建设相关标准，对我院信息化建设提出了更高的要求。通过构建智慧医疗、智慧服务、智慧管理“三位一体”的智慧医院系统，聚焦“智慧医院发展，优质医疗资源共享”，为患者提供更高质量、更高效率、更加安全、更加体贴的医疗服务。近年来，云计算、大数据、人工智能等技术的广泛应用，对医院信息化建设提出了更高的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项目主要针对南京市第二医院钟阜院区门诊病房楼进行计算机网络系统改造新建，包含：公共信息网、业务专网、设备网三套物理隔离的独立网络。本次项目公共信息网部署接入层，业务专网与设备网部署汇聚层和接入层，三套网络接入医院现有核心网络。新建网络系统需满足未来业务发展需求，网络设备关键芯片实现国产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三、设计概述</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信息网、业务专网、设备网三套网络物理隔离的独立部署，包括交换机、无线控制器、无线接入点、光模块、配线及机柜空间等。满足各类医疗OA办公、互联网接入、医疗终端设备的快速接入体验，并通过高速超宽的园区网络互联骨干实现院区信息互联互通。</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公共信息网部署楼层接入交换机，通过万兆光纤链路接入至医院本部核心交换机，为门诊病房楼提供互联网业务高速访问。</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专网中包含有线网络和无线网络，有线网络部署汇聚交换机，上行通过万兆光纤链路接入医院本部核心交换机，下行通过万兆光纤链路接入楼层弱电间交换机。为门诊病房楼提供行政办公，影像秒级读取，高清多学科会诊等业务。无线网络主要部署于病房区域，实现整个病房区域无线零漫游，如：PDA扫码业务，移动查房业务等，支持物联网扩展，以实现物联网相关的输液监控、资产定位等业务。同时在业务专网部署网络管理系统，为院方业务专网设备提供集中化管理、可视化监控、智能化分析等功能，有效帮助院方提高运维效率、降低运维成本、提升资源使用率，有</w:t>
      </w:r>
      <w:r>
        <w:rPr>
          <w:rFonts w:ascii="SimSun" w:hAnsi="SimSun" w:eastAsia="SimSun" w:cs="SimSun"/>
          <w:color w:val="000000"/>
          <w:sz w:val="24"/>
        </w:rPr>
        <w:t xml:space="preserve">效保障院方业务专网系统稳定运行。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设备网部署汇聚交换机，上行通过万兆光纤链路接入医院本部核心交换机，下行通过万兆光纤链路接入楼层弱电间交换机。为门诊病房楼的楼宇自控、安防监控、门禁系统等智能楼宇设备提供网络连接服务。</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本次项目所涉及的所有网络设备（包括有线和无线），其核心芯片（如CPU、交换芯片、Wi-Fi射频芯片等）采用为国产芯片，以确保技术供应链安全，符合国家自主可控的政策要求。</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网络设计应具备高可靠性、高可用性和高可扩展性，关键部件支持冗余。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四、建设目标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计算机网络系统实现安全、可控的互联网接入服务。满足高峰时段HIS、PACS、EMR等核心系统数据高速、稳定传输，保障医疗核心业务“零中断”。满足海量医学影像（如CT、MRI）秒级调阅、高清远程会诊等大带宽、低延迟应用需求。覆盖全院的高品质医疗无线专网，支持移动护理、移动查房、智能输液、生命体征采集等移动医疗应用。支持海量物联网终端（如智能床垫、输液泵、呼吸机、温湿度传感器、门禁监控等）的稳定接入与并发通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南京市第二医院中阜院区门诊病房楼构建一个安全可靠、高效智能、弹性可扩展的现代化医院网络基础设施。满足医疗业务、行政管理、患者服务及智能物联的不同需求，保障核心医疗数据安全与业务连续性，为医院的智慧医疗、精细化管理及未来发展奠定坚实的数字化基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五、参考标准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《全国医院信息化建设标准与规范》（GB50464-2008）；</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《江苏省三级综合医院评审标准实施细则(2019版)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《电子病历系统应用水平分级评价管理办法及评价标准》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《医院信息互联互通标准化成熟度测评方案(2020年版)》；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《医院智慧服务分级评估标准体系(试行)》；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六、项目清单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5"/>
        <w:gridCol w:w="2016"/>
        <w:gridCol w:w="415"/>
        <w:gridCol w:w="589"/>
        <w:gridCol w:w="938"/>
        <w:gridCol w:w="1176"/>
        <w:gridCol w:w="672"/>
        <w:gridCol w:w="563"/>
        <w:gridCol w:w="1680"/>
        <w:gridCol w:w="831"/>
      </w:tblGrid>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单项限价</w:t>
              <w:b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所属行业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政府强制采购节能产品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10G光模块（核心层）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10G光模块（接入层）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10G光模块（汇聚+核心层）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汇聚层交换机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10G光模块（接入层）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48口接入交换机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10G光模块（汇聚核心层）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无线AC控制器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10G光模块（接入层）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机架式无线AP（业务网）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功率分配器（业务网）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远端天线（业务网）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网络管理平台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40米光电混合缆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80米光电混合缆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120米光电混合缆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5米馈线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10米馈线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15米馈线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18米馈线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10G光模块（汇聚核心层）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汇聚层交换机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10G光模块（接入层）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24口POE接入交换机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计算机网络产品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七、拟采购标的需要满足的技术、商务要求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产品技术要求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9"/>
        <w:gridCol w:w="2328"/>
        <w:gridCol w:w="4286"/>
        <w:gridCol w:w="388"/>
        <w:gridCol w:w="466"/>
        <w:gridCol w:w="466"/>
      </w:tblGrid>
      <w:tr>
        <w:trPr>
          <w:trHeight w:val="4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参数要求(不低于以下要求)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02"/>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公共信息网络系统</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10G光模块（核心层）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光模块-SFP+-10G-单模模块(1310nm,10km,LC)</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10G光模块（接入层）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光模块-SFP+-10G-单模模块(1310nm,10km,LC)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1、交换容量≥1.3Tbps，包转发率≥170Mpps，若官网存在多个数值，以最小值为准，提供官网截图证明；</w:t>
              <w:br/>
              <w:t xml:space="preserve">2、支持并实配24个10/100/1000 BASE-T以太网端口，4个万兆SFP+，2个万兆 SFP+ 堆叠口，模块化双电源，提供官网截图证明；</w:t>
              <w:br/>
              <w:t xml:space="preserve">3、CPU和LSW采用国产芯片，自主可控，提供第三方测试报告证明；</w:t>
              <w:br/>
              <w:t xml:space="preserve">4、支持MAC表项≥32K，支持IPv4 路由表≥8K；</w:t>
              <w:br/>
              <w:t xml:space="preserve">5、支持同一个共享的网络基础设施上提供多个逻辑网络（切片），每个网络切片都可以灵活定义自己的逻辑拓扑、SLA需求、可靠性和安全等</w:t>
            </w:r>
            <w:r>
              <w:rPr>
                <w:rFonts w:ascii="SimSun" w:hAnsi="SimSun" w:eastAsia="SimSun" w:cs="SimSun"/>
                <w:color w:val="000000"/>
                <w:sz w:val="24"/>
              </w:rPr>
              <w:t xml:space="preserve">级，以满足不同业务的差异化需求，提供官网截图证明；</w:t>
              <w:br/>
              <w:t xml:space="preserve">6、支持全网业务端到端业务质量检测，业务随流测量和故障定界。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业务专用有线网络系统</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10G光模块（汇聚+核心层）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光模块-SFP+-10G-单模模块(1310nm,10km,LC)</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汇聚层交换机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1、交换容量≥100 Tbps，包转发率≥75000 Mpps，以官网最小值为准；</w:t>
              <w:br/>
              <w:t xml:space="preserve">2、主控引擎≥2，业务板槽位数≥6；</w:t>
              <w:br/>
              <w:t xml:space="preserve">3、支持颗粒化电源，整机电源槽位数≥6；</w:t>
              <w:br/>
              <w:t xml:space="preserve">4、▲采用国产芯片，自主可控，提供权威第三方测试报告；</w:t>
              <w:br/>
              <w:t xml:space="preserve">5、全端口支持MACsec，提供官网证明材料；</w:t>
              <w:br/>
              <w:t xml:space="preserve">6、支持1:1转发备份，倒换时间小于5ms，故障自动切换无丢包，提供权威第三方报告；</w:t>
              <w:br/>
              <w:t xml:space="preserve">7、▲支持同一个共享的网络基础设施上提供多个逻辑网络（切片），每个逻辑网络服务于特定的业务类型。每个网络切片都可以灵活定义自己的逻辑拓扑、SLA需求、可靠性和</w:t>
            </w:r>
            <w:r>
              <w:rPr>
                <w:rFonts w:ascii="SimSun" w:hAnsi="SimSun" w:eastAsia="SimSun" w:cs="SimSun"/>
                <w:color w:val="000000"/>
                <w:sz w:val="24"/>
              </w:rPr>
              <w:t xml:space="preserve">安全等级，以满足不同业务的差异化需求，提供权威第三方测试报告；</w:t>
              <w:br/>
              <w:t xml:space="preserve">8、实配：冗余主控、冗余电源、万兆光口≥72、千兆电口≥48，堆叠线缆≥1根。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10G光模块（接入层）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光模块-SFP+-10G-单模模块(1310nm,10km,LC)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48口接入交换机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1、交换容量≥1.3Tbps，包转发率≥205Mpps，若官网存在多个数值，以最小值为准，提供官网截图证明；</w:t>
              <w:br/>
              <w:t xml:space="preserve">2、▲支持并实配48个10/100/1000 BASE-T以太网端口，4个万兆SFP+，2个万兆 SFP+ 堆叠口，模块化双电源，提供官网截图证明；</w:t>
              <w:br/>
              <w:t xml:space="preserve">3、▲CPU和LSW采用国产芯片，自主可控，提供第三方测试报告证明；</w:t>
              <w:br/>
              <w:t xml:space="preserve">4、支持MAC表项≥32K，支持IPv4 路由表≥8K；</w:t>
              <w:br/>
              <w:t xml:space="preserve">5、▲支持同一个共享的网络基础设施上提供多个逻辑网络（切片），每个网络切片都可以灵活定义自己的逻辑拓扑、SLA需求、可靠性和</w:t>
            </w:r>
            <w:r>
              <w:rPr>
                <w:rFonts w:ascii="SimSun" w:hAnsi="SimSun" w:eastAsia="SimSun" w:cs="SimSun"/>
                <w:color w:val="000000"/>
                <w:sz w:val="24"/>
              </w:rPr>
              <w:t xml:space="preserve">安全等级，以满足不同业务的差异化需求，提供官网截图证明；</w:t>
              <w:br/>
              <w:t xml:space="preserve">6、支持全网业务端到端业务质量检测，业务随流测量和故障定界。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1、交换容量≥1.3Tbps，包转发率≥170Mpps，若官网存在多个数值，以最小值为准，提供官网截图证明；</w:t>
              <w:br/>
              <w:t xml:space="preserve">2、▲支持并实配24个10/100/1000 BASE-T以太网端口，4个万兆SFP+，2个万兆 SFP+ 堆叠口，模块化双电源，提供官网截图证明；</w:t>
              <w:br/>
              <w:t xml:space="preserve">3、▲CPU和LSW采用国产芯片，自主可控，提供第三方测试报告证明；</w:t>
              <w:br/>
              <w:t xml:space="preserve">4、支持MAC表项≥32K，支持IPv4 路由表≥8K；</w:t>
              <w:br/>
              <w:t xml:space="preserve">5、▲支持同一个共享的网络基础设施上提供多个逻辑网络（切片），每个网络切片都可以灵活定义自己的逻辑拓扑、SLA需求、可靠性和</w:t>
            </w:r>
            <w:r>
              <w:rPr>
                <w:rFonts w:ascii="SimSun" w:hAnsi="SimSun" w:eastAsia="SimSun" w:cs="SimSun"/>
                <w:color w:val="000000"/>
                <w:sz w:val="24"/>
              </w:rPr>
              <w:t xml:space="preserve">安全等级，以满足不同业务的差异化需求，提供官网截图证明；</w:t>
              <w:br/>
              <w:t xml:space="preserve">6、支持全网业务端到端业务质量检测，业务随流测量和故障定界。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业务专用无线网络系统</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10G光模块（汇聚核心层）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光模块-SFP+-10G-单模模块(1310nm,10km,LC)</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无线AC控制器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1、▲单台AC最大管理AP数≥4k，最大接入用户数量≥50K，提供官网截图证明；</w:t>
              <w:br/>
              <w:t xml:space="preserve">2、▲支持 100G/40G/25G/10G/GE口等多种高速率接口，可选择不同带宽端口灵活组网。提供官网截图证明；</w:t>
              <w:br/>
              <w:t xml:space="preserve">3、三层转发吞吐量≥120Gbps；</w:t>
              <w:br/>
              <w:t xml:space="preserve">4、▲采用国产芯片，自主可控，提供第三方测试报告证明；</w:t>
              <w:br/>
              <w:t xml:space="preserve">5、支持IPv4、IPv6 双栈与AC建立capwap隧道，且被正常管理；</w:t>
              <w:br/>
              <w:t xml:space="preserve">6、支持可视化端到端的故障诊断，显示用户、AP、AC连接图，呈现故障根因和处理建议；</w:t>
              <w:br/>
              <w:t xml:space="preserve">7、支持对AC/AP/射频/终端的性能监控；</w:t>
              <w:br/>
              <w:t xml:space="preserve">8、实配：</w:t>
            </w:r>
            <w:r>
              <w:rPr>
                <w:rFonts w:ascii="SimSun" w:hAnsi="SimSun" w:eastAsia="SimSun" w:cs="SimSun"/>
                <w:color w:val="000000"/>
                <w:sz w:val="24"/>
              </w:rPr>
              <w:t xml:space="preserve">2x40G光口+16x10G光口+8xGE Combo口，冗余电源，含本次项目所需AP管理授权。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10G光模块（接入层）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光模块-SFP+-10G-单模模块(1310nm,10km,LC)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1、交换容量≥2.3Tbps，包转发率≥670Mpps，若官网存在多个数值，以最小值为准，提供官网截图证明；</w:t>
              <w:br/>
              <w:t xml:space="preserve">2、▲支持并实配：24个10/100/1000M/2.5G Base-T端口，8个1/2.5/10/25GE SFP28端口，扩展插槽≥2，冗余电源，提供官网截图证明；</w:t>
              <w:br/>
              <w:t xml:space="preserve">3、▲支持MAC表项≥330K，支持IPv4 路由表≥256K，支持IPv6 路由表≥128K，提供权威第三方测试报告；</w:t>
              <w:br/>
              <w:t xml:space="preserve">4、设备内嵌本地网管，支持本地整网设备管理方案。内嵌网管支持对设备误连线自动检测，网元间设备免配置自动加入et</w:t>
            </w:r>
            <w:r>
              <w:rPr>
                <w:rFonts w:ascii="SimSun" w:hAnsi="SimSun" w:eastAsia="SimSun" w:cs="SimSun"/>
                <w:color w:val="000000"/>
                <w:sz w:val="24"/>
              </w:rPr>
              <w:t xml:space="preserve">h-trunk，实现现整个园区网络的管理；</w:t>
              <w:br/>
              <w:t xml:space="preserve">5、▲支持业务随行功能，不管用户身处何地、使用哪个IP地址，都可以保证该用户获得相同的网络访问策略，提供权威第三方测试报告；</w:t>
              <w:br/>
              <w:t xml:space="preserve">6、全端口支持MACsec功能，支持MACsec 256位加密，提供二层数据链路级加密。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机架式无线AP（业务网）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1、部署方式：基于射频馈线技术，单基站AP通过链接其他配件可至少为64个独立房间提供信号覆盖，确保一个AP覆盖区域的信号在同一信道和同一频段，提供官网截图证明；</w:t>
              <w:br/>
              <w:t xml:space="preserve">2、支持802.11ax标准，支持2.4GHz/5GHz双频段；</w:t>
              <w:br/>
              <w:t xml:space="preserve">3、设备总空间流数≥12，整机速率≥10Gbps，提供官网截图证明；</w:t>
              <w:br/>
              <w:t xml:space="preserve">4、▲Wi-Fi射频信号输出接口≥8个光电混合口，物联网接口≥4个，外网射频信号接口≥4个，10GE光口≥1，2.5GE电口≥2，提供官网截图证明；</w:t>
              <w:br/>
              <w:t xml:space="preserve">5、▲采用国产芯片，自主可控，提供第三方测试报告证明；</w:t>
              <w:br/>
              <w:t xml:space="preserve">6、支持</w:t>
            </w:r>
            <w:r>
              <w:rPr>
                <w:rFonts w:ascii="SimSun" w:hAnsi="SimSun" w:eastAsia="SimSun" w:cs="SimSun"/>
                <w:color w:val="000000"/>
                <w:sz w:val="24"/>
              </w:rPr>
              <w:t xml:space="preserve">AP本地转发（又称直接转发）时，应用识别和QOS分类，针对业界常用的Skypes、QQ、微信等应用，能显著提升语音质量。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功率分配器（业务网）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1、基于射频天馈技术，可以对基站AP的信号进行中继、扩展、功分、实现射频信号1分8部署；</w:t>
              <w:br/>
              <w:t xml:space="preserve">2、射频输入接口≥1个光电混合口，射频输出接口≥9个，提供官网截图证明；</w:t>
              <w:br/>
              <w:t xml:space="preserve">3、部署方式：能实现隐蔽部署，通过馈线外接美化天线实现入室信号覆盖。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远端天线（业务网）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全向天线-2400-2500MHz&amp;5150MHz-5850MHz-3dBi&amp;5dBi-线极化-全向-5W-SMA-K-是-自带夹码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网络管理平台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1、管理平台应集成所需操作系统和数据库等必要软件，应支持多种设备的管理，包括交换机、路由器、防火墙、WLAN、服务器、存储、操作系统、数据库、WEB应用、超融合、虚拟化等；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2、管理平台所需硬件服务器、操作系统、数据库，符合国产化要求；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3、支持网络设备类型、设备CPU利用率、内存使用率统计、接口流量、链路流量、端口使用率等统计报表；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4、提供全网设备的配置文件管理，可以提供即时和周期的配置文件备份，支持对已备份的配置文件进行基线化、恢复和比较；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5、支持主动在网络设备之间发送诊断报文，测量线路上的丢包率、时延、抖动等关键性能指标；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6、支持实时监控全网流量，提供多维度TOPN流量分析报告，帮助用户及时发现网络中异常流量、了解网络带宽的使用情况；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7、支持WLAN网络DASHBOARD运维，包括概览、TOP AP统计、流量趋势、用户趋势、TOP区域统计等；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8、实配：网络管理平台，含本次项目业务专用网设备管理授权，含配套硬件服务器（2*32Core@2.6GHz CPU,2*32GB内存,2*1920GB SSD,Raid卡(2G cache,带超级电容),2*4 GE电口,2*900W AC）。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业务专用无线综合布线</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40米光电混合缆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光电混合缆组件-2P1F-40m-LC/UPC+凤凰端子-GDFJHH-G.657A2+2*21AWG-LC/UPC+凤凰端子-黑,蓝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80米光电混合缆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光电混合缆组件-2P1F-80m-LC/UPC+凤凰端子-GDFJHH-G.657A2+2*21AWG-LC/UPC+凤凰端子-黑,蓝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120米光电混合缆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光电混合缆组件-2P1F-120m-LC/UPC+凤凰端子-GDFJHH-G.657A2+2*21AWG-LC/UPC+凤凰端子-黑,蓝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5米馈线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射频电缆组件-5m-(SMA-J)-(HFBYZ-50-4)-(SMA-J)</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10米馈线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射频电缆组件-10m-(SMA-J)-(HFBYZ-50-4)-(SMA-J)</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15米馈线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射频电缆组件-15m-(SMA-J)-(HFBYZ-50-4)-(SMA-J)</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18米馈线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射频电缆组件-18m-(SMA-J)-(HFBYZ-50-4)-(SMA-J)</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设备网</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10G光模块（汇聚核心层）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光模块-SFP+-10G-单模模块(1310nm,10km,LC)</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汇聚层交换机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1、交换容量≥100 Tbps，包转发率≥75000 Mpps，以官网最小值为准；</w:t>
              <w:br/>
              <w:t xml:space="preserve">2、主控引擎≥2，业务板槽位数≥6；</w:t>
              <w:br/>
              <w:t xml:space="preserve">3、支持颗粒化电源，整机电源槽位数≥6；</w:t>
              <w:br/>
              <w:t xml:space="preserve">4、采用国产芯片，自主可控，提供权威第三方测试报告；</w:t>
              <w:br/>
              <w:t xml:space="preserve">5、全端口支持MACsec，提供官网证明材料；</w:t>
              <w:br/>
              <w:t xml:space="preserve">6、支持1:1转发备份，倒换时间小于5ms，故障自动切换无丢包，提供权威第三方报告；</w:t>
              <w:br/>
              <w:t xml:space="preserve">7、支持同一个共享的网络基础设施上提供多个逻辑网络（切片），每个逻辑网络服务于特定的业务类型。每个网络切片都可以灵活定义自己的逻辑拓扑、SLA需求、可靠性和安全</w:t>
            </w:r>
            <w:r>
              <w:rPr>
                <w:rFonts w:ascii="SimSun" w:hAnsi="SimSun" w:eastAsia="SimSun" w:cs="SimSun"/>
                <w:color w:val="000000"/>
                <w:sz w:val="24"/>
              </w:rPr>
              <w:t xml:space="preserve">等级，以满足不同业务的差异化需求，提供权威第三方测试报告；</w:t>
              <w:br/>
              <w:t xml:space="preserve">8、实配：冗余主控、冗余电源、万兆光口≥48、千兆电口≥48。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10G光模块（接入层）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光模块-SFP+-10G-单模模块(1310nm,10km,LC)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24口POE接入交换机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1、交换容量≥1.3Tbps，包转发率≥170Mpps，若官网存在多个数值，以最小值为准，提供官网截图证明；</w:t>
              <w:br/>
              <w:t xml:space="preserve">2、▲支持并实配24个10/100/1000 BASE-T以太网端口（支持POE+），4个万兆SFP+，2个万兆 SFP+ 堆叠口，模块化双电源，提供官网截图证明；</w:t>
              <w:br/>
              <w:t xml:space="preserve">3、▲CPU和LSW采用国产芯片，自主可控，提供第三方测试报告证明；</w:t>
              <w:br/>
              <w:t xml:space="preserve">4、支持MAC表项≥32K，支持IPv4 路由表≥8K；</w:t>
              <w:br/>
              <w:t xml:space="preserve">5、▲支持同一个共享的网络基础设施上提供多个逻辑网络（切片），每个网络切片都可以灵活定义自己的逻辑拓扑、SL</w:t>
            </w:r>
            <w:r>
              <w:rPr>
                <w:rFonts w:ascii="SimSun" w:hAnsi="SimSun" w:eastAsia="SimSun" w:cs="SimSun"/>
                <w:color w:val="000000"/>
                <w:sz w:val="24"/>
              </w:rPr>
              <w:t xml:space="preserve">A需求、可靠性和安全等级，以满足不同业务的差异化需求，提供官网截图证明；</w:t>
              <w:br/>
              <w:t xml:space="preserve">6、支持全网业务端到端业务质量检测，业务随流测量和故障定界。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注：上述技术要求中未注明提交具体证明资料的，供应商应在《技术要求响应及偏离表》逐条注明其响应情况，否则按未提供处理。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的货物（含配件）应是全新的、未使用过的原装合格正品，并保证所提供货物的开箱合格率为100%，外观和内在质量都不得有任何问题。采用的是最佳材料和第一流的工艺，并在各个方面符合合同规定的质量、规格和性能要求。设备经过检验、正确安装、合理操作和维护保养，在设备寿命期内运转良好。在规定的质保期内，中标供应商应对由于设计、工艺或材料的缺陷或故障负责。在未验收前，货物保管、安全均由中标供应商负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提供的技术资料（含软件）完整正确，数据和资料准确无误，包括：产品检测报告、产品合格证、技术使用手册、配置清单，合同中要求的其他文件资料。能够保证设备按时正确地安装、调试和验收，并能满足正常运行和维修保养的需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负责将货物运到采购人指定地点，由供应商负责办理运输、装卸、安装、调试等，并协助采购人组织验收，检验不合格或不符合质量要求，供应商除无条件退货、返工外，还应承担采购人的一切损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（4）供应商要在提供完整、可靠设备的同时，还必须为整个系统提供规范、达标的安装工作。安装工程所需的仪器和专用工具由供应商自备。完工后，通过供应商提供的设备和安装服务，能满足采购人的要求。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（5）质保（维保）及售后要求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所有货物硬件均提供三年原厂商质保服务。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质保期内，产品发生硬件质量问题，供应商接到报修请求，在30分钟内响应，4小时内技术人员到达现场进行故障处理、如确认硬件故障，24小时内更换完成，费用由供应商负责。如供应商在接到通知后30分钟内没有响应，则视为承认质量问题。无法短时间完成维修的，应向采购人提供应急备用产品。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②质保期外，产品发生硬件质量问题，供应商能保证采购人更换到原厂正宗的备件材料，采购人以设备成本价格支付备件费用，确保产品的正常使用。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2、本项目如需专业分包，必须经由采购人批准，未经批准，发现有转包或分包现象，立即终止合同，给采购人造成的损失，中标人应当予以赔偿，且承担相应的法律责任。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3、中标后实施要求：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（1）针对采购人业务特点阐述系统实施方法,包括但不限于项目管理、需求确认、测试、试运行和最终验收等工作的实施方案。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（2）阐述项目实施的组织架构，并描述实施预期的时间进度表，提供具有明确里程碑的项目实施计划。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（3）要求投标人提供本项目中所有交付物清单(包括产品、技术文档等)。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（4）要求具有长期的本项目专属的技术支持人员，工作语言为中文，项目文档为中文。所有参与本项目实施的投标人员，未经采购人许可,不得调换。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（5）投标人在本项目实施过程中，须服从采购人的管理，同时满足适用的法律法规和有关监管部门的监管要求。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4、综合管理和质量保证要求：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（1）负责制定项目计划，并按照采购人的要求进行必要的调整，监督和控制项目进度。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（2）负责管理安排项目资源。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（3）负责管理项目范围和需求变更，并配合采购人管理部门完成变更手续的签署工作。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（4）负责项目配置管理、交付物管理、项目质量管理、问题管理和风险管理等项目管理工作。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（5）负责与采购人沟通并按照要求进行工作汇报。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（6）投标人应保证提供的产品和服务，不得存在影响其交付系统满足采购人要求的任何缺陷，亦不存在实质性限制或影响其交付系统的性能、可靠性、稳定性或可扩展性的任何缺陷。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（7）投标人应保证提供的系统中不得包含或隐藏危害或可能危害采购人利益的计算机代码，包括但不限于后门程序、病毒、黑客程序、蠕虫、逻辑炸弹、时间炸弹等。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5、测试要求：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系统部署、安装完成后，按照系统要求的基本功能逐一测试。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单项测试：单项产品安装完成后，由投标人进行产品自身性能的测试。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验收测试要求：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（1）编写服务验收计划和方案。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（2）配合执行用户验收测试或展示。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6、试运行、最终验收要求：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（1）支持系统试运行工作。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（2）协助采购人完成最终验收。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7、组织实施及人员要求：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成立独立的项目组，安排不少于2人的专业技术人员参加本项目。项目经理或项目负责人需保证将全部工作时间投入本项目，不得在兼任其它项目负责人或项目经理；项目组主要成员需保证将80%以上的工作时间投入本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（2）在项目组织机构中应明确各岗位的职责、任职资格，确保工程顺利实施。根据集成工作的业务性质，应分别配备有实际业务经验的项目经理承担本项目的管理工作。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项目组成员必须具有强烈的服务意识和高度的责任感。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项目组应建立健全保障项目顺利实施的各项规章管理制度和质量保证体系。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8、交付物要求：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按项目建设和采购人项目管理制度要求提交。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（1）应用成果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所有服务内容及相关技术成果版权均属于采购人，投标人未经采购人许可，不得转让、共享或提供给第三方。投标人承诺对采购人所有服务文档、数据资料和成果均负有保密责任。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（2）软硬件货物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应向采购人提供招标文件中所规定的货物。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（3）项目文档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投标人在完成项目建设过程中，须按项目建设和采购人项目管理制度要求提交各类文档。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9、培训要求：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（1）投标人应详细制定人员培训方案，培训方案包括培训目的、培训时间安排、人员层次、人数、次数、培训课程、主要内容、培训组织形式等；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（2）中标人应提供不少于1次的现场培训服务，培训内容、培训地点及培训时间由采购人指定。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（3）培训内容应包括所提供产品的性能、使用、维护等各个方面。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（4）培训教材应使用标准中文。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（5）投标人负责培训相关的所有费用。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10、验收要求：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投标人需要满足以下的验收要求：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（1）投标人需按合同的约定，完成部署、安装、配置等建设任务；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（2）投标人需按合同和相关规定提交初步验收文档资料；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（3）投标人需提交初步验收申请，采购人签字认可。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（4）试运行时出现的问题均已被解决且采购人满意，并按照本项目合同和政府有关管理部门的规定提供了全部服务和对应资料。投标人需提交最终验收申请，采购人签字认可。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12、付款条件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合同签订后，甲方支付合同总价款的30%作为预付款。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供货结束并验收合格后，甲方支付合同总价款的60%。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供货满一年后，甲方支付合同总价款的10%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满足合同约定支付条件的，甲方收到乙方发票后10个工作日内，将资金支付到合同约定的乙方账户。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13、交货时间、地点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1.交货时间：本项目交付期自合同签订之日起30天内，需在时间内完设备安装、调试、培训、验收。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2.交货地点：中标人按照采购人指定的地点进行设备及系统安装、调试，相关费用由中标人负责。由采购人组织验收，检验不合格或不符合质量要求，中标人除无条件返工外，还应承担采购人的一切损失。</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第五章评标方法与评标标准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二、本国产品价格扣除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4.当采购项目或者采购包中含有多种产品，供应商为该采购项目或者采购包提供的符合本国产品标准的产品成本之和占该供应商提供的全部产品成本之和的比例达到80%以上时（</w:t>
      </w:r>
      <w:r>
        <w:rPr>
          <w:rFonts w:ascii="SimSun" w:hAnsi="SimSun" w:eastAsia="SimSun" w:cs="SimSun"/>
          <w:b/>
          <w:color w:val="000000"/>
          <w:sz w:val="24"/>
        </w:rPr>
        <w:t xml:space="preserve">供应商需在《声明函》中填写比例数值</w:t>
      </w:r>
      <w:r>
        <w:rPr>
          <w:rFonts w:ascii="SimSun" w:hAnsi="SimSun" w:eastAsia="SimSun" w:cs="SimSun"/>
          <w:color w:val="000000"/>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5.对本国产品的支持政策与政府采购支持中小企业、节能环保等优惠政策叠加适用，对应执行价格扣除政策的项目，统一在原报价的基础上给予价格扣除。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1.本项目全部货物制造商为小微企业的，对报价给予10%的扣除，用扣除后的价格参与评审。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
        <w:gridCol w:w="772"/>
        <w:gridCol w:w="8037"/>
        <w:gridCol w:w="175"/>
        <w:gridCol w:w="193"/>
      </w:tblGrid>
      <w:tr>
        <w:trPr>
          <w:trHeight w:val="2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 w:type="dxa"/>
            <w:vAlign w:val="top"/>
            <w:textDirection w:val="lrTb"/>
            <w:noWrap/>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2" w:type="dxa"/>
            <w:vAlign w:val="top"/>
            <w:textDirection w:val="lrTb"/>
            <w:noWrap/>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37" w:type="dxa"/>
            <w:vAlign w:val="top"/>
            <w:textDirection w:val="lrTb"/>
            <w:noWrap/>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 w:type="dxa"/>
            <w:vAlign w:val="top"/>
            <w:textDirection w:val="lrTb"/>
            <w:noWrap/>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3" w:type="dxa"/>
            <w:vAlign w:val="top"/>
            <w:textDirection w:val="lrTb"/>
            <w:noWrap/>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36" w:type="dxa"/>
            <w:vAlign w:val="top"/>
            <w:textDirection w:val="lrTb"/>
            <w:noWrap/>
          </w:tcPr>
          <w:p>
            <w:pPr>
              <w:ind w:left="114" w:right="0" w:firstLine="0"/>
              <w:jc w:val="both"/>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2"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37" w:type="dxa"/>
            <w:vAlign w:val="center"/>
            <w:textDirection w:val="lrTb"/>
            <w:noWrap/>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 w:type="dxa"/>
            <w:vAlign w:val="center"/>
            <w:textDirection w:val="lrTb"/>
            <w:noWrap/>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3" w:type="dxa"/>
            <w:vAlign w:val="center"/>
            <w:textDirection w:val="lrTb"/>
            <w:noWrap/>
          </w:tcPr>
          <w:p>
            <w:pPr>
              <w:ind w:left="0" w:right="0" w:firstLine="0"/>
              <w:jc w:val="center"/>
              <w:spacing w:before="25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36" w:type="dxa"/>
            <w:vAlign w:val="top"/>
            <w:textDirection w:val="lrTb"/>
            <w:noWrap/>
          </w:tcPr>
          <w:p>
            <w:pPr>
              <w:ind w:left="114" w:right="0" w:firstLine="0"/>
              <w:jc w:val="both"/>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2技术</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2"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产品功能、性能、配置要求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37" w:type="dxa"/>
            <w:vAlign w:val="center"/>
            <w:textDirection w:val="lrTb"/>
            <w:noWrap/>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采购需求中规定的全部技术参数指标要求的，此项得满分20分。加★项属于实质性响应条款，若供应商不满足，将做无效投标处理。加▲项指标为重要参数，每有一项负偏离扣2分；其它项每有一条负偏离扣1分。本项最低得分0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（投标人提供《技术要求响应及偏离表》并逐条注明响应情况，产品清单中要求提供对应证明资料的，投标人必须提供，否则不得分。项目参数允许正偏离，不另外加分。）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3"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2"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总体建设方案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37" w:type="dxa"/>
            <w:vAlign w:val="center"/>
            <w:textDirection w:val="lrTb"/>
            <w:noWrap/>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评委根据投标人提供的总体建设方案综合评分，包含:1.建设内容；2.总体需求分析；3.重难点分析；4.应对措施。以上每项内容逐条阐述。</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（1）上述每项内容完整，科学合理、针对性强的，得10分；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（2）上述每项内容较完整，较科学合理，较有针对性的，得7分；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（3）上述每项内容不科学合理、无针对性得4分；未提供的不得分。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3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2"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37" w:type="dxa"/>
            <w:vAlign w:val="center"/>
            <w:textDirection w:val="lrTb"/>
            <w:noWrap/>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评委根据投标人提供的项目实施方案综合评分，包含:1.供货进度保证措施；2.质量保证措施；3.协调配合措施；4.安装调试方案。以上每项内容逐条阐述。</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（1）上述每项内容完整，科学合理、针对性强的，得10分；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（2）上述每项内容较完整，较科学合理，较有针对性的，得7分；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（3）上述每项内容不科学合理、无针对性得4分；未提供的不得分。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2"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37" w:type="dxa"/>
            <w:vAlign w:val="center"/>
            <w:textDirection w:val="lrTb"/>
            <w:noWrap/>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评委根据投标人提供的质量保障方案综合评分，包含:1.质量保障需求分析；2.质量保障目标计划；3.保障内容及方法。以上每项内容逐条阐述。</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（1）上述每项内容完整，科学合理、针对性强的，得7分；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（2）上述每项内容较完整，较科学合理，较有针对性的，得4分；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（3）上述每项内容不科学合理、无针对性得1分；未提供的不得分。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1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2"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37" w:type="dxa"/>
            <w:vAlign w:val="center"/>
            <w:textDirection w:val="lrTb"/>
            <w:noWrap/>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评委根据投标人提供的培训方案综合评分，包含:1.培训需求分析；2.培训目标计划；3.培训内容及方法；4.负责培训人员情况。以上每项内容逐条阐述。</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（1）上述每项内容完整，科学合理、针对性强的，得7分；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（2）上述每项内容较完整，较科学合理，较有针对性的，得4分；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（3）上述每项内容不科学合理、无针对性得1分；未提供的不得分。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2"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37" w:type="dxa"/>
            <w:vAlign w:val="center"/>
            <w:textDirection w:val="lrTb"/>
            <w:noWrap/>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评委根据投标人提供的售后服务方案综合评分，包含:1.售后服务体系；2.售后服务响应；3.问题解决方案；4.专业技术人员保障。以上每项内容逐条阐述。</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（1）上述每项内容完整，科学合理、针对性强的，得7分；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（2）上述每项内容较完整，较科学合理，较有针对性的，得4分；</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（3）上述每项内容不科学合理、无针对性得1分；未提供的不得分。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3"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36" w:type="dxa"/>
            <w:vAlign w:val="center"/>
            <w:textDirection w:val="lrTb"/>
            <w:noWrap/>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4业绩</w:t>
            </w:r>
            <w:r/>
          </w:p>
        </w:tc>
      </w:tr>
      <w:tr>
        <w:trPr>
          <w:trHeight w:val="3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2" w:type="dxa"/>
            <w:vAlign w:val="center"/>
            <w:textDirection w:val="lrTb"/>
            <w:noWrap/>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企业业绩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37" w:type="dxa"/>
            <w:vAlign w:val="center"/>
            <w:textDirection w:val="lrTb"/>
            <w:noWrap/>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6月1日（含）以来承接过类似业绩的，每提供一个得3分，本项满分9分。（提供项目中标通知书、合同原件扫描件、验收证明资料，三者缺一不可，证明材料须能反应上述要求内容否则不得分，时间以合同签订时间为准。同一甲方或单一项目多期合同的仅计分一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3" w:type="dxa"/>
            <w:vAlign w:val="center"/>
            <w:textDirection w:val="lrTb"/>
            <w:noWrap/>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9" w:type="dxa"/>
            <w:vAlign w:val="center"/>
            <w:textDirection w:val="lrTb"/>
            <w:noWrap/>
          </w:tcPr>
          <w:p>
            <w:pPr>
              <w:ind w:left="172" w:right="0" w:firstLine="0"/>
              <w:jc w:val="center"/>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8" w:type="dxa"/>
            <w:vAlign w:val="center"/>
            <w:textDirection w:val="lrTb"/>
            <w:noWrap/>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三、法人授权书及委托代理人的身份证扫描件</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十三、关于符合本国产品标准的声明函（如有）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一、信用承诺书</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南京市政府采购供应商信用记录表暨信用承诺书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2246"/>
        <w:gridCol w:w="2246"/>
        <w:gridCol w:w="2247"/>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星级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ascii="SimSun" w:hAnsi="SimSun" w:eastAsia="SimSun" w:cs="SimSun"/>
                <w:color w:val="000000"/>
                <w:sz w:val="24"/>
              </w:rPr>
              <w:t xml:space="preserve">。如有弄虚作假或其他违法违规行为，原承担一切法律责任，接受各级政府采购监管部门和有权机关的审查和处罚。</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2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注：1、供应商在中标（成交）后，应按采购文件要求，将上述由信用承诺书替代的证明材料提交采购人或采购代理机构核验。经核验无误后，由采购人或采购代理机构发出中标（成交）通知书。</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2、信用承诺书替代的证明材料为：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（1）具有独立承担民事责任的能力（提供法人或者其他组织的营业执照）；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（2）具有良好的商业信誉和健全的财务会计制度（提供参加本次政府采购活动前的财务状况报告，法人或者其他组织成立未满一年的可以不提供）；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（3）具有履行合同所必需的设备和专业技术能力（根据项目需求提供履行合同所必需的设备和专业技术能力的声明及证明材料）；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（4）有依法缴纳税收和社会保障资金的良好记录（提供参加本次采购活动前依法缴纳税收和社会保障资金的相关材料）；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（5）参加本次采购活动前三年内，在经营活动中没有重大违法或不良征信记录（提供参加本次采购活动前三年内在经营活动中没有重大违法记录的书面声明）。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（6）法律、行政法规规定的其他条件。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注：上表格式仅供参考，应以在线打印的有效文件为准。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三、法人授权书及委托代理人的身份证扫描件</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说明：提供法人授权书的同时须提供委托代理人的身份证扫描件。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致：江苏骏通建设项目管理咨询有限公司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8.我方为：</w:t>
      </w:r>
      <w:r>
        <w:rPr>
          <w:rFonts w:ascii="Wingdings" w:hAnsi="Wingdings" w:eastAsia="Wingdings" w:cs="Wingdings"/>
          <w:color w:val="000000"/>
          <w:sz w:val="24"/>
        </w:rPr>
        <w:t xml:space="preserve">¨</w:t>
      </w:r>
      <w:r>
        <w:rPr>
          <w:rFonts w:ascii="SimSun" w:hAnsi="SimSun" w:eastAsia="SimSun" w:cs="SimSun"/>
          <w:color w:val="000000"/>
          <w:sz w:val="24"/>
        </w:rPr>
        <w:t xml:space="preserve">民营企业 </w:t>
      </w:r>
      <w:r>
        <w:rPr>
          <w:rFonts w:ascii="Wingdings" w:hAnsi="Wingdings" w:eastAsia="Wingdings" w:cs="Wingdings"/>
          <w:color w:val="000000"/>
          <w:sz w:val="24"/>
        </w:rPr>
        <w:t xml:space="preserve">¨</w:t>
      </w:r>
      <w:r>
        <w:rPr>
          <w:rFonts w:ascii="SimSun" w:hAnsi="SimSun" w:eastAsia="SimSun" w:cs="SimSun"/>
          <w:color w:val="000000"/>
          <w:sz w:val="24"/>
        </w:rPr>
        <w:t xml:space="preserve">非民营企业 </w:t>
      </w:r>
      <w:r>
        <w:rPr>
          <w:rFonts w:ascii="Wingdings" w:hAnsi="Wingdings" w:eastAsia="Wingdings" w:cs="Wingdings"/>
          <w:color w:val="000000"/>
          <w:sz w:val="24"/>
        </w:rPr>
        <w:t xml:space="preserve">¨</w:t>
      </w:r>
      <w:r>
        <w:rPr>
          <w:rFonts w:ascii="SimSun" w:hAnsi="SimSun" w:eastAsia="SimSun" w:cs="SimSun"/>
          <w:color w:val="000000"/>
          <w:sz w:val="24"/>
        </w:rPr>
        <w:t xml:space="preserve">其他（在对应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核心产品品牌一览表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3"/>
        <w:gridCol w:w="3379"/>
        <w:gridCol w:w="1954"/>
        <w:gridCol w:w="2350"/>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七、投标分项报价表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5"/>
        <w:gridCol w:w="903"/>
        <w:gridCol w:w="723"/>
        <w:gridCol w:w="1268"/>
        <w:gridCol w:w="1215"/>
        <w:gridCol w:w="631"/>
        <w:gridCol w:w="624"/>
        <w:gridCol w:w="876"/>
        <w:gridCol w:w="1043"/>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60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3.供应商所投产品须与“第四章-项目清单”中的产品一一对应，如有缺项、漏项或者超出单价上限，视为无效投标。“项目清单”中分项仅为一项的，此表无需提供。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1.供应商须对招标文件技术要求中的实质性要求（斜体下划线内容或打“★”内容）及其他要求做出明确响应，否则视为无效投标。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2731"/>
        <w:gridCol w:w="2688"/>
        <w:gridCol w:w="31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1.供应商须对招标文件商务要求中的实质性要求（斜体下划线内容或打“★”内容）做出明确响应，否则视为无效投标。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中小企业声明函（货物）</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ascii="SimSun" w:hAnsi="SimSun" w:eastAsia="SimSun" w:cs="SimSun"/>
          <w:b/>
          <w:color w:val="000000"/>
          <w:sz w:val="24"/>
        </w:rPr>
        <w:t xml:space="preserve">（货物由中小企业制造，即货物由中小企业生产且使用该中小企业商号或者注册商标）</w:t>
      </w:r>
      <w:r>
        <w:rPr>
          <w:rFonts w:ascii="SimSun" w:hAnsi="SimSun" w:eastAsia="SimSun" w:cs="SimSun"/>
          <w:color w:val="000000"/>
          <w:sz w:val="24"/>
        </w:rPr>
        <w:t xml:space="preserve">，不对其中涉及的服务的承接商、工程的承建商作出要求。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8"/>
          <w:highlight w:val="white"/>
        </w:rPr>
        <w:t xml:space="preserve">（如有，可上传至“电子投标文件格式-企业报价折扣证明”）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strike/>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color w:val="000000"/>
          <w:sz w:val="24"/>
          <w:highlight w:val="white"/>
          <w:vertAlign w:val="superscript"/>
        </w:rPr>
        <w:t xml:space="preserve">3</w:t>
      </w:r>
      <w:r>
        <w:rPr>
          <w:rFonts w:ascii="SimSun" w:hAnsi="SimSun" w:eastAsia="SimSun" w:cs="SimSun"/>
          <w:strike/>
          <w:color w:val="000000"/>
          <w:sz w:val="24"/>
          <w:highlight w:val="whit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strike/>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color w:val="000000"/>
          <w:sz w:val="24"/>
          <w:highlight w:val="white"/>
          <w:vertAlign w:val="superscript"/>
        </w:rPr>
        <w:t xml:space="preserve">4</w:t>
      </w:r>
      <w:r>
        <w:rPr>
          <w:rFonts w:ascii="SimSun" w:hAnsi="SimSun" w:eastAsia="SimSun" w:cs="SimSun"/>
          <w:strike/>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strike/>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color w:val="000000"/>
          <w:sz w:val="24"/>
          <w:highlight w:val="white"/>
          <w:vertAlign w:val="superscript"/>
        </w:rPr>
        <w:t xml:space="preserve">5</w:t>
      </w:r>
      <w:r>
        <w:rPr>
          <w:rFonts w:ascii="SimSun" w:hAnsi="SimSun" w:eastAsia="SimSun" w:cs="SimSun"/>
          <w:strike/>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strike/>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strike/>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strike/>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strike/>
          <w:color w:val="000000"/>
          <w:sz w:val="24"/>
          <w:highlight w:val="white"/>
        </w:rPr>
        <w:t xml:space="preserve">在中国境内生产。</w:t>
      </w:r>
      <w:r>
        <w:rPr>
          <w:rFonts w:ascii="SimSun" w:hAnsi="SimSun" w:eastAsia="SimSun" w:cs="SimSun"/>
          <w:strike/>
          <w:color w:val="000000"/>
          <w:sz w:val="24"/>
          <w:highlight w:val="white"/>
          <w:u w:val="single"/>
        </w:rPr>
        <w:t xml:space="preserve">（产品名称2）</w:t>
      </w:r>
      <w:r>
        <w:rPr>
          <w:rFonts w:ascii="SimSun" w:hAnsi="SimSun" w:eastAsia="SimSun" w:cs="SimSun"/>
          <w:strike/>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strike/>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本采购包中提供的符合本国产品标准的产品成本之和占该采购包提供的全部产品成本之和的比例为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rPr>
          <w:rFonts w:ascii="SimSun" w:hAnsi="SimSun" w:eastAsia="SimSun" w:cs="SimSun"/>
          <w:i/>
          <w:color w:val="000000"/>
          <w:sz w:val="20"/>
          <w:vertAlign w:val="superscript"/>
        </w:rPr>
        <w:t xml:space="preserve">6</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5.该产品的关键工序要求实施前，“关键工序”栏可不填。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icrosoft YaHei">
    <w:panose1 w:val="020B050302020402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张杨</cp:lastModifiedBy>
  <cp:revision>1</cp:revision>
  <dcterms:created xsi:type="dcterms:W3CDTF">2026-07-03T06:51:42Z</dcterms:created>
  <dcterms:modified xsi:type="dcterms:W3CDTF">2026-07-03T07:27:44Z</dcterms:modified>
</cp:coreProperties>
</file>