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8"/>
        <w:jc w:val="center"/>
        <w:spacing w:line="360" w:lineRule="auto"/>
        <w:tabs>
          <w:tab w:val="left" w:pos="390" w:leader="none"/>
          <w:tab w:val="center" w:pos="4404" w:leader="none"/>
        </w:tabs>
        <w:rPr>
          <w:rFonts w:hint="eastAsia" w:ascii="宋体" w:hAnsi="宋体" w:eastAsia="宋体" w:cs="宋体"/>
          <w:color w:val="000000"/>
          <w:sz w:val="76"/>
          <w:szCs w:val="76"/>
          <w:highlight w:val="none"/>
        </w:rPr>
        <w:outlineLvl w:val="9"/>
      </w:pPr>
      <w:r>
        <w:rPr>
          <w:rFonts w:hint="eastAsia" w:ascii="宋体" w:hAnsi="宋体" w:eastAsia="宋体" w:cs="宋体"/>
          <w:color w:val="000000"/>
          <w:sz w:val="76"/>
          <w:szCs w:val="76"/>
          <w:highlight w:val="none"/>
        </w:rPr>
      </w:r>
      <w:r/>
    </w:p>
    <w:p>
      <w:pPr>
        <w:pStyle w:val="708"/>
        <w:jc w:val="center"/>
        <w:spacing w:line="360" w:lineRule="auto"/>
        <w:tabs>
          <w:tab w:val="left" w:pos="390" w:leader="none"/>
          <w:tab w:val="center" w:pos="4404" w:leader="none"/>
        </w:tabs>
        <w:rPr>
          <w:rFonts w:hint="eastAsia" w:ascii="宋体" w:hAnsi="宋体" w:eastAsia="宋体" w:cs="宋体"/>
          <w:b/>
          <w:bCs/>
          <w:color w:val="000000"/>
          <w:sz w:val="76"/>
          <w:szCs w:val="76"/>
          <w:highlight w:val="none"/>
        </w:rPr>
        <w:outlineLvl w:val="9"/>
      </w:pPr>
      <w:r>
        <w:rPr>
          <w:rFonts w:hint="eastAsia" w:ascii="宋体" w:hAnsi="宋体" w:eastAsia="宋体" w:cs="宋体"/>
          <w:b/>
          <w:bCs/>
          <w:color w:val="000000"/>
          <w:sz w:val="76"/>
          <w:szCs w:val="76"/>
          <w:highlight w:val="none"/>
        </w:rPr>
        <w:t xml:space="preserve">公开招标文件</w:t>
      </w:r>
      <w:r>
        <w:rPr>
          <w:rFonts w:hint="eastAsia" w:ascii="宋体" w:hAnsi="宋体" w:eastAsia="宋体" w:cs="宋体"/>
          <w:b/>
          <w:bCs/>
          <w:color w:val="000000"/>
          <w:sz w:val="76"/>
          <w:szCs w:val="76"/>
          <w:highlight w:val="none"/>
        </w:rPr>
      </w:r>
      <w:r/>
    </w:p>
    <w:p>
      <w:pPr>
        <w:pStyle w:val="708"/>
        <w:jc w:val="right"/>
        <w:spacing w:line="360" w:lineRule="auto"/>
        <w:rPr>
          <w:rFonts w:hint="eastAsia" w:ascii="宋体" w:hAnsi="宋体" w:eastAsia="宋体" w:cs="宋体"/>
          <w:b/>
          <w:bCs/>
          <w:color w:val="000000"/>
          <w:sz w:val="32"/>
          <w:highlight w:val="none"/>
        </w:rPr>
        <w:outlineLvl w:val="9"/>
      </w:pPr>
      <w:r>
        <w:rPr>
          <w:rFonts w:hint="eastAsia" w:ascii="宋体" w:hAnsi="宋体" w:eastAsia="宋体" w:cs="宋体"/>
          <w:b/>
          <w:bCs/>
          <w:color w:val="000000"/>
          <w:sz w:val="32"/>
          <w:highlight w:val="none"/>
        </w:rPr>
      </w:r>
      <w:r/>
    </w:p>
    <w:p>
      <w:pPr>
        <w:pStyle w:val="708"/>
        <w:spacing w:line="360" w:lineRule="auto"/>
        <w:rPr>
          <w:rFonts w:hint="eastAsia" w:ascii="宋体" w:hAnsi="宋体" w:eastAsia="宋体" w:cs="宋体"/>
          <w:b/>
          <w:bCs/>
          <w:color w:val="000000"/>
          <w:sz w:val="44"/>
          <w:highlight w:val="none"/>
        </w:rPr>
        <w:outlineLvl w:val="9"/>
      </w:pPr>
      <w:r>
        <w:rPr>
          <w:rFonts w:hint="eastAsia" w:ascii="宋体" w:hAnsi="宋体" w:eastAsia="宋体" w:cs="宋体"/>
          <w:b/>
          <w:bCs/>
          <w:color w:val="000000"/>
          <w:sz w:val="44"/>
          <w:highlight w:val="none"/>
        </w:rPr>
      </w:r>
      <w:r/>
    </w:p>
    <w:tbl>
      <w:tblPr>
        <w:tblW w:w="10181" w:type="dxa"/>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81"/>
      </w:tblGrid>
      <w:tr>
        <w:trPr>
          <w:trHeight w:val="1523"/>
        </w:trPr>
        <w:tc>
          <w:tcPr>
            <w:tcW w:w="10181" w:type="dxa"/>
            <w:vAlign w:val="top"/>
            <w:textDirection w:val="lrTb"/>
            <w:noWrap w:val="false"/>
          </w:tcPr>
          <w:p>
            <w:pPr>
              <w:pStyle w:val="708"/>
              <w:ind w:firstLine="883"/>
              <w:spacing w:line="360" w:lineRule="auto"/>
              <w:rPr>
                <w:rFonts w:hint="eastAsia" w:ascii="宋体" w:hAnsi="宋体" w:cs="宋体"/>
                <w:b/>
                <w:bCs/>
                <w:color w:val="000000"/>
                <w:sz w:val="44"/>
                <w:highlight w:val="none"/>
                <w:lang w:val="zh-CN"/>
              </w:rPr>
              <w:outlineLvl w:val="9"/>
            </w:pPr>
            <w:r>
              <w:rPr>
                <w:rFonts w:hint="eastAsia" w:ascii="宋体" w:hAnsi="宋体" w:eastAsia="宋体" w:cs="宋体"/>
                <w:b/>
                <w:bCs/>
                <w:color w:val="000000"/>
                <w:sz w:val="44"/>
                <w:highlight w:val="none"/>
              </w:rPr>
              <w:t xml:space="preserve">项目编号：</w:t>
            </w:r>
            <w:r>
              <w:rPr>
                <w:rFonts w:hint="eastAsia" w:ascii="宋体" w:hAnsi="宋体" w:cs="宋体"/>
                <w:b/>
                <w:bCs/>
                <w:color w:val="000000"/>
                <w:sz w:val="44"/>
                <w:highlight w:val="none"/>
                <w:lang w:val="zh-CN" w:eastAsia="zh-CN"/>
              </w:rPr>
              <w:t xml:space="preserve"> </w:t>
            </w:r>
            <w:r>
              <w:rPr>
                <w:rFonts w:hint="eastAsia" w:ascii="宋体" w:hAnsi="宋体" w:cs="宋体"/>
                <w:b/>
                <w:bCs/>
                <w:color w:val="000000"/>
                <w:sz w:val="44"/>
                <w:highlight w:val="none"/>
                <w:lang w:val="zh-CN"/>
              </w:rPr>
              <w:t xml:space="preserve">JSZC-320192-JCZJ-G2026-0011</w:t>
            </w:r>
            <w:r>
              <w:rPr>
                <w:rFonts w:hint="eastAsia" w:ascii="宋体" w:hAnsi="宋体" w:cs="宋体"/>
                <w:b/>
                <w:bCs/>
                <w:color w:val="000000"/>
                <w:sz w:val="44"/>
                <w:highlight w:val="none"/>
                <w:lang w:val="zh-CN"/>
              </w:rPr>
            </w:r>
            <w:r/>
          </w:p>
          <w:p>
            <w:pPr>
              <w:pStyle w:val="708"/>
              <w:ind w:firstLine="883"/>
              <w:spacing w:line="360" w:lineRule="auto"/>
              <w:rPr>
                <w:rFonts w:hint="eastAsia" w:ascii="宋体" w:hAnsi="宋体" w:eastAsia="宋体" w:cs="宋体"/>
                <w:b/>
                <w:bCs/>
                <w:color w:val="000000"/>
                <w:sz w:val="44"/>
                <w:highlight w:val="none"/>
                <w:lang w:val="zh-CN"/>
              </w:rPr>
              <w:outlineLvl w:val="9"/>
            </w:pPr>
            <w:r>
              <w:rPr>
                <w:rFonts w:hint="eastAsia" w:ascii="宋体" w:hAnsi="宋体" w:eastAsia="宋体" w:cs="宋体"/>
                <w:b/>
                <w:bCs/>
                <w:color w:val="000000"/>
                <w:sz w:val="44"/>
                <w:highlight w:val="none"/>
              </w:rPr>
              <w:t xml:space="preserve">项目名称：</w:t>
            </w:r>
            <w:r>
              <w:rPr>
                <w:rFonts w:hint="eastAsia" w:ascii="宋体" w:hAnsi="宋体" w:cs="宋体"/>
                <w:b/>
                <w:bCs/>
                <w:color w:val="000000"/>
                <w:sz w:val="44"/>
                <w:highlight w:val="none"/>
                <w:lang w:val="zh-CN"/>
              </w:rPr>
              <w:t xml:space="preserve">侨康路学校新建工程项目体育装备采购项目</w:t>
            </w:r>
            <w:r>
              <w:rPr>
                <w:rFonts w:hint="eastAsia" w:ascii="宋体" w:hAnsi="宋体" w:eastAsia="宋体" w:cs="宋体"/>
                <w:b/>
                <w:bCs/>
                <w:color w:val="000000"/>
                <w:sz w:val="44"/>
                <w:highlight w:val="none"/>
                <w:lang w:val="zh-CN"/>
              </w:rPr>
            </w:r>
            <w:r/>
          </w:p>
          <w:p>
            <w:pPr>
              <w:pStyle w:val="790"/>
              <w:ind w:firstLine="640"/>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08"/>
              <w:ind w:left="3087" w:hanging="2209"/>
              <w:spacing w:line="360" w:lineRule="auto"/>
              <w:rPr>
                <w:rFonts w:hint="eastAsia" w:ascii="宋体" w:hAnsi="宋体" w:eastAsia="宋体" w:cs="宋体"/>
                <w:b/>
                <w:bCs/>
                <w:color w:val="000000"/>
                <w:sz w:val="44"/>
                <w:szCs w:val="44"/>
                <w:highlight w:val="none"/>
                <w:lang w:val="zh-CN"/>
              </w:rPr>
              <w:outlineLvl w:val="9"/>
            </w:pPr>
            <w:r>
              <w:rPr>
                <w:rFonts w:hint="eastAsia" w:ascii="宋体" w:hAnsi="宋体" w:eastAsia="宋体" w:cs="宋体"/>
                <w:b/>
                <w:bCs/>
                <w:color w:val="000000"/>
                <w:sz w:val="44"/>
                <w:szCs w:val="44"/>
                <w:highlight w:val="none"/>
                <w:lang w:val="zh-CN"/>
              </w:rPr>
            </w:r>
            <w:r/>
          </w:p>
        </w:tc>
      </w:tr>
    </w:tbl>
    <w:p>
      <w:pPr>
        <w:pStyle w:val="708"/>
        <w:spacing w:line="360" w:lineRule="auto"/>
        <w:rPr>
          <w:rFonts w:hint="eastAsia" w:ascii="宋体" w:hAnsi="宋体" w:eastAsia="宋体" w:cs="宋体"/>
          <w:b/>
          <w:bCs/>
          <w:color w:val="000000"/>
          <w:sz w:val="44"/>
          <w:highlight w:val="none"/>
        </w:rPr>
        <w:outlineLvl w:val="9"/>
      </w:pPr>
      <w:r>
        <w:rPr>
          <w:rFonts w:hint="eastAsia" w:ascii="宋体" w:hAnsi="宋体" w:eastAsia="宋体" w:cs="宋体"/>
          <w:b/>
          <w:bCs/>
          <w:color w:val="000000"/>
          <w:sz w:val="44"/>
          <w:highlight w:val="none"/>
        </w:rPr>
      </w:r>
      <w:r/>
    </w:p>
    <w:p>
      <w:pPr>
        <w:pStyle w:val="708"/>
        <w:spacing w:line="360" w:lineRule="auto"/>
        <w:rPr>
          <w:rFonts w:hint="eastAsia" w:ascii="宋体" w:hAnsi="宋体" w:eastAsia="宋体" w:cs="宋体"/>
          <w:b/>
          <w:bCs/>
          <w:color w:val="000000"/>
          <w:sz w:val="32"/>
          <w:highlight w:val="none"/>
        </w:rPr>
        <w:outlineLvl w:val="9"/>
      </w:pPr>
      <w:r>
        <w:rPr>
          <w:rFonts w:hint="eastAsia" w:ascii="宋体" w:hAnsi="宋体" w:eastAsia="宋体" w:cs="宋体"/>
          <w:b/>
          <w:bCs/>
          <w:color w:val="000000"/>
          <w:sz w:val="32"/>
          <w:highlight w:val="none"/>
        </w:rPr>
      </w:r>
      <w:r/>
    </w:p>
    <w:p>
      <w:pPr>
        <w:pStyle w:val="708"/>
        <w:spacing w:line="360" w:lineRule="auto"/>
        <w:rPr>
          <w:rFonts w:hint="eastAsia" w:ascii="宋体" w:hAnsi="宋体" w:eastAsia="宋体" w:cs="宋体"/>
          <w:b/>
          <w:bCs/>
          <w:color w:val="000000"/>
          <w:sz w:val="32"/>
          <w:highlight w:val="none"/>
        </w:rPr>
        <w:outlineLvl w:val="9"/>
      </w:pPr>
      <w:r>
        <w:rPr>
          <w:rFonts w:hint="eastAsia" w:ascii="宋体" w:hAnsi="宋体" w:eastAsia="宋体" w:cs="宋体"/>
          <w:b/>
          <w:bCs/>
          <w:color w:val="000000"/>
          <w:sz w:val="32"/>
          <w:highlight w:val="none"/>
        </w:rPr>
      </w:r>
      <w:r/>
    </w:p>
    <w:p>
      <w:pPr>
        <w:pStyle w:val="708"/>
        <w:spacing w:line="360" w:lineRule="auto"/>
        <w:rPr>
          <w:rFonts w:hint="eastAsia" w:ascii="宋体" w:hAnsi="宋体" w:eastAsia="宋体" w:cs="宋体"/>
          <w:b/>
          <w:bCs/>
          <w:color w:val="000000"/>
          <w:sz w:val="32"/>
          <w:highlight w:val="none"/>
        </w:rPr>
        <w:outlineLvl w:val="9"/>
      </w:pPr>
      <w:r>
        <w:rPr>
          <w:rFonts w:hint="eastAsia" w:ascii="宋体" w:hAnsi="宋体" w:eastAsia="宋体" w:cs="宋体"/>
          <w:b/>
          <w:bCs/>
          <w:color w:val="000000"/>
          <w:sz w:val="32"/>
          <w:highlight w:val="none"/>
        </w:rPr>
      </w:r>
      <w:r/>
    </w:p>
    <w:p>
      <w:pPr>
        <w:pStyle w:val="708"/>
        <w:spacing w:line="360" w:lineRule="auto"/>
        <w:rPr>
          <w:rFonts w:hint="eastAsia" w:ascii="宋体" w:hAnsi="宋体" w:eastAsia="宋体" w:cs="宋体"/>
          <w:b/>
          <w:bCs/>
          <w:color w:val="000000"/>
          <w:sz w:val="32"/>
          <w:highlight w:val="none"/>
        </w:rPr>
        <w:outlineLvl w:val="9"/>
      </w:pPr>
      <w:r>
        <w:rPr>
          <w:rFonts w:hint="eastAsia" w:ascii="宋体" w:hAnsi="宋体" w:eastAsia="宋体" w:cs="宋体"/>
          <w:b/>
          <w:bCs/>
          <w:color w:val="000000"/>
          <w:sz w:val="32"/>
          <w:highlight w:val="none"/>
        </w:rPr>
      </w:r>
      <w:r/>
    </w:p>
    <w:p>
      <w:pPr>
        <w:pStyle w:val="708"/>
        <w:jc w:val="left"/>
        <w:keepLines w:val="0"/>
        <w:keepNext w:val="0"/>
        <w:pageBreakBefore w:val="0"/>
        <w:spacing w:line="360" w:lineRule="auto"/>
        <w:widowControl w:val="off"/>
        <w:rPr>
          <w:rFonts w:hint="eastAsia" w:ascii="宋体" w:hAnsi="宋体" w:eastAsia="宋体" w:cs="宋体"/>
          <w:b/>
          <w:bCs/>
          <w:color w:val="000000"/>
          <w:sz w:val="44"/>
          <w:highlight w:val="none"/>
          <w:lang w:eastAsia="zh-CN"/>
        </w:rPr>
        <w:outlineLvl w:val="9"/>
      </w:pPr>
      <w:r>
        <w:rPr>
          <w:rFonts w:hint="eastAsia" w:ascii="宋体" w:hAnsi="宋体" w:eastAsia="宋体" w:cs="宋体"/>
          <w:b/>
          <w:bCs/>
          <w:color w:val="000000"/>
          <w:sz w:val="44"/>
          <w:szCs w:val="22"/>
          <w:highlight w:val="none"/>
        </w:rPr>
        <w:t xml:space="preserve">代理机构：</w:t>
      </w:r>
      <w:r>
        <w:rPr>
          <w:rFonts w:hint="eastAsia" w:ascii="宋体" w:hAnsi="宋体" w:cs="宋体"/>
          <w:b/>
          <w:bCs/>
          <w:color w:val="000000"/>
          <w:sz w:val="44"/>
          <w:highlight w:val="none"/>
          <w:lang w:eastAsia="zh-CN"/>
        </w:rPr>
        <w:t xml:space="preserve">南京建淳造价师事务所有限公司</w:t>
      </w:r>
      <w:r>
        <w:rPr>
          <w:rFonts w:hint="eastAsia" w:ascii="宋体" w:hAnsi="宋体" w:eastAsia="宋体" w:cs="宋体"/>
          <w:b/>
          <w:bCs/>
          <w:color w:val="000000"/>
          <w:sz w:val="44"/>
          <w:highlight w:val="none"/>
          <w:lang w:eastAsia="zh-CN"/>
        </w:rPr>
      </w:r>
      <w:r/>
    </w:p>
    <w:p>
      <w:pPr>
        <w:pStyle w:val="708"/>
        <w:jc w:val="left"/>
        <w:keepLines w:val="0"/>
        <w:keepNext w:val="0"/>
        <w:pageBreakBefore w:val="0"/>
        <w:spacing w:line="360" w:lineRule="auto"/>
        <w:widowControl w:val="off"/>
        <w:rPr>
          <w:rFonts w:hint="eastAsia" w:ascii="宋体" w:hAnsi="宋体" w:eastAsia="宋体" w:cs="宋体"/>
          <w:b/>
          <w:bCs/>
          <w:color w:val="000000"/>
          <w:sz w:val="44"/>
          <w:szCs w:val="22"/>
          <w:highlight w:val="none"/>
        </w:rPr>
        <w:outlineLvl w:val="9"/>
      </w:pPr>
      <w:r>
        <w:rPr>
          <w:rFonts w:hint="eastAsia" w:ascii="宋体" w:hAnsi="宋体" w:eastAsia="宋体" w:cs="宋体"/>
          <w:b/>
          <w:bCs/>
          <w:color w:val="000000"/>
          <w:sz w:val="44"/>
          <w:szCs w:val="22"/>
          <w:highlight w:val="none"/>
        </w:rPr>
        <w:t xml:space="preserve">日    期：二〇二</w:t>
      </w:r>
      <w:r>
        <w:rPr>
          <w:rFonts w:hint="eastAsia" w:ascii="宋体" w:hAnsi="宋体" w:eastAsia="宋体" w:cs="宋体"/>
          <w:b/>
          <w:bCs/>
          <w:color w:val="000000"/>
          <w:sz w:val="44"/>
          <w:szCs w:val="22"/>
          <w:highlight w:val="none"/>
          <w:lang w:val="en-US" w:eastAsia="zh-CN"/>
        </w:rPr>
        <w:t xml:space="preserve">六</w:t>
      </w:r>
      <w:r>
        <w:rPr>
          <w:rFonts w:hint="eastAsia" w:ascii="宋体" w:hAnsi="宋体" w:eastAsia="宋体" w:cs="宋体"/>
          <w:b/>
          <w:bCs/>
          <w:color w:val="000000"/>
          <w:sz w:val="44"/>
          <w:szCs w:val="22"/>
          <w:highlight w:val="none"/>
        </w:rPr>
        <w:t xml:space="preserve">年</w:t>
      </w:r>
      <w:r>
        <w:rPr>
          <w:rFonts w:hint="eastAsia" w:ascii="宋体" w:hAnsi="宋体" w:cs="宋体"/>
          <w:b/>
          <w:bCs/>
          <w:color w:val="000000"/>
          <w:sz w:val="44"/>
          <w:szCs w:val="22"/>
          <w:highlight w:val="none"/>
          <w:lang w:val="en-US" w:eastAsia="zh-CN"/>
        </w:rPr>
        <w:t xml:space="preserve">六</w:t>
      </w:r>
      <w:r>
        <w:rPr>
          <w:rFonts w:hint="eastAsia" w:ascii="宋体" w:hAnsi="宋体" w:eastAsia="宋体" w:cs="宋体"/>
          <w:b/>
          <w:bCs/>
          <w:color w:val="000000"/>
          <w:sz w:val="44"/>
          <w:szCs w:val="22"/>
          <w:highlight w:val="none"/>
        </w:rPr>
        <w:t xml:space="preserve">月</w:t>
      </w:r>
      <w:r>
        <w:rPr>
          <w:rFonts w:hint="eastAsia" w:ascii="宋体" w:hAnsi="宋体" w:eastAsia="宋体" w:cs="宋体"/>
          <w:b/>
          <w:bCs/>
          <w:color w:val="000000"/>
          <w:sz w:val="44"/>
          <w:szCs w:val="22"/>
          <w:highlight w:val="none"/>
        </w:rPr>
      </w:r>
      <w:r/>
    </w:p>
    <w:p>
      <w:pPr>
        <w:pStyle w:val="708"/>
        <w:jc w:val="left"/>
        <w:keepLines w:val="0"/>
        <w:keepNext w:val="0"/>
        <w:pageBreakBefore w:val="0"/>
        <w:spacing w:line="360" w:lineRule="auto"/>
        <w:widowControl w:val="off"/>
        <w:rPr>
          <w:rFonts w:hint="eastAsia" w:ascii="宋体" w:hAnsi="宋体" w:eastAsia="宋体" w:cs="宋体"/>
          <w:b/>
          <w:bCs/>
          <w:color w:val="000000"/>
          <w:sz w:val="44"/>
          <w:szCs w:val="22"/>
          <w:highlight w:val="none"/>
        </w:rPr>
        <w:outlineLvl w:val="9"/>
      </w:pPr>
      <w:r>
        <w:rPr>
          <w:rFonts w:hint="eastAsia" w:ascii="宋体" w:hAnsi="宋体" w:eastAsia="宋体" w:cs="宋体"/>
          <w:b/>
          <w:bCs/>
          <w:color w:val="000000"/>
          <w:sz w:val="44"/>
          <w:szCs w:val="22"/>
          <w:highlight w:val="none"/>
        </w:rPr>
      </w:r>
      <w:r/>
    </w:p>
    <w:p>
      <w:pPr>
        <w:pStyle w:val="708"/>
        <w:ind w:left="0" w:right="0" w:firstLine="0"/>
        <w:jc w:val="center"/>
        <w:spacing w:before="0" w:after="0" w:line="240" w:lineRule="auto"/>
        <w:rPr>
          <w:rFonts w:ascii="宋体" w:hAnsi="宋体" w:eastAsia="宋体" w:cs="Times New Roman"/>
          <w:color w:val="000000"/>
          <w:sz w:val="21"/>
          <w:highlight w:val="none"/>
          <w:lang w:val="en-US" w:eastAsia="zh-CN" w:bidi="ar-SA"/>
        </w:rPr>
      </w:pPr>
      <w:r>
        <w:rPr>
          <w:rFonts w:ascii="宋体" w:hAnsi="宋体" w:eastAsia="宋体" w:cs="Times New Roman"/>
          <w:color w:val="000000"/>
          <w:sz w:val="21"/>
          <w:highlight w:val="none"/>
          <w:lang w:val="en-US" w:eastAsia="zh-CN" w:bidi="ar-SA"/>
        </w:rPr>
      </w:r>
      <w:r/>
    </w:p>
    <w:p>
      <w:pPr>
        <w:pStyle w:val="708"/>
        <w:ind w:left="0" w:right="0" w:firstLine="0"/>
        <w:jc w:val="center"/>
        <w:spacing w:before="0" w:after="0" w:line="240" w:lineRule="auto"/>
        <w:rPr>
          <w:b/>
          <w:bCs/>
          <w:color w:val="000000"/>
          <w:sz w:val="48"/>
          <w:szCs w:val="48"/>
          <w:highlight w:val="none"/>
        </w:rPr>
      </w:pPr>
      <w:r>
        <w:rPr>
          <w:rFonts w:ascii="宋体" w:hAnsi="宋体" w:eastAsia="宋体"/>
          <w:b/>
          <w:bCs/>
          <w:color w:val="000000"/>
          <w:sz w:val="48"/>
          <w:szCs w:val="48"/>
          <w:highlight w:val="none"/>
        </w:rPr>
        <w:t xml:space="preserve">目录</w:t>
      </w:r>
      <w:r>
        <w:rPr>
          <w:b/>
          <w:bCs/>
          <w:color w:val="000000"/>
          <w:sz w:val="48"/>
          <w:szCs w:val="48"/>
          <w:highlight w:val="none"/>
        </w:rPr>
      </w:r>
      <w:r/>
    </w:p>
    <w:p>
      <w:pPr>
        <w:pStyle w:val="764"/>
        <w:tabs>
          <w:tab w:val="right" w:pos="9468" w:leader="dot"/>
        </w:tabs>
        <w:rPr>
          <w:color w:val="000000"/>
          <w:highlight w:val="none"/>
        </w:rPr>
      </w:pPr>
      <w:r>
        <w:rPr>
          <w:rFonts w:hint="eastAsia" w:ascii="宋体" w:hAnsi="宋体" w:eastAsia="宋体" w:cs="宋体"/>
          <w:b/>
          <w:bCs/>
          <w:color w:val="000000"/>
          <w:spacing w:val="-10"/>
          <w:sz w:val="24"/>
          <w:szCs w:val="24"/>
          <w:highlight w:val="none"/>
          <w:lang w:val="en-US" w:eastAsia="zh-CN" w:bidi="ar-SA"/>
        </w:rPr>
        <w:fldChar w:fldCharType="begin"/>
      </w:r>
      <w:r>
        <w:rPr>
          <w:rFonts w:hint="eastAsia" w:ascii="宋体" w:hAnsi="宋体" w:eastAsia="宋体" w:cs="宋体"/>
          <w:b/>
          <w:bCs/>
          <w:color w:val="000000"/>
          <w:spacing w:val="-10"/>
          <w:sz w:val="24"/>
          <w:szCs w:val="24"/>
          <w:highlight w:val="none"/>
          <w:lang w:val="en-US" w:eastAsia="zh-CN" w:bidi="ar-SA"/>
        </w:rPr>
        <w:instrText xml:space="preserve">TOC \o "1-3" \h \u </w:instrText>
      </w:r>
      <w:r>
        <w:rPr>
          <w:rFonts w:hint="eastAsia" w:ascii="宋体" w:hAnsi="宋体" w:eastAsia="宋体" w:cs="宋体"/>
          <w:b/>
          <w:bCs/>
          <w:color w:val="000000"/>
          <w:spacing w:val="-10"/>
          <w:sz w:val="24"/>
          <w:szCs w:val="24"/>
          <w:highlight w:val="none"/>
          <w:lang w:val="en-US" w:eastAsia="zh-CN" w:bidi="ar-SA"/>
        </w:rPr>
        <w:fldChar w:fldCharType="separate"/>
      </w: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_Toc20085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pacing w:val="-10"/>
          <w:szCs w:val="36"/>
          <w:highlight w:val="none"/>
        </w:rPr>
        <w:t xml:space="preserve">第一章  投标邀请</w:t>
      </w:r>
      <w:r>
        <w:rPr>
          <w:color w:val="000000"/>
          <w:highlight w:val="none"/>
        </w:rPr>
        <w:tab/>
      </w:r>
      <w:r>
        <w:rPr>
          <w:color w:val="000000"/>
          <w:highlight w:val="none"/>
        </w:rPr>
        <w:fldChar w:fldCharType="begin"/>
      </w:r>
      <w:r>
        <w:rPr>
          <w:color w:val="000000"/>
          <w:highlight w:val="none"/>
        </w:rPr>
        <w:instrText xml:space="preserve"> PAGEREF _Toc20085 \h </w:instrText>
      </w:r>
      <w:r>
        <w:rPr>
          <w:color w:val="000000"/>
          <w:highlight w:val="none"/>
        </w:rPr>
        <w:fldChar w:fldCharType="separate"/>
      </w:r>
      <w:r>
        <w:rPr>
          <w:color w:val="000000"/>
          <w:highlight w:val="none"/>
        </w:rPr>
        <w:t xml:space="preserve">3</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6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_Toc11453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24"/>
          <w:highlight w:val="none"/>
        </w:rPr>
        <w:t xml:space="preserve">一、项目基本情况：</w:t>
      </w:r>
      <w:r>
        <w:rPr>
          <w:color w:val="000000"/>
          <w:highlight w:val="none"/>
        </w:rPr>
        <w:tab/>
      </w:r>
      <w:r>
        <w:rPr>
          <w:color w:val="000000"/>
          <w:highlight w:val="none"/>
        </w:rPr>
        <w:fldChar w:fldCharType="begin"/>
      </w:r>
      <w:r>
        <w:rPr>
          <w:color w:val="000000"/>
          <w:highlight w:val="none"/>
        </w:rPr>
        <w:instrText xml:space="preserve"> PAGEREF _Toc11453 \h </w:instrText>
      </w:r>
      <w:r>
        <w:rPr>
          <w:color w:val="000000"/>
          <w:highlight w:val="none"/>
        </w:rPr>
        <w:fldChar w:fldCharType="separate"/>
      </w:r>
      <w:r>
        <w:rPr>
          <w:color w:val="000000"/>
          <w:highlight w:val="none"/>
        </w:rPr>
        <w:t xml:space="preserve">3</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_Toc12410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24"/>
          <w:highlight w:val="none"/>
        </w:rPr>
        <w:t xml:space="preserve">二、申请人的资格要求：</w:t>
      </w:r>
      <w:r>
        <w:rPr>
          <w:color w:val="000000"/>
          <w:highlight w:val="none"/>
        </w:rPr>
        <w:tab/>
      </w:r>
      <w:r>
        <w:rPr>
          <w:color w:val="000000"/>
          <w:highlight w:val="none"/>
        </w:rPr>
        <w:fldChar w:fldCharType="begin"/>
      </w:r>
      <w:r>
        <w:rPr>
          <w:color w:val="000000"/>
          <w:highlight w:val="none"/>
        </w:rPr>
        <w:instrText xml:space="preserve"> PAGEREF _Toc12410 \h </w:instrText>
      </w:r>
      <w:r>
        <w:rPr>
          <w:color w:val="000000"/>
          <w:highlight w:val="none"/>
        </w:rPr>
        <w:fldChar w:fldCharType="separate"/>
      </w:r>
      <w:r>
        <w:rPr>
          <w:color w:val="000000"/>
          <w:highlight w:val="none"/>
        </w:rPr>
        <w:t xml:space="preserve">4</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_Toc13238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三、获取招标文件</w:t>
      </w:r>
      <w:r>
        <w:rPr>
          <w:color w:val="000000"/>
          <w:highlight w:val="none"/>
        </w:rPr>
        <w:tab/>
      </w:r>
      <w:r>
        <w:rPr>
          <w:color w:val="000000"/>
          <w:highlight w:val="none"/>
        </w:rPr>
        <w:fldChar w:fldCharType="begin"/>
      </w:r>
      <w:r>
        <w:rPr>
          <w:color w:val="000000"/>
          <w:highlight w:val="none"/>
        </w:rPr>
        <w:instrText xml:space="preserve"> PAGEREF _Toc13238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四、提交投标文件开始时间、开标时间</w:t>
      </w:r>
      <w:r>
        <w:rPr>
          <w:color w:val="000000"/>
          <w:highlight w:val="none"/>
        </w:rPr>
        <w:tab/>
      </w:r>
      <w:r>
        <w:rPr>
          <w:color w:val="000000"/>
          <w:highlight w:val="none"/>
        </w:rPr>
        <w:fldChar w:fldCharType="begin"/>
      </w:r>
      <w:r>
        <w:rPr>
          <w:color w:val="000000"/>
          <w:highlight w:val="none"/>
        </w:rPr>
        <w:instrText xml:space="preserve"> PAGEREF _Toc28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_Toc21578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24"/>
          <w:highlight w:val="none"/>
        </w:rPr>
        <w:t xml:space="preserve">五、开启</w:t>
      </w:r>
      <w:r>
        <w:rPr>
          <w:color w:val="000000"/>
          <w:highlight w:val="none"/>
        </w:rPr>
        <w:tab/>
      </w:r>
      <w:r>
        <w:rPr>
          <w:color w:val="000000"/>
          <w:highlight w:val="none"/>
        </w:rPr>
        <w:fldChar w:fldCharType="begin"/>
      </w:r>
      <w:r>
        <w:rPr>
          <w:color w:val="000000"/>
          <w:highlight w:val="none"/>
        </w:rPr>
        <w:instrText xml:space="preserve"> PAGEREF _Toc21578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_Toc14484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en-US" w:eastAsia="zh-CN"/>
        </w:rPr>
        <w:t xml:space="preserve">六</w:t>
      </w:r>
      <w:r>
        <w:rPr>
          <w:rFonts w:hint="eastAsia" w:ascii="宋体" w:hAnsi="宋体" w:eastAsia="宋体" w:cs="宋体"/>
          <w:color w:val="000000"/>
          <w:szCs w:val="24"/>
          <w:highlight w:val="none"/>
        </w:rPr>
        <w:t xml:space="preserve">、公告期限</w:t>
      </w:r>
      <w:r>
        <w:rPr>
          <w:color w:val="000000"/>
          <w:highlight w:val="none"/>
        </w:rPr>
        <w:tab/>
      </w:r>
      <w:r>
        <w:rPr>
          <w:color w:val="000000"/>
          <w:highlight w:val="none"/>
        </w:rPr>
        <w:fldChar w:fldCharType="begin"/>
      </w:r>
      <w:r>
        <w:rPr>
          <w:color w:val="000000"/>
          <w:highlight w:val="none"/>
        </w:rPr>
        <w:instrText xml:space="preserve"> PAGEREF _Toc14484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_Toc616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en-US" w:eastAsia="zh-CN"/>
        </w:rPr>
        <w:t xml:space="preserve">七</w:t>
      </w:r>
      <w:r>
        <w:rPr>
          <w:rFonts w:hint="eastAsia" w:ascii="宋体" w:hAnsi="宋体" w:eastAsia="宋体" w:cs="宋体"/>
          <w:color w:val="000000"/>
          <w:szCs w:val="24"/>
          <w:highlight w:val="none"/>
        </w:rPr>
        <w:t xml:space="preserve">、其他补充事宜</w:t>
      </w:r>
      <w:r>
        <w:rPr>
          <w:color w:val="000000"/>
          <w:highlight w:val="none"/>
        </w:rPr>
        <w:tab/>
      </w:r>
      <w:r>
        <w:rPr>
          <w:color w:val="000000"/>
          <w:highlight w:val="none"/>
        </w:rPr>
        <w:fldChar w:fldCharType="begin"/>
      </w:r>
      <w:r>
        <w:rPr>
          <w:color w:val="000000"/>
          <w:highlight w:val="none"/>
        </w:rPr>
        <w:instrText xml:space="preserve"> PAGEREF _Toc616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_Toc13636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24"/>
          <w:highlight w:val="none"/>
        </w:rPr>
        <w:t xml:space="preserve">八、对本次招标提出询问，请按以下方式联系</w:t>
      </w:r>
      <w:r>
        <w:rPr>
          <w:color w:val="000000"/>
          <w:highlight w:val="none"/>
        </w:rPr>
        <w:tab/>
      </w:r>
      <w:r>
        <w:rPr>
          <w:color w:val="000000"/>
          <w:highlight w:val="none"/>
        </w:rPr>
        <w:fldChar w:fldCharType="begin"/>
      </w:r>
      <w:r>
        <w:rPr>
          <w:color w:val="000000"/>
          <w:highlight w:val="none"/>
        </w:rPr>
        <w:instrText xml:space="preserve"> PAGEREF _Toc13636 \h </w:instrText>
      </w:r>
      <w:r>
        <w:rPr>
          <w:color w:val="000000"/>
          <w:highlight w:val="none"/>
        </w:rPr>
        <w:fldChar w:fldCharType="separate"/>
      </w:r>
      <w:r>
        <w:rPr>
          <w:color w:val="000000"/>
          <w:highlight w:val="none"/>
        </w:rPr>
        <w:t xml:space="preserve">7</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6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_Toc20055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pacing w:val="-10"/>
          <w:szCs w:val="36"/>
          <w:highlight w:val="none"/>
        </w:rPr>
        <w:t xml:space="preserve">第二章 供应商须知</w:t>
      </w:r>
      <w:r>
        <w:rPr>
          <w:color w:val="000000"/>
          <w:highlight w:val="none"/>
        </w:rPr>
        <w:tab/>
      </w:r>
      <w:r>
        <w:rPr>
          <w:color w:val="000000"/>
          <w:highlight w:val="none"/>
        </w:rPr>
        <w:fldChar w:fldCharType="begin"/>
      </w:r>
      <w:r>
        <w:rPr>
          <w:color w:val="000000"/>
          <w:highlight w:val="none"/>
        </w:rPr>
        <w:instrText xml:space="preserve"> PAGEREF _Toc20055 \h </w:instrText>
      </w:r>
      <w:r>
        <w:rPr>
          <w:color w:val="000000"/>
          <w:highlight w:val="none"/>
        </w:rPr>
        <w:fldChar w:fldCharType="separate"/>
      </w:r>
      <w:r>
        <w:rPr>
          <w:color w:val="000000"/>
          <w:highlight w:val="none"/>
        </w:rPr>
        <w:t xml:space="preserve">7</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_Toc1565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en-US" w:eastAsia="zh-CN" w:bidi="ar"/>
        </w:rPr>
        <w:t xml:space="preserve">一、总 则</w:t>
      </w:r>
      <w:r>
        <w:rPr>
          <w:color w:val="000000"/>
          <w:highlight w:val="none"/>
        </w:rPr>
        <w:tab/>
      </w:r>
      <w:r>
        <w:rPr>
          <w:color w:val="000000"/>
          <w:highlight w:val="none"/>
        </w:rPr>
        <w:fldChar w:fldCharType="begin"/>
      </w:r>
      <w:r>
        <w:rPr>
          <w:color w:val="000000"/>
          <w:highlight w:val="none"/>
        </w:rPr>
        <w:instrText xml:space="preserve"> PAGEREF _Toc1565 \h </w:instrText>
      </w:r>
      <w:r>
        <w:rPr>
          <w:color w:val="000000"/>
          <w:highlight w:val="none"/>
        </w:rPr>
        <w:fldChar w:fldCharType="separate"/>
      </w:r>
      <w:r>
        <w:rPr>
          <w:color w:val="000000"/>
          <w:highlight w:val="none"/>
        </w:rPr>
        <w:t xml:space="preserve">7</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_Toc19961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en-US" w:eastAsia="zh-CN" w:bidi="ar"/>
        </w:rPr>
        <w:t xml:space="preserve">二、招标文件</w:t>
      </w:r>
      <w:r>
        <w:rPr>
          <w:color w:val="000000"/>
          <w:highlight w:val="none"/>
        </w:rPr>
        <w:tab/>
      </w:r>
      <w:r>
        <w:rPr>
          <w:color w:val="000000"/>
          <w:highlight w:val="none"/>
        </w:rPr>
        <w:fldChar w:fldCharType="begin"/>
      </w:r>
      <w:r>
        <w:rPr>
          <w:color w:val="000000"/>
          <w:highlight w:val="none"/>
        </w:rPr>
        <w:instrText xml:space="preserve"> PAGEREF _Toc19961 \h </w:instrText>
      </w:r>
      <w:r>
        <w:rPr>
          <w:color w:val="000000"/>
          <w:highlight w:val="none"/>
        </w:rPr>
        <w:fldChar w:fldCharType="separate"/>
      </w:r>
      <w:r>
        <w:rPr>
          <w:color w:val="000000"/>
          <w:highlight w:val="none"/>
        </w:rPr>
        <w:t xml:space="preserve">9</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50"/>
        <w:ind w:left="0" w:firstLine="180"/>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_Toc72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en-US" w:eastAsia="zh-CN" w:bidi="ar"/>
        </w:rPr>
        <w:t xml:space="preserve">三</w:t>
      </w:r>
      <w:r>
        <w:rPr>
          <w:rFonts w:hint="eastAsia" w:ascii="宋体" w:hAnsi="宋体" w:eastAsia="宋体" w:cs="宋体"/>
          <w:i w:val="0"/>
          <w:smallCaps/>
          <w:color w:val="000000"/>
          <w:szCs w:val="24"/>
          <w:highlight w:val="none"/>
          <w:lang w:val="en-US" w:eastAsia="zh-CN" w:bidi="ar"/>
        </w:rPr>
        <w:t xml:space="preserve">、投标</w:t>
      </w:r>
      <w:r>
        <w:rPr>
          <w:color w:val="000000"/>
          <w:highlight w:val="none"/>
        </w:rPr>
        <w:tab/>
      </w:r>
      <w:r>
        <w:rPr>
          <w:color w:val="000000"/>
          <w:highlight w:val="none"/>
        </w:rPr>
        <w:fldChar w:fldCharType="begin"/>
      </w:r>
      <w:r>
        <w:rPr>
          <w:color w:val="000000"/>
          <w:highlight w:val="none"/>
        </w:rPr>
        <w:instrText xml:space="preserve"> PAGEREF _Toc72 \h </w:instrText>
      </w:r>
      <w:r>
        <w:rPr>
          <w:color w:val="000000"/>
          <w:highlight w:val="none"/>
        </w:rPr>
        <w:fldChar w:fldCharType="separate"/>
      </w:r>
      <w:r>
        <w:rPr>
          <w:color w:val="000000"/>
          <w:highlight w:val="none"/>
        </w:rPr>
        <w:t xml:space="preserve">9</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_Toc1379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24"/>
          <w:highlight w:val="none"/>
          <w:lang w:val="zh-CN"/>
        </w:rPr>
        <w:t xml:space="preserve">四、开标、评标与确定中标供应商</w:t>
      </w:r>
      <w:r>
        <w:rPr>
          <w:color w:val="000000"/>
          <w:highlight w:val="none"/>
        </w:rPr>
        <w:tab/>
      </w:r>
      <w:r>
        <w:rPr>
          <w:color w:val="000000"/>
          <w:highlight w:val="none"/>
        </w:rPr>
        <w:fldChar w:fldCharType="begin"/>
      </w:r>
      <w:r>
        <w:rPr>
          <w:color w:val="000000"/>
          <w:highlight w:val="none"/>
        </w:rPr>
        <w:instrText xml:space="preserve"> PAGEREF _Toc1379 \h </w:instrText>
      </w:r>
      <w:r>
        <w:rPr>
          <w:color w:val="000000"/>
          <w:highlight w:val="none"/>
        </w:rPr>
        <w:fldChar w:fldCharType="separate"/>
      </w:r>
      <w:r>
        <w:rPr>
          <w:color w:val="000000"/>
          <w:highlight w:val="none"/>
        </w:rPr>
        <w:t xml:space="preserve">13</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_Toc13547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cs="宋体"/>
          <w:bCs/>
          <w:color w:val="000000"/>
          <w:szCs w:val="24"/>
          <w:highlight w:val="none"/>
          <w:lang w:val="en-US" w:eastAsia="zh-CN"/>
        </w:rPr>
        <w:t xml:space="preserve">五</w:t>
      </w:r>
      <w:r>
        <w:rPr>
          <w:rFonts w:hint="eastAsia" w:ascii="宋体" w:hAnsi="宋体" w:eastAsia="宋体" w:cs="宋体"/>
          <w:bCs/>
          <w:color w:val="000000"/>
          <w:szCs w:val="24"/>
          <w:highlight w:val="none"/>
        </w:rPr>
        <w:t xml:space="preserve">、签订合同</w:t>
      </w:r>
      <w:r>
        <w:rPr>
          <w:color w:val="000000"/>
          <w:highlight w:val="none"/>
        </w:rPr>
        <w:tab/>
      </w:r>
      <w:r>
        <w:rPr>
          <w:color w:val="000000"/>
          <w:highlight w:val="none"/>
        </w:rPr>
        <w:fldChar w:fldCharType="begin"/>
      </w:r>
      <w:r>
        <w:rPr>
          <w:color w:val="000000"/>
          <w:highlight w:val="none"/>
        </w:rPr>
        <w:instrText xml:space="preserve"> PAGEREF _Toc13547 \h </w:instrText>
      </w:r>
      <w:r>
        <w:rPr>
          <w:color w:val="000000"/>
          <w:highlight w:val="none"/>
        </w:rPr>
        <w:fldChar w:fldCharType="separate"/>
      </w:r>
      <w:r>
        <w:rPr>
          <w:color w:val="000000"/>
          <w:highlight w:val="none"/>
        </w:rPr>
        <w:t xml:space="preserve">18</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_Toc28924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cs="宋体"/>
          <w:bCs/>
          <w:color w:val="000000"/>
          <w:szCs w:val="24"/>
          <w:highlight w:val="none"/>
          <w:lang w:val="en-US" w:eastAsia="zh-CN"/>
        </w:rPr>
        <w:t xml:space="preserve">六</w:t>
      </w:r>
      <w:r>
        <w:rPr>
          <w:rFonts w:hint="eastAsia" w:ascii="宋体" w:hAnsi="宋体" w:eastAsia="宋体" w:cs="宋体"/>
          <w:bCs/>
          <w:color w:val="000000"/>
          <w:szCs w:val="24"/>
          <w:highlight w:val="none"/>
        </w:rPr>
        <w:t xml:space="preserve">、质疑和投诉</w:t>
      </w:r>
      <w:r>
        <w:rPr>
          <w:color w:val="000000"/>
          <w:highlight w:val="none"/>
        </w:rPr>
        <w:tab/>
      </w:r>
      <w:r>
        <w:rPr>
          <w:color w:val="000000"/>
          <w:highlight w:val="none"/>
        </w:rPr>
        <w:fldChar w:fldCharType="begin"/>
      </w:r>
      <w:r>
        <w:rPr>
          <w:color w:val="000000"/>
          <w:highlight w:val="none"/>
        </w:rPr>
        <w:instrText xml:space="preserve"> PAGEREF _Toc28924 \h </w:instrText>
      </w:r>
      <w:r>
        <w:rPr>
          <w:color w:val="000000"/>
          <w:highlight w:val="none"/>
        </w:rPr>
        <w:fldChar w:fldCharType="separate"/>
      </w:r>
      <w:r>
        <w:rPr>
          <w:color w:val="000000"/>
          <w:highlight w:val="none"/>
        </w:rPr>
        <w:t xml:space="preserve">19</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6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_Toc1856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pacing w:val="-10"/>
          <w:szCs w:val="36"/>
          <w:highlight w:val="none"/>
          <w:lang w:val="zh-CN" w:eastAsia="zh-CN" w:bidi="ar-SA"/>
        </w:rPr>
        <w:t xml:space="preserve">第三章</w:t>
      </w:r>
      <w:r>
        <w:rPr>
          <w:rFonts w:hint="eastAsia" w:ascii="宋体" w:hAnsi="宋体" w:eastAsia="宋体" w:cs="宋体"/>
          <w:bCs/>
          <w:color w:val="000000"/>
          <w:spacing w:val="-10"/>
          <w:szCs w:val="36"/>
          <w:highlight w:val="none"/>
          <w:lang w:val="en-US" w:eastAsia="zh-CN" w:bidi="ar-SA"/>
        </w:rPr>
        <w:t xml:space="preserve">   </w:t>
      </w:r>
      <w:r>
        <w:rPr>
          <w:rFonts w:hint="eastAsia" w:ascii="宋体" w:hAnsi="宋体" w:eastAsia="宋体" w:cs="宋体"/>
          <w:bCs/>
          <w:color w:val="000000"/>
          <w:spacing w:val="-10"/>
          <w:szCs w:val="36"/>
          <w:highlight w:val="none"/>
          <w:lang w:val="zh-CN"/>
        </w:rPr>
        <w:t xml:space="preserve">评标方法和标准</w:t>
      </w:r>
      <w:r>
        <w:rPr>
          <w:color w:val="000000"/>
          <w:highlight w:val="none"/>
        </w:rPr>
        <w:tab/>
      </w:r>
      <w:r>
        <w:rPr>
          <w:color w:val="000000"/>
          <w:highlight w:val="none"/>
        </w:rPr>
        <w:fldChar w:fldCharType="begin"/>
      </w:r>
      <w:r>
        <w:rPr>
          <w:color w:val="000000"/>
          <w:highlight w:val="none"/>
        </w:rPr>
        <w:instrText xml:space="preserve"> PAGEREF _Toc1856 \h </w:instrText>
      </w:r>
      <w:r>
        <w:rPr>
          <w:color w:val="000000"/>
          <w:highlight w:val="none"/>
        </w:rPr>
        <w:fldChar w:fldCharType="separate"/>
      </w:r>
      <w:r>
        <w:rPr>
          <w:color w:val="000000"/>
          <w:highlight w:val="none"/>
        </w:rPr>
        <w:t xml:space="preserve">20</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_Toc9659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pacing w:val="-10"/>
          <w:szCs w:val="24"/>
          <w:highlight w:val="none"/>
          <w:lang w:val="zh-CN"/>
        </w:rPr>
        <w:t xml:space="preserve">一、采用综合评分法</w:t>
      </w:r>
      <w:r>
        <w:rPr>
          <w:color w:val="000000"/>
          <w:highlight w:val="none"/>
        </w:rPr>
        <w:tab/>
      </w:r>
      <w:r>
        <w:rPr>
          <w:color w:val="000000"/>
          <w:highlight w:val="none"/>
        </w:rPr>
        <w:fldChar w:fldCharType="begin"/>
      </w:r>
      <w:r>
        <w:rPr>
          <w:color w:val="000000"/>
          <w:highlight w:val="none"/>
        </w:rPr>
        <w:instrText xml:space="preserve"> PAGEREF _Toc9659 \h </w:instrText>
      </w:r>
      <w:r>
        <w:rPr>
          <w:color w:val="000000"/>
          <w:highlight w:val="none"/>
        </w:rPr>
        <w:fldChar w:fldCharType="separate"/>
      </w:r>
      <w:r>
        <w:rPr>
          <w:color w:val="000000"/>
          <w:highlight w:val="none"/>
        </w:rPr>
        <w:t xml:space="preserve">20</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_Toc9317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pacing w:val="-10"/>
          <w:szCs w:val="24"/>
          <w:highlight w:val="none"/>
          <w:lang w:val="zh-CN"/>
        </w:rPr>
        <w:t xml:space="preserve">二、综合评分法评审评分细则</w:t>
      </w:r>
      <w:r>
        <w:rPr>
          <w:color w:val="000000"/>
          <w:highlight w:val="none"/>
        </w:rPr>
        <w:tab/>
      </w:r>
      <w:r>
        <w:rPr>
          <w:color w:val="000000"/>
          <w:highlight w:val="none"/>
        </w:rPr>
        <w:fldChar w:fldCharType="begin"/>
      </w:r>
      <w:r>
        <w:rPr>
          <w:color w:val="000000"/>
          <w:highlight w:val="none"/>
        </w:rPr>
        <w:instrText xml:space="preserve"> PAGEREF _Toc9317 \h </w:instrText>
      </w:r>
      <w:r>
        <w:rPr>
          <w:color w:val="000000"/>
          <w:highlight w:val="none"/>
        </w:rPr>
        <w:fldChar w:fldCharType="separate"/>
      </w:r>
      <w:r>
        <w:rPr>
          <w:color w:val="000000"/>
          <w:highlight w:val="none"/>
        </w:rPr>
        <w:t xml:space="preserve">20</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6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_Toc24644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36"/>
          <w:highlight w:val="none"/>
          <w:lang w:val="zh-CN"/>
        </w:rPr>
        <w:t xml:space="preserve">第四章  </w:t>
      </w:r>
      <w:r>
        <w:rPr>
          <w:rFonts w:hint="eastAsia" w:ascii="宋体" w:hAnsi="宋体" w:eastAsia="宋体" w:cs="宋体"/>
          <w:bCs/>
          <w:color w:val="000000"/>
          <w:spacing w:val="-10"/>
          <w:szCs w:val="36"/>
          <w:highlight w:val="none"/>
        </w:rPr>
        <w:t xml:space="preserve">采购项目技术、规格和数量要求等</w:t>
      </w:r>
      <w:r>
        <w:rPr>
          <w:color w:val="000000"/>
          <w:highlight w:val="none"/>
        </w:rPr>
        <w:tab/>
      </w:r>
      <w:r>
        <w:rPr>
          <w:color w:val="000000"/>
          <w:highlight w:val="none"/>
        </w:rPr>
        <w:fldChar w:fldCharType="begin"/>
      </w:r>
      <w:r>
        <w:rPr>
          <w:color w:val="000000"/>
          <w:highlight w:val="none"/>
        </w:rPr>
        <w:instrText xml:space="preserve"> PAGEREF _Toc24644 \h </w:instrText>
      </w:r>
      <w:r>
        <w:rPr>
          <w:color w:val="000000"/>
          <w:highlight w:val="none"/>
        </w:rPr>
        <w:fldChar w:fldCharType="separate"/>
      </w:r>
      <w:r>
        <w:rPr>
          <w:color w:val="000000"/>
          <w:highlight w:val="none"/>
        </w:rPr>
        <w:t xml:space="preserve">28</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6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_Toc29312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pacing w:val="-10"/>
          <w:szCs w:val="36"/>
          <w:highlight w:val="none"/>
          <w:lang w:val="zh-CN"/>
        </w:rPr>
        <w:t xml:space="preserve">第五章  合同主要条款及格式</w:t>
      </w:r>
      <w:r>
        <w:rPr>
          <w:color w:val="000000"/>
          <w:highlight w:val="none"/>
        </w:rPr>
        <w:tab/>
      </w:r>
      <w:r>
        <w:rPr>
          <w:color w:val="000000"/>
          <w:highlight w:val="none"/>
        </w:rPr>
        <w:fldChar w:fldCharType="begin"/>
      </w:r>
      <w:r>
        <w:rPr>
          <w:color w:val="000000"/>
          <w:highlight w:val="none"/>
        </w:rPr>
        <w:instrText xml:space="preserve"> PAGEREF _Toc29312 \h </w:instrText>
      </w:r>
      <w:r>
        <w:rPr>
          <w:color w:val="000000"/>
          <w:highlight w:val="none"/>
        </w:rPr>
        <w:fldChar w:fldCharType="separate"/>
      </w:r>
      <w:r>
        <w:rPr>
          <w:color w:val="000000"/>
          <w:highlight w:val="none"/>
        </w:rPr>
        <w:t xml:space="preserve">33</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6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_Toc28908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36"/>
          <w:highlight w:val="none"/>
          <w:lang w:val="zh-CN"/>
        </w:rPr>
        <w:t xml:space="preserve">第六章 </w:t>
      </w:r>
      <w:r>
        <w:rPr>
          <w:rFonts w:hint="eastAsia" w:ascii="宋体" w:hAnsi="宋体" w:eastAsia="宋体" w:cs="宋体"/>
          <w:bCs/>
          <w:color w:val="000000"/>
          <w:szCs w:val="36"/>
          <w:highlight w:val="none"/>
        </w:rPr>
        <w:t xml:space="preserve">投标文件</w:t>
      </w:r>
      <w:r>
        <w:rPr>
          <w:rFonts w:hint="eastAsia" w:ascii="宋体" w:hAnsi="宋体" w:eastAsia="宋体" w:cs="宋体"/>
          <w:bCs/>
          <w:color w:val="000000"/>
          <w:szCs w:val="36"/>
          <w:highlight w:val="none"/>
          <w:lang w:val="zh-CN"/>
        </w:rPr>
        <w:t xml:space="preserve">格式及附件</w:t>
      </w:r>
      <w:r>
        <w:rPr>
          <w:color w:val="000000"/>
          <w:highlight w:val="none"/>
        </w:rPr>
        <w:tab/>
      </w:r>
      <w:r>
        <w:rPr>
          <w:color w:val="000000"/>
          <w:highlight w:val="none"/>
        </w:rPr>
        <w:fldChar w:fldCharType="begin"/>
      </w:r>
      <w:r>
        <w:rPr>
          <w:color w:val="000000"/>
          <w:highlight w:val="none"/>
        </w:rPr>
        <w:instrText xml:space="preserve"> PAGEREF _Toc28908 \h </w:instrText>
      </w:r>
      <w:r>
        <w:rPr>
          <w:color w:val="000000"/>
          <w:highlight w:val="none"/>
        </w:rPr>
        <w:fldChar w:fldCharType="separate"/>
      </w:r>
      <w:r>
        <w:rPr>
          <w:color w:val="000000"/>
          <w:highlight w:val="none"/>
        </w:rPr>
        <w:t xml:space="preserve">44</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_Toc7750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zh-CN"/>
        </w:rPr>
        <w:t xml:space="preserve">附件一、投标申请及声明格式</w:t>
      </w:r>
      <w:r>
        <w:rPr>
          <w:color w:val="000000"/>
          <w:highlight w:val="none"/>
        </w:rPr>
        <w:tab/>
      </w:r>
      <w:r>
        <w:rPr>
          <w:color w:val="000000"/>
          <w:highlight w:val="none"/>
        </w:rPr>
        <w:fldChar w:fldCharType="begin"/>
      </w:r>
      <w:r>
        <w:rPr>
          <w:color w:val="000000"/>
          <w:highlight w:val="none"/>
        </w:rPr>
        <w:instrText xml:space="preserve"> PAGEREF _Toc7750 \h </w:instrText>
      </w:r>
      <w:r>
        <w:rPr>
          <w:color w:val="000000"/>
          <w:highlight w:val="none"/>
        </w:rPr>
        <w:fldChar w:fldCharType="separate"/>
      </w:r>
      <w:r>
        <w:rPr>
          <w:color w:val="000000"/>
          <w:highlight w:val="none"/>
        </w:rPr>
        <w:t xml:space="preserve">45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_Toc997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zh-CN"/>
        </w:rPr>
        <w:t xml:space="preserve">附件二、法定代表人授权书格式</w:t>
      </w:r>
      <w:r>
        <w:rPr>
          <w:color w:val="000000"/>
          <w:highlight w:val="none"/>
        </w:rPr>
        <w:tab/>
      </w:r>
      <w:r>
        <w:rPr>
          <w:color w:val="000000"/>
          <w:highlight w:val="none"/>
        </w:rPr>
        <w:fldChar w:fldCharType="begin"/>
      </w:r>
      <w:r>
        <w:rPr>
          <w:color w:val="000000"/>
          <w:highlight w:val="none"/>
        </w:rPr>
        <w:instrText xml:space="preserve"> PAGEREF _Toc997 \h </w:instrText>
      </w:r>
      <w:r>
        <w:rPr>
          <w:color w:val="000000"/>
          <w:highlight w:val="none"/>
        </w:rPr>
        <w:fldChar w:fldCharType="separate"/>
      </w:r>
      <w:r>
        <w:rPr>
          <w:color w:val="000000"/>
          <w:highlight w:val="none"/>
        </w:rPr>
        <w:t xml:space="preserve">46</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_Toc26869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zh-CN"/>
        </w:rPr>
        <w:t xml:space="preserve">附件三、开标一览表格式</w:t>
      </w:r>
      <w:r>
        <w:rPr>
          <w:color w:val="000000"/>
          <w:highlight w:val="none"/>
        </w:rPr>
        <w:tab/>
      </w:r>
      <w:r>
        <w:rPr>
          <w:color w:val="000000"/>
          <w:highlight w:val="none"/>
        </w:rPr>
        <w:fldChar w:fldCharType="begin"/>
      </w:r>
      <w:r>
        <w:rPr>
          <w:color w:val="000000"/>
          <w:highlight w:val="none"/>
        </w:rPr>
        <w:instrText xml:space="preserve"> PAGEREF _Toc26869 \h </w:instrText>
      </w:r>
      <w:r>
        <w:rPr>
          <w:color w:val="000000"/>
          <w:highlight w:val="none"/>
        </w:rPr>
        <w:fldChar w:fldCharType="separate"/>
      </w:r>
      <w:r>
        <w:rPr>
          <w:color w:val="000000"/>
          <w:highlight w:val="none"/>
        </w:rPr>
        <w:t xml:space="preserve">47</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_Toc6952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zh-CN"/>
        </w:rPr>
        <w:t xml:space="preserve">附件四、投标项目供货一览表格式</w:t>
      </w:r>
      <w:r>
        <w:rPr>
          <w:color w:val="000000"/>
          <w:highlight w:val="none"/>
        </w:rPr>
        <w:tab/>
      </w:r>
      <w:r>
        <w:rPr>
          <w:color w:val="000000"/>
          <w:highlight w:val="none"/>
        </w:rPr>
        <w:fldChar w:fldCharType="begin"/>
      </w:r>
      <w:r>
        <w:rPr>
          <w:color w:val="000000"/>
          <w:highlight w:val="none"/>
        </w:rPr>
        <w:instrText xml:space="preserve"> PAGEREF _Toc6952 \h </w:instrText>
      </w:r>
      <w:r>
        <w:rPr>
          <w:color w:val="000000"/>
          <w:highlight w:val="none"/>
        </w:rPr>
        <w:fldChar w:fldCharType="separate"/>
      </w:r>
      <w:r>
        <w:rPr>
          <w:color w:val="000000"/>
          <w:highlight w:val="none"/>
        </w:rPr>
        <w:t xml:space="preserve">49</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_Toc14038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zh-CN"/>
        </w:rPr>
        <w:t xml:space="preserve">附件五、技术条款偏离表格式</w:t>
      </w:r>
      <w:r>
        <w:rPr>
          <w:color w:val="000000"/>
          <w:highlight w:val="none"/>
        </w:rPr>
        <w:tab/>
      </w:r>
      <w:r>
        <w:rPr>
          <w:color w:val="000000"/>
          <w:highlight w:val="none"/>
        </w:rPr>
        <w:fldChar w:fldCharType="begin"/>
      </w:r>
      <w:r>
        <w:rPr>
          <w:color w:val="000000"/>
          <w:highlight w:val="none"/>
        </w:rPr>
        <w:instrText xml:space="preserve"> PAGEREF _Toc14038 \h </w:instrText>
      </w:r>
      <w:r>
        <w:rPr>
          <w:color w:val="000000"/>
          <w:highlight w:val="none"/>
        </w:rPr>
        <w:fldChar w:fldCharType="separate"/>
      </w:r>
      <w:r>
        <w:rPr>
          <w:color w:val="000000"/>
          <w:highlight w:val="none"/>
        </w:rPr>
        <w:t xml:space="preserve">50</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_Toc2470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zh-CN"/>
        </w:rPr>
        <w:t xml:space="preserve">附件六、商务条款偏离表格式</w:t>
      </w:r>
      <w:r>
        <w:rPr>
          <w:color w:val="000000"/>
          <w:highlight w:val="none"/>
        </w:rPr>
        <w:tab/>
      </w:r>
      <w:r>
        <w:rPr>
          <w:color w:val="000000"/>
          <w:highlight w:val="none"/>
        </w:rPr>
        <w:fldChar w:fldCharType="begin"/>
      </w:r>
      <w:r>
        <w:rPr>
          <w:color w:val="000000"/>
          <w:highlight w:val="none"/>
        </w:rPr>
        <w:instrText xml:space="preserve"> PAGEREF _Toc2470 \h </w:instrText>
      </w:r>
      <w:r>
        <w:rPr>
          <w:color w:val="000000"/>
          <w:highlight w:val="none"/>
        </w:rPr>
        <w:fldChar w:fldCharType="separate"/>
      </w:r>
      <w:r>
        <w:rPr>
          <w:color w:val="000000"/>
          <w:highlight w:val="none"/>
        </w:rPr>
        <w:t xml:space="preserve">51</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_Toc10648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cs="宋体"/>
          <w:color w:val="000000"/>
          <w:szCs w:val="24"/>
          <w:highlight w:val="none"/>
          <w:lang w:val="zh-CN"/>
        </w:rPr>
        <w:t xml:space="preserve">附件七、核心产品品牌一览表（实质性格式）</w:t>
      </w:r>
      <w:r>
        <w:rPr>
          <w:color w:val="000000"/>
          <w:highlight w:val="none"/>
        </w:rPr>
        <w:tab/>
      </w:r>
      <w:r>
        <w:rPr>
          <w:color w:val="000000"/>
          <w:highlight w:val="none"/>
        </w:rPr>
        <w:fldChar w:fldCharType="begin"/>
      </w:r>
      <w:r>
        <w:rPr>
          <w:color w:val="000000"/>
          <w:highlight w:val="none"/>
        </w:rPr>
        <w:instrText xml:space="preserve"> PAGEREF _Toc10648 \h </w:instrText>
      </w:r>
      <w:r>
        <w:rPr>
          <w:color w:val="000000"/>
          <w:highlight w:val="none"/>
        </w:rPr>
        <w:fldChar w:fldCharType="separate"/>
      </w:r>
      <w:r>
        <w:rPr>
          <w:color w:val="000000"/>
          <w:highlight w:val="none"/>
        </w:rPr>
        <w:t xml:space="preserve">52</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_Toc8906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附件八、中小企业声明函格式</w:t>
      </w:r>
      <w:r>
        <w:rPr>
          <w:color w:val="000000"/>
          <w:highlight w:val="none"/>
        </w:rPr>
        <w:tab/>
      </w:r>
      <w:r>
        <w:rPr>
          <w:color w:val="000000"/>
          <w:highlight w:val="none"/>
        </w:rPr>
        <w:fldChar w:fldCharType="begin"/>
      </w:r>
      <w:r>
        <w:rPr>
          <w:color w:val="000000"/>
          <w:highlight w:val="none"/>
        </w:rPr>
        <w:instrText xml:space="preserve"> PAGEREF _Toc8906 \h </w:instrText>
      </w:r>
      <w:r>
        <w:rPr>
          <w:color w:val="000000"/>
          <w:highlight w:val="none"/>
        </w:rPr>
        <w:fldChar w:fldCharType="separate"/>
      </w:r>
      <w:r>
        <w:rPr>
          <w:color w:val="000000"/>
          <w:highlight w:val="none"/>
        </w:rPr>
        <w:t xml:space="preserve">53</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_Toc1423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附件九、无重大违法记录声明格式</w:t>
      </w:r>
      <w:r>
        <w:rPr>
          <w:color w:val="000000"/>
          <w:highlight w:val="none"/>
        </w:rPr>
        <w:tab/>
      </w:r>
      <w:r>
        <w:rPr>
          <w:color w:val="000000"/>
          <w:highlight w:val="none"/>
        </w:rPr>
        <w:fldChar w:fldCharType="begin"/>
      </w:r>
      <w:r>
        <w:rPr>
          <w:color w:val="000000"/>
          <w:highlight w:val="none"/>
        </w:rPr>
        <w:instrText xml:space="preserve"> PAGEREF _Toc1423 \h </w:instrText>
      </w:r>
      <w:r>
        <w:rPr>
          <w:color w:val="000000"/>
          <w:highlight w:val="none"/>
        </w:rPr>
        <w:fldChar w:fldCharType="separate"/>
      </w:r>
      <w:r>
        <w:rPr>
          <w:color w:val="000000"/>
          <w:highlight w:val="none"/>
        </w:rPr>
        <w:t xml:space="preserve">54</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_Toc9701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附件十、具备履行合同所必需的设备和专业技术能力的声明格式及证明材料</w:t>
      </w:r>
      <w:r>
        <w:rPr>
          <w:color w:val="000000"/>
          <w:highlight w:val="none"/>
        </w:rPr>
        <w:tab/>
      </w:r>
      <w:r>
        <w:rPr>
          <w:color w:val="000000"/>
          <w:highlight w:val="none"/>
        </w:rPr>
        <w:fldChar w:fldCharType="begin"/>
      </w:r>
      <w:r>
        <w:rPr>
          <w:color w:val="000000"/>
          <w:highlight w:val="none"/>
        </w:rPr>
        <w:instrText xml:space="preserve"> PAGEREF _Toc9701 \h </w:instrText>
      </w:r>
      <w:r>
        <w:rPr>
          <w:color w:val="000000"/>
          <w:highlight w:val="none"/>
        </w:rPr>
        <w:fldChar w:fldCharType="separate"/>
      </w:r>
      <w:r>
        <w:rPr>
          <w:color w:val="000000"/>
          <w:highlight w:val="none"/>
        </w:rPr>
        <w:t xml:space="preserve">55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_Toc4067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附件十一、南京市政府采购供应商信用记录表暨信用承诺书</w:t>
      </w:r>
      <w:r>
        <w:rPr>
          <w:color w:val="000000"/>
          <w:highlight w:val="none"/>
        </w:rPr>
        <w:tab/>
      </w:r>
      <w:r>
        <w:rPr>
          <w:color w:val="000000"/>
          <w:highlight w:val="none"/>
        </w:rPr>
        <w:fldChar w:fldCharType="begin"/>
      </w:r>
      <w:r>
        <w:rPr>
          <w:color w:val="000000"/>
          <w:highlight w:val="none"/>
        </w:rPr>
        <w:instrText xml:space="preserve"> PAGEREF _Toc4067 \h </w:instrText>
      </w:r>
      <w:r>
        <w:rPr>
          <w:color w:val="000000"/>
          <w:highlight w:val="none"/>
        </w:rPr>
        <w:fldChar w:fldCharType="separate"/>
      </w:r>
      <w:r>
        <w:rPr>
          <w:color w:val="000000"/>
          <w:highlight w:val="none"/>
        </w:rPr>
        <w:t xml:space="preserve">56</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_Toc16914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pacing w:val="15"/>
          <w:szCs w:val="24"/>
          <w:highlight w:val="none"/>
        </w:rPr>
        <w:t xml:space="preserve">附件十二、</w:t>
      </w:r>
      <w:r>
        <w:rPr>
          <w:rFonts w:hint="eastAsia" w:ascii="宋体" w:hAnsi="宋体" w:eastAsia="宋体" w:cs="宋体"/>
          <w:bCs/>
          <w:color w:val="000000"/>
          <w:spacing w:val="15"/>
          <w:szCs w:val="24"/>
          <w:highlight w:val="none"/>
        </w:rPr>
        <w:t xml:space="preserve">安全生产责任承诺书</w:t>
      </w:r>
      <w:r>
        <w:rPr>
          <w:color w:val="000000"/>
          <w:highlight w:val="none"/>
        </w:rPr>
        <w:tab/>
      </w:r>
      <w:r>
        <w:rPr>
          <w:color w:val="000000"/>
          <w:highlight w:val="none"/>
        </w:rPr>
        <w:fldChar w:fldCharType="begin"/>
      </w:r>
      <w:r>
        <w:rPr>
          <w:color w:val="000000"/>
          <w:highlight w:val="none"/>
        </w:rPr>
        <w:instrText xml:space="preserve"> PAGEREF _Toc16914 \h </w:instrText>
      </w:r>
      <w:r>
        <w:rPr>
          <w:color w:val="000000"/>
          <w:highlight w:val="none"/>
        </w:rPr>
        <w:fldChar w:fldCharType="separate"/>
      </w:r>
      <w:r>
        <w:rPr>
          <w:color w:val="000000"/>
          <w:highlight w:val="none"/>
        </w:rPr>
        <w:t xml:space="preserve">57</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_Toc10109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pacing w:val="15"/>
          <w:szCs w:val="24"/>
          <w:highlight w:val="none"/>
        </w:rPr>
        <w:t xml:space="preserve">附件十三、残疾人福利性单位声明函</w:t>
      </w:r>
      <w:r>
        <w:rPr>
          <w:color w:val="000000"/>
          <w:highlight w:val="none"/>
        </w:rPr>
        <w:tab/>
      </w:r>
      <w:r>
        <w:rPr>
          <w:color w:val="000000"/>
          <w:highlight w:val="none"/>
        </w:rPr>
        <w:fldChar w:fldCharType="begin"/>
      </w:r>
      <w:r>
        <w:rPr>
          <w:color w:val="000000"/>
          <w:highlight w:val="none"/>
        </w:rPr>
        <w:instrText xml:space="preserve"> PAGEREF _Toc10109 \h </w:instrText>
      </w:r>
      <w:r>
        <w:rPr>
          <w:color w:val="000000"/>
          <w:highlight w:val="none"/>
        </w:rPr>
        <w:fldChar w:fldCharType="separate"/>
      </w:r>
      <w:r>
        <w:rPr>
          <w:color w:val="000000"/>
          <w:highlight w:val="none"/>
        </w:rPr>
        <w:t xml:space="preserve">58</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_Toc24073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pacing w:val="15"/>
          <w:szCs w:val="24"/>
          <w:highlight w:val="none"/>
        </w:rPr>
        <w:t xml:space="preserve">附件十四、属于监狱企业的证明文件</w:t>
      </w:r>
      <w:r>
        <w:rPr>
          <w:color w:val="000000"/>
          <w:highlight w:val="none"/>
        </w:rPr>
        <w:tab/>
      </w:r>
      <w:r>
        <w:rPr>
          <w:color w:val="000000"/>
          <w:highlight w:val="none"/>
        </w:rPr>
        <w:fldChar w:fldCharType="begin"/>
      </w:r>
      <w:r>
        <w:rPr>
          <w:color w:val="000000"/>
          <w:highlight w:val="none"/>
        </w:rPr>
        <w:instrText xml:space="preserve"> PAGEREF _Toc24073 \h </w:instrText>
      </w:r>
      <w:r>
        <w:rPr>
          <w:color w:val="000000"/>
          <w:highlight w:val="none"/>
        </w:rPr>
        <w:fldChar w:fldCharType="separate"/>
      </w:r>
      <w:r>
        <w:rPr>
          <w:color w:val="000000"/>
          <w:highlight w:val="none"/>
        </w:rPr>
        <w:t xml:space="preserve">59</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_Toc13811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pacing w:val="15"/>
          <w:szCs w:val="24"/>
          <w:highlight w:val="none"/>
        </w:rPr>
        <w:t xml:space="preserve">附件十五、供应商认为需提供的其他资料</w:t>
      </w:r>
      <w:r>
        <w:rPr>
          <w:color w:val="000000"/>
          <w:highlight w:val="none"/>
        </w:rPr>
        <w:tab/>
      </w:r>
      <w:r>
        <w:rPr>
          <w:color w:val="000000"/>
          <w:highlight w:val="none"/>
        </w:rPr>
        <w:fldChar w:fldCharType="begin"/>
      </w:r>
      <w:r>
        <w:rPr>
          <w:color w:val="000000"/>
          <w:highlight w:val="none"/>
        </w:rPr>
        <w:instrText xml:space="preserve"> PAGEREF _Toc13811 \h </w:instrText>
      </w:r>
      <w:r>
        <w:rPr>
          <w:color w:val="000000"/>
          <w:highlight w:val="none"/>
        </w:rPr>
        <w:fldChar w:fldCharType="separate"/>
      </w:r>
      <w:r>
        <w:rPr>
          <w:color w:val="000000"/>
          <w:highlight w:val="none"/>
        </w:rPr>
        <w:t xml:space="preserve">59</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_Toc27578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附件</w:t>
      </w:r>
      <w:r>
        <w:rPr>
          <w:rFonts w:hint="eastAsia" w:ascii="宋体" w:hAnsi="宋体" w:eastAsia="宋体" w:cs="宋体"/>
          <w:color w:val="000000"/>
          <w:szCs w:val="24"/>
          <w:highlight w:val="none"/>
          <w:lang w:val="en-US" w:eastAsia="zh-CN"/>
        </w:rPr>
        <w:t xml:space="preserve">十六</w:t>
      </w:r>
      <w:r>
        <w:rPr>
          <w:rFonts w:hint="eastAsia" w:ascii="宋体" w:hAnsi="宋体" w:eastAsia="宋体" w:cs="宋体"/>
          <w:color w:val="000000"/>
          <w:szCs w:val="24"/>
          <w:highlight w:val="none"/>
        </w:rPr>
        <w:t xml:space="preserve">、联合体协议格式</w:t>
      </w:r>
      <w:r>
        <w:rPr>
          <w:color w:val="000000"/>
          <w:highlight w:val="none"/>
        </w:rPr>
        <w:tab/>
      </w:r>
      <w:r>
        <w:rPr>
          <w:color w:val="000000"/>
          <w:highlight w:val="none"/>
        </w:rPr>
        <w:fldChar w:fldCharType="begin"/>
      </w:r>
      <w:r>
        <w:rPr>
          <w:color w:val="000000"/>
          <w:highlight w:val="none"/>
        </w:rPr>
        <w:instrText xml:space="preserve"> PAGEREF _Toc27578 \h </w:instrText>
      </w:r>
      <w:r>
        <w:rPr>
          <w:color w:val="000000"/>
          <w:highlight w:val="none"/>
        </w:rPr>
        <w:fldChar w:fldCharType="separate"/>
      </w:r>
      <w:r>
        <w:rPr>
          <w:color w:val="000000"/>
          <w:highlight w:val="none"/>
        </w:rPr>
        <w:t xml:space="preserve">60</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7"/>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_Toc16709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cs="宋体"/>
          <w:color w:val="000000"/>
          <w:szCs w:val="24"/>
          <w:highlight w:val="none"/>
          <w:lang w:val="zh-CN"/>
        </w:rPr>
        <w:t xml:space="preserve">附件十</w:t>
      </w:r>
      <w:r>
        <w:rPr>
          <w:rFonts w:hint="eastAsia" w:ascii="宋体" w:hAnsi="宋体" w:cs="宋体"/>
          <w:color w:val="000000"/>
          <w:szCs w:val="24"/>
          <w:highlight w:val="none"/>
          <w:lang w:val="en-US" w:eastAsia="zh-CN"/>
        </w:rPr>
        <w:t xml:space="preserve">七</w:t>
      </w:r>
      <w:r>
        <w:rPr>
          <w:rFonts w:hint="eastAsia" w:ascii="宋体" w:hAnsi="宋体" w:cs="宋体"/>
          <w:color w:val="000000"/>
          <w:szCs w:val="24"/>
          <w:highlight w:val="none"/>
          <w:lang w:val="zh-CN"/>
        </w:rPr>
        <w:t xml:space="preserve">、关于符合本国产品标准的声明函</w:t>
      </w:r>
      <w:r>
        <w:rPr>
          <w:color w:val="000000"/>
          <w:highlight w:val="none"/>
        </w:rPr>
        <w:tab/>
      </w:r>
      <w:r>
        <w:rPr>
          <w:color w:val="000000"/>
          <w:highlight w:val="none"/>
        </w:rPr>
        <w:fldChar w:fldCharType="begin"/>
      </w:r>
      <w:r>
        <w:rPr>
          <w:color w:val="000000"/>
          <w:highlight w:val="none"/>
        </w:rPr>
        <w:instrText xml:space="preserve"> PAGEREF _Toc16709 \h </w:instrText>
      </w:r>
      <w:r>
        <w:rPr>
          <w:color w:val="000000"/>
          <w:highlight w:val="none"/>
        </w:rPr>
        <w:fldChar w:fldCharType="separate"/>
      </w:r>
      <w:r>
        <w:rPr>
          <w:color w:val="000000"/>
          <w:highlight w:val="none"/>
        </w:rPr>
        <w:t xml:space="preserve">61</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08"/>
        <w:ind w:left="0"/>
        <w:jc w:val="left"/>
        <w:keepLines w:val="0"/>
        <w:keepNext w:val="0"/>
        <w:pageBreakBefore w:val="0"/>
        <w:spacing w:line="360" w:lineRule="auto"/>
        <w:widowControl w:val="off"/>
        <w:rPr>
          <w:rFonts w:hint="eastAsia" w:ascii="宋体" w:hAnsi="宋体" w:eastAsia="宋体" w:cs="宋体"/>
          <w:bCs/>
          <w:color w:val="000000"/>
          <w:spacing w:val="-10"/>
          <w:sz w:val="24"/>
          <w:szCs w:val="24"/>
          <w:highlight w:val="none"/>
          <w:lang w:val="en-US" w:eastAsia="zh-CN" w:bidi="ar-SA"/>
        </w:rPr>
        <w:outlineLvl w:val="9"/>
      </w:pPr>
      <w:r>
        <w:rPr>
          <w:rFonts w:hint="eastAsia" w:ascii="宋体" w:hAnsi="宋体" w:eastAsia="宋体" w:cs="宋体"/>
          <w:bCs/>
          <w:color w:val="000000"/>
          <w:spacing w:val="-10"/>
          <w:sz w:val="24"/>
          <w:szCs w:val="24"/>
          <w:highlight w:val="none"/>
          <w:lang w:val="en-US" w:eastAsia="zh-CN" w:bidi="ar-SA"/>
        </w:rPr>
        <w:fldChar w:fldCharType="end"/>
      </w:r>
      <w:r>
        <w:rPr>
          <w:rFonts w:hint="eastAsia" w:ascii="宋体" w:hAnsi="宋体" w:eastAsia="宋体" w:cs="宋体"/>
          <w:bCs/>
          <w:color w:val="000000"/>
          <w:spacing w:val="-10"/>
          <w:sz w:val="24"/>
          <w:szCs w:val="24"/>
          <w:highlight w:val="none"/>
          <w:lang w:val="en-US" w:eastAsia="zh-CN" w:bidi="ar-SA"/>
        </w:rPr>
      </w:r>
      <w:r/>
    </w:p>
    <w:p>
      <w:pPr>
        <w:pStyle w:val="708"/>
        <w:jc w:val="center"/>
        <w:spacing w:line="360" w:lineRule="auto"/>
        <w:rPr>
          <w:rFonts w:hint="eastAsia" w:ascii="宋体" w:hAnsi="宋体" w:eastAsia="宋体" w:cs="宋体"/>
          <w:bCs/>
          <w:color w:val="000000"/>
          <w:spacing w:val="-10"/>
          <w:sz w:val="21"/>
          <w:szCs w:val="36"/>
          <w:highlight w:val="none"/>
          <w:lang w:val="en-US" w:eastAsia="zh-CN" w:bidi="ar-SA"/>
        </w:rPr>
        <w:outlineLvl w:val="9"/>
      </w:pPr>
      <w:r>
        <w:rPr>
          <w:rFonts w:hint="eastAsia" w:ascii="宋体" w:hAnsi="宋体" w:eastAsia="宋体" w:cs="宋体"/>
          <w:bCs/>
          <w:color w:val="000000"/>
          <w:spacing w:val="-10"/>
          <w:sz w:val="21"/>
          <w:szCs w:val="36"/>
          <w:highlight w:val="none"/>
          <w:lang w:val="en-US" w:eastAsia="zh-CN" w:bidi="ar-SA"/>
        </w:rPr>
      </w:r>
      <w:r/>
    </w:p>
    <w:p>
      <w:pPr>
        <w:pStyle w:val="708"/>
        <w:jc w:val="center"/>
        <w:spacing w:line="360" w:lineRule="auto"/>
        <w:rPr>
          <w:rFonts w:hint="eastAsia" w:ascii="宋体" w:hAnsi="宋体" w:eastAsia="宋体" w:cs="宋体"/>
          <w:b/>
          <w:bCs/>
          <w:color w:val="000000"/>
          <w:spacing w:val="-10"/>
          <w:sz w:val="36"/>
          <w:szCs w:val="36"/>
          <w:highlight w:val="none"/>
        </w:rPr>
        <w:outlineLvl w:val="9"/>
      </w:pPr>
      <w:r>
        <w:rPr>
          <w:rFonts w:hint="eastAsia" w:ascii="宋体" w:hAnsi="宋体" w:eastAsia="宋体" w:cs="宋体"/>
          <w:b/>
          <w:bCs/>
          <w:color w:val="000000"/>
          <w:spacing w:val="-10"/>
          <w:sz w:val="36"/>
          <w:szCs w:val="36"/>
          <w:highlight w:val="none"/>
        </w:rPr>
      </w:r>
      <w:r/>
    </w:p>
    <w:p>
      <w:pPr>
        <w:pStyle w:val="708"/>
        <w:jc w:val="center"/>
        <w:spacing w:line="360" w:lineRule="auto"/>
        <w:rPr>
          <w:rFonts w:hint="eastAsia" w:ascii="宋体" w:hAnsi="宋体" w:eastAsia="宋体" w:cs="宋体"/>
          <w:b/>
          <w:bCs/>
          <w:color w:val="000000"/>
          <w:spacing w:val="-10"/>
          <w:sz w:val="36"/>
          <w:szCs w:val="36"/>
          <w:highlight w:val="none"/>
        </w:rPr>
        <w:outlineLvl w:val="9"/>
      </w:pPr>
      <w:r>
        <w:rPr>
          <w:rFonts w:hint="eastAsia" w:ascii="宋体" w:hAnsi="宋体" w:eastAsia="宋体" w:cs="宋体"/>
          <w:b/>
          <w:bCs/>
          <w:color w:val="000000"/>
          <w:spacing w:val="-10"/>
          <w:sz w:val="36"/>
          <w:szCs w:val="36"/>
          <w:highlight w:val="none"/>
        </w:rPr>
      </w:r>
      <w:r/>
    </w:p>
    <w:p>
      <w:pPr>
        <w:pStyle w:val="708"/>
        <w:jc w:val="center"/>
        <w:spacing w:line="360" w:lineRule="auto"/>
        <w:rPr>
          <w:rFonts w:hint="eastAsia" w:ascii="宋体" w:hAnsi="宋体" w:eastAsia="宋体" w:cs="宋体"/>
          <w:b/>
          <w:bCs/>
          <w:color w:val="000000"/>
          <w:sz w:val="36"/>
          <w:szCs w:val="36"/>
          <w:highlight w:val="none"/>
          <w:lang w:val="zh-CN"/>
        </w:rPr>
        <w:outlineLvl w:val="0"/>
      </w:pPr>
      <w:r/>
      <w:bookmarkStart w:id="0" w:name="_Toc20085"/>
      <w:r/>
      <w:bookmarkStart w:id="1" w:name="_Toc745"/>
      <w:r>
        <w:rPr>
          <w:rFonts w:hint="eastAsia" w:ascii="宋体" w:hAnsi="宋体" w:eastAsia="宋体" w:cs="宋体"/>
          <w:b/>
          <w:bCs/>
          <w:color w:val="000000"/>
          <w:spacing w:val="-10"/>
          <w:sz w:val="36"/>
          <w:szCs w:val="36"/>
          <w:highlight w:val="none"/>
        </w:rPr>
        <w:t xml:space="preserve">第一章  投标邀请</w:t>
      </w:r>
      <w:bookmarkEnd w:id="0"/>
      <w:r/>
      <w:bookmarkEnd w:id="1"/>
      <w:r>
        <w:rPr>
          <w:rFonts w:hint="eastAsia" w:ascii="宋体" w:hAnsi="宋体" w:eastAsia="宋体" w:cs="宋体"/>
          <w:b/>
          <w:bCs/>
          <w:color w:val="000000"/>
          <w:sz w:val="36"/>
          <w:szCs w:val="36"/>
          <w:highlight w:val="none"/>
          <w:lang w:val="zh-CN"/>
        </w:rPr>
      </w:r>
      <w:r/>
    </w:p>
    <w:p>
      <w:pPr>
        <w:pStyle w:val="708"/>
        <w:ind w:firstLine="482"/>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cs="宋体"/>
          <w:b/>
          <w:color w:val="000000"/>
          <w:sz w:val="24"/>
          <w:szCs w:val="24"/>
          <w:highlight w:val="none"/>
          <w:lang w:eastAsia="zh-CN"/>
        </w:rPr>
        <w:t xml:space="preserve">南京建淳造价师事务所有限公司</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rPr>
        <w:t xml:space="preserve">代理机构名称，</w:t>
      </w:r>
      <w:r>
        <w:rPr>
          <w:rFonts w:hint="eastAsia" w:ascii="宋体" w:hAnsi="宋体" w:eastAsia="宋体" w:cs="宋体"/>
          <w:bCs/>
          <w:color w:val="000000"/>
          <w:sz w:val="24"/>
          <w:szCs w:val="24"/>
          <w:highlight w:val="none"/>
          <w:lang w:val="zh-CN"/>
        </w:rPr>
        <w:t xml:space="preserve">以下简称“代理机构”）受</w:t>
      </w:r>
      <w:r>
        <w:rPr>
          <w:rFonts w:hint="eastAsia" w:ascii="宋体" w:hAnsi="宋体" w:cs="宋体"/>
          <w:b/>
          <w:color w:val="000000"/>
          <w:sz w:val="24"/>
          <w:szCs w:val="24"/>
          <w:highlight w:val="none"/>
          <w:lang w:eastAsia="zh-CN"/>
        </w:rPr>
        <w:t xml:space="preserve">南京江北新区管理委员会教育局</w:t>
      </w:r>
      <w:r>
        <w:rPr>
          <w:rFonts w:hint="eastAsia" w:ascii="宋体" w:hAnsi="宋体" w:eastAsia="宋体" w:cs="宋体"/>
          <w:bCs/>
          <w:color w:val="000000"/>
          <w:sz w:val="24"/>
          <w:szCs w:val="24"/>
          <w:highlight w:val="none"/>
          <w:lang w:val="zh-CN"/>
        </w:rPr>
        <w:t xml:space="preserve">（采购单位名称，以下简称“采购人”）委托，就</w:t>
      </w:r>
      <w:r>
        <w:rPr>
          <w:rFonts w:hint="eastAsia" w:ascii="宋体" w:hAnsi="宋体" w:cs="宋体"/>
          <w:b/>
          <w:color w:val="000000"/>
          <w:sz w:val="24"/>
          <w:szCs w:val="24"/>
          <w:highlight w:val="none"/>
          <w:lang w:eastAsia="zh-CN"/>
        </w:rPr>
        <w:t xml:space="preserve">侨康路学校新建工程项目体育装备采购项目</w:t>
      </w:r>
      <w:r>
        <w:rPr>
          <w:rFonts w:hint="eastAsia" w:ascii="宋体" w:hAnsi="宋体" w:eastAsia="宋体" w:cs="宋体"/>
          <w:bCs/>
          <w:color w:val="000000"/>
          <w:sz w:val="24"/>
          <w:szCs w:val="24"/>
          <w:highlight w:val="none"/>
        </w:rPr>
        <w:t xml:space="preserve">（项目名称）进行公开招标，</w:t>
      </w:r>
      <w:r>
        <w:rPr>
          <w:rFonts w:hint="eastAsia" w:ascii="宋体" w:hAnsi="宋体" w:eastAsia="宋体" w:cs="宋体"/>
          <w:bCs/>
          <w:color w:val="000000"/>
          <w:sz w:val="24"/>
          <w:szCs w:val="24"/>
          <w:highlight w:val="none"/>
          <w:lang w:val="zh-CN"/>
        </w:rPr>
        <w:t xml:space="preserve">兹邀请符合资格条件的供应商投标。</w:t>
      </w:r>
      <w:r>
        <w:rPr>
          <w:rFonts w:hint="eastAsia" w:ascii="宋体" w:hAnsi="宋体" w:eastAsia="宋体" w:cs="宋体"/>
          <w:bCs/>
          <w:color w:val="000000"/>
          <w:sz w:val="24"/>
          <w:szCs w:val="24"/>
          <w:highlight w:val="none"/>
        </w:rPr>
      </w:r>
      <w:r/>
    </w:p>
    <w:p>
      <w:pPr>
        <w:pStyle w:val="708"/>
        <w:ind w:firstLine="482"/>
        <w:jc w:val="left"/>
        <w:keepLines w:val="0"/>
        <w:keepNext w:val="0"/>
        <w:pageBreakBefore w:val="0"/>
        <w:spacing w:before="75" w:after="75" w:line="360" w:lineRule="auto"/>
        <w:shd w:val="clear" w:color="auto" w:fill="ffffff"/>
        <w:widowControl/>
        <w:rPr>
          <w:rFonts w:hint="eastAsia" w:ascii="宋体" w:hAnsi="宋体" w:eastAsia="宋体" w:cs="宋体"/>
          <w:color w:val="000000"/>
          <w:sz w:val="24"/>
          <w:szCs w:val="24"/>
          <w:highlight w:val="none"/>
        </w:rPr>
        <w:outlineLvl w:val="0"/>
      </w:pPr>
      <w:r/>
      <w:bookmarkStart w:id="2" w:name="_Toc11453"/>
      <w:r/>
      <w:bookmarkStart w:id="3" w:name="_Toc6870"/>
      <w:r>
        <w:rPr>
          <w:rFonts w:hint="eastAsia" w:ascii="宋体" w:hAnsi="宋体" w:eastAsia="宋体" w:cs="宋体"/>
          <w:b/>
          <w:bCs/>
          <w:color w:val="000000"/>
          <w:sz w:val="24"/>
          <w:szCs w:val="24"/>
          <w:highlight w:val="none"/>
        </w:rPr>
        <w:t xml:space="preserve">一、项目基本情况：</w:t>
      </w:r>
      <w:bookmarkEnd w:id="2"/>
      <w:r/>
      <w:bookmarkEnd w:id="3"/>
      <w:r>
        <w:rPr>
          <w:rFonts w:hint="eastAsia" w:ascii="宋体" w:hAnsi="宋体" w:eastAsia="宋体" w:cs="宋体"/>
          <w:color w:val="000000"/>
          <w:sz w:val="24"/>
          <w:szCs w:val="24"/>
          <w:highlight w:val="none"/>
        </w:rPr>
      </w:r>
      <w:r/>
    </w:p>
    <w:p>
      <w:pPr>
        <w:pStyle w:val="708"/>
        <w:ind w:firstLine="480"/>
        <w:keepLines w:val="0"/>
        <w:keepNext w:val="0"/>
        <w:pageBreakBefore w:val="0"/>
        <w:spacing w:line="360" w:lineRule="auto"/>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zh-CN"/>
        </w:rPr>
        <w:t xml:space="preserve">1、项目编号：</w:t>
      </w:r>
      <w:r>
        <w:rPr>
          <w:rFonts w:hint="eastAsia" w:ascii="宋体" w:hAnsi="宋体" w:cs="宋体"/>
          <w:bCs/>
          <w:color w:val="000000"/>
          <w:sz w:val="24"/>
          <w:szCs w:val="24"/>
          <w:highlight w:val="none"/>
          <w:lang w:val="zh-CN"/>
        </w:rPr>
        <w:t xml:space="preserve"> JSZC-320192-JCZJ-G2026-0011</w:t>
      </w:r>
      <w:r>
        <w:rPr>
          <w:rFonts w:hint="eastAsia" w:ascii="宋体" w:hAnsi="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r>
      <w:r/>
    </w:p>
    <w:p>
      <w:pPr>
        <w:pStyle w:val="708"/>
        <w:ind w:firstLine="480"/>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2、项目名称：</w:t>
      </w:r>
      <w:r>
        <w:rPr>
          <w:rFonts w:hint="eastAsia" w:ascii="宋体" w:hAnsi="宋体" w:cs="宋体"/>
          <w:bCs/>
          <w:color w:val="000000"/>
          <w:sz w:val="24"/>
          <w:szCs w:val="24"/>
          <w:highlight w:val="none"/>
          <w:lang w:val="zh-CN"/>
        </w:rPr>
        <w:t xml:space="preserve">侨康路学校新建工程项目体育装备采购项目</w:t>
      </w:r>
      <w:r>
        <w:rPr>
          <w:rFonts w:hint="eastAsia" w:ascii="宋体" w:hAnsi="宋体" w:eastAsia="宋体" w:cs="宋体"/>
          <w:bCs/>
          <w:color w:val="000000"/>
          <w:sz w:val="24"/>
          <w:szCs w:val="24"/>
          <w:highlight w:val="none"/>
          <w:lang w:val="zh-CN"/>
        </w:rPr>
      </w:r>
      <w:r/>
    </w:p>
    <w:p>
      <w:pPr>
        <w:pStyle w:val="708"/>
        <w:ind w:firstLine="480"/>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zh-CN"/>
        </w:rPr>
        <w:t xml:space="preserve">3、采购需求：</w:t>
      </w:r>
      <w:r>
        <w:rPr>
          <w:rFonts w:hint="eastAsia" w:ascii="宋体" w:hAnsi="宋体" w:cs="宋体"/>
          <w:bCs/>
          <w:color w:val="000000"/>
          <w:sz w:val="24"/>
          <w:szCs w:val="24"/>
          <w:highlight w:val="none"/>
          <w:lang w:eastAsia="zh-CN"/>
        </w:rPr>
        <w:t xml:space="preserve">侨康路学校新建工程项目体育装备采购项目</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rPr>
        <w:t xml:space="preserve">详见采购文件。</w:t>
      </w:r>
      <w:r>
        <w:rPr>
          <w:rFonts w:hint="eastAsia" w:ascii="宋体" w:hAnsi="宋体" w:eastAsia="宋体" w:cs="宋体"/>
          <w:bCs/>
          <w:color w:val="000000"/>
          <w:sz w:val="24"/>
          <w:szCs w:val="24"/>
          <w:highlight w:val="none"/>
        </w:rPr>
      </w:r>
      <w:r/>
    </w:p>
    <w:p>
      <w:pPr>
        <w:pStyle w:val="708"/>
        <w:ind w:firstLine="480"/>
        <w:keepLines w:val="0"/>
        <w:keepNext w:val="0"/>
        <w:pageBreakBefore w:val="0"/>
        <w:spacing w:line="360" w:lineRule="auto"/>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4、采购方式：公开招标</w:t>
      </w:r>
      <w:r>
        <w:rPr>
          <w:rFonts w:hint="eastAsia" w:ascii="宋体" w:hAnsi="宋体" w:eastAsia="宋体" w:cs="宋体"/>
          <w:bCs/>
          <w:color w:val="000000"/>
          <w:sz w:val="24"/>
          <w:szCs w:val="24"/>
          <w:highlight w:val="none"/>
          <w:lang w:val="en-US" w:eastAsia="zh-CN"/>
        </w:rPr>
      </w:r>
      <w:r/>
    </w:p>
    <w:p>
      <w:pPr>
        <w:pStyle w:val="708"/>
        <w:ind w:firstLine="480"/>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zh-CN"/>
        </w:rPr>
        <w:t xml:space="preserve">采购预算：</w:t>
      </w:r>
      <w:r>
        <w:rPr>
          <w:rFonts w:hint="eastAsia" w:ascii="宋体" w:hAnsi="宋体" w:cs="宋体"/>
          <w:bCs/>
          <w:color w:val="000000"/>
          <w:sz w:val="24"/>
          <w:szCs w:val="24"/>
          <w:highlight w:val="none"/>
          <w:lang w:val="en-US" w:eastAsia="zh-CN"/>
        </w:rPr>
        <w:t xml:space="preserve"> 109.1682</w:t>
      </w:r>
      <w:r>
        <w:rPr>
          <w:rFonts w:hint="eastAsia" w:ascii="宋体" w:hAnsi="宋体" w:eastAsia="宋体" w:cs="宋体"/>
          <w:bCs/>
          <w:color w:val="000000"/>
          <w:sz w:val="24"/>
          <w:szCs w:val="24"/>
          <w:highlight w:val="none"/>
          <w:lang w:val="zh-CN"/>
        </w:rPr>
        <w:t xml:space="preserve">万元。</w:t>
      </w:r>
      <w:r>
        <w:rPr>
          <w:rFonts w:hint="eastAsia" w:ascii="宋体" w:hAnsi="宋体" w:eastAsia="宋体" w:cs="宋体"/>
          <w:bCs/>
          <w:color w:val="000000"/>
          <w:sz w:val="24"/>
          <w:szCs w:val="24"/>
          <w:highlight w:val="none"/>
          <w:lang w:val="zh-CN"/>
        </w:rPr>
      </w:r>
      <w:r/>
    </w:p>
    <w:p>
      <w:pPr>
        <w:pStyle w:val="708"/>
        <w:ind w:firstLine="480"/>
        <w:keepLines w:val="0"/>
        <w:keepNext w:val="0"/>
        <w:pageBreakBefore w:val="0"/>
        <w:spacing w:line="360" w:lineRule="auto"/>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6、最高限价：</w:t>
      </w:r>
      <w:r>
        <w:rPr>
          <w:rFonts w:hint="eastAsia" w:ascii="宋体" w:hAnsi="宋体" w:cs="宋体"/>
          <w:b/>
          <w:bCs/>
          <w:color w:val="000000"/>
          <w:sz w:val="24"/>
          <w:szCs w:val="24"/>
          <w:highlight w:val="none"/>
          <w:lang w:val="en-US" w:eastAsia="zh-CN"/>
        </w:rPr>
        <w:t xml:space="preserve"> 109.1682万</w:t>
      </w:r>
      <w:r>
        <w:rPr>
          <w:rFonts w:hint="eastAsia" w:ascii="宋体" w:hAnsi="宋体" w:eastAsia="宋体" w:cs="宋体"/>
          <w:b/>
          <w:bCs/>
          <w:color w:val="000000"/>
          <w:sz w:val="24"/>
          <w:szCs w:val="24"/>
          <w:highlight w:val="none"/>
        </w:rPr>
        <w:t xml:space="preserve">元</w:t>
      </w:r>
      <w:r>
        <w:rPr>
          <w:rFonts w:hint="eastAsia" w:ascii="宋体" w:hAnsi="宋体" w:eastAsia="宋体" w:cs="宋体"/>
          <w:color w:val="000000"/>
          <w:sz w:val="24"/>
          <w:szCs w:val="24"/>
          <w:highlight w:val="none"/>
        </w:rPr>
        <w:t xml:space="preserve">（超过最高限价的投标报价将被作为无效标处理）</w:t>
      </w:r>
      <w:r>
        <w:rPr>
          <w:rFonts w:hint="eastAsia" w:ascii="宋体" w:hAnsi="宋体" w:eastAsia="宋体" w:cs="宋体"/>
          <w:bCs/>
          <w:color w:val="000000"/>
          <w:sz w:val="24"/>
          <w:szCs w:val="24"/>
          <w:highlight w:val="none"/>
          <w:lang w:val="en-US" w:eastAsia="zh-CN"/>
        </w:rPr>
      </w:r>
      <w:r/>
    </w:p>
    <w:p>
      <w:pPr>
        <w:pStyle w:val="708"/>
        <w:ind w:firstLine="480"/>
        <w:keepLines w:val="0"/>
        <w:keepNext w:val="0"/>
        <w:pageBreakBefore w:val="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zh-CN"/>
        </w:rPr>
        <w:t xml:space="preserve">5、合同履行期限：</w:t>
      </w:r>
      <w:r>
        <w:rPr>
          <w:rFonts w:hint="eastAsia" w:ascii="宋体" w:hAnsi="宋体" w:cs="宋体"/>
          <w:bCs/>
          <w:color w:val="000000"/>
          <w:sz w:val="24"/>
          <w:szCs w:val="24"/>
          <w:highlight w:val="none"/>
          <w:lang w:eastAsia="zh-CN"/>
        </w:rPr>
        <w:t xml:space="preserve">合同签订后30日历天内交付并完成安装调试及验收等相关工作。</w:t>
      </w:r>
      <w:r>
        <w:rPr>
          <w:rFonts w:hint="eastAsia" w:ascii="宋体" w:hAnsi="宋体" w:eastAsia="宋体" w:cs="宋体"/>
          <w:bCs/>
          <w:color w:val="000000"/>
          <w:sz w:val="24"/>
          <w:szCs w:val="24"/>
          <w:highlight w:val="none"/>
          <w:lang w:eastAsia="zh-CN"/>
        </w:rPr>
      </w:r>
      <w:r/>
    </w:p>
    <w:p>
      <w:pPr>
        <w:pStyle w:val="708"/>
        <w:ind w:firstLine="480"/>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rPr>
        <w:t xml:space="preserve">6、</w:t>
      </w:r>
      <w:r>
        <w:rPr>
          <w:rFonts w:hint="eastAsia" w:ascii="宋体" w:hAnsi="宋体" w:eastAsia="宋体" w:cs="宋体"/>
          <w:bCs/>
          <w:color w:val="000000"/>
          <w:sz w:val="24"/>
          <w:szCs w:val="24"/>
          <w:highlight w:val="none"/>
          <w:lang w:val="zh-CN"/>
        </w:rPr>
        <w:t xml:space="preserve">本项目不接受联合体。</w:t>
      </w:r>
      <w:r>
        <w:rPr>
          <w:rFonts w:hint="eastAsia" w:ascii="宋体" w:hAnsi="宋体" w:eastAsia="宋体" w:cs="宋体"/>
          <w:bCs/>
          <w:color w:val="000000"/>
          <w:sz w:val="24"/>
          <w:szCs w:val="24"/>
          <w:highlight w:val="none"/>
          <w:lang w:val="zh-CN"/>
        </w:rPr>
      </w:r>
      <w:r/>
    </w:p>
    <w:p>
      <w:pPr>
        <w:pStyle w:val="708"/>
        <w:ind w:firstLine="482"/>
        <w:jc w:val="left"/>
        <w:keepLines w:val="0"/>
        <w:keepNext w:val="0"/>
        <w:pageBreakBefore w:val="0"/>
        <w:spacing w:before="75" w:after="75" w:line="360" w:lineRule="auto"/>
        <w:shd w:val="clear" w:color="auto" w:fill="ffffff"/>
        <w:widowControl/>
        <w:rPr>
          <w:rFonts w:hint="eastAsia" w:ascii="宋体" w:hAnsi="宋体" w:eastAsia="宋体" w:cs="宋体"/>
          <w:b/>
          <w:bCs/>
          <w:color w:val="000000"/>
          <w:sz w:val="24"/>
          <w:szCs w:val="24"/>
          <w:highlight w:val="none"/>
        </w:rPr>
        <w:outlineLvl w:val="1"/>
      </w:pPr>
      <w:r/>
      <w:bookmarkStart w:id="4" w:name="_Toc12410"/>
      <w:r/>
      <w:bookmarkStart w:id="5" w:name="_Toc28359013"/>
      <w:r/>
      <w:bookmarkStart w:id="6" w:name="_Toc35393799"/>
      <w:r/>
      <w:bookmarkStart w:id="7" w:name="_Toc35393630"/>
      <w:r/>
      <w:bookmarkStart w:id="8" w:name="_Toc31154"/>
      <w:r/>
      <w:bookmarkStart w:id="9" w:name="_Toc28359090"/>
      <w:r>
        <w:rPr>
          <w:rFonts w:hint="eastAsia" w:ascii="宋体" w:hAnsi="宋体" w:eastAsia="宋体" w:cs="宋体"/>
          <w:b/>
          <w:bCs/>
          <w:color w:val="000000"/>
          <w:sz w:val="24"/>
          <w:szCs w:val="24"/>
          <w:highlight w:val="none"/>
        </w:rPr>
        <w:t xml:space="preserve">二、申请人的资格要求：</w:t>
      </w:r>
      <w:bookmarkEnd w:id="4"/>
      <w:r/>
      <w:bookmarkEnd w:id="5"/>
      <w:r/>
      <w:bookmarkEnd w:id="6"/>
      <w:r/>
      <w:bookmarkEnd w:id="7"/>
      <w:r/>
      <w:bookmarkEnd w:id="8"/>
      <w:r/>
      <w:bookmarkEnd w:id="9"/>
      <w:r>
        <w:rPr>
          <w:rFonts w:hint="eastAsia" w:ascii="宋体" w:hAnsi="宋体" w:eastAsia="宋体" w:cs="宋体"/>
          <w:b/>
          <w:bCs/>
          <w:color w:val="000000"/>
          <w:sz w:val="24"/>
          <w:szCs w:val="24"/>
          <w:highlight w:val="none"/>
        </w:rPr>
      </w:r>
      <w:r/>
    </w:p>
    <w:p>
      <w:pPr>
        <w:pStyle w:val="708"/>
        <w:ind w:firstLine="482"/>
        <w:keepLines w:val="0"/>
        <w:keepNext w:val="0"/>
        <w:pageBreakBefore w:val="0"/>
        <w:spacing w:line="360" w:lineRule="auto"/>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zh-CN"/>
        </w:rPr>
        <w:t xml:space="preserve">、满足《中华人民共和国政府采购法》第二十二条规定。</w:t>
      </w:r>
      <w:r>
        <w:rPr>
          <w:rFonts w:hint="eastAsia" w:ascii="宋体" w:hAnsi="宋体" w:eastAsia="宋体" w:cs="宋体"/>
          <w:b/>
          <w:color w:val="000000"/>
          <w:sz w:val="24"/>
          <w:szCs w:val="24"/>
          <w:highlight w:val="none"/>
          <w:lang w:val="zh-CN"/>
        </w:rPr>
      </w:r>
      <w:r/>
    </w:p>
    <w:p>
      <w:pPr>
        <w:pStyle w:val="708"/>
        <w:ind w:firstLine="480"/>
        <w:keepLines w:val="0"/>
        <w:keepNext w:val="0"/>
        <w:pageBreakBefore w:val="0"/>
        <w:spacing w:line="360" w:lineRule="auto"/>
        <w:rPr>
          <w:rFonts w:hint="eastAsia" w:ascii="宋体" w:hAnsi="宋体" w:eastAsia="宋体" w:cs="宋体"/>
          <w:b w:val="0"/>
          <w:bCs/>
          <w:color w:val="000000"/>
          <w:sz w:val="24"/>
          <w:szCs w:val="24"/>
          <w:highlight w:val="none"/>
          <w:lang w:val="zh-CN"/>
        </w:rPr>
        <w:outlineLvl w:val="9"/>
      </w:pPr>
      <w:r>
        <w:rPr>
          <w:rFonts w:hint="eastAsia" w:ascii="宋体" w:hAnsi="宋体" w:eastAsia="宋体" w:cs="宋体"/>
          <w:b w:val="0"/>
          <w:bCs/>
          <w:color w:val="000000"/>
          <w:sz w:val="24"/>
          <w:szCs w:val="24"/>
          <w:highlight w:val="none"/>
          <w:lang w:val="zh-CN"/>
        </w:rPr>
        <w:t xml:space="preserve">（1）具有独立承担民事责任的能力；《提供南京市政府采购供应商信用记录表暨信用承诺书》</w:t>
      </w:r>
      <w:r>
        <w:rPr>
          <w:rFonts w:hint="eastAsia" w:ascii="宋体" w:hAnsi="宋体" w:eastAsia="宋体" w:cs="宋体"/>
          <w:b w:val="0"/>
          <w:bCs/>
          <w:color w:val="000000"/>
          <w:sz w:val="24"/>
          <w:szCs w:val="24"/>
          <w:highlight w:val="none"/>
          <w:lang w:val="zh-CN"/>
        </w:rPr>
      </w:r>
      <w:r/>
    </w:p>
    <w:p>
      <w:pPr>
        <w:pStyle w:val="708"/>
        <w:ind w:firstLine="480"/>
        <w:keepLines w:val="0"/>
        <w:keepNext w:val="0"/>
        <w:pageBreakBefore w:val="0"/>
        <w:spacing w:line="360" w:lineRule="auto"/>
        <w:rPr>
          <w:rFonts w:hint="eastAsia" w:ascii="宋体" w:hAnsi="宋体" w:eastAsia="宋体" w:cs="宋体"/>
          <w:b w:val="0"/>
          <w:bCs/>
          <w:color w:val="000000"/>
          <w:sz w:val="24"/>
          <w:szCs w:val="24"/>
          <w:highlight w:val="none"/>
          <w:lang w:val="zh-CN"/>
        </w:rPr>
        <w:outlineLvl w:val="9"/>
      </w:pPr>
      <w:r>
        <w:rPr>
          <w:rFonts w:hint="eastAsia" w:ascii="宋体" w:hAnsi="宋体" w:eastAsia="宋体" w:cs="宋体"/>
          <w:b w:val="0"/>
          <w:bCs/>
          <w:color w:val="000000"/>
          <w:sz w:val="24"/>
          <w:szCs w:val="24"/>
          <w:highlight w:val="none"/>
          <w:lang w:val="zh-CN"/>
        </w:rPr>
        <w:t xml:space="preserve">（2）具有良好的商业信誉和健全的财务会计制度；《提供南京市政府采购供应商信用记录表暨信用承诺书》</w:t>
      </w:r>
      <w:r>
        <w:rPr>
          <w:rFonts w:hint="eastAsia" w:ascii="宋体" w:hAnsi="宋体" w:eastAsia="宋体" w:cs="宋体"/>
          <w:b w:val="0"/>
          <w:bCs/>
          <w:color w:val="000000"/>
          <w:sz w:val="24"/>
          <w:szCs w:val="24"/>
          <w:highlight w:val="none"/>
          <w:lang w:val="zh-CN"/>
        </w:rPr>
      </w:r>
      <w:r/>
    </w:p>
    <w:p>
      <w:pPr>
        <w:pStyle w:val="708"/>
        <w:ind w:firstLine="480"/>
        <w:keepLines w:val="0"/>
        <w:keepNext w:val="0"/>
        <w:pageBreakBefore w:val="0"/>
        <w:spacing w:line="360" w:lineRule="auto"/>
        <w:rPr>
          <w:rFonts w:hint="eastAsia" w:ascii="宋体" w:hAnsi="宋体" w:eastAsia="宋体" w:cs="宋体"/>
          <w:b w:val="0"/>
          <w:bCs/>
          <w:color w:val="000000"/>
          <w:sz w:val="24"/>
          <w:szCs w:val="24"/>
          <w:highlight w:val="none"/>
          <w:lang w:val="zh-CN"/>
        </w:rPr>
        <w:outlineLvl w:val="9"/>
      </w:pPr>
      <w:r>
        <w:rPr>
          <w:rFonts w:hint="eastAsia" w:ascii="宋体" w:hAnsi="宋体" w:eastAsia="宋体" w:cs="宋体"/>
          <w:b w:val="0"/>
          <w:bCs/>
          <w:color w:val="000000"/>
          <w:sz w:val="24"/>
          <w:szCs w:val="24"/>
          <w:highlight w:val="none"/>
          <w:lang w:val="zh-CN"/>
        </w:rPr>
        <w:t xml:space="preserve">（3）具有履行合同所必需的设备和专业技术能力；《提供南京市政府采购供应商信用记录表暨信用承诺书》</w:t>
      </w:r>
      <w:r>
        <w:rPr>
          <w:rFonts w:hint="eastAsia" w:ascii="宋体" w:hAnsi="宋体" w:eastAsia="宋体" w:cs="宋体"/>
          <w:b w:val="0"/>
          <w:bCs/>
          <w:color w:val="000000"/>
          <w:sz w:val="24"/>
          <w:szCs w:val="24"/>
          <w:highlight w:val="none"/>
          <w:lang w:val="zh-CN"/>
        </w:rPr>
      </w:r>
      <w:r/>
    </w:p>
    <w:p>
      <w:pPr>
        <w:pStyle w:val="708"/>
        <w:ind w:firstLine="480"/>
        <w:keepLines w:val="0"/>
        <w:keepNext w:val="0"/>
        <w:pageBreakBefore w:val="0"/>
        <w:spacing w:line="360" w:lineRule="auto"/>
        <w:rPr>
          <w:rFonts w:hint="eastAsia" w:ascii="宋体" w:hAnsi="宋体" w:eastAsia="宋体" w:cs="宋体"/>
          <w:b w:val="0"/>
          <w:bCs/>
          <w:color w:val="000000"/>
          <w:sz w:val="24"/>
          <w:szCs w:val="24"/>
          <w:highlight w:val="none"/>
          <w:lang w:val="zh-CN"/>
        </w:rPr>
        <w:outlineLvl w:val="9"/>
      </w:pPr>
      <w:r>
        <w:rPr>
          <w:rFonts w:hint="eastAsia" w:ascii="宋体" w:hAnsi="宋体" w:eastAsia="宋体" w:cs="宋体"/>
          <w:b w:val="0"/>
          <w:bCs/>
          <w:color w:val="000000"/>
          <w:sz w:val="24"/>
          <w:szCs w:val="24"/>
          <w:highlight w:val="none"/>
          <w:lang w:val="zh-CN"/>
        </w:rPr>
        <w:t xml:space="preserve">（4）有依法缴纳税收和社会保障资金的良好记录；《提供南京市政府采购供应商信用记录表暨信用承诺书》</w:t>
      </w:r>
      <w:r>
        <w:rPr>
          <w:rFonts w:hint="eastAsia" w:ascii="宋体" w:hAnsi="宋体" w:eastAsia="宋体" w:cs="宋体"/>
          <w:b w:val="0"/>
          <w:bCs/>
          <w:color w:val="000000"/>
          <w:sz w:val="24"/>
          <w:szCs w:val="24"/>
          <w:highlight w:val="none"/>
          <w:lang w:val="zh-CN"/>
        </w:rPr>
      </w:r>
      <w:r/>
    </w:p>
    <w:p>
      <w:pPr>
        <w:pStyle w:val="708"/>
        <w:ind w:firstLine="480"/>
        <w:keepLines w:val="0"/>
        <w:keepNext w:val="0"/>
        <w:pageBreakBefore w:val="0"/>
        <w:spacing w:line="360" w:lineRule="auto"/>
        <w:rPr>
          <w:rFonts w:hint="eastAsia" w:ascii="宋体" w:hAnsi="宋体" w:eastAsia="宋体" w:cs="宋体"/>
          <w:b w:val="0"/>
          <w:bCs/>
          <w:color w:val="000000"/>
          <w:sz w:val="24"/>
          <w:szCs w:val="24"/>
          <w:highlight w:val="none"/>
          <w:lang w:val="zh-CN"/>
        </w:rPr>
        <w:outlineLvl w:val="9"/>
      </w:pPr>
      <w:r>
        <w:rPr>
          <w:rFonts w:hint="eastAsia" w:ascii="宋体" w:hAnsi="宋体" w:eastAsia="宋体" w:cs="宋体"/>
          <w:b w:val="0"/>
          <w:bCs/>
          <w:color w:val="000000"/>
          <w:sz w:val="24"/>
          <w:szCs w:val="24"/>
          <w:highlight w:val="none"/>
          <w:lang w:val="zh-CN"/>
        </w:rPr>
        <w:t xml:space="preserve">（5）参加政府采购活动前三年内，在经营活动中没有重大违法记录；《提供南京市政府采购供应商信用记录表暨信用承诺书》</w:t>
      </w:r>
      <w:r>
        <w:rPr>
          <w:rFonts w:hint="eastAsia" w:ascii="宋体" w:hAnsi="宋体" w:eastAsia="宋体" w:cs="宋体"/>
          <w:b w:val="0"/>
          <w:bCs/>
          <w:color w:val="000000"/>
          <w:sz w:val="24"/>
          <w:szCs w:val="24"/>
          <w:highlight w:val="none"/>
          <w:lang w:val="zh-CN"/>
        </w:rPr>
      </w:r>
      <w:r/>
    </w:p>
    <w:p>
      <w:pPr>
        <w:pStyle w:val="708"/>
        <w:ind w:firstLine="482"/>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2、落实政府采购政策需满足的资格要求：</w:t>
      </w:r>
      <w:bookmarkStart w:id="10" w:name="OLE_LINK2"/>
      <w:r>
        <w:rPr>
          <w:rFonts w:hint="eastAsia" w:ascii="宋体" w:hAnsi="宋体" w:eastAsia="宋体" w:cs="宋体"/>
          <w:b w:val="0"/>
          <w:bCs/>
          <w:color w:val="000000"/>
          <w:spacing w:val="8"/>
          <w:sz w:val="24"/>
          <w:szCs w:val="24"/>
          <w:highlight w:val="none"/>
        </w:rPr>
        <w:t xml:space="preserve">本项目为非预留份额的采购项目或采购包，执行价格扣除优惠政策，具体详见招标文件第三章评标标准。</w:t>
      </w:r>
      <w:bookmarkEnd w:id="10"/>
      <w:r>
        <w:rPr>
          <w:rFonts w:hint="eastAsia" w:ascii="宋体" w:hAnsi="宋体" w:eastAsia="宋体" w:cs="宋体"/>
          <w:b w:val="0"/>
          <w:bCs/>
          <w:color w:val="000000"/>
          <w:sz w:val="24"/>
          <w:szCs w:val="24"/>
          <w:highlight w:val="none"/>
          <w:lang w:bidi="ar"/>
        </w:rPr>
        <w:t xml:space="preserve"> </w:t>
      </w:r>
      <w:r>
        <w:rPr>
          <w:rFonts w:hint="eastAsia" w:ascii="宋体" w:hAnsi="宋体" w:eastAsia="宋体" w:cs="宋体"/>
          <w:color w:val="000000"/>
          <w:sz w:val="24"/>
          <w:szCs w:val="24"/>
          <w:highlight w:val="none"/>
        </w:rPr>
      </w:r>
      <w:r/>
    </w:p>
    <w:p>
      <w:pPr>
        <w:pStyle w:val="1112"/>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val="zh-CN"/>
        </w:rPr>
        <w:t xml:space="preserve">本项目的特定资格：</w:t>
      </w:r>
      <w:r>
        <w:rPr>
          <w:rFonts w:hint="eastAsia" w:hAnsi="宋体" w:cs="宋体"/>
          <w:b/>
          <w:bCs/>
          <w:color w:val="000000"/>
          <w:sz w:val="24"/>
          <w:szCs w:val="24"/>
          <w:highlight w:val="none"/>
          <w:lang w:val="en-US" w:eastAsia="zh-CN"/>
        </w:rPr>
        <w:t xml:space="preserve">无</w:t>
      </w:r>
      <w:r>
        <w:rPr>
          <w:rFonts w:hint="eastAsia" w:ascii="宋体" w:hAnsi="宋体" w:eastAsia="宋体" w:cs="宋体"/>
          <w:b/>
          <w:bCs/>
          <w:color w:val="000000"/>
          <w:sz w:val="24"/>
          <w:szCs w:val="24"/>
          <w:highlight w:val="none"/>
          <w:lang w:val="en-US" w:eastAsia="zh-CN"/>
        </w:rPr>
      </w:r>
      <w:r/>
    </w:p>
    <w:p>
      <w:pPr>
        <w:pStyle w:val="708"/>
        <w:ind w:firstLine="480"/>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拒绝下述供应商参加本次采购活动：</w:t>
      </w:r>
      <w:r>
        <w:rPr>
          <w:rFonts w:hint="eastAsia" w:ascii="宋体" w:hAnsi="宋体" w:eastAsia="宋体" w:cs="宋体"/>
          <w:b/>
          <w:color w:val="000000"/>
          <w:sz w:val="24"/>
          <w:szCs w:val="24"/>
          <w:highlight w:val="none"/>
        </w:rPr>
      </w:r>
      <w:r/>
    </w:p>
    <w:p>
      <w:pPr>
        <w:pStyle w:val="70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（1）供应商单位负责人为同一人或者存在直接控股、管理关系的不同供应商，不得参加同一合同项下的政府采购活动。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rPr>
      </w:r>
      <w:r/>
    </w:p>
    <w:p>
      <w:pPr>
        <w:pStyle w:val="70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（2）凡为采购项目提供整体设计、规范编制或者项目管理、监理、检测等服务的供应商，不得再参加本项目的采购活动。</w:t>
      </w:r>
      <w:r>
        <w:rPr>
          <w:rFonts w:hint="eastAsia" w:ascii="宋体" w:hAnsi="宋体" w:eastAsia="宋体" w:cs="宋体"/>
          <w:color w:val="000000"/>
          <w:sz w:val="24"/>
          <w:szCs w:val="24"/>
          <w:highlight w:val="none"/>
        </w:rPr>
      </w:r>
      <w:r/>
    </w:p>
    <w:p>
      <w:pPr>
        <w:pStyle w:val="70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（3）供应商被“信用中国”网站、“中国政府采购网”网站列入失信执行人、重大税收违法案件当事人名单、政府采购严重违法失信行为记录名单。</w:t>
      </w:r>
      <w:r>
        <w:rPr>
          <w:rFonts w:hint="eastAsia" w:ascii="宋体" w:hAnsi="宋体" w:eastAsia="宋体" w:cs="宋体"/>
          <w:color w:val="000000"/>
          <w:sz w:val="24"/>
          <w:szCs w:val="24"/>
          <w:highlight w:val="none"/>
        </w:rPr>
      </w:r>
      <w:r/>
    </w:p>
    <w:p>
      <w:pPr>
        <w:pStyle w:val="708"/>
        <w:ind w:firstLine="482"/>
        <w:keepLines w:val="0"/>
        <w:keepNext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、是否接受进口产品：否。</w:t>
      </w:r>
      <w:r>
        <w:rPr>
          <w:rFonts w:hint="eastAsia" w:ascii="宋体" w:hAnsi="宋体" w:eastAsia="宋体" w:cs="宋体"/>
          <w:b/>
          <w:bCs/>
          <w:color w:val="000000"/>
          <w:sz w:val="24"/>
          <w:szCs w:val="24"/>
          <w:highlight w:val="none"/>
        </w:rPr>
      </w:r>
      <w:r/>
    </w:p>
    <w:p>
      <w:pPr>
        <w:pStyle w:val="1112"/>
        <w:ind w:firstLine="482"/>
        <w:keepLines w:val="0"/>
        <w:keepNext w:val="0"/>
        <w:pageBreakBefore w:val="0"/>
        <w:spacing w:line="360" w:lineRule="auto"/>
        <w:rPr>
          <w:rFonts w:hint="eastAsia" w:ascii="宋体" w:hAnsi="宋体" w:eastAsia="宋体" w:cs="宋体"/>
          <w:b/>
          <w:color w:val="000000"/>
          <w:sz w:val="24"/>
          <w:szCs w:val="24"/>
          <w:highlight w:val="none"/>
        </w:rPr>
        <w:outlineLvl w:val="1"/>
      </w:pPr>
      <w:r/>
      <w:bookmarkStart w:id="11" w:name="_Toc31712"/>
      <w:r/>
      <w:bookmarkStart w:id="12" w:name="_Toc13238"/>
      <w:r>
        <w:rPr>
          <w:rFonts w:hint="eastAsia" w:ascii="宋体" w:hAnsi="宋体" w:eastAsia="宋体" w:cs="宋体"/>
          <w:b/>
          <w:color w:val="000000"/>
          <w:sz w:val="24"/>
          <w:szCs w:val="24"/>
          <w:highlight w:val="none"/>
        </w:rPr>
        <w:t xml:space="preserve">三、获取招标文件</w:t>
      </w:r>
      <w:bookmarkEnd w:id="11"/>
      <w:r/>
      <w:bookmarkEnd w:id="12"/>
      <w:r>
        <w:rPr>
          <w:rFonts w:hint="eastAsia" w:ascii="宋体" w:hAnsi="宋体" w:eastAsia="宋体" w:cs="宋体"/>
          <w:b/>
          <w:color w:val="000000"/>
          <w:sz w:val="24"/>
          <w:szCs w:val="24"/>
          <w:highlight w:val="none"/>
        </w:rPr>
      </w:r>
      <w:r/>
    </w:p>
    <w:p>
      <w:pPr>
        <w:pStyle w:val="708"/>
        <w:ind w:firstLine="426"/>
        <w:jc w:val="lef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时间：自</w:t>
      </w:r>
      <w:r>
        <w:rPr>
          <w:rFonts w:hint="eastAsia" w:ascii="宋体" w:hAnsi="宋体" w:eastAsia="宋体" w:cs="宋体"/>
          <w:color w:val="000000"/>
          <w:sz w:val="24"/>
          <w:szCs w:val="24"/>
          <w:highlight w:val="none"/>
          <w:lang w:val="en-US" w:eastAsia="zh-CN"/>
        </w:rPr>
        <w:t xml:space="preserve">招标文件</w:t>
      </w:r>
      <w:r>
        <w:rPr>
          <w:rFonts w:hint="eastAsia" w:ascii="宋体" w:hAnsi="宋体" w:eastAsia="宋体" w:cs="宋体"/>
          <w:color w:val="000000"/>
          <w:sz w:val="24"/>
          <w:szCs w:val="24"/>
          <w:highlight w:val="none"/>
          <w:lang w:val="zh-CN"/>
        </w:rPr>
        <w:t xml:space="preserve">公告发布之日起5个工作日。</w:t>
      </w:r>
      <w:r>
        <w:rPr>
          <w:rFonts w:hint="eastAsia" w:ascii="宋体" w:hAnsi="宋体" w:eastAsia="宋体" w:cs="宋体"/>
          <w:color w:val="000000"/>
          <w:sz w:val="24"/>
          <w:szCs w:val="24"/>
          <w:highlight w:val="none"/>
        </w:rPr>
      </w:r>
      <w:r/>
    </w:p>
    <w:p>
      <w:pPr>
        <w:pStyle w:val="708"/>
        <w:ind w:firstLine="426"/>
        <w:jc w:val="lef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地点：江苏政府采购网</w:t>
      </w:r>
      <w:r>
        <w:rPr>
          <w:rFonts w:hint="eastAsia" w:ascii="宋体" w:hAnsi="宋体" w:eastAsia="宋体" w:cs="宋体"/>
          <w:color w:val="000000"/>
          <w:sz w:val="24"/>
          <w:szCs w:val="24"/>
          <w:highlight w:val="none"/>
        </w:rPr>
      </w:r>
      <w:r/>
    </w:p>
    <w:p>
      <w:pPr>
        <w:pStyle w:val="708"/>
        <w:ind w:firstLine="426"/>
        <w:jc w:val="lef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获取方式：网上下载</w:t>
      </w:r>
      <w:r>
        <w:rPr>
          <w:rFonts w:hint="eastAsia" w:ascii="宋体" w:hAnsi="宋体" w:eastAsia="宋体" w:cs="宋体"/>
          <w:color w:val="000000"/>
          <w:sz w:val="24"/>
          <w:szCs w:val="24"/>
          <w:highlight w:val="none"/>
        </w:rPr>
      </w:r>
      <w:r/>
    </w:p>
    <w:p>
      <w:pPr>
        <w:pStyle w:val="708"/>
        <w:ind w:firstLine="426"/>
        <w:jc w:val="left"/>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售价：0.00元</w:t>
      </w:r>
      <w:r>
        <w:rPr>
          <w:rFonts w:hint="eastAsia" w:ascii="宋体" w:hAnsi="宋体" w:eastAsia="宋体" w:cs="宋体"/>
          <w:color w:val="000000"/>
          <w:sz w:val="24"/>
          <w:szCs w:val="24"/>
          <w:highlight w:val="none"/>
          <w:lang w:val="zh-CN"/>
        </w:rPr>
      </w:r>
      <w:r/>
    </w:p>
    <w:p>
      <w:pPr>
        <w:pStyle w:val="708"/>
        <w:ind w:firstLine="426"/>
        <w:jc w:val="left"/>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en-US" w:eastAsia="zh-CN"/>
        </w:rPr>
        <w:t xml:space="preserve">获取方法：</w:t>
      </w:r>
      <w:r>
        <w:rPr>
          <w:rFonts w:hint="eastAsia" w:ascii="宋体" w:hAnsi="宋体" w:eastAsia="宋体" w:cs="宋体"/>
          <w:color w:val="000000"/>
          <w:sz w:val="24"/>
          <w:szCs w:val="24"/>
          <w:highlight w:val="none"/>
        </w:rPr>
        <w:t xml:space="preserve">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color w:val="000000"/>
          <w:sz w:val="24"/>
          <w:szCs w:val="24"/>
          <w:highlight w:val="none"/>
          <w:lang w:val="zh-CN"/>
        </w:rPr>
      </w:r>
      <w:r/>
    </w:p>
    <w:p>
      <w:pPr>
        <w:pStyle w:val="708"/>
        <w:ind w:firstLine="482"/>
        <w:keepLines w:val="0"/>
        <w:keepNext w:val="0"/>
        <w:pageBreakBefore w:val="0"/>
        <w:spacing w:line="360" w:lineRule="auto"/>
        <w:rPr>
          <w:rFonts w:hint="eastAsia" w:ascii="宋体" w:hAnsi="宋体" w:eastAsia="宋体" w:cs="宋体"/>
          <w:b/>
          <w:color w:val="000000"/>
          <w:sz w:val="24"/>
          <w:szCs w:val="24"/>
          <w:highlight w:val="none"/>
        </w:rPr>
        <w:outlineLvl w:val="1"/>
      </w:pPr>
      <w:r/>
      <w:bookmarkStart w:id="13" w:name="_Toc28"/>
      <w:r/>
      <w:bookmarkStart w:id="14" w:name="_Toc8452"/>
      <w:r>
        <w:rPr>
          <w:rFonts w:hint="eastAsia" w:ascii="宋体" w:hAnsi="宋体" w:eastAsia="宋体" w:cs="宋体"/>
          <w:b/>
          <w:color w:val="000000"/>
          <w:sz w:val="24"/>
          <w:szCs w:val="24"/>
          <w:highlight w:val="none"/>
        </w:rPr>
        <w:t xml:space="preserve">四、提交投标文件</w:t>
      </w:r>
      <w:r>
        <w:rPr>
          <w:rFonts w:hint="eastAsia" w:ascii="宋体" w:hAnsi="宋体" w:cs="宋体"/>
          <w:b/>
          <w:color w:val="000000"/>
          <w:sz w:val="24"/>
          <w:szCs w:val="24"/>
          <w:highlight w:val="none"/>
          <w:lang w:val="en-US" w:eastAsia="zh-CN"/>
        </w:rPr>
        <w:t xml:space="preserve">截止</w:t>
      </w:r>
      <w:r>
        <w:rPr>
          <w:rFonts w:hint="eastAsia" w:ascii="宋体" w:hAnsi="宋体" w:eastAsia="宋体" w:cs="宋体"/>
          <w:b/>
          <w:color w:val="000000"/>
          <w:sz w:val="24"/>
          <w:szCs w:val="24"/>
          <w:highlight w:val="none"/>
        </w:rPr>
        <w:t xml:space="preserve">时间、开标时间</w:t>
      </w:r>
      <w:bookmarkEnd w:id="13"/>
      <w:r/>
      <w:bookmarkEnd w:id="14"/>
      <w:r>
        <w:rPr>
          <w:rFonts w:hint="eastAsia" w:ascii="宋体" w:hAnsi="宋体" w:eastAsia="宋体" w:cs="宋体"/>
          <w:b/>
          <w:color w:val="000000"/>
          <w:sz w:val="24"/>
          <w:szCs w:val="24"/>
          <w:highlight w:val="none"/>
        </w:rPr>
      </w:r>
      <w:r/>
    </w:p>
    <w:p>
      <w:pPr>
        <w:pStyle w:val="708"/>
        <w:ind w:firstLine="480"/>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提交投标文件截止时间及开标时间：</w:t>
      </w:r>
      <w:r>
        <w:rPr>
          <w:rFonts w:hint="eastAsia" w:ascii="宋体" w:hAnsi="宋体" w:eastAsia="宋体" w:cs="宋体"/>
          <w:b/>
          <w:bCs w:val="0"/>
          <w:color w:val="000000"/>
          <w:sz w:val="24"/>
          <w:szCs w:val="24"/>
          <w:highlight w:val="yellow"/>
          <w:lang w:eastAsia="zh-CN"/>
        </w:rPr>
        <w:t xml:space="preserve">2026</w:t>
      </w:r>
      <w:r>
        <w:rPr>
          <w:rFonts w:hint="eastAsia" w:ascii="宋体" w:hAnsi="宋体" w:eastAsia="宋体" w:cs="宋体"/>
          <w:b/>
          <w:bCs w:val="0"/>
          <w:color w:val="000000"/>
          <w:sz w:val="24"/>
          <w:szCs w:val="24"/>
          <w:highlight w:val="yellow"/>
        </w:rPr>
        <w:t xml:space="preserve">年</w:t>
      </w:r>
      <w:r>
        <w:rPr>
          <w:rFonts w:hint="eastAsia" w:ascii="宋体" w:hAnsi="宋体" w:cs="宋体"/>
          <w:b/>
          <w:bCs w:val="0"/>
          <w:color w:val="000000"/>
          <w:sz w:val="24"/>
          <w:szCs w:val="24"/>
          <w:highlight w:val="yellow"/>
          <w:lang w:val="en-US" w:eastAsia="zh-CN"/>
        </w:rPr>
        <w:t xml:space="preserve">7</w:t>
      </w:r>
      <w:r>
        <w:rPr>
          <w:rFonts w:hint="eastAsia" w:ascii="宋体" w:hAnsi="宋体" w:eastAsia="宋体" w:cs="宋体"/>
          <w:b/>
          <w:bCs w:val="0"/>
          <w:color w:val="000000"/>
          <w:sz w:val="24"/>
          <w:szCs w:val="24"/>
          <w:highlight w:val="yellow"/>
        </w:rPr>
        <w:t xml:space="preserve">月</w:t>
      </w:r>
      <w:r>
        <w:rPr>
          <w:rFonts w:hint="eastAsia" w:ascii="宋体" w:hAnsi="宋体" w:cs="宋体"/>
          <w:b/>
          <w:bCs w:val="0"/>
          <w:color w:val="000000"/>
          <w:sz w:val="24"/>
          <w:szCs w:val="24"/>
          <w:highlight w:val="yellow"/>
          <w:lang w:val="en-US" w:eastAsia="zh-CN"/>
        </w:rPr>
        <w:t xml:space="preserve">21</w:t>
      </w:r>
      <w:r>
        <w:rPr>
          <w:rFonts w:hint="eastAsia" w:ascii="宋体" w:hAnsi="宋体" w:eastAsia="宋体" w:cs="宋体"/>
          <w:b/>
          <w:bCs w:val="0"/>
          <w:color w:val="000000"/>
          <w:sz w:val="24"/>
          <w:szCs w:val="24"/>
          <w:highlight w:val="yellow"/>
        </w:rPr>
        <w:t xml:space="preserve">日</w:t>
      </w:r>
      <w:r>
        <w:rPr>
          <w:rFonts w:hint="eastAsia" w:ascii="宋体" w:hAnsi="宋体" w:cs="宋体"/>
          <w:b/>
          <w:bCs w:val="0"/>
          <w:color w:val="000000"/>
          <w:sz w:val="24"/>
          <w:szCs w:val="24"/>
          <w:highlight w:val="yellow"/>
          <w:lang w:val="en-US" w:eastAsia="zh-CN"/>
        </w:rPr>
        <w:t xml:space="preserve">14</w:t>
      </w:r>
      <w:r>
        <w:rPr>
          <w:rFonts w:hint="eastAsia" w:ascii="宋体" w:hAnsi="宋体" w:eastAsia="宋体" w:cs="宋体"/>
          <w:b/>
          <w:bCs w:val="0"/>
          <w:color w:val="000000"/>
          <w:sz w:val="24"/>
          <w:szCs w:val="24"/>
          <w:highlight w:val="yellow"/>
        </w:rPr>
        <w:t xml:space="preserve">时</w:t>
      </w:r>
      <w:r>
        <w:rPr>
          <w:rFonts w:hint="eastAsia" w:ascii="宋体" w:hAnsi="宋体" w:cs="宋体"/>
          <w:b/>
          <w:bCs w:val="0"/>
          <w:color w:val="000000"/>
          <w:sz w:val="24"/>
          <w:szCs w:val="24"/>
          <w:highlight w:val="yellow"/>
          <w:lang w:val="en-US" w:eastAsia="zh-CN"/>
        </w:rPr>
        <w:t xml:space="preserve">30</w:t>
      </w:r>
      <w:r>
        <w:rPr>
          <w:rFonts w:hint="eastAsia" w:ascii="宋体" w:hAnsi="宋体" w:eastAsia="宋体" w:cs="宋体"/>
          <w:b/>
          <w:bCs w:val="0"/>
          <w:color w:val="000000"/>
          <w:sz w:val="24"/>
          <w:szCs w:val="24"/>
          <w:highlight w:val="yellow"/>
        </w:rPr>
        <w:t xml:space="preserve">分</w:t>
      </w:r>
      <w:r>
        <w:rPr>
          <w:rFonts w:hint="eastAsia" w:ascii="宋体" w:hAnsi="宋体" w:eastAsia="宋体" w:cs="宋体"/>
          <w:b/>
          <w:bCs w:val="0"/>
          <w:color w:val="000000"/>
          <w:sz w:val="24"/>
          <w:szCs w:val="24"/>
          <w:highlight w:val="none"/>
        </w:rPr>
        <w:t xml:space="preserve">（北京时间）</w:t>
      </w:r>
      <w:r>
        <w:rPr>
          <w:rFonts w:hint="eastAsia" w:ascii="宋体" w:hAnsi="宋体" w:eastAsia="宋体" w:cs="宋体"/>
          <w:bCs/>
          <w:color w:val="000000"/>
          <w:sz w:val="24"/>
          <w:szCs w:val="24"/>
          <w:highlight w:val="none"/>
        </w:rPr>
      </w:r>
      <w:r/>
    </w:p>
    <w:p>
      <w:pPr>
        <w:pStyle w:val="70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递交</w:t>
      </w:r>
      <w:r>
        <w:rPr>
          <w:rFonts w:hint="eastAsia" w:ascii="宋体" w:hAnsi="宋体" w:eastAsia="宋体" w:cs="宋体"/>
          <w:bCs/>
          <w:color w:val="000000"/>
          <w:sz w:val="24"/>
          <w:szCs w:val="24"/>
          <w:highlight w:val="none"/>
        </w:rPr>
        <w:t xml:space="preserve">投标文件</w:t>
      </w:r>
      <w:r>
        <w:rPr>
          <w:rFonts w:hint="eastAsia" w:ascii="宋体" w:hAnsi="宋体" w:eastAsia="宋体" w:cs="宋体"/>
          <w:bCs/>
          <w:color w:val="000000"/>
          <w:sz w:val="24"/>
          <w:szCs w:val="24"/>
          <w:highlight w:val="none"/>
          <w:lang w:val="zh-CN"/>
        </w:rPr>
        <w:t xml:space="preserve">、开标地点：</w:t>
      </w:r>
      <w:r>
        <w:rPr>
          <w:rFonts w:hint="eastAsia" w:ascii="宋体" w:hAnsi="宋体" w:eastAsia="宋体" w:cs="宋体"/>
          <w:color w:val="000000"/>
          <w:sz w:val="24"/>
          <w:szCs w:val="24"/>
          <w:highlight w:val="none"/>
        </w:rPr>
        <w:t xml:space="preserve">江苏省政府采购管理交易系统（苏采云）</w:t>
      </w:r>
      <w:r>
        <w:rPr>
          <w:rFonts w:hint="eastAsia" w:ascii="宋体" w:hAnsi="宋体" w:eastAsia="宋体" w:cs="宋体"/>
          <w:color w:val="000000"/>
          <w:sz w:val="24"/>
          <w:szCs w:val="24"/>
          <w:highlight w:val="none"/>
        </w:rPr>
      </w:r>
      <w:r/>
    </w:p>
    <w:p>
      <w:pPr>
        <w:pStyle w:val="708"/>
        <w:ind w:firstLine="422"/>
        <w:spacing w:line="360" w:lineRule="auto"/>
        <w:shd w:val="clear" w:color="auto" w:fill="ffffff"/>
        <w:widowControl/>
        <w:rPr>
          <w:rFonts w:hint="eastAsia" w:ascii="宋体" w:hAnsi="宋体" w:eastAsia="宋体" w:cs="宋体"/>
          <w:b/>
          <w:bCs/>
          <w:color w:val="000000"/>
          <w:sz w:val="24"/>
          <w:szCs w:val="24"/>
          <w:highlight w:val="none"/>
        </w:rPr>
        <w:outlineLvl w:val="1"/>
      </w:pPr>
      <w:r/>
      <w:bookmarkStart w:id="15" w:name="_Toc21578"/>
      <w:r/>
      <w:bookmarkStart w:id="16" w:name="_Toc22212"/>
      <w:r>
        <w:rPr>
          <w:rFonts w:hint="eastAsia" w:ascii="宋体" w:hAnsi="宋体" w:eastAsia="宋体" w:cs="宋体"/>
          <w:b/>
          <w:bCs/>
          <w:color w:val="000000"/>
          <w:sz w:val="24"/>
          <w:szCs w:val="24"/>
          <w:highlight w:val="none"/>
        </w:rPr>
        <w:t xml:space="preserve">五、开启</w:t>
      </w:r>
      <w:bookmarkEnd w:id="15"/>
      <w:r/>
      <w:bookmarkEnd w:id="16"/>
      <w:r>
        <w:rPr>
          <w:rFonts w:hint="eastAsia" w:ascii="宋体" w:hAnsi="宋体" w:eastAsia="宋体" w:cs="宋体"/>
          <w:b/>
          <w:bCs/>
          <w:color w:val="000000"/>
          <w:sz w:val="24"/>
          <w:szCs w:val="24"/>
          <w:highlight w:val="none"/>
        </w:rPr>
      </w:r>
      <w:r/>
    </w:p>
    <w:p>
      <w:pPr>
        <w:pStyle w:val="708"/>
        <w:ind w:firstLine="420"/>
        <w:spacing w:line="360" w:lineRule="auto"/>
        <w:rPr>
          <w:rFonts w:hint="eastAsia" w:ascii="宋体" w:hAnsi="宋体" w:eastAsia="宋体" w:cs="宋体"/>
          <w:color w:val="000000"/>
          <w:spacing w:val="8"/>
          <w:sz w:val="24"/>
          <w:szCs w:val="24"/>
          <w:highlight w:val="none"/>
        </w:rPr>
        <w:outlineLvl w:val="9"/>
      </w:pPr>
      <w:r>
        <w:rPr>
          <w:rFonts w:hint="eastAsia" w:ascii="宋体" w:hAnsi="宋体" w:eastAsia="宋体" w:cs="宋体"/>
          <w:color w:val="000000"/>
          <w:sz w:val="24"/>
          <w:szCs w:val="24"/>
          <w:highlight w:val="none"/>
        </w:rPr>
        <w:t xml:space="preserve">时间：</w:t>
      </w:r>
      <w:r>
        <w:rPr>
          <w:rFonts w:hint="eastAsia" w:ascii="宋体" w:hAnsi="宋体" w:eastAsia="宋体" w:cs="宋体"/>
          <w:b/>
          <w:bCs w:val="0"/>
          <w:color w:val="000000"/>
          <w:sz w:val="24"/>
          <w:szCs w:val="24"/>
          <w:highlight w:val="yellow"/>
          <w:lang w:eastAsia="zh-CN"/>
        </w:rPr>
        <w:t xml:space="preserve">2026</w:t>
      </w:r>
      <w:r>
        <w:rPr>
          <w:rFonts w:hint="eastAsia" w:ascii="宋体" w:hAnsi="宋体" w:eastAsia="宋体" w:cs="宋体"/>
          <w:b/>
          <w:bCs w:val="0"/>
          <w:color w:val="000000"/>
          <w:sz w:val="24"/>
          <w:szCs w:val="24"/>
          <w:highlight w:val="yellow"/>
        </w:rPr>
        <w:t xml:space="preserve">年</w:t>
      </w:r>
      <w:r>
        <w:rPr>
          <w:rFonts w:hint="eastAsia" w:ascii="宋体" w:hAnsi="宋体" w:cs="宋体"/>
          <w:b/>
          <w:bCs w:val="0"/>
          <w:color w:val="000000"/>
          <w:sz w:val="24"/>
          <w:szCs w:val="24"/>
          <w:highlight w:val="yellow"/>
          <w:lang w:val="en-US" w:eastAsia="zh-CN"/>
        </w:rPr>
        <w:t xml:space="preserve">7</w:t>
      </w:r>
      <w:r>
        <w:rPr>
          <w:rFonts w:hint="eastAsia" w:ascii="宋体" w:hAnsi="宋体" w:eastAsia="宋体" w:cs="宋体"/>
          <w:b/>
          <w:bCs w:val="0"/>
          <w:color w:val="000000"/>
          <w:sz w:val="24"/>
          <w:szCs w:val="24"/>
          <w:highlight w:val="yellow"/>
        </w:rPr>
        <w:t xml:space="preserve">月</w:t>
      </w:r>
      <w:r>
        <w:rPr>
          <w:rFonts w:hint="eastAsia" w:ascii="宋体" w:hAnsi="宋体" w:cs="宋体"/>
          <w:b/>
          <w:bCs w:val="0"/>
          <w:color w:val="000000"/>
          <w:sz w:val="24"/>
          <w:szCs w:val="24"/>
          <w:highlight w:val="yellow"/>
          <w:lang w:val="en-US" w:eastAsia="zh-CN"/>
        </w:rPr>
        <w:t xml:space="preserve">21</w:t>
      </w:r>
      <w:r>
        <w:rPr>
          <w:rFonts w:hint="eastAsia" w:ascii="宋体" w:hAnsi="宋体" w:eastAsia="宋体" w:cs="宋体"/>
          <w:b/>
          <w:bCs w:val="0"/>
          <w:color w:val="000000"/>
          <w:sz w:val="24"/>
          <w:szCs w:val="24"/>
          <w:highlight w:val="yellow"/>
        </w:rPr>
        <w:t xml:space="preserve">日</w:t>
      </w:r>
      <w:r>
        <w:rPr>
          <w:rFonts w:hint="eastAsia" w:ascii="宋体" w:hAnsi="宋体" w:cs="宋体"/>
          <w:b/>
          <w:bCs w:val="0"/>
          <w:color w:val="000000"/>
          <w:sz w:val="24"/>
          <w:szCs w:val="24"/>
          <w:highlight w:val="yellow"/>
          <w:lang w:val="en-US" w:eastAsia="zh-CN"/>
        </w:rPr>
        <w:t xml:space="preserve">14</w:t>
      </w:r>
      <w:r>
        <w:rPr>
          <w:rFonts w:hint="eastAsia" w:ascii="宋体" w:hAnsi="宋体" w:eastAsia="宋体" w:cs="宋体"/>
          <w:b/>
          <w:bCs w:val="0"/>
          <w:color w:val="000000"/>
          <w:sz w:val="24"/>
          <w:szCs w:val="24"/>
          <w:highlight w:val="yellow"/>
        </w:rPr>
        <w:t xml:space="preserve">时</w:t>
      </w:r>
      <w:r>
        <w:rPr>
          <w:rFonts w:hint="eastAsia" w:ascii="宋体" w:hAnsi="宋体" w:cs="宋体"/>
          <w:b/>
          <w:bCs w:val="0"/>
          <w:color w:val="000000"/>
          <w:sz w:val="24"/>
          <w:szCs w:val="24"/>
          <w:highlight w:val="yellow"/>
          <w:lang w:val="en-US" w:eastAsia="zh-CN"/>
        </w:rPr>
        <w:t xml:space="preserve">30</w:t>
      </w:r>
      <w:r>
        <w:rPr>
          <w:rFonts w:hint="eastAsia" w:ascii="宋体" w:hAnsi="宋体" w:eastAsia="宋体" w:cs="宋体"/>
          <w:b/>
          <w:bCs w:val="0"/>
          <w:color w:val="000000"/>
          <w:sz w:val="24"/>
          <w:szCs w:val="24"/>
          <w:highlight w:val="yellow"/>
        </w:rPr>
        <w:t xml:space="preserve">分</w:t>
      </w:r>
      <w:r>
        <w:rPr>
          <w:rFonts w:hint="eastAsia" w:ascii="宋体" w:hAnsi="宋体" w:eastAsia="宋体" w:cs="宋体"/>
          <w:b/>
          <w:bCs w:val="0"/>
          <w:color w:val="000000"/>
          <w:sz w:val="24"/>
          <w:szCs w:val="24"/>
          <w:highlight w:val="none"/>
        </w:rPr>
        <w:t xml:space="preserve">（北京时间）</w:t>
      </w:r>
      <w:r>
        <w:rPr>
          <w:rFonts w:hint="eastAsia" w:ascii="宋体" w:hAnsi="宋体" w:eastAsia="宋体" w:cs="宋体"/>
          <w:color w:val="000000"/>
          <w:spacing w:val="8"/>
          <w:sz w:val="24"/>
          <w:szCs w:val="24"/>
          <w:highlight w:val="none"/>
        </w:rPr>
      </w:r>
      <w:r/>
    </w:p>
    <w:p>
      <w:pPr>
        <w:pStyle w:val="708"/>
        <w:ind w:firstLine="420"/>
        <w:spacing w:line="360" w:lineRule="auto"/>
        <w:rPr>
          <w:rFonts w:hint="eastAsia" w:ascii="宋体" w:hAnsi="宋体" w:eastAsia="宋体" w:cs="宋体"/>
          <w:color w:val="000000"/>
          <w:spacing w:val="8"/>
          <w:sz w:val="24"/>
          <w:szCs w:val="24"/>
          <w:highlight w:val="none"/>
        </w:rPr>
        <w:outlineLvl w:val="9"/>
      </w:pPr>
      <w:r>
        <w:rPr>
          <w:rFonts w:hint="eastAsia" w:ascii="宋体" w:hAnsi="宋体" w:eastAsia="宋体" w:cs="宋体"/>
          <w:color w:val="000000"/>
          <w:spacing w:val="8"/>
          <w:sz w:val="24"/>
          <w:szCs w:val="24"/>
          <w:highlight w:val="none"/>
        </w:rPr>
        <w:t xml:space="preserve">地点：</w:t>
      </w:r>
      <w:r>
        <w:rPr>
          <w:rFonts w:hint="eastAsia" w:ascii="宋体" w:hAnsi="宋体" w:eastAsia="宋体" w:cs="宋体"/>
          <w:color w:val="000000"/>
          <w:sz w:val="24"/>
          <w:szCs w:val="24"/>
          <w:highlight w:val="none"/>
        </w:rPr>
        <w:t xml:space="preserve">“苏采云”网上开标大厅</w:t>
      </w:r>
      <w:r>
        <w:rPr>
          <w:rFonts w:hint="eastAsia" w:ascii="宋体" w:hAnsi="宋体" w:eastAsia="宋体" w:cs="宋体"/>
          <w:color w:val="000000"/>
          <w:spacing w:val="8"/>
          <w:sz w:val="24"/>
          <w:szCs w:val="24"/>
          <w:highlight w:val="none"/>
        </w:rPr>
      </w:r>
      <w:r/>
    </w:p>
    <w:p>
      <w:pPr>
        <w:pStyle w:val="708"/>
        <w:ind w:firstLine="482"/>
        <w:keepLines w:val="0"/>
        <w:keepNext w:val="0"/>
        <w:pageBreakBefore w:val="0"/>
        <w:spacing w:line="360" w:lineRule="auto"/>
        <w:rPr>
          <w:rFonts w:hint="eastAsia" w:ascii="宋体" w:hAnsi="宋体" w:eastAsia="宋体" w:cs="宋体"/>
          <w:b/>
          <w:color w:val="000000"/>
          <w:sz w:val="24"/>
          <w:szCs w:val="24"/>
          <w:highlight w:val="none"/>
        </w:rPr>
        <w:outlineLvl w:val="1"/>
      </w:pPr>
      <w:r/>
      <w:bookmarkStart w:id="17" w:name="_Toc14484"/>
      <w:r/>
      <w:bookmarkStart w:id="18" w:name="_Toc3442"/>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、公告期限</w:t>
      </w:r>
      <w:bookmarkEnd w:id="17"/>
      <w:r/>
      <w:bookmarkEnd w:id="18"/>
      <w:r>
        <w:rPr>
          <w:rFonts w:hint="eastAsia" w:ascii="宋体" w:hAnsi="宋体" w:eastAsia="宋体" w:cs="宋体"/>
          <w:b/>
          <w:color w:val="000000"/>
          <w:sz w:val="24"/>
          <w:szCs w:val="24"/>
          <w:highlight w:val="none"/>
        </w:rPr>
      </w:r>
      <w:r/>
    </w:p>
    <w:p>
      <w:pPr>
        <w:pStyle w:val="708"/>
        <w:ind w:firstLine="480"/>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Cs/>
          <w:color w:val="000000"/>
          <w:sz w:val="24"/>
          <w:szCs w:val="24"/>
          <w:highlight w:val="none"/>
        </w:rPr>
        <w:t xml:space="preserve">自本公告在法定媒体发布之日起五个工作日</w:t>
      </w:r>
      <w:r>
        <w:rPr>
          <w:rFonts w:hint="eastAsia" w:ascii="宋体" w:hAnsi="宋体" w:eastAsia="宋体" w:cs="宋体"/>
          <w:b/>
          <w:color w:val="000000"/>
          <w:sz w:val="24"/>
          <w:szCs w:val="24"/>
          <w:highlight w:val="none"/>
        </w:rPr>
      </w:r>
      <w:r/>
    </w:p>
    <w:p>
      <w:pPr>
        <w:pStyle w:val="708"/>
        <w:ind w:firstLine="482"/>
        <w:keepLines w:val="0"/>
        <w:keepNext w:val="0"/>
        <w:pageBreakBefore w:val="0"/>
        <w:spacing w:line="360" w:lineRule="auto"/>
        <w:rPr>
          <w:rFonts w:hint="eastAsia" w:ascii="宋体" w:hAnsi="宋体" w:eastAsia="宋体" w:cs="宋体"/>
          <w:b/>
          <w:color w:val="000000"/>
          <w:sz w:val="24"/>
          <w:szCs w:val="24"/>
          <w:highlight w:val="none"/>
        </w:rPr>
        <w:outlineLvl w:val="1"/>
      </w:pPr>
      <w:r/>
      <w:bookmarkStart w:id="19" w:name="_Toc19274"/>
      <w:r/>
      <w:bookmarkStart w:id="20" w:name="_Toc616"/>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、其他补充事宜</w:t>
      </w:r>
      <w:bookmarkEnd w:id="19"/>
      <w:r/>
      <w:bookmarkEnd w:id="20"/>
      <w:r>
        <w:rPr>
          <w:rFonts w:hint="eastAsia" w:ascii="宋体" w:hAnsi="宋体" w:eastAsia="宋体" w:cs="宋体"/>
          <w:b/>
          <w:color w:val="000000"/>
          <w:sz w:val="24"/>
          <w:szCs w:val="24"/>
          <w:highlight w:val="none"/>
        </w:rPr>
      </w:r>
      <w:r/>
    </w:p>
    <w:p>
      <w:pPr>
        <w:pStyle w:val="708"/>
        <w:ind w:firstLine="480"/>
        <w:spacing w:line="360" w:lineRule="auto"/>
        <w:shd w:val="clear" w:color="auto" w:fill="ffffff"/>
        <w:widowControl/>
        <w:rPr>
          <w:rFonts w:hint="eastAsia" w:ascii="宋体" w:hAnsi="宋体" w:cs="宋体"/>
          <w:color w:val="000000"/>
          <w:sz w:val="24"/>
          <w:szCs w:val="24"/>
        </w:rPr>
      </w:pPr>
      <w:r/>
      <w:bookmarkStart w:id="21" w:name="_Toc28423"/>
      <w:r/>
      <w:bookmarkStart w:id="22" w:name="_Toc13636"/>
      <w:r>
        <w:rPr>
          <w:rFonts w:hint="eastAsia" w:ascii="宋体" w:hAnsi="宋体" w:cs="宋体"/>
          <w:color w:val="000000"/>
          <w:sz w:val="24"/>
          <w:szCs w:val="24"/>
        </w:rPr>
        <w:t xml:space="preserve">1．是否接受进口产品：不接受。</w:t>
      </w:r>
      <w:r>
        <w:rPr>
          <w:rFonts w:hint="eastAsia" w:ascii="宋体" w:hAnsi="宋体" w:cs="宋体"/>
          <w:color w:val="000000"/>
          <w:sz w:val="24"/>
          <w:szCs w:val="24"/>
        </w:rPr>
      </w:r>
      <w:r/>
    </w:p>
    <w:p>
      <w:pPr>
        <w:pStyle w:val="70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2．集中考察现场及答疑时间、地点：采购人不统一组织现场踏勘。</w:t>
      </w:r>
      <w:r>
        <w:rPr>
          <w:rFonts w:hint="eastAsia" w:ascii="宋体" w:hAnsi="宋体" w:cs="宋体"/>
          <w:color w:val="000000"/>
          <w:sz w:val="24"/>
          <w:szCs w:val="24"/>
        </w:rPr>
      </w:r>
      <w:r/>
    </w:p>
    <w:p>
      <w:pPr>
        <w:pStyle w:val="70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3．政府采购信用承诺</w:t>
      </w:r>
      <w:r>
        <w:rPr>
          <w:rFonts w:hint="eastAsia" w:ascii="宋体" w:hAnsi="宋体" w:cs="宋体"/>
          <w:color w:val="000000"/>
          <w:sz w:val="24"/>
          <w:szCs w:val="24"/>
        </w:rPr>
      </w:r>
      <w:r/>
    </w:p>
    <w:p>
      <w:pPr>
        <w:pStyle w:val="70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cs="宋体"/>
          <w:color w:val="000000"/>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rPr>
          <w:rFonts w:hint="eastAsia" w:ascii="宋体" w:hAnsi="宋体" w:cs="宋体"/>
          <w:color w:val="000000"/>
          <w:sz w:val="24"/>
          <w:szCs w:val="24"/>
        </w:rPr>
      </w:r>
      <w:r/>
    </w:p>
    <w:p>
      <w:pPr>
        <w:pStyle w:val="70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在政府采购资格审查环节，供应商只需提供书面《南京市政府采购供应商信用记录表暨信用承诺书》，即可替代以下证明材料：</w:t>
      </w:r>
      <w:r>
        <w:rPr>
          <w:rFonts w:hint="eastAsia" w:ascii="宋体" w:hAnsi="宋体" w:cs="宋体"/>
          <w:color w:val="000000"/>
          <w:sz w:val="24"/>
          <w:szCs w:val="24"/>
        </w:rPr>
      </w:r>
      <w:r/>
    </w:p>
    <w:p>
      <w:pPr>
        <w:pStyle w:val="70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（1）符合国家相关规定的财务状况报告；</w:t>
      </w:r>
      <w:r>
        <w:rPr>
          <w:rFonts w:hint="eastAsia" w:ascii="宋体" w:hAnsi="宋体" w:cs="宋体"/>
          <w:color w:val="000000"/>
          <w:sz w:val="24"/>
          <w:szCs w:val="24"/>
        </w:rPr>
      </w:r>
      <w:r/>
    </w:p>
    <w:p>
      <w:pPr>
        <w:pStyle w:val="70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（2）依法缴纳税收的证明材料；</w:t>
      </w:r>
      <w:r>
        <w:rPr>
          <w:rFonts w:hint="eastAsia" w:ascii="宋体" w:hAnsi="宋体" w:cs="宋体"/>
          <w:color w:val="000000"/>
          <w:sz w:val="24"/>
          <w:szCs w:val="24"/>
        </w:rPr>
      </w:r>
      <w:r/>
    </w:p>
    <w:p>
      <w:pPr>
        <w:pStyle w:val="70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（3）依法缴纳社会保障资金的证明材料；</w:t>
      </w:r>
      <w:r>
        <w:rPr>
          <w:rFonts w:hint="eastAsia" w:ascii="宋体" w:hAnsi="宋体" w:cs="宋体"/>
          <w:color w:val="000000"/>
          <w:sz w:val="24"/>
          <w:szCs w:val="24"/>
        </w:rPr>
      </w:r>
      <w:r/>
    </w:p>
    <w:p>
      <w:pPr>
        <w:pStyle w:val="70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（4）具备履行政府采购合同所必需的设备和专业技术能力的证明材料；</w:t>
      </w:r>
      <w:r>
        <w:rPr>
          <w:rFonts w:hint="eastAsia" w:ascii="宋体" w:hAnsi="宋体" w:cs="宋体"/>
          <w:color w:val="000000"/>
          <w:sz w:val="24"/>
          <w:szCs w:val="24"/>
        </w:rPr>
      </w:r>
      <w:r/>
    </w:p>
    <w:p>
      <w:pPr>
        <w:pStyle w:val="70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（5）参加政府采购活动前三年内在经营活动中没有重大违法记录的证明材料；</w:t>
      </w:r>
      <w:r>
        <w:rPr>
          <w:rFonts w:hint="eastAsia" w:ascii="宋体" w:hAnsi="宋体" w:cs="宋体"/>
          <w:color w:val="000000"/>
          <w:sz w:val="24"/>
          <w:szCs w:val="24"/>
        </w:rPr>
      </w:r>
      <w:r/>
    </w:p>
    <w:p>
      <w:pPr>
        <w:pStyle w:val="70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（6）未被列入失信被执行人、重大税收违法失信主体、政府采购严重违法失信行为记录名单的证明材料。</w:t>
      </w:r>
      <w:r>
        <w:rPr>
          <w:rFonts w:hint="eastAsia" w:ascii="宋体" w:hAnsi="宋体" w:cs="宋体"/>
          <w:color w:val="000000"/>
          <w:sz w:val="24"/>
          <w:szCs w:val="24"/>
        </w:rPr>
      </w:r>
      <w:r/>
    </w:p>
    <w:p>
      <w:pPr>
        <w:pStyle w:val="70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cs="宋体"/>
          <w:color w:val="000000"/>
          <w:sz w:val="24"/>
          <w:szCs w:val="24"/>
        </w:rPr>
      </w:r>
      <w:r/>
    </w:p>
    <w:p>
      <w:pPr>
        <w:pStyle w:val="70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供应商涉及以下情形的，不适用信用承诺：</w:t>
      </w:r>
      <w:r>
        <w:rPr>
          <w:rFonts w:hint="eastAsia" w:ascii="宋体" w:hAnsi="宋体" w:cs="宋体"/>
          <w:color w:val="000000"/>
          <w:sz w:val="24"/>
          <w:szCs w:val="24"/>
        </w:rPr>
      </w:r>
      <w:r/>
    </w:p>
    <w:p>
      <w:pPr>
        <w:pStyle w:val="70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（1）供应商被列入严重失信主体名单；</w:t>
      </w:r>
      <w:r>
        <w:rPr>
          <w:rFonts w:hint="eastAsia" w:ascii="宋体" w:hAnsi="宋体" w:cs="宋体"/>
          <w:color w:val="000000"/>
          <w:sz w:val="24"/>
          <w:szCs w:val="24"/>
        </w:rPr>
      </w:r>
      <w:r/>
    </w:p>
    <w:p>
      <w:pPr>
        <w:pStyle w:val="70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（2）被相关监管部门作出行政处罚且尚在处罚有效期内；</w:t>
      </w:r>
      <w:r>
        <w:rPr>
          <w:rFonts w:hint="eastAsia" w:ascii="宋体" w:hAnsi="宋体" w:cs="宋体"/>
          <w:color w:val="000000"/>
          <w:sz w:val="24"/>
          <w:szCs w:val="24"/>
        </w:rPr>
      </w:r>
      <w:r/>
    </w:p>
    <w:p>
      <w:pPr>
        <w:pStyle w:val="70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（3）其他法律、行政法规规定的不适用信用承诺的情形。</w:t>
      </w:r>
      <w:r>
        <w:rPr>
          <w:rFonts w:hint="eastAsia" w:ascii="宋体" w:hAnsi="宋体" w:cs="宋体"/>
          <w:color w:val="000000"/>
          <w:sz w:val="24"/>
          <w:szCs w:val="24"/>
        </w:rPr>
      </w:r>
      <w:r/>
    </w:p>
    <w:p>
      <w:pPr>
        <w:pStyle w:val="708"/>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供应商对信用承诺内容的真实性、合法性、有效性负责。如作出虚假信用承诺，视同为“提供虚假材料谋取中标、成交”的违法行为。</w:t>
      </w:r>
      <w:r>
        <w:rPr>
          <w:rFonts w:hint="eastAsia" w:ascii="宋体" w:hAnsi="宋体" w:cs="宋体"/>
          <w:color w:val="000000"/>
          <w:sz w:val="24"/>
          <w:szCs w:val="24"/>
        </w:rPr>
      </w:r>
      <w:r/>
    </w:p>
    <w:p>
      <w:pPr>
        <w:pStyle w:val="708"/>
        <w:numPr>
          <w:ilvl w:val="0"/>
          <w:numId w:val="0"/>
        </w:numPr>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lang w:val="en-US" w:eastAsia="zh-CN" w:bidi="ar-SA"/>
        </w:rPr>
        <w:t xml:space="preserve">4．</w:t>
      </w:r>
      <w:r>
        <w:rPr>
          <w:rFonts w:hint="eastAsia" w:ascii="宋体" w:hAnsi="宋体" w:cs="宋体"/>
          <w:color w:val="000000"/>
          <w:sz w:val="24"/>
          <w:szCs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rPr>
          <w:rFonts w:hint="eastAsia" w:ascii="宋体" w:hAnsi="宋体" w:cs="宋体"/>
          <w:color w:val="000000"/>
          <w:sz w:val="24"/>
          <w:szCs w:val="24"/>
        </w:rPr>
      </w:r>
      <w:r/>
    </w:p>
    <w:p>
      <w:pPr>
        <w:pStyle w:val="708"/>
        <w:ind w:firstLine="422"/>
        <w:spacing w:line="360" w:lineRule="auto"/>
        <w:shd w:val="clear" w:color="auto" w:fill="ffffff"/>
        <w:widowControl/>
        <w:rPr>
          <w:rFonts w:hint="eastAsia" w:ascii="宋体" w:hAnsi="宋体" w:cs="宋体"/>
          <w:color w:val="000000"/>
          <w:sz w:val="24"/>
          <w:szCs w:val="24"/>
        </w:rPr>
        <w:outlineLvl w:val="1"/>
      </w:pPr>
      <w:r>
        <w:rPr>
          <w:rFonts w:hint="eastAsia" w:ascii="宋体" w:hAnsi="宋体" w:cs="宋体"/>
          <w:color w:val="000000"/>
          <w:sz w:val="24"/>
          <w:szCs w:val="24"/>
          <w:lang w:val="en-US" w:eastAsia="zh-CN" w:bidi="ar-SA"/>
        </w:rPr>
        <w:t xml:space="preserve">5．</w:t>
      </w:r>
      <w:r>
        <w:rPr>
          <w:rFonts w:hint="eastAsia" w:ascii="宋体" w:hAnsi="宋体" w:cs="宋体"/>
          <w:color w:val="000000"/>
          <w:sz w:val="24"/>
          <w:szCs w:val="24"/>
        </w:rPr>
        <w:t xml:space="preserve">本项目采购公告在江苏政府采购网、南京公共采购信息网发布。有关本次采购的事项若存在变动或修改，敬请及时关注在“江苏政府采购网”发布的更正公告。</w:t>
      </w:r>
      <w:r>
        <w:rPr>
          <w:rFonts w:hint="eastAsia" w:ascii="宋体" w:hAnsi="宋体" w:cs="宋体"/>
          <w:color w:val="000000"/>
          <w:sz w:val="24"/>
          <w:szCs w:val="24"/>
        </w:rPr>
      </w:r>
      <w:r/>
    </w:p>
    <w:p>
      <w:pPr>
        <w:pStyle w:val="708"/>
        <w:ind w:firstLine="422"/>
        <w:spacing w:line="360" w:lineRule="auto"/>
        <w:shd w:val="clear" w:color="auto" w:fill="ffffff"/>
        <w:widowControl/>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八、对本次招标提出询问，请按以下方式联系</w:t>
      </w:r>
      <w:bookmarkEnd w:id="21"/>
      <w:r/>
      <w:bookmarkEnd w:id="22"/>
      <w:r>
        <w:rPr>
          <w:rFonts w:hint="eastAsia" w:ascii="宋体" w:hAnsi="宋体" w:eastAsia="宋体" w:cs="宋体"/>
          <w:b/>
          <w:bCs/>
          <w:color w:val="000000"/>
          <w:sz w:val="24"/>
          <w:szCs w:val="24"/>
          <w:highlight w:val="none"/>
        </w:rPr>
      </w:r>
      <w:r/>
    </w:p>
    <w:p>
      <w:pPr>
        <w:pStyle w:val="708"/>
        <w:ind w:firstLine="424"/>
        <w:jc w:val="left"/>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708"/>
        <w:ind w:firstLine="424"/>
        <w:jc w:val="left"/>
        <w:spacing w:line="360" w:lineRule="auto"/>
        <w:shd w:val="clear" w:color="auto" w:fill="ffffff"/>
        <w:widowControl/>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南京江北新区管理委员会教育局</w:t>
      </w:r>
      <w:r>
        <w:rPr>
          <w:rFonts w:hint="eastAsia" w:ascii="宋体" w:hAnsi="宋体" w:eastAsia="宋体" w:cs="宋体"/>
          <w:color w:val="000000"/>
          <w:sz w:val="24"/>
          <w:szCs w:val="24"/>
          <w:highlight w:val="none"/>
          <w:lang w:eastAsia="zh-CN"/>
        </w:rPr>
      </w:r>
      <w:r/>
    </w:p>
    <w:p>
      <w:pPr>
        <w:pStyle w:val="708"/>
        <w:ind w:firstLine="424"/>
        <w:jc w:val="left"/>
        <w:spacing w:line="360" w:lineRule="auto"/>
        <w:shd w:val="clear" w:color="auto" w:fill="ffffff"/>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地 址：南京市</w:t>
      </w:r>
      <w:r>
        <w:rPr>
          <w:rFonts w:hint="eastAsia" w:ascii="宋体" w:hAnsi="宋体" w:eastAsia="宋体" w:cs="宋体"/>
          <w:color w:val="000000"/>
          <w:sz w:val="24"/>
          <w:szCs w:val="24"/>
          <w:highlight w:val="none"/>
          <w:lang w:val="en-US" w:eastAsia="zh-CN"/>
        </w:rPr>
        <w:t xml:space="preserve">浦口区行知路8号</w:t>
      </w:r>
      <w:r>
        <w:rPr>
          <w:rFonts w:hint="eastAsia" w:ascii="宋体" w:hAnsi="宋体" w:eastAsia="宋体" w:cs="宋体"/>
          <w:color w:val="000000"/>
          <w:sz w:val="24"/>
          <w:szCs w:val="24"/>
          <w:highlight w:val="none"/>
          <w:lang w:val="en-US" w:eastAsia="zh-CN"/>
        </w:rPr>
      </w:r>
      <w:r/>
    </w:p>
    <w:p>
      <w:pPr>
        <w:pStyle w:val="708"/>
        <w:ind w:firstLine="424"/>
        <w:jc w:val="left"/>
        <w:spacing w:line="360" w:lineRule="auto"/>
        <w:shd w:val="clear" w:color="auto" w:fill="ffffff"/>
        <w:widowControl/>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奚老师</w:t>
      </w:r>
      <w:r>
        <w:rPr>
          <w:rFonts w:ascii="宋体" w:hAnsi="宋体" w:eastAsia="宋体" w:cs="宋体"/>
          <w:color w:val="000000"/>
          <w:sz w:val="24"/>
          <w:szCs w:val="24"/>
          <w:highlight w:val="none"/>
          <w:lang w:val="en-US" w:eastAsia="zh-CN"/>
        </w:rPr>
      </w:r>
      <w:r/>
    </w:p>
    <w:p>
      <w:pPr>
        <w:pStyle w:val="708"/>
        <w:ind w:firstLine="424"/>
        <w:jc w:val="left"/>
        <w:spacing w:line="360" w:lineRule="auto"/>
        <w:shd w:val="clear" w:color="auto" w:fill="ffffff"/>
        <w:widowControl/>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025-58111956</w:t>
      </w:r>
      <w:r>
        <w:rPr>
          <w:rFonts w:hint="eastAsia" w:ascii="宋体" w:hAnsi="宋体" w:eastAsia="宋体" w:cs="宋体"/>
          <w:color w:val="000000"/>
          <w:sz w:val="24"/>
          <w:szCs w:val="24"/>
          <w:highlight w:val="none"/>
          <w:lang w:eastAsia="zh-CN"/>
        </w:rPr>
      </w:r>
      <w:r/>
    </w:p>
    <w:p>
      <w:pPr>
        <w:pStyle w:val="708"/>
        <w:ind w:firstLine="424"/>
        <w:jc w:val="left"/>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2.采购代理机构信息</w:t>
      </w:r>
      <w:r>
        <w:rPr>
          <w:rFonts w:hint="eastAsia" w:ascii="宋体" w:hAnsi="宋体" w:eastAsia="宋体" w:cs="宋体"/>
          <w:color w:val="000000"/>
          <w:sz w:val="24"/>
          <w:szCs w:val="24"/>
          <w:highlight w:val="none"/>
        </w:rPr>
      </w:r>
      <w:r/>
    </w:p>
    <w:p>
      <w:pPr>
        <w:pStyle w:val="708"/>
        <w:ind w:firstLine="424"/>
        <w:jc w:val="left"/>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南京建淳造价师事务所有限公司</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08"/>
        <w:ind w:firstLine="424"/>
        <w:jc w:val="left"/>
        <w:spacing w:line="360" w:lineRule="auto"/>
        <w:shd w:val="clear" w:color="auto" w:fill="ffffff"/>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址：</w:t>
      </w:r>
      <w:r>
        <w:rPr>
          <w:rFonts w:hint="eastAsia" w:ascii="宋体" w:hAnsi="宋体" w:cs="宋体"/>
          <w:color w:val="000000"/>
          <w:sz w:val="24"/>
          <w:szCs w:val="24"/>
          <w:highlight w:val="none"/>
          <w:lang w:val="en-US" w:eastAsia="zh-CN"/>
        </w:rPr>
        <w:t xml:space="preserve">南京市建邺区江东中路186-1号宏普捷座7楼703室</w:t>
      </w:r>
      <w:r>
        <w:rPr>
          <w:rFonts w:hint="eastAsia" w:ascii="宋体" w:hAnsi="宋体" w:eastAsia="宋体" w:cs="宋体"/>
          <w:color w:val="000000"/>
          <w:sz w:val="24"/>
          <w:szCs w:val="24"/>
          <w:highlight w:val="none"/>
          <w:lang w:val="en-US" w:eastAsia="zh-CN"/>
        </w:rPr>
      </w:r>
      <w:r/>
    </w:p>
    <w:p>
      <w:pPr>
        <w:pStyle w:val="708"/>
        <w:ind w:firstLine="420"/>
        <w:jc w:val="left"/>
        <w:spacing w:line="360" w:lineRule="auto"/>
        <w:shd w:val="clear" w:color="auto" w:fill="ffffff"/>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金工</w:t>
      </w:r>
      <w:r>
        <w:rPr>
          <w:rFonts w:hint="eastAsia" w:ascii="宋体" w:hAnsi="宋体" w:eastAsia="宋体" w:cs="宋体"/>
          <w:color w:val="000000"/>
          <w:sz w:val="24"/>
          <w:szCs w:val="24"/>
          <w:highlight w:val="none"/>
          <w:lang w:val="en-US" w:eastAsia="zh-CN"/>
        </w:rPr>
      </w:r>
      <w:r/>
    </w:p>
    <w:p>
      <w:pPr>
        <w:pStyle w:val="708"/>
        <w:ind w:firstLine="424"/>
        <w:jc w:val="left"/>
        <w:spacing w:line="360" w:lineRule="auto"/>
        <w:shd w:val="clear" w:color="auto" w:fill="ffffff"/>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联系方式：</w:t>
      </w:r>
      <w:r>
        <w:rPr>
          <w:rFonts w:hint="eastAsia" w:ascii="宋体" w:hAnsi="宋体" w:cs="宋体"/>
          <w:color w:val="000000"/>
          <w:sz w:val="24"/>
          <w:szCs w:val="24"/>
          <w:highlight w:val="none"/>
          <w:lang w:val="en-US" w:eastAsia="zh-CN"/>
        </w:rPr>
        <w:t xml:space="preserve">17715289656</w:t>
      </w:r>
      <w:r>
        <w:rPr>
          <w:rFonts w:hint="eastAsia" w:ascii="宋体" w:hAnsi="宋体" w:eastAsia="宋体" w:cs="宋体"/>
          <w:color w:val="000000"/>
          <w:sz w:val="24"/>
          <w:szCs w:val="24"/>
          <w:highlight w:val="none"/>
          <w:lang w:val="en-US" w:eastAsia="zh-CN"/>
        </w:rPr>
      </w:r>
      <w:r/>
    </w:p>
    <w:p>
      <w:pPr>
        <w:pStyle w:val="708"/>
        <w:ind w:firstLine="424"/>
        <w:jc w:val="left"/>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3.项目联系方式</w:t>
      </w:r>
      <w:r>
        <w:rPr>
          <w:rFonts w:hint="eastAsia" w:ascii="宋体" w:hAnsi="宋体" w:eastAsia="宋体" w:cs="宋体"/>
          <w:color w:val="000000"/>
          <w:sz w:val="24"/>
          <w:szCs w:val="24"/>
          <w:highlight w:val="none"/>
        </w:rPr>
      </w:r>
      <w:r/>
    </w:p>
    <w:p>
      <w:pPr>
        <w:pStyle w:val="708"/>
        <w:ind w:firstLine="424"/>
        <w:jc w:val="left"/>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项目联系人：</w:t>
      </w:r>
      <w:r>
        <w:rPr>
          <w:rFonts w:hint="eastAsia" w:ascii="宋体" w:hAnsi="宋体" w:cs="宋体"/>
          <w:color w:val="000000"/>
          <w:sz w:val="24"/>
          <w:szCs w:val="24"/>
          <w:highlight w:val="none"/>
          <w:lang w:val="en-US" w:eastAsia="zh-CN"/>
        </w:rPr>
        <w:t xml:space="preserve">金工</w:t>
      </w:r>
      <w:r>
        <w:rPr>
          <w:rFonts w:hint="eastAsia" w:ascii="宋体" w:hAnsi="宋体" w:eastAsia="宋体" w:cs="宋体"/>
          <w:color w:val="000000"/>
          <w:sz w:val="24"/>
          <w:szCs w:val="24"/>
          <w:highlight w:val="none"/>
        </w:rPr>
      </w:r>
      <w:r/>
    </w:p>
    <w:p>
      <w:pPr>
        <w:pStyle w:val="708"/>
        <w:ind w:firstLine="424"/>
        <w:jc w:val="left"/>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电话：</w:t>
      </w:r>
      <w:r>
        <w:rPr>
          <w:rFonts w:hint="eastAsia" w:ascii="宋体" w:hAnsi="宋体" w:cs="宋体"/>
          <w:color w:val="000000"/>
          <w:sz w:val="24"/>
          <w:szCs w:val="24"/>
          <w:highlight w:val="none"/>
          <w:lang w:val="en-US" w:eastAsia="zh-CN"/>
        </w:rPr>
        <w:t xml:space="preserve">17715289656</w:t>
      </w:r>
      <w:r>
        <w:rPr>
          <w:rFonts w:hint="eastAsia" w:ascii="宋体" w:hAnsi="宋体" w:eastAsia="宋体" w:cs="宋体"/>
          <w:color w:val="000000"/>
          <w:sz w:val="24"/>
          <w:szCs w:val="24"/>
          <w:highlight w:val="none"/>
        </w:rPr>
      </w:r>
      <w:r/>
    </w:p>
    <w:p>
      <w:pPr>
        <w:pStyle w:val="708"/>
        <w:jc w:val="center"/>
        <w:spacing w:line="360" w:lineRule="auto"/>
        <w:rPr>
          <w:rFonts w:hint="eastAsia" w:ascii="宋体" w:hAnsi="宋体" w:eastAsia="宋体" w:cs="宋体"/>
          <w:b/>
          <w:bCs/>
          <w:color w:val="000000"/>
          <w:spacing w:val="-10"/>
          <w:sz w:val="36"/>
          <w:szCs w:val="36"/>
          <w:highlight w:val="none"/>
        </w:rPr>
        <w:outlineLvl w:val="9"/>
      </w:pPr>
      <w:r>
        <w:rPr>
          <w:rFonts w:hint="eastAsia" w:ascii="宋体" w:hAnsi="宋体" w:eastAsia="宋体" w:cs="宋体"/>
          <w:b/>
          <w:bCs/>
          <w:color w:val="000000"/>
          <w:spacing w:val="-10"/>
          <w:sz w:val="36"/>
          <w:szCs w:val="36"/>
          <w:highlight w:val="none"/>
        </w:rPr>
      </w:r>
      <w:r/>
    </w:p>
    <w:p>
      <w:pPr>
        <w:pStyle w:val="708"/>
        <w:jc w:val="center"/>
        <w:spacing w:line="360" w:lineRule="auto"/>
        <w:rPr>
          <w:rFonts w:hint="eastAsia" w:ascii="宋体" w:hAnsi="宋体" w:eastAsia="宋体" w:cs="宋体"/>
          <w:b/>
          <w:bCs/>
          <w:color w:val="000000"/>
          <w:spacing w:val="-10"/>
          <w:sz w:val="36"/>
          <w:szCs w:val="36"/>
          <w:highlight w:val="none"/>
        </w:rPr>
        <w:outlineLvl w:val="9"/>
      </w:pPr>
      <w:r>
        <w:rPr>
          <w:rFonts w:hint="eastAsia" w:ascii="宋体" w:hAnsi="宋体" w:eastAsia="宋体" w:cs="宋体"/>
          <w:b/>
          <w:bCs/>
          <w:color w:val="000000"/>
          <w:spacing w:val="-10"/>
          <w:sz w:val="36"/>
          <w:szCs w:val="36"/>
          <w:highlight w:val="none"/>
        </w:rPr>
      </w:r>
      <w:r/>
    </w:p>
    <w:p>
      <w:pPr>
        <w:pStyle w:val="708"/>
        <w:jc w:val="center"/>
        <w:spacing w:line="360" w:lineRule="auto"/>
        <w:rPr>
          <w:rFonts w:hint="eastAsia" w:ascii="宋体" w:hAnsi="宋体" w:eastAsia="宋体" w:cs="宋体"/>
          <w:b/>
          <w:bCs/>
          <w:color w:val="000000"/>
          <w:spacing w:val="-10"/>
          <w:sz w:val="36"/>
          <w:szCs w:val="36"/>
          <w:highlight w:val="none"/>
        </w:rPr>
        <w:outlineLvl w:val="0"/>
      </w:pPr>
      <w:r/>
      <w:bookmarkStart w:id="23" w:name="_Toc9011"/>
      <w:r/>
      <w:bookmarkStart w:id="24" w:name="_Toc20055"/>
      <w:r>
        <w:rPr>
          <w:rFonts w:hint="eastAsia" w:ascii="宋体" w:hAnsi="宋体" w:eastAsia="宋体" w:cs="宋体"/>
          <w:b/>
          <w:bCs/>
          <w:color w:val="000000"/>
          <w:spacing w:val="-10"/>
          <w:sz w:val="36"/>
          <w:szCs w:val="36"/>
          <w:highlight w:val="none"/>
        </w:rPr>
        <w:br w:type="textWrapping" w:clear="all"/>
      </w:r>
      <w:r>
        <w:rPr>
          <w:rFonts w:hint="eastAsia" w:ascii="宋体" w:hAnsi="宋体" w:eastAsia="宋体" w:cs="宋体"/>
          <w:b/>
          <w:bCs/>
          <w:color w:val="000000"/>
          <w:spacing w:val="-10"/>
          <w:sz w:val="36"/>
          <w:szCs w:val="36"/>
          <w:highlight w:val="none"/>
        </w:rPr>
      </w:r>
      <w:r/>
    </w:p>
    <w:p>
      <w:pPr>
        <w:pStyle w:val="708"/>
        <w:rPr>
          <w:rFonts w:hint="eastAsia" w:ascii="宋体" w:hAnsi="宋体" w:eastAsia="宋体" w:cs="宋体"/>
          <w:b/>
          <w:bCs/>
          <w:color w:val="000000"/>
          <w:spacing w:val="-10"/>
          <w:sz w:val="36"/>
          <w:szCs w:val="36"/>
          <w:highlight w:val="none"/>
        </w:rPr>
      </w:pPr>
      <w:r>
        <w:rPr>
          <w:rFonts w:hint="eastAsia" w:ascii="宋体" w:hAnsi="宋体" w:eastAsia="宋体" w:cs="宋体"/>
          <w:b/>
          <w:bCs/>
          <w:color w:val="000000"/>
          <w:spacing w:val="-10"/>
          <w:sz w:val="36"/>
          <w:szCs w:val="36"/>
          <w:highlight w:val="none"/>
        </w:rPr>
        <w:br w:type="page" w:clear="all"/>
      </w:r>
      <w:r>
        <w:rPr>
          <w:rFonts w:hint="eastAsia" w:ascii="宋体" w:hAnsi="宋体" w:eastAsia="宋体" w:cs="宋体"/>
          <w:b/>
          <w:bCs/>
          <w:color w:val="000000"/>
          <w:spacing w:val="-10"/>
          <w:sz w:val="36"/>
          <w:szCs w:val="36"/>
          <w:highlight w:val="none"/>
        </w:rPr>
      </w:r>
      <w:r/>
    </w:p>
    <w:p>
      <w:pPr>
        <w:pStyle w:val="708"/>
        <w:jc w:val="center"/>
        <w:spacing w:line="360" w:lineRule="auto"/>
        <w:rPr>
          <w:rFonts w:hint="eastAsia" w:ascii="宋体" w:hAnsi="宋体" w:eastAsia="宋体" w:cs="宋体"/>
          <w:b/>
          <w:bCs/>
          <w:color w:val="000000"/>
          <w:spacing w:val="-10"/>
          <w:sz w:val="36"/>
          <w:szCs w:val="36"/>
          <w:highlight w:val="none"/>
        </w:rPr>
        <w:outlineLvl w:val="0"/>
      </w:pPr>
      <w:r>
        <w:rPr>
          <w:rFonts w:hint="eastAsia" w:ascii="宋体" w:hAnsi="宋体" w:eastAsia="宋体" w:cs="宋体"/>
          <w:b/>
          <w:bCs/>
          <w:color w:val="000000"/>
          <w:spacing w:val="-10"/>
          <w:sz w:val="36"/>
          <w:szCs w:val="36"/>
          <w:highlight w:val="none"/>
        </w:rPr>
        <w:t xml:space="preserve">第二章 供应商须知</w:t>
      </w:r>
      <w:bookmarkEnd w:id="23"/>
      <w:r/>
      <w:bookmarkEnd w:id="24"/>
      <w:r>
        <w:rPr>
          <w:rFonts w:hint="eastAsia" w:ascii="宋体" w:hAnsi="宋体" w:eastAsia="宋体" w:cs="宋体"/>
          <w:b/>
          <w:bCs/>
          <w:color w:val="000000"/>
          <w:spacing w:val="-10"/>
          <w:sz w:val="36"/>
          <w:szCs w:val="36"/>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1"/>
        <w:suppressLineNumbers w:val="0"/>
      </w:pPr>
      <w:r/>
      <w:bookmarkStart w:id="25" w:name="_Toc1565"/>
      <w:r/>
      <w:bookmarkStart w:id="26" w:name="_Toc17141"/>
      <w:r/>
      <w:bookmarkStart w:id="27" w:name="_Hlk156125564"/>
      <w:r>
        <w:rPr>
          <w:rFonts w:hint="eastAsia" w:ascii="宋体" w:hAnsi="宋体" w:eastAsia="宋体" w:cs="宋体"/>
          <w:color w:val="000000"/>
          <w:sz w:val="24"/>
          <w:szCs w:val="24"/>
          <w:highlight w:val="none"/>
          <w:lang w:val="en-US" w:eastAsia="zh-CN" w:bidi="ar"/>
        </w:rPr>
        <w:t xml:space="preserve">一、总 则</w:t>
      </w:r>
      <w:bookmarkEnd w:id="25"/>
      <w:r/>
      <w:bookmarkEnd w:id="26"/>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1.适用法律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1.1《中华人民共和国政府采购法》《中华人民共和国政府采购法实施条例》《政府采购货物和服务招标投标管理办法》等法律、法规、规章和规定。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2.定义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“供应商”“投标人”是指参加投标竞争，并符合招标文件规定资格条件的法人、其他组织或者自然人。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3.政策功能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3.1 促进中小企业发展。在政府采购活动中，供应商提供的货物、工程或者服务符合下列情形的，享受中小企业扶持政策：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（1）在货物采购项目中，货物由中小企业制造，即货物由中小企业生产且使用该中小企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业商号或者注册商标；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（2）在工程采购项目中，工程由中小企业承建，即工程施工单位为中小企业；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（3）在服务采购项目中，服务由中小企业承接，即提供服务的人员为中小企业依照《中华人民共和国劳动合同法》订立劳动合同的从业人员。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 </w:t>
      </w:r>
      <w:r>
        <w:rPr>
          <w:rFonts w:hint="eastAsia" w:ascii="宋体" w:hAnsi="宋体" w:eastAsia="宋体" w:cs="宋体"/>
          <w:color w:val="000000"/>
          <w:sz w:val="24"/>
          <w:szCs w:val="24"/>
          <w:highlight w:val="none"/>
        </w:rPr>
      </w:r>
      <w:r/>
    </w:p>
    <w:p>
      <w:pPr>
        <w:pStyle w:val="708"/>
        <w:ind w:left="0" w:firstLine="482"/>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b/>
          <w:bCs/>
          <w:color w:val="000000"/>
          <w:sz w:val="24"/>
          <w:szCs w:val="24"/>
          <w:highlight w:val="none"/>
          <w:lang w:val="en-US" w:eastAsia="zh-CN" w:bidi="ar"/>
        </w:rPr>
        <w:t xml:space="preserve">特别说明：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在货物采购项目中，供应商提供的货物既有中小企业制造货物，也有大型企业制造货物的，不享受中小企业扶持政策。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中小企业供应商参加政府采购活动，应当出具《中小企业声明函》，否则不享受相关中小企业扶持政策。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3.2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rPr>
          <w:rFonts w:hint="eastAsia" w:ascii="宋体" w:hAnsi="宋体" w:eastAsia="宋体" w:cs="宋体"/>
          <w:color w:val="000000"/>
          <w:sz w:val="24"/>
          <w:szCs w:val="24"/>
          <w:highlight w:val="none"/>
          <w:lang w:val="en-US" w:eastAsia="zh-CN" w:bidi="ar"/>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3.3 促进残疾人就业。残疾人福利性单位提供的产品和服务，在评标时将按照财库〔2017〕141号获得优势，参加投标的残疾人福利性单位，应当提供《残疾人福利性单位声明函》（格式见附件）。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3.4 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3.5 采购的产品属于政府强制采购节能产品的，供应商应当选择依据国家标准中二级能效（水效）指标认证的节能产品投标，并提供有效的节能产品认证证书扫描件。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3.6采购的产品属于环境标志产品的,供应商应当选择依据相关标准的最新版本认证的环境标志产品投标,并提供有效的环境标志产品认证证书扫描件。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3.7绿色包装规定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（2）本项目中涉及涂料、胶黏剂、油墨、清洗剂等挥发性有机物产品的，属于强制性标准的，供应商应当提供符合国家和江苏省相关VOCs含量限制标准的产品。 </w:t>
      </w:r>
      <w:r>
        <w:rPr>
          <w:rFonts w:hint="eastAsia" w:ascii="宋体" w:hAnsi="宋体" w:eastAsia="宋体" w:cs="宋体"/>
          <w:color w:val="000000"/>
          <w:sz w:val="24"/>
          <w:szCs w:val="24"/>
          <w:highlight w:val="none"/>
          <w:lang w:val="en-US" w:eastAsia="zh-CN" w:bidi="ar"/>
        </w:rPr>
      </w:r>
      <w:r/>
    </w:p>
    <w:p>
      <w:pPr>
        <w:pStyle w:val="708"/>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3.8实施本国产品标准及相关政策</w:t>
      </w:r>
      <w:r>
        <w:rPr>
          <w:rFonts w:hint="eastAsia" w:ascii="宋体" w:hAnsi="宋体" w:cs="宋体"/>
          <w:sz w:val="24"/>
          <w:szCs w:val="24"/>
          <w:lang w:bidi="ar"/>
        </w:rPr>
      </w:r>
      <w:r/>
    </w:p>
    <w:p>
      <w:pPr>
        <w:pStyle w:val="708"/>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s="宋体"/>
          <w:sz w:val="24"/>
          <w:szCs w:val="24"/>
          <w:lang w:bidi="ar"/>
        </w:rPr>
      </w:r>
      <w:r/>
    </w:p>
    <w:p>
      <w:pPr>
        <w:pStyle w:val="708"/>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3.8.2本国产品应当符合以下条件：</w:t>
      </w:r>
      <w:r>
        <w:rPr>
          <w:rFonts w:hint="eastAsia" w:ascii="宋体" w:hAnsi="宋体" w:cs="宋体"/>
          <w:sz w:val="24"/>
          <w:szCs w:val="24"/>
          <w:lang w:bidi="ar"/>
        </w:rPr>
      </w:r>
      <w:r/>
    </w:p>
    <w:p>
      <w:pPr>
        <w:pStyle w:val="708"/>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（1）在中国境内生产</w:t>
      </w:r>
      <w:r>
        <w:rPr>
          <w:rFonts w:hint="eastAsia" w:ascii="宋体" w:hAnsi="宋体" w:cs="宋体"/>
          <w:sz w:val="24"/>
          <w:szCs w:val="24"/>
          <w:lang w:bidi="ar"/>
        </w:rPr>
      </w:r>
      <w:r/>
    </w:p>
    <w:p>
      <w:pPr>
        <w:pStyle w:val="708"/>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s="宋体"/>
          <w:sz w:val="24"/>
          <w:szCs w:val="24"/>
          <w:lang w:bidi="ar"/>
        </w:rPr>
      </w:r>
      <w:r/>
    </w:p>
    <w:p>
      <w:pPr>
        <w:pStyle w:val="708"/>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 w:val="24"/>
          <w:szCs w:val="24"/>
          <w:lang w:bidi="ar"/>
        </w:rPr>
      </w:r>
      <w:r/>
    </w:p>
    <w:p>
      <w:pPr>
        <w:pStyle w:val="708"/>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（2）在中国境内生产的组件成本占比达到规定比例</w:t>
      </w:r>
      <w:r>
        <w:rPr>
          <w:rFonts w:hint="eastAsia" w:ascii="宋体" w:hAnsi="宋体" w:cs="宋体"/>
          <w:sz w:val="24"/>
          <w:szCs w:val="24"/>
          <w:lang w:bidi="ar"/>
        </w:rPr>
      </w:r>
      <w:r/>
    </w:p>
    <w:p>
      <w:pPr>
        <w:pStyle w:val="708"/>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s="宋体"/>
          <w:sz w:val="24"/>
          <w:szCs w:val="24"/>
          <w:lang w:bidi="ar"/>
        </w:rPr>
      </w:r>
      <w:r/>
    </w:p>
    <w:p>
      <w:pPr>
        <w:pStyle w:val="708"/>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（3）特定产品的关键组件、关键工序符合相关要求</w:t>
      </w:r>
      <w:r>
        <w:rPr>
          <w:rFonts w:hint="eastAsia" w:ascii="宋体" w:hAnsi="宋体" w:cs="宋体"/>
          <w:sz w:val="24"/>
          <w:szCs w:val="24"/>
          <w:lang w:bidi="ar"/>
        </w:rPr>
      </w:r>
      <w:r/>
    </w:p>
    <w:p>
      <w:pPr>
        <w:pStyle w:val="708"/>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sz w:val="24"/>
          <w:szCs w:val="24"/>
          <w:lang w:bidi="ar"/>
        </w:rPr>
      </w:r>
      <w:r/>
    </w:p>
    <w:p>
      <w:pPr>
        <w:pStyle w:val="708"/>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3.8.3本国产品标准的适用范围</w:t>
      </w:r>
      <w:r>
        <w:rPr>
          <w:rFonts w:hint="eastAsia" w:ascii="宋体" w:hAnsi="宋体" w:cs="宋体"/>
          <w:sz w:val="24"/>
          <w:szCs w:val="24"/>
          <w:lang w:bidi="ar"/>
        </w:rPr>
      </w:r>
      <w:r/>
    </w:p>
    <w:p>
      <w:pPr>
        <w:pStyle w:val="708"/>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sz w:val="24"/>
          <w:szCs w:val="24"/>
          <w:lang w:bidi="ar"/>
        </w:rPr>
      </w:r>
      <w:r/>
    </w:p>
    <w:p>
      <w:pPr>
        <w:pStyle w:val="708"/>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3.8.4对本国产品的支持政策</w:t>
      </w:r>
      <w:r>
        <w:rPr>
          <w:rFonts w:hint="eastAsia" w:ascii="宋体" w:hAnsi="宋体" w:cs="宋体"/>
          <w:sz w:val="24"/>
          <w:szCs w:val="24"/>
          <w:lang w:bidi="ar"/>
        </w:rPr>
      </w:r>
      <w:r/>
    </w:p>
    <w:p>
      <w:pPr>
        <w:pStyle w:val="708"/>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本项目如既有本国产品又有非本国产品参与竞争，依法对本国产品给予价格评审优惠，具体详见第三章。</w:t>
      </w:r>
      <w:r>
        <w:rPr>
          <w:rFonts w:hint="eastAsia" w:ascii="宋体" w:hAnsi="宋体" w:cs="宋体"/>
          <w:sz w:val="24"/>
          <w:szCs w:val="24"/>
          <w:lang w:bidi="ar"/>
        </w:rPr>
      </w:r>
      <w:r/>
    </w:p>
    <w:p>
      <w:pPr>
        <w:pStyle w:val="708"/>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3.8.5政策执行要求</w:t>
      </w:r>
      <w:r>
        <w:rPr>
          <w:rFonts w:hint="eastAsia" w:ascii="宋体" w:hAnsi="宋体" w:cs="宋体"/>
          <w:sz w:val="24"/>
          <w:szCs w:val="24"/>
          <w:lang w:bidi="ar"/>
        </w:rPr>
      </w:r>
      <w:r/>
    </w:p>
    <w:p>
      <w:pPr>
        <w:pStyle w:val="708"/>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cs="宋体"/>
          <w:sz w:val="24"/>
          <w:szCs w:val="24"/>
          <w:lang w:bidi="ar"/>
        </w:rPr>
      </w:r>
      <w:r/>
    </w:p>
    <w:p>
      <w:pPr>
        <w:pStyle w:val="708"/>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cs="宋体"/>
          <w:sz w:val="24"/>
          <w:szCs w:val="24"/>
          <w:lang w:bidi="ar"/>
        </w:rPr>
      </w:r>
      <w:r/>
    </w:p>
    <w:p>
      <w:pPr>
        <w:pStyle w:val="708"/>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cs="宋体"/>
          <w:sz w:val="24"/>
          <w:szCs w:val="24"/>
          <w:lang w:bidi="ar"/>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1"/>
        <w:suppressLineNumbers w:val="0"/>
      </w:pPr>
      <w:r/>
      <w:bookmarkStart w:id="28" w:name="_Toc19961"/>
      <w:r/>
      <w:bookmarkStart w:id="29" w:name="_Toc8082"/>
      <w:r>
        <w:rPr>
          <w:rFonts w:hint="eastAsia" w:ascii="宋体" w:hAnsi="宋体" w:eastAsia="宋体" w:cs="宋体"/>
          <w:color w:val="000000"/>
          <w:sz w:val="24"/>
          <w:szCs w:val="24"/>
          <w:highlight w:val="none"/>
          <w:lang w:val="en-US" w:eastAsia="zh-CN" w:bidi="ar"/>
        </w:rPr>
        <w:t xml:space="preserve">二、招标文件</w:t>
      </w:r>
      <w:bookmarkEnd w:id="28"/>
      <w:r/>
      <w:bookmarkEnd w:id="29"/>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4.招标文件组成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4.1 招标文件由投标邀请、供应商须知、评标办法、采购需求、合同条款、附件等组成。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4.2 招标的最小单位是包。招标服务数量及技术要求中未分包的，供应商对要求提供的服务不得部分投标；招标服务数量及技术要求中已经分包的，应当以包为单位投标。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5.招标文件的澄清修改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5.1 </w:t>
      </w:r>
      <w:r>
        <w:rPr>
          <w:rFonts w:hint="eastAsia" w:ascii="宋体" w:hAnsi="宋体" w:eastAsia="宋体" w:cs="宋体"/>
          <w:bCs/>
          <w:color w:val="000000"/>
          <w:sz w:val="24"/>
          <w:szCs w:val="24"/>
          <w:highlight w:val="none"/>
          <w:lang w:val="zh-CN"/>
        </w:rPr>
        <w:t xml:space="preserve">代理机构</w:t>
      </w:r>
      <w:r>
        <w:rPr>
          <w:rFonts w:hint="eastAsia" w:ascii="宋体" w:hAnsi="宋体" w:eastAsia="宋体" w:cs="宋体"/>
          <w:color w:val="000000"/>
          <w:sz w:val="24"/>
          <w:szCs w:val="24"/>
          <w:highlight w:val="none"/>
          <w:lang w:val="en-US" w:eastAsia="zh-CN" w:bidi="ar"/>
        </w:rPr>
        <w:t xml:space="preserve">对已发出的招标文件进行必要澄清或者修改的，将在招标文件要求提交投标文件截止时间十五日前，在原招标公告媒体发布更正公告，该澄清或者修改的内容为招标文件的组成部分。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5.2 </w:t>
      </w:r>
      <w:r>
        <w:rPr>
          <w:rFonts w:hint="eastAsia" w:ascii="宋体" w:hAnsi="宋体" w:eastAsia="宋体" w:cs="宋体"/>
          <w:bCs/>
          <w:color w:val="000000"/>
          <w:sz w:val="24"/>
          <w:szCs w:val="24"/>
          <w:highlight w:val="none"/>
          <w:lang w:val="zh-CN"/>
        </w:rPr>
        <w:t xml:space="preserve">代理机构</w:t>
      </w:r>
      <w:r>
        <w:rPr>
          <w:rFonts w:hint="eastAsia" w:ascii="宋体" w:hAnsi="宋体" w:eastAsia="宋体" w:cs="宋体"/>
          <w:color w:val="000000"/>
          <w:sz w:val="24"/>
          <w:szCs w:val="24"/>
          <w:highlight w:val="none"/>
          <w:lang w:val="en-US" w:eastAsia="zh-CN" w:bidi="ar"/>
        </w:rPr>
        <w:t xml:space="preserve">在招标文件要求提交投标文件截止时间前，有权决定延长投标截止时间和开标时间，并在原采购信息发布媒体上发布变更公告。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5.3 供应商应在投标截止时间前关注原采购信息发布媒体有关本招标项目有无变更公告。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2"/>
        <w:suppressLineNumbers w:val="0"/>
      </w:pPr>
      <w:r/>
      <w:bookmarkStart w:id="30" w:name="_Toc72"/>
      <w:r/>
      <w:bookmarkStart w:id="31" w:name="_Toc17409"/>
      <w:r>
        <w:rPr>
          <w:rFonts w:hint="eastAsia" w:ascii="宋体" w:hAnsi="宋体" w:eastAsia="宋体" w:cs="宋体"/>
          <w:color w:val="000000"/>
          <w:sz w:val="24"/>
          <w:szCs w:val="24"/>
          <w:highlight w:val="none"/>
          <w:lang w:val="en-US" w:eastAsia="zh-CN" w:bidi="ar"/>
        </w:rPr>
        <w:t xml:space="preserve">三、投标</w:t>
      </w:r>
      <w:bookmarkEnd w:id="30"/>
      <w:r/>
      <w:bookmarkEnd w:id="31"/>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708"/>
        <w:ind w:left="0" w:firstLine="482"/>
        <w:jc w:val="left"/>
        <w:keepLines w:val="0"/>
        <w:keepNext w:val="0"/>
        <w:pageBreakBefore w:val="0"/>
        <w:spacing w:line="360" w:lineRule="auto"/>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t xml:space="preserve">6</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color w:val="000000"/>
          <w:sz w:val="24"/>
          <w:szCs w:val="24"/>
          <w:highlight w:val="none"/>
          <w:lang w:val="zh-CN"/>
        </w:rPr>
        <w:t xml:space="preserve">投标 </w:t>
      </w:r>
      <w:r>
        <w:rPr>
          <w:rFonts w:hint="eastAsia" w:ascii="宋体" w:hAnsi="宋体" w:eastAsia="宋体" w:cs="宋体"/>
          <w:b/>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6.1 供应商应由其法定代表人或法定代表人授权委托人在规定的投标时间内，按时递交投标文件。 </w:t>
      </w:r>
      <w:r>
        <w:rPr>
          <w:rFonts w:hint="eastAsia" w:ascii="宋体" w:hAnsi="宋体" w:eastAsia="宋体" w:cs="宋体"/>
          <w:bCs/>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6.</w:t>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zh-CN"/>
        </w:rPr>
        <w:t xml:space="preserve"> 供应商应当对招标文件提出的要求和条件作出实质性响应，</w:t>
      </w:r>
      <w:r>
        <w:rPr>
          <w:rFonts w:hint="eastAsia" w:ascii="宋体" w:hAnsi="宋体" w:eastAsia="宋体" w:cs="宋体"/>
          <w:bCs/>
          <w:color w:val="000000"/>
          <w:sz w:val="24"/>
          <w:szCs w:val="24"/>
          <w:highlight w:val="none"/>
        </w:rPr>
        <w:t xml:space="preserve">并在投标文件中逐条应答。 </w:t>
      </w:r>
      <w:r>
        <w:rPr>
          <w:rFonts w:hint="eastAsia" w:ascii="宋体" w:hAnsi="宋体" w:eastAsia="宋体" w:cs="宋体"/>
          <w:bCs/>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6.</w:t>
      </w: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zh-CN"/>
        </w:rPr>
        <w:t xml:space="preserve"> 供应商应当提供的资格证明文件（如资质证书、资格证书）、技术资料（如白皮书、彩页、手册、检测报告等）。 </w:t>
      </w:r>
      <w:r>
        <w:rPr>
          <w:rFonts w:hint="eastAsia" w:ascii="宋体" w:hAnsi="宋体" w:eastAsia="宋体" w:cs="宋体"/>
          <w:bCs/>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6.</w:t>
      </w: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val="zh-CN"/>
        </w:rPr>
        <w:t xml:space="preserve"> 供应商应逐一说明投标产品品牌、型号、产地、性能参数。 </w:t>
      </w:r>
      <w:r>
        <w:rPr>
          <w:rFonts w:hint="eastAsia" w:ascii="宋体" w:hAnsi="宋体" w:eastAsia="宋体" w:cs="宋体"/>
          <w:bCs/>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6.</w:t>
      </w: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lang w:val="zh-CN"/>
        </w:rPr>
        <w:t xml:space="preserve"> 投标产品属于国家认定的节能产品、环保产品、信息安全产品，应附认证证书复印件。 </w:t>
      </w:r>
      <w:r>
        <w:rPr>
          <w:rFonts w:hint="eastAsia" w:ascii="宋体" w:hAnsi="宋体" w:eastAsia="宋体" w:cs="宋体"/>
          <w:bCs/>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6.</w:t>
      </w:r>
      <w:r>
        <w:rPr>
          <w:rFonts w:hint="eastAsia" w:ascii="宋体" w:hAnsi="宋体" w:eastAsia="宋体" w:cs="宋体"/>
          <w:bCs/>
          <w:color w:val="000000"/>
          <w:sz w:val="24"/>
          <w:szCs w:val="24"/>
          <w:highlight w:val="none"/>
        </w:rPr>
        <w:t xml:space="preserve">6</w:t>
      </w:r>
      <w:r>
        <w:rPr>
          <w:rFonts w:hint="eastAsia" w:ascii="宋体" w:hAnsi="宋体" w:eastAsia="宋体" w:cs="宋体"/>
          <w:bCs/>
          <w:color w:val="000000"/>
          <w:sz w:val="24"/>
          <w:szCs w:val="24"/>
          <w:highlight w:val="none"/>
          <w:lang w:val="zh-CN"/>
        </w:rPr>
        <w:t xml:space="preserve"> </w:t>
      </w:r>
      <w:r>
        <w:rPr>
          <w:rFonts w:hint="eastAsia" w:ascii="宋体" w:hAnsi="宋体" w:eastAsia="宋体" w:cs="宋体"/>
          <w:bCs/>
          <w:color w:val="000000"/>
          <w:sz w:val="24"/>
          <w:szCs w:val="24"/>
          <w:highlight w:val="none"/>
        </w:rPr>
        <w:t xml:space="preserve">供应商符合《政府采购促进中小企业发展管理办法》（财库【2020】46 号）规定的，应按要求在投标文件中填写《中小企业声明函》，否则不享受相应政策。 </w:t>
      </w:r>
      <w:r>
        <w:rPr>
          <w:rFonts w:hint="eastAsia" w:ascii="宋体" w:hAnsi="宋体" w:eastAsia="宋体" w:cs="宋体"/>
          <w:bCs/>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lang w:val="zh-CN"/>
        </w:rPr>
        <w:t xml:space="preserve">6.</w:t>
      </w:r>
      <w:r>
        <w:rPr>
          <w:rFonts w:hint="eastAsia" w:ascii="宋体" w:hAnsi="宋体" w:eastAsia="宋体" w:cs="宋体"/>
          <w:bCs/>
          <w:color w:val="000000"/>
          <w:sz w:val="24"/>
          <w:szCs w:val="24"/>
          <w:highlight w:val="none"/>
        </w:rPr>
        <w:t xml:space="preserve">7</w:t>
      </w:r>
      <w:r>
        <w:rPr>
          <w:rFonts w:hint="eastAsia" w:ascii="宋体" w:hAnsi="宋体" w:eastAsia="宋体" w:cs="宋体"/>
          <w:bCs/>
          <w:color w:val="000000"/>
          <w:sz w:val="24"/>
          <w:szCs w:val="24"/>
          <w:highlight w:val="none"/>
          <w:lang w:val="zh-CN"/>
        </w:rPr>
        <w:t xml:space="preserve"> 供应商拟在中标后将中标项目的非主体、非关键性工作交由他人完成的，应当在投标文件中载明。 </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7.投标文件的语言、计量单位、货币、技术标准和编制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7.2 供应商所使用的计量单位应为国家法定计量单位。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7.3 供应商应用人民币报价。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7.4 供应商所使用的技术标准应遵循国家最新标准及规范。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8.联合投标和分包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8.1 采购项目如接受联合体投标的，两个以上的自然人、法人或者其他组织可以组成一个联合体，以一个供应商的身份共同参加投标。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8.2 鼓励大中型企业和其他自然人、法人或者其他组织与小型、微型企业组成联合体共同参加非专门面向中小企业的政府采购活动，并按规定享受价格扣除。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8.3 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8.4 政府采购合同分包履行的，中标供应商就采购项目和分包项目向采购人负责，分包项目供应商就分包项目承担责任，中标供应商与分包供应商之间应该签订分包意向协议。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8.5 享受中小企业扶持政策获得政府采购合同的，小微企业不得将合同分包给大中型企业，中型企业不得将合同分包给大型企业。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8.6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9.投标费用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9.1 供应商应承担所有与准备和参加投标有关的费用，无论采购结果如何，代理机构和采购人在任何情况下均无义务和责任承担这些费用。 </w:t>
      </w:r>
      <w:r>
        <w:rPr>
          <w:rFonts w:hint="eastAsia" w:ascii="宋体" w:hAnsi="宋体" w:eastAsia="宋体" w:cs="宋体"/>
          <w:color w:val="000000"/>
          <w:sz w:val="24"/>
          <w:szCs w:val="24"/>
          <w:highlight w:val="none"/>
        </w:rPr>
      </w:r>
      <w:r/>
    </w:p>
    <w:p>
      <w:pPr>
        <w:pStyle w:val="708"/>
        <w:ind w:left="0" w:firstLine="482"/>
        <w:jc w:val="left"/>
        <w:keepLines w:val="0"/>
        <w:keepNext w:val="0"/>
        <w:pageBreakBefore w:val="0"/>
        <w:spacing w:line="360" w:lineRule="auto"/>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rPr>
        <w:t xml:space="preserve">9.2 </w:t>
      </w:r>
      <w:r>
        <w:rPr>
          <w:rFonts w:hint="eastAsia" w:ascii="宋体" w:hAnsi="宋体" w:eastAsia="宋体" w:cs="宋体"/>
          <w:b/>
          <w:bCs/>
          <w:color w:val="000000"/>
          <w:sz w:val="24"/>
          <w:szCs w:val="24"/>
          <w:highlight w:val="none"/>
        </w:rPr>
        <w:t xml:space="preserve">本项目</w:t>
      </w:r>
      <w:r>
        <w:rPr>
          <w:rFonts w:hint="eastAsia" w:ascii="宋体" w:hAnsi="宋体" w:eastAsia="宋体" w:cs="宋体"/>
          <w:b/>
          <w:color w:val="000000"/>
          <w:sz w:val="24"/>
          <w:szCs w:val="24"/>
          <w:highlight w:val="none"/>
        </w:rPr>
        <w:t xml:space="preserve">招标代理费</w:t>
      </w:r>
      <w:r>
        <w:rPr>
          <w:rFonts w:hint="eastAsia" w:ascii="宋体" w:hAnsi="宋体" w:eastAsia="宋体" w:cs="宋体"/>
          <w:b/>
          <w:bCs/>
          <w:color w:val="000000"/>
          <w:sz w:val="24"/>
          <w:szCs w:val="24"/>
          <w:highlight w:val="none"/>
          <w:lang w:val="zh-CN"/>
        </w:rPr>
        <w:t xml:space="preserve">及</w:t>
      </w:r>
      <w:r>
        <w:rPr>
          <w:rFonts w:hint="eastAsia" w:ascii="宋体" w:hAnsi="宋体" w:eastAsia="宋体" w:cs="宋体"/>
          <w:b/>
          <w:bCs/>
          <w:color w:val="000000"/>
          <w:sz w:val="24"/>
          <w:szCs w:val="24"/>
          <w:highlight w:val="none"/>
          <w:lang w:val="en-US" w:eastAsia="zh-CN"/>
        </w:rPr>
        <w:t xml:space="preserve">其</w:t>
      </w:r>
      <w:r>
        <w:rPr>
          <w:rFonts w:hint="eastAsia" w:ascii="宋体" w:hAnsi="宋体" w:eastAsia="宋体" w:cs="宋体"/>
          <w:b/>
          <w:bCs/>
          <w:color w:val="000000"/>
          <w:sz w:val="24"/>
          <w:szCs w:val="24"/>
          <w:highlight w:val="none"/>
          <w:lang w:val="zh-CN"/>
        </w:rPr>
        <w:t xml:space="preserve">相关</w:t>
      </w:r>
      <w:r>
        <w:rPr>
          <w:rFonts w:hint="eastAsia" w:ascii="宋体" w:hAnsi="宋体" w:eastAsia="宋体" w:cs="宋体"/>
          <w:b/>
          <w:bCs/>
          <w:color w:val="000000"/>
          <w:sz w:val="24"/>
          <w:szCs w:val="24"/>
          <w:highlight w:val="none"/>
        </w:rPr>
        <w:t xml:space="preserve">费用由中标供应商在领取中标通知书时支付，请充分考虑在投标报价中。</w:t>
      </w:r>
      <w:r>
        <w:rPr>
          <w:rFonts w:hint="eastAsia" w:ascii="宋体" w:hAnsi="宋体" w:eastAsia="宋体" w:cs="宋体"/>
          <w:b/>
          <w:bCs/>
          <w:color w:val="000000"/>
          <w:sz w:val="24"/>
          <w:szCs w:val="24"/>
          <w:highlight w:val="none"/>
          <w:lang w:val="en-US" w:eastAsia="zh-CN"/>
        </w:rPr>
        <w:t xml:space="preserve">招标代理服务费</w:t>
      </w:r>
      <w:r>
        <w:rPr>
          <w:rFonts w:hint="eastAsia" w:ascii="宋体" w:hAnsi="宋体" w:eastAsia="宋体" w:cs="宋体"/>
          <w:b/>
          <w:bCs/>
          <w:color w:val="000000"/>
          <w:sz w:val="24"/>
          <w:szCs w:val="24"/>
          <w:highlight w:val="none"/>
        </w:rPr>
        <w:t xml:space="preserve">按国家发展改革委【2002】1980号文的收费标准的 </w:t>
      </w:r>
      <w:r>
        <w:rPr>
          <w:rFonts w:hint="eastAsia" w:ascii="宋体" w:hAnsi="宋体" w:eastAsia="宋体" w:cs="宋体"/>
          <w:b/>
          <w:bCs/>
          <w:color w:val="000000"/>
          <w:sz w:val="24"/>
          <w:szCs w:val="24"/>
          <w:highlight w:val="none"/>
          <w:lang w:val="en-US" w:eastAsia="zh-CN"/>
        </w:rPr>
        <w:t xml:space="preserve">58.60</w:t>
      </w:r>
      <w:r>
        <w:rPr>
          <w:rFonts w:hint="eastAsia" w:ascii="宋体" w:hAnsi="宋体" w:eastAsia="宋体" w:cs="宋体"/>
          <w:b/>
          <w:bCs/>
          <w:color w:val="000000"/>
          <w:sz w:val="24"/>
          <w:szCs w:val="24"/>
          <w:highlight w:val="none"/>
        </w:rPr>
        <w:t xml:space="preserve">%计取</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无论是否将该费用在报价中列明，均视为已含在总价中。</w:t>
      </w:r>
      <w:r>
        <w:rPr>
          <w:rFonts w:hint="eastAsia" w:ascii="宋体" w:hAnsi="宋体" w:eastAsia="宋体" w:cs="宋体"/>
          <w:b/>
          <w:color w:val="000000"/>
          <w:sz w:val="24"/>
          <w:szCs w:val="24"/>
          <w:highlight w:val="none"/>
          <w:lang w:val="zh-CN"/>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10.投标文件组成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投标文件由商务部分、技术部分、价格部分，以及其他部分组成。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11.投标文件的商务部分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商务部分是证明供应商有资格参加投标和中标后有能力履行合同的文件，这些文件应能满足招标的要求，包括但不限于下列文件，其中加“★”项目不得有缺失或无效：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 投标函（投标申请及声明，格式见附件）；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 法定代表人授权委托书（格式见附件）及委托代理人的身份证扫描件；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 第一章投标邀请第</w:t>
      </w:r>
      <w:r>
        <w:rPr>
          <w:rFonts w:hint="eastAsia" w:ascii="宋体" w:hAnsi="宋体" w:cs="宋体"/>
          <w:color w:val="000000"/>
          <w:sz w:val="24"/>
          <w:szCs w:val="24"/>
          <w:highlight w:val="none"/>
          <w:lang w:val="en-US" w:eastAsia="zh-CN" w:bidi="ar"/>
        </w:rPr>
        <w:t xml:space="preserve">二</w:t>
      </w:r>
      <w:r>
        <w:rPr>
          <w:rFonts w:hint="eastAsia" w:ascii="宋体" w:hAnsi="宋体" w:eastAsia="宋体" w:cs="宋体"/>
          <w:color w:val="000000"/>
          <w:sz w:val="24"/>
          <w:szCs w:val="24"/>
          <w:highlight w:val="none"/>
          <w:lang w:val="en-US" w:eastAsia="zh-CN" w:bidi="ar"/>
        </w:rPr>
        <w:t xml:space="preserve">条第1款规定的资格证明材料；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（4）★《南京市政府采购供应商信用记录表暨信用承诺书》； </w:t>
      </w:r>
      <w:r>
        <w:rPr>
          <w:rFonts w:hint="eastAsia" w:ascii="宋体" w:hAnsi="宋体" w:eastAsia="宋体" w:cs="宋体"/>
          <w:color w:val="000000"/>
          <w:sz w:val="24"/>
          <w:szCs w:val="24"/>
          <w:highlight w:val="none"/>
          <w:lang w:val="en-US" w:eastAsia="zh-CN" w:bidi="ar"/>
        </w:rPr>
      </w:r>
      <w:r/>
    </w:p>
    <w:p>
      <w:pPr>
        <w:pStyle w:val="708"/>
        <w:ind w:firstLine="480"/>
        <w:jc w:val="left"/>
        <w:spacing w:line="360" w:lineRule="auto"/>
        <w:widowControl/>
        <w:rPr>
          <w:rFonts w:hint="eastAsia" w:ascii="宋体" w:hAnsi="宋体" w:cs="宋体"/>
          <w:color w:val="000000"/>
          <w:sz w:val="24"/>
          <w:szCs w:val="24"/>
          <w:highlight w:val="none"/>
          <w:lang w:bidi="ar"/>
        </w:rPr>
        <w:outlineLvl w:val="9"/>
      </w:pPr>
      <w:r>
        <w:rPr>
          <w:rFonts w:hint="eastAsia" w:ascii="宋体" w:hAnsi="宋体" w:cs="宋体"/>
          <w:color w:val="000000"/>
          <w:sz w:val="24"/>
          <w:szCs w:val="24"/>
          <w:highlight w:val="none"/>
          <w:lang w:val="en-US" w:eastAsia="zh-CN" w:bidi="ar"/>
        </w:rPr>
        <w:t xml:space="preserve">（5）</w:t>
      </w:r>
      <w:r>
        <w:rPr>
          <w:rFonts w:hint="eastAsia" w:ascii="宋体" w:hAnsi="宋体" w:cs="宋体"/>
          <w:color w:val="000000"/>
          <w:sz w:val="24"/>
          <w:szCs w:val="24"/>
          <w:highlight w:val="none"/>
          <w:lang w:bidi="ar"/>
        </w:rPr>
        <w:t xml:space="preserve">★《关于符合本国产品标准的声明函》</w:t>
      </w:r>
      <w:r>
        <w:rPr>
          <w:rFonts w:hint="eastAsia" w:ascii="宋体" w:hAnsi="宋体" w:cs="宋体"/>
          <w:color w:val="000000"/>
          <w:sz w:val="24"/>
          <w:szCs w:val="24"/>
          <w:highlight w:val="none"/>
          <w:lang w:bidi="ar"/>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w:t>
      </w:r>
      <w:r>
        <w:rPr>
          <w:rFonts w:hint="eastAsia" w:ascii="宋体" w:hAnsi="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val="en-US" w:eastAsia="zh-CN" w:bidi="ar"/>
        </w:rPr>
        <w:t xml:space="preserve">）供应商认为需要提供的其他资格证明文件和商务资料。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12.投标文件的技术部分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12.1 技术部分是证明供应商提供的产品和服务是合格的、并符合招标文件要求的证明文件，以及对投标报价表中的服务的详细说明，这些文件可以是文字资料、图纸和数据等。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12.2 若技术性能无特殊说明，则按国家有关部门最新颁布的标准及规范为准。 </w:t>
      </w:r>
      <w:r>
        <w:rPr>
          <w:rFonts w:hint="eastAsia" w:ascii="宋体" w:hAnsi="宋体" w:eastAsia="宋体" w:cs="宋体"/>
          <w:color w:val="000000"/>
          <w:sz w:val="24"/>
          <w:szCs w:val="24"/>
          <w:highlight w:val="none"/>
        </w:rPr>
      </w:r>
      <w:r/>
    </w:p>
    <w:p>
      <w:pPr>
        <w:pStyle w:val="708"/>
        <w:ind w:firstLine="480"/>
        <w:jc w:val="left"/>
        <w:spacing w:line="360" w:lineRule="auto"/>
        <w:widowControl/>
        <w:rPr>
          <w:rFonts w:hint="eastAsia" w:ascii="宋体" w:hAnsi="宋体" w:cs="宋体"/>
          <w:sz w:val="24"/>
          <w:szCs w:val="24"/>
        </w:rPr>
      </w:pPr>
      <w:r>
        <w:rPr>
          <w:rFonts w:hint="eastAsia" w:ascii="宋体" w:hAnsi="宋体" w:eastAsia="宋体" w:cs="宋体"/>
          <w:color w:val="000000"/>
          <w:sz w:val="24"/>
          <w:szCs w:val="24"/>
          <w:highlight w:val="none"/>
          <w:lang w:val="en-US" w:eastAsia="zh-CN" w:bidi="ar"/>
        </w:rPr>
        <w:t xml:space="preserve">12.3 提供的技术如与招标文件要求有不符之处，应说明其差别之所在并逐条说明。</w:t>
      </w:r>
      <w:r>
        <w:rPr>
          <w:rFonts w:hint="eastAsia" w:ascii="宋体" w:hAnsi="宋体" w:cs="宋体"/>
          <w:b/>
          <w:color w:val="000000"/>
          <w:sz w:val="24"/>
          <w:szCs w:val="24"/>
          <w:u w:val="single"/>
          <w:lang w:val="zh-CN"/>
        </w:rPr>
        <w:t xml:space="preserve">对带星号（“★”）的技术条款必须在投标文件中提供技术支持资料（如白皮书、彩页、手册、检测报告等），未提供技术支持资料的，评审时不予认可</w:t>
      </w:r>
      <w:r>
        <w:rPr>
          <w:rFonts w:hint="eastAsia" w:ascii="宋体" w:hAnsi="宋体" w:cs="宋体"/>
          <w:color w:val="000000"/>
          <w:sz w:val="24"/>
          <w:szCs w:val="24"/>
          <w:lang w:val="zh-CN"/>
        </w:rPr>
        <w:t xml:space="preserve">。</w:t>
      </w:r>
      <w:r>
        <w:rPr>
          <w:rFonts w:hint="eastAsia" w:ascii="宋体" w:hAnsi="宋体" w:cs="宋体"/>
          <w:sz w:val="24"/>
          <w:szCs w:val="24"/>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color w:val="000000"/>
          <w:sz w:val="24"/>
          <w:szCs w:val="24"/>
          <w:highlight w:val="none"/>
          <w:lang w:val="en-US" w:eastAsia="zh-CN" w:bidi="ar"/>
        </w:rPr>
        <w:t xml:space="preserve">12.4 </w:t>
      </w:r>
      <w:r>
        <w:rPr>
          <w:rFonts w:hint="eastAsia" w:ascii="宋体" w:hAnsi="宋体" w:eastAsia="宋体" w:cs="宋体"/>
          <w:bCs/>
          <w:color w:val="000000"/>
          <w:sz w:val="24"/>
          <w:szCs w:val="24"/>
          <w:highlight w:val="none"/>
          <w:lang w:val="zh-CN"/>
        </w:rPr>
        <w:t xml:space="preserve">投标文件应按照招标文件要求技术资料、文件和有关证明，</w:t>
      </w:r>
      <w:r>
        <w:rPr>
          <w:rFonts w:hint="eastAsia" w:ascii="宋体" w:hAnsi="宋体" w:eastAsia="宋体" w:cs="宋体"/>
          <w:color w:val="000000"/>
          <w:sz w:val="24"/>
          <w:szCs w:val="24"/>
          <w:highlight w:val="none"/>
          <w:lang w:val="zh-CN"/>
        </w:rPr>
        <w:t xml:space="preserve">包括但不限于下列文件，其中加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项目不得有缺失或无效：</w:t>
      </w:r>
      <w:r>
        <w:rPr>
          <w:rFonts w:hint="eastAsia" w:ascii="宋体" w:hAnsi="宋体" w:eastAsia="宋体" w:cs="宋体"/>
          <w:bCs/>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（1）★项目实施方案（格式自拟）；</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（2）★《技术条款偏离表》；</w:t>
      </w:r>
      <w:r>
        <w:rPr>
          <w:rFonts w:hint="eastAsia" w:ascii="宋体" w:hAnsi="宋体" w:eastAsia="宋体" w:cs="宋体"/>
          <w:color w:val="000000"/>
          <w:sz w:val="24"/>
          <w:szCs w:val="24"/>
          <w:highlight w:val="none"/>
          <w:lang w:val="zh-CN"/>
        </w:rPr>
      </w:r>
      <w:r/>
    </w:p>
    <w:p>
      <w:pPr>
        <w:pStyle w:val="789"/>
        <w:ind w:left="0" w:firstLine="480"/>
        <w:jc w:val="left"/>
        <w:keepLines w:val="0"/>
        <w:keepNext w:val="0"/>
        <w:pageBreakBefore w:val="0"/>
        <w:spacing w:after="0"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）★《供货一览表》；</w:t>
      </w:r>
      <w:r>
        <w:rPr>
          <w:rFonts w:hint="eastAsia" w:ascii="宋体" w:hAnsi="宋体" w:eastAsia="宋体" w:cs="宋体"/>
          <w:color w:val="000000"/>
          <w:sz w:val="24"/>
          <w:szCs w:val="24"/>
          <w:highlight w:val="none"/>
          <w:lang w:val="zh-CN"/>
        </w:rPr>
      </w:r>
      <w:r/>
    </w:p>
    <w:p>
      <w:pPr>
        <w:pStyle w:val="789"/>
        <w:ind w:left="0" w:firstLine="480"/>
        <w:jc w:val="left"/>
        <w:keepLines w:val="0"/>
        <w:keepNext w:val="0"/>
        <w:pageBreakBefore w:val="0"/>
        <w:spacing w:after="0"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zh-CN"/>
        </w:rPr>
        <w:t xml:space="preserve">）货物质量保证承诺书</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zh-CN" w:eastAsia="zh-CN"/>
        </w:rPr>
        <w:t xml:space="preserve">格式自拟</w:t>
      </w:r>
      <w:r>
        <w:rPr>
          <w:rFonts w:hint="eastAsia" w:ascii="宋体" w:hAnsi="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zh-CN"/>
        </w:rPr>
        <w:t xml:space="preserve">）验收标准；</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zh-CN"/>
        </w:rPr>
        <w:t xml:space="preserve">）供应商认为需要提供的其他技术资料。</w:t>
      </w:r>
      <w:r>
        <w:rPr>
          <w:rFonts w:hint="eastAsia" w:ascii="宋体" w:hAnsi="宋体" w:eastAsia="宋体" w:cs="宋体"/>
          <w:b/>
          <w:color w:val="000000"/>
          <w:sz w:val="24"/>
          <w:szCs w:val="24"/>
          <w:highlight w:val="none"/>
          <w:lang w:val="zh-CN"/>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13.投标文件的价格部分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13.1 供应商应对清单中的产品和服务分别报价，每一项产品和服务仅接受一个价格。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13.2 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13.3 供应商的任何错漏、优惠、竞争性报价不得作为减轻责任、减少服务、增加收费、降低质量的理由。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13.4 供应商提供小微企业、残疾人福利性单位、监狱企业制造的货物和服务的，须在《报价一览表》《分项报价表》中注明,供应商应当如实申报,否则评标委员会有权取消其小微企业、残疾人福利性单位、监狱企业优惠政策。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14.投标文件的其他部分 </w:t>
      </w:r>
      <w:r>
        <w:rPr>
          <w:rFonts w:hint="eastAsia" w:ascii="宋体" w:hAnsi="宋体" w:eastAsia="宋体" w:cs="宋体"/>
          <w:color w:val="000000"/>
          <w:sz w:val="24"/>
          <w:szCs w:val="24"/>
          <w:highlight w:val="none"/>
          <w:lang w:val="en-US" w:eastAsia="zh-CN" w:bidi="ar"/>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供应商编制投标文件需要提供的其他相关文件。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15.投标保证金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本项目不收取保证金。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16.投标有效期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16.1 自开标之日起九十日内投标有效。 </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color w:val="000000"/>
          <w:sz w:val="24"/>
          <w:szCs w:val="24"/>
          <w:highlight w:val="none"/>
          <w:lang w:val="en-US" w:eastAsia="zh-CN" w:bidi="ar"/>
        </w:rPr>
        <w:t xml:space="preserve">16.2 特殊情况下，在原投标有效期截止之前，代理机构可要求供应商同意延长投标有效期，这种要求与答复均以书面形式提交。供应商可拒绝这种要求，接受延长投标有效期的供应商将不会要求和允许修正其投标。</w:t>
      </w:r>
      <w:r>
        <w:rPr>
          <w:rFonts w:hint="eastAsia" w:ascii="宋体" w:hAnsi="宋体" w:eastAsia="宋体" w:cs="宋体"/>
          <w:b/>
          <w:bCs/>
          <w:color w:val="000000"/>
          <w:sz w:val="24"/>
          <w:szCs w:val="24"/>
          <w:highlight w:val="none"/>
          <w:lang w:val="zh-CN"/>
        </w:rPr>
      </w:r>
      <w:r/>
    </w:p>
    <w:p>
      <w:pPr>
        <w:pStyle w:val="708"/>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17.</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val="zh-CN"/>
        </w:rPr>
        <w:t xml:space="preserve">投标报价 </w:t>
      </w:r>
      <w:r>
        <w:rPr>
          <w:rFonts w:hint="eastAsia" w:ascii="宋体" w:hAnsi="宋体" w:eastAsia="宋体" w:cs="宋体"/>
          <w:b/>
          <w:bCs/>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17.1 供应商应对招标文件内的《产品清单》分别报价，并汇总报价。</w:t>
      </w:r>
      <w:r>
        <w:rPr>
          <w:rFonts w:hint="eastAsia" w:ascii="宋体" w:hAnsi="宋体" w:eastAsia="宋体" w:cs="宋体"/>
          <w:color w:val="000000"/>
          <w:sz w:val="24"/>
          <w:szCs w:val="24"/>
          <w:highlight w:val="none"/>
          <w:lang w:val="zh-CN"/>
        </w:rPr>
      </w:r>
      <w:r/>
    </w:p>
    <w:p>
      <w:pPr>
        <w:pStyle w:val="708"/>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zh-CN"/>
        </w:rPr>
        <w:t xml:space="preserve">1</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lang w:val="zh-CN"/>
        </w:rPr>
        <w:t xml:space="preserve">、投标文件的递交</w:t>
      </w:r>
      <w:r>
        <w:rPr>
          <w:rFonts w:hint="eastAsia" w:ascii="宋体" w:hAnsi="宋体" w:eastAsia="宋体" w:cs="宋体"/>
          <w:b/>
          <w:bCs/>
          <w:color w:val="000000"/>
          <w:sz w:val="24"/>
          <w:szCs w:val="24"/>
          <w:highlight w:val="none"/>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.1供应商应当按照《操作手册》规定，在</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val="zh-CN"/>
        </w:rPr>
        <w:t xml:space="preserve">公告规定的提交</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zh-CN"/>
        </w:rPr>
        <w:t xml:space="preserve">文件截止时间前制作并上传电子</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zh-CN"/>
        </w:rPr>
        <w:t xml:space="preserve">文件。</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zh-CN"/>
        </w:rPr>
        <w:t xml:space="preserve">应充分考虑网络环境、网络带宽等因素可能对投标产生的影响，如因供应商自身原因造成的电子响应文件上传不成功的，按照本招标文件第二章第21.2.2.4条规定做无效响应处理。</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.3采购代理机构可以按照规定，通过修改</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val="zh-CN"/>
        </w:rPr>
        <w:t xml:space="preserve">文件酌情延长提交</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val="zh-CN"/>
        </w:rPr>
        <w:t xml:space="preserve">文件截止日期，在此情况下，</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zh-CN"/>
        </w:rPr>
        <w:t xml:space="preserve">的所有权利和义务均以延长后新的截止日期为准。</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.4</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zh-CN"/>
        </w:rPr>
        <w:t xml:space="preserve">文件应加盖投标供应商公章。</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zh-CN"/>
        </w:rPr>
        <w:t xml:space="preserve">文件中注明须签字的地方应由</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zh-CN"/>
        </w:rPr>
        <w:t xml:space="preserve">的法定代表人或委托代理人签字，如为委托代理人签字的应附“法定代表人授权委托书”。</w:t>
      </w:r>
      <w:r>
        <w:rPr>
          <w:rFonts w:hint="eastAsia" w:ascii="宋体" w:hAnsi="宋体" w:eastAsia="宋体" w:cs="宋体"/>
          <w:color w:val="000000"/>
          <w:sz w:val="24"/>
          <w:szCs w:val="24"/>
          <w:highlight w:val="none"/>
        </w:rPr>
      </w:r>
      <w:r/>
    </w:p>
    <w:p>
      <w:pPr>
        <w:pStyle w:val="708"/>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rPr>
        <w:t xml:space="preserve">投标</w:t>
      </w:r>
      <w:r>
        <w:rPr>
          <w:rFonts w:hint="eastAsia" w:ascii="宋体" w:hAnsi="宋体" w:eastAsia="宋体" w:cs="宋体"/>
          <w:b/>
          <w:bCs/>
          <w:color w:val="000000"/>
          <w:sz w:val="24"/>
          <w:szCs w:val="24"/>
          <w:highlight w:val="none"/>
          <w:lang w:val="zh-CN"/>
        </w:rPr>
        <w:t xml:space="preserve">文件的拒收</w:t>
      </w:r>
      <w:r>
        <w:rPr>
          <w:rFonts w:hint="eastAsia" w:ascii="宋体" w:hAnsi="宋体" w:eastAsia="宋体" w:cs="宋体"/>
          <w:b/>
          <w:bCs/>
          <w:color w:val="000000"/>
          <w:sz w:val="24"/>
          <w:szCs w:val="24"/>
          <w:highlight w:val="none"/>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zh-CN"/>
        </w:rPr>
        <w:t xml:space="preserve">采购代理机构拒绝接收提交响应文件截止时间后上传的任何电子响应文件。</w:t>
      </w:r>
      <w:r>
        <w:rPr>
          <w:rFonts w:hint="eastAsia" w:ascii="宋体" w:hAnsi="宋体" w:eastAsia="宋体" w:cs="宋体"/>
          <w:color w:val="000000"/>
          <w:sz w:val="24"/>
          <w:szCs w:val="24"/>
          <w:highlight w:val="none"/>
          <w:lang w:val="zh-CN"/>
        </w:rPr>
      </w:r>
      <w:r/>
    </w:p>
    <w:p>
      <w:pPr>
        <w:pStyle w:val="708"/>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1</w:t>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val="zh-CN"/>
        </w:rPr>
        <w:t xml:space="preserve">投标文件的修改和撤回 </w:t>
      </w:r>
      <w:r>
        <w:rPr>
          <w:rFonts w:hint="eastAsia" w:ascii="宋体" w:hAnsi="宋体" w:eastAsia="宋体" w:cs="宋体"/>
          <w:b/>
          <w:bCs/>
          <w:color w:val="000000"/>
          <w:sz w:val="24"/>
          <w:szCs w:val="24"/>
          <w:highlight w:val="none"/>
          <w:lang w:val="zh-CN"/>
        </w:rPr>
      </w:r>
      <w:r/>
    </w:p>
    <w:p>
      <w:pPr>
        <w:pStyle w:val="708"/>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1</w:t>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lang w:val="zh-CN"/>
        </w:rPr>
        <w:t xml:space="preserve">.1投标文件的撤回</w:t>
      </w:r>
      <w:r>
        <w:rPr>
          <w:rFonts w:hint="eastAsia" w:ascii="宋体" w:hAnsi="宋体" w:eastAsia="宋体" w:cs="宋体"/>
          <w:b/>
          <w:bCs/>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（1）投标人可在提交投标文件截止时间前撤回其电子投标文件，具体操作方法见《操作手册》。</w:t>
      </w:r>
      <w:r>
        <w:rPr>
          <w:rFonts w:hint="eastAsia" w:ascii="宋体" w:hAnsi="宋体" w:eastAsia="宋体" w:cs="宋体"/>
          <w:b w:val="0"/>
          <w:bCs w:val="0"/>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（2）投标人撤回电子投标文件，则认为其不再参与本项目投标活动。</w:t>
      </w:r>
      <w:r>
        <w:rPr>
          <w:rFonts w:hint="eastAsia" w:ascii="宋体" w:hAnsi="宋体" w:eastAsia="宋体" w:cs="宋体"/>
          <w:b w:val="0"/>
          <w:bCs w:val="0"/>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1</w:t>
      </w: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val="zh-CN"/>
        </w:rPr>
        <w:t xml:space="preserve">.2响应文件的修改</w:t>
      </w:r>
      <w:r>
        <w:rPr>
          <w:rFonts w:hint="eastAsia" w:ascii="宋体" w:hAnsi="宋体" w:eastAsia="宋体" w:cs="宋体"/>
          <w:b w:val="0"/>
          <w:bCs w:val="0"/>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（1）投标人可在提交投标文件截止时间前对其电子投标文件进行修改，具体操作方法见《操作手册》。</w:t>
      </w:r>
      <w:r>
        <w:rPr>
          <w:rFonts w:hint="eastAsia" w:ascii="宋体" w:hAnsi="宋体" w:eastAsia="宋体" w:cs="宋体"/>
          <w:b w:val="0"/>
          <w:bCs w:val="0"/>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（2）提交投标文件截止时间之后，投标人不得对其电子投标文件作任何修改。</w:t>
      </w:r>
      <w:r>
        <w:rPr>
          <w:rFonts w:hint="eastAsia" w:ascii="宋体" w:hAnsi="宋体" w:eastAsia="宋体" w:cs="宋体"/>
          <w:b w:val="0"/>
          <w:bCs w:val="0"/>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1</w:t>
      </w: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val="zh-CN"/>
        </w:rPr>
        <w:t xml:space="preserve">.3在提交投标文件截止时间至招标文件中规定的投标有效期满之间的这段时间内，投标人不得撤回其投标文件。</w:t>
      </w:r>
      <w:r>
        <w:rPr>
          <w:rFonts w:hint="eastAsia" w:ascii="宋体" w:hAnsi="宋体" w:eastAsia="宋体" w:cs="宋体"/>
          <w:b w:val="0"/>
          <w:bCs w:val="0"/>
          <w:color w:val="000000"/>
          <w:sz w:val="24"/>
          <w:szCs w:val="24"/>
          <w:highlight w:val="none"/>
          <w:lang w:val="zh-CN"/>
        </w:rPr>
      </w:r>
      <w:r/>
    </w:p>
    <w:p>
      <w:pPr>
        <w:pStyle w:val="708"/>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1"/>
      </w:pPr>
      <w:r/>
      <w:bookmarkStart w:id="32" w:name="_Toc7692"/>
      <w:r/>
      <w:bookmarkStart w:id="33" w:name="_Toc1379"/>
      <w:r>
        <w:rPr>
          <w:rFonts w:hint="eastAsia" w:ascii="宋体" w:hAnsi="宋体" w:eastAsia="宋体" w:cs="宋体"/>
          <w:b/>
          <w:bCs/>
          <w:color w:val="000000"/>
          <w:sz w:val="24"/>
          <w:szCs w:val="24"/>
          <w:highlight w:val="none"/>
          <w:lang w:val="zh-CN"/>
        </w:rPr>
        <w:t xml:space="preserve">四、开标、评标与确定中标供应商</w:t>
      </w:r>
      <w:bookmarkEnd w:id="32"/>
      <w:r/>
      <w:bookmarkEnd w:id="33"/>
      <w:r>
        <w:rPr>
          <w:rFonts w:hint="eastAsia" w:ascii="宋体" w:hAnsi="宋体" w:eastAsia="宋体" w:cs="宋体"/>
          <w:b/>
          <w:bCs/>
          <w:color w:val="000000"/>
          <w:sz w:val="24"/>
          <w:szCs w:val="24"/>
          <w:highlight w:val="none"/>
          <w:lang w:val="zh-CN"/>
        </w:rPr>
        <w:t xml:space="preserve"> </w:t>
      </w:r>
      <w:r>
        <w:rPr>
          <w:rFonts w:hint="eastAsia" w:ascii="宋体" w:hAnsi="宋体" w:eastAsia="宋体" w:cs="宋体"/>
          <w:b/>
          <w:bCs/>
          <w:color w:val="000000"/>
          <w:sz w:val="24"/>
          <w:szCs w:val="24"/>
          <w:highlight w:val="none"/>
          <w:lang w:val="zh-CN"/>
        </w:rPr>
      </w:r>
      <w:r/>
    </w:p>
    <w:p>
      <w:pPr>
        <w:pStyle w:val="708"/>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en-US" w:eastAsia="zh-CN"/>
        </w:rPr>
        <w:t xml:space="preserve">20</w:t>
      </w:r>
      <w:r>
        <w:rPr>
          <w:rFonts w:hint="eastAsia" w:ascii="宋体" w:hAnsi="宋体" w:eastAsia="宋体" w:cs="宋体"/>
          <w:b/>
          <w:bCs/>
          <w:color w:val="000000"/>
          <w:sz w:val="24"/>
          <w:szCs w:val="24"/>
          <w:highlight w:val="none"/>
          <w:lang w:val="zh-CN"/>
        </w:rPr>
        <w:t xml:space="preserve">. 开标 </w:t>
      </w:r>
      <w:r>
        <w:rPr>
          <w:rFonts w:hint="eastAsia" w:ascii="宋体" w:hAnsi="宋体" w:eastAsia="宋体" w:cs="宋体"/>
          <w:b/>
          <w:bCs/>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en-US" w:eastAsia="zh-CN"/>
        </w:rPr>
        <w:t xml:space="preserve">20</w:t>
      </w:r>
      <w:r>
        <w:rPr>
          <w:rFonts w:hint="eastAsia" w:ascii="宋体" w:hAnsi="宋体" w:eastAsia="宋体" w:cs="宋体"/>
          <w:b w:val="0"/>
          <w:bCs w:val="0"/>
          <w:color w:val="000000"/>
          <w:sz w:val="24"/>
          <w:szCs w:val="24"/>
          <w:highlight w:val="none"/>
          <w:lang w:val="zh-CN"/>
        </w:rPr>
        <w:t xml:space="preserve">.1 采购代理机构在招标公告中规定的时间和地点组织公开开标。投标人按照《操作手册》规定参加开标活动，并在苏采云系统规定的时间内对投标文件进行解密。苏采云系统公布各投标人名称和投标价格。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宋体"/>
          <w:b w:val="0"/>
          <w:bCs w:val="0"/>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en-US" w:eastAsia="zh-CN"/>
        </w:rPr>
        <w:t xml:space="preserve">20</w:t>
      </w:r>
      <w:r>
        <w:rPr>
          <w:rFonts w:hint="eastAsia" w:ascii="宋体" w:hAnsi="宋体" w:eastAsia="宋体" w:cs="宋体"/>
          <w:b w:val="0"/>
          <w:bCs w:val="0"/>
          <w:color w:val="000000"/>
          <w:sz w:val="24"/>
          <w:szCs w:val="24"/>
          <w:highlight w:val="none"/>
          <w:lang w:val="zh-CN"/>
        </w:rPr>
        <w:t xml:space="preserve">.2 投标人在开标过程中涉及到的投标文件解密、开标结果确认等工作，应按照《操作手册》规定执行。</w:t>
      </w:r>
      <w:r>
        <w:rPr>
          <w:rFonts w:hint="eastAsia" w:ascii="宋体" w:hAnsi="宋体" w:eastAsia="宋体" w:cs="宋体"/>
          <w:b w:val="0"/>
          <w:bCs w:val="0"/>
          <w:color w:val="000000"/>
          <w:sz w:val="24"/>
          <w:szCs w:val="24"/>
          <w:highlight w:val="none"/>
          <w:lang w:val="zh-CN"/>
        </w:rPr>
      </w:r>
      <w:r/>
    </w:p>
    <w:p>
      <w:pPr>
        <w:pStyle w:val="708"/>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en-US" w:eastAsia="zh-CN"/>
        </w:rPr>
        <w:t xml:space="preserve">20</w:t>
      </w:r>
      <w:r>
        <w:rPr>
          <w:rFonts w:hint="eastAsia" w:ascii="宋体" w:hAnsi="宋体" w:eastAsia="宋体" w:cs="宋体"/>
          <w:b w:val="0"/>
          <w:bCs w:val="0"/>
          <w:color w:val="000000"/>
          <w:sz w:val="24"/>
          <w:szCs w:val="24"/>
          <w:highlight w:val="none"/>
          <w:lang w:val="zh-CN"/>
        </w:rPr>
        <w:t xml:space="preserve">.3 投标人如果对开标过程和开标结果有疑义，应当根据《操作手册》规定提出，苏采云系统中《开标一览表》公布后5分钟内未提出的，视同认可开标结果。</w:t>
      </w:r>
      <w:r>
        <w:rPr>
          <w:rFonts w:hint="eastAsia" w:ascii="宋体" w:hAnsi="宋体" w:eastAsia="宋体" w:cs="宋体"/>
          <w:b w:val="0"/>
          <w:bCs w:val="0"/>
          <w:color w:val="000000"/>
          <w:sz w:val="24"/>
          <w:szCs w:val="24"/>
          <w:highlight w:val="none"/>
          <w:lang w:val="zh-CN"/>
        </w:rPr>
      </w:r>
      <w:r/>
    </w:p>
    <w:p>
      <w:pPr>
        <w:pStyle w:val="708"/>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21.</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val="zh-CN"/>
        </w:rPr>
        <w:t xml:space="preserve">评标 </w:t>
      </w:r>
      <w:r>
        <w:rPr>
          <w:rFonts w:hint="eastAsia" w:ascii="宋体" w:hAnsi="宋体" w:eastAsia="宋体" w:cs="宋体"/>
          <w:b/>
          <w:bCs/>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21.1 评标组织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21.1.1评标工作由代理机构组织，具体评标事务由依法组建的评标委员会负责，并独立履行下列职责： </w:t>
      </w:r>
      <w:r>
        <w:rPr>
          <w:rFonts w:hint="eastAsia" w:ascii="宋体" w:hAnsi="宋体" w:eastAsia="宋体" w:cs="宋体"/>
          <w:color w:val="000000"/>
          <w:sz w:val="24"/>
          <w:szCs w:val="24"/>
          <w:highlight w:val="none"/>
          <w:lang w:val="zh-CN"/>
        </w:rPr>
      </w:r>
      <w:r/>
    </w:p>
    <w:p>
      <w:pPr>
        <w:pStyle w:val="708"/>
        <w:numPr>
          <w:ilvl w:val="0"/>
          <w:numId w:val="6"/>
        </w:num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审查、评价投标文件是否符合招标文件的商务、技术等实质性要求； </w:t>
      </w:r>
      <w:r>
        <w:rPr>
          <w:rFonts w:hint="eastAsia" w:ascii="宋体" w:hAnsi="宋体" w:eastAsia="宋体" w:cs="宋体"/>
          <w:color w:val="000000"/>
          <w:sz w:val="24"/>
          <w:szCs w:val="24"/>
          <w:highlight w:val="none"/>
          <w:lang w:val="zh-CN"/>
        </w:rPr>
      </w:r>
      <w:r/>
    </w:p>
    <w:p>
      <w:pPr>
        <w:pStyle w:val="708"/>
        <w:numPr>
          <w:ilvl w:val="0"/>
          <w:numId w:val="6"/>
        </w:num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要求投标人对投标文件有关事项作出澄清或者说明； </w:t>
      </w:r>
      <w:r>
        <w:rPr>
          <w:rFonts w:hint="eastAsia" w:ascii="宋体" w:hAnsi="宋体" w:eastAsia="宋体" w:cs="宋体"/>
          <w:color w:val="000000"/>
          <w:sz w:val="24"/>
          <w:szCs w:val="24"/>
          <w:highlight w:val="none"/>
          <w:lang w:val="zh-CN"/>
        </w:rPr>
      </w:r>
      <w:r/>
    </w:p>
    <w:p>
      <w:pPr>
        <w:pStyle w:val="708"/>
        <w:numPr>
          <w:ilvl w:val="0"/>
          <w:numId w:val="6"/>
        </w:num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对投标文件进行比较和评价； </w:t>
      </w:r>
      <w:r>
        <w:rPr>
          <w:rFonts w:hint="eastAsia" w:ascii="宋体" w:hAnsi="宋体" w:eastAsia="宋体" w:cs="宋体"/>
          <w:color w:val="000000"/>
          <w:sz w:val="24"/>
          <w:szCs w:val="24"/>
          <w:highlight w:val="none"/>
          <w:lang w:val="zh-CN"/>
        </w:rPr>
      </w:r>
      <w:r/>
    </w:p>
    <w:p>
      <w:pPr>
        <w:pStyle w:val="708"/>
        <w:numPr>
          <w:ilvl w:val="0"/>
          <w:numId w:val="6"/>
        </w:num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推荐中标候选人或根据采购人委托直接确定中标供应商； </w:t>
      </w:r>
      <w:r>
        <w:rPr>
          <w:rFonts w:hint="eastAsia" w:ascii="宋体" w:hAnsi="宋体" w:eastAsia="宋体" w:cs="宋体"/>
          <w:color w:val="000000"/>
          <w:sz w:val="24"/>
          <w:szCs w:val="24"/>
          <w:highlight w:val="none"/>
          <w:lang w:val="zh-CN"/>
        </w:rPr>
      </w:r>
      <w:r/>
    </w:p>
    <w:p>
      <w:pPr>
        <w:pStyle w:val="708"/>
        <w:numPr>
          <w:ilvl w:val="0"/>
          <w:numId w:val="6"/>
        </w:num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向采购人、财政部门报告评标中发现的违法行为。</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 评标程序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21.2.1 投标文件的资格审查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21.2.1.1 采购人代表依法对投标人的资格进行审查。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21.2.1.2 采购人代表依据法律法规和招标文件的规定，对投标文件中的资格证明文件、《南京市政府采购供应商信用记录表》等进行审查，以确定投标供应商是否具备投标资格。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21.2.1.3 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21.2.1.4 投标文件有下列情况之一的，在资格性审查时按照无效投标处理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（1）不具备招标文件规定资格条件的；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（2）供应商被“信用中国”网站（www.creditchina.gov.cn）、“中国政府采购网”(www.ccgp.gov.cn)列入失信被执行人、重大税收违 法案件当事人名单、政府采购严重违法失信行为记录名单的。接受联合体的项目，两个以上的自然人、法人或者其他组织组成一个联合体 ，以一个供应商的身份共同参加政府采购活动的，联合体成员存在不良信用记录的，视同联合体存在不良应用记录。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 投标文件的符合性审查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21.2.2.1评标委员会将依据法律法规和招标文件的规定，对投标文件的有效性、完整性和对招标文件的响应程度进行审查，以确定是否对招标文件的实质性要求作出响应。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21.2.2.2 实质性要求是指本招标文件中带“★”的商务和技术要求。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21.2.2.3 如果投标文件实质上没有响应招标文件的要求，评标委员会将予以拒绝，投标人不得通过修改或撤销不合要求的偏离而使其投标成为实质性响应的投标。 </w:t>
      </w:r>
      <w:r>
        <w:rPr>
          <w:rFonts w:hint="eastAsia" w:ascii="宋体" w:hAnsi="宋体" w:eastAsia="宋体" w:cs="宋体"/>
          <w:color w:val="000000"/>
          <w:sz w:val="24"/>
          <w:szCs w:val="24"/>
          <w:highlight w:val="none"/>
          <w:lang w:val="zh-CN"/>
        </w:rPr>
      </w:r>
      <w:r/>
    </w:p>
    <w:p>
      <w:pPr>
        <w:pStyle w:val="708"/>
        <w:ind w:left="0"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21.2.2.4 投标文件有下列情况之一的，在符合性审查时按照无效投标处理：</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（1）没有按照招标文件要求盖章或签字的；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（2）投标总价超出采购项目预算或者最高限价的；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（3）不同供应商的投标文件由同一单位或者个人编制；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（4）不同供应商委托同一单位或者个人办理投标事宜；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（5）不同供应商的投标文件载明的项目管理成员为同一人；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（6）不同供应商的投标文件异常一致或者投标报价呈规律性差异；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zh-CN"/>
        </w:rPr>
        <w:t xml:space="preserve">）不同供应商的法定代表人或委托代理人有夫妻、直系血亲关系的；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zh-CN"/>
        </w:rPr>
        <w:t xml:space="preserve">）不同供应商的负责人为同一人或者存在控股、管理关系的；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val="zh-CN"/>
        </w:rPr>
        <w:t xml:space="preserve">）不同供应商的委托代理人(或法定代表人、项目负责人等)在招标文件发布日上月至投标截止日当月在同一单位缴纳社会保险的；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属于投标邀请中第六条第2款拒绝参加本次采购活动供应商的</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zh-CN"/>
        </w:rPr>
        <w:t xml:space="preserve">）没有逐一说明投标产品品牌、型号、产地、性能参数，而是直接拷贝招标文件技术要求的；</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）投标文件含有采购人不能接受的附加条件的；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21.2.2.5 有下列情形之一的予以废标：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（1）符合资格条件的供应商或者对招标文件作实质性响应的供应商不足三家的；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（2）出现影响采购公正的违法、违规行为的；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（3）供应商的报价均超过了采购预算或最高限价，采购人不能支付的；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（4）因重大变故，采购任务取消的；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（5）招标文件存在歧义、重大缺陷，或者招标文件内容违反国家有关强制性规定的。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（6）预留份额的采购项目或采购包，通过发布公告方式邀请供应商后，符合资格条件的中小企业数量不足3家的。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）因苏采云系统故障造成开标不成功。</w:t>
      </w:r>
      <w:r>
        <w:rPr>
          <w:rFonts w:hint="eastAsia" w:ascii="宋体" w:hAnsi="宋体" w:eastAsia="宋体" w:cs="宋体"/>
          <w:color w:val="000000"/>
          <w:sz w:val="24"/>
          <w:szCs w:val="24"/>
          <w:highlight w:val="none"/>
          <w:lang w:val="zh-CN"/>
        </w:rPr>
      </w:r>
      <w:r/>
    </w:p>
    <w:p>
      <w:pPr>
        <w:pStyle w:val="808"/>
        <w:rPr>
          <w:rFonts w:hint="eastAsia"/>
          <w:color w:val="000000"/>
          <w:highlight w:val="none"/>
          <w:lang w:val="zh-CN"/>
        </w:rPr>
      </w:pPr>
      <w:r>
        <w:rPr>
          <w:rFonts w:hint="eastAsia"/>
          <w:color w:val="000000"/>
          <w:highlight w:val="none"/>
          <w:lang w:val="zh-CN"/>
        </w:rPr>
      </w:r>
      <w:r/>
    </w:p>
    <w:p>
      <w:pPr>
        <w:pStyle w:val="708"/>
        <w:ind w:left="0" w:firstLine="480"/>
        <w:jc w:val="left"/>
        <w:keepLines w:val="0"/>
        <w:keepNext w:val="0"/>
        <w:pageBreakBefore w:val="0"/>
        <w:spacing w:line="360" w:lineRule="auto"/>
        <w:widowControl w:val="off"/>
        <w:rPr>
          <w:rFonts w:hint="eastAsia" w:ascii="宋体" w:hAnsi="宋体" w:cs="宋体"/>
          <w:b/>
          <w:bCs/>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w:t>
      </w:r>
      <w:r>
        <w:rPr>
          <w:rFonts w:hint="eastAsia" w:ascii="宋体" w:hAnsi="宋体" w:eastAsia="宋体" w:cs="宋体"/>
          <w:color w:val="000000"/>
          <w:sz w:val="24"/>
          <w:szCs w:val="24"/>
          <w:highlight w:val="none"/>
          <w:lang w:val="en-US" w:eastAsia="zh-CN"/>
        </w:rPr>
        <w:t xml:space="preserve">6</w:t>
      </w:r>
      <w:r>
        <w:rPr>
          <w:rFonts w:hint="eastAsia" w:ascii="宋体" w:hAnsi="宋体" w:cs="宋体"/>
          <w:b/>
          <w:bCs/>
          <w:color w:val="000000"/>
          <w:sz w:val="24"/>
          <w:szCs w:val="24"/>
          <w:highlight w:val="none"/>
          <w:lang w:val="zh-CN"/>
        </w:rPr>
        <w:t xml:space="preserve">根据财政部《关于推动解决政府采购异常低价问题的通知》(财库【2026】2号)要求，评审过程中出现下列情形之一的，评审委员会应当启动异常低价投标(响应)审查程序:.</w:t>
      </w:r>
      <w:r>
        <w:rPr>
          <w:rFonts w:hint="eastAsia" w:ascii="宋体" w:hAnsi="宋体" w:cs="宋体"/>
          <w:b/>
          <w:bCs/>
          <w:color w:val="000000"/>
          <w:sz w:val="24"/>
          <w:szCs w:val="24"/>
          <w:highlight w:val="none"/>
          <w:lang w:val="zh-CN"/>
        </w:rPr>
      </w:r>
      <w:r/>
    </w:p>
    <w:p>
      <w:pPr>
        <w:pStyle w:val="708"/>
        <w:ind w:left="0" w:firstLine="482"/>
        <w:jc w:val="left"/>
        <w:keepLines w:val="0"/>
        <w:keepNext w:val="0"/>
        <w:pageBreakBefore w:val="0"/>
        <w:spacing w:line="360" w:lineRule="auto"/>
        <w:widowControl w:val="off"/>
        <w:rPr>
          <w:rFonts w:hint="eastAsia" w:ascii="宋体" w:hAnsi="宋体" w:cs="宋体"/>
          <w:b/>
          <w:bCs/>
          <w:color w:val="000000"/>
          <w:sz w:val="24"/>
          <w:szCs w:val="24"/>
          <w:highlight w:val="none"/>
          <w:lang w:val="zh-CN"/>
        </w:rPr>
        <w:outlineLvl w:val="9"/>
      </w:pPr>
      <w:r>
        <w:rPr>
          <w:rFonts w:hint="eastAsia" w:ascii="宋体" w:hAnsi="宋体" w:cs="宋体"/>
          <w:b/>
          <w:bCs/>
          <w:color w:val="000000"/>
          <w:sz w:val="24"/>
          <w:szCs w:val="24"/>
          <w:highlight w:val="none"/>
          <w:lang w:val="zh-CN"/>
        </w:rPr>
        <w:t xml:space="preserve">(1)投标(响应)报价低于全部通过符合性审查供应商投标(响应)报价平均值 50%的，即投标(响应)报价</w:t>
      </w:r>
      <w:r>
        <w:rPr>
          <w:rFonts w:hint="eastAsia" w:ascii="宋体" w:hAnsi="宋体" w:eastAsia="宋体" w:cs="宋体"/>
          <w:b/>
          <w:bCs/>
          <w:color w:val="000000"/>
          <w:sz w:val="24"/>
          <w:szCs w:val="24"/>
          <w:highlight w:val="none"/>
          <w:lang w:val="zh-CN"/>
        </w:rPr>
        <w:t xml:space="preserve">&lt;</w:t>
      </w:r>
      <w:r>
        <w:rPr>
          <w:rFonts w:hint="eastAsia" w:ascii="宋体" w:hAnsi="宋体" w:cs="宋体"/>
          <w:b/>
          <w:bCs/>
          <w:color w:val="000000"/>
          <w:sz w:val="24"/>
          <w:szCs w:val="24"/>
          <w:highlight w:val="none"/>
          <w:lang w:val="zh-CN"/>
        </w:rPr>
        <w:t xml:space="preserve">全部通过符合性审查供应商投标(响应)报价平均值X50%;</w:t>
      </w:r>
      <w:r>
        <w:rPr>
          <w:rFonts w:hint="eastAsia" w:ascii="宋体" w:hAnsi="宋体" w:cs="宋体"/>
          <w:b/>
          <w:bCs/>
          <w:color w:val="000000"/>
          <w:sz w:val="24"/>
          <w:szCs w:val="24"/>
          <w:highlight w:val="none"/>
          <w:lang w:val="zh-CN"/>
        </w:rPr>
      </w:r>
      <w:r/>
    </w:p>
    <w:p>
      <w:pPr>
        <w:pStyle w:val="708"/>
        <w:ind w:left="0" w:firstLine="482"/>
        <w:jc w:val="left"/>
        <w:keepLines w:val="0"/>
        <w:keepNext w:val="0"/>
        <w:pageBreakBefore w:val="0"/>
        <w:spacing w:line="360" w:lineRule="auto"/>
        <w:widowControl w:val="off"/>
        <w:rPr>
          <w:rFonts w:hint="eastAsia" w:ascii="宋体" w:hAnsi="宋体" w:cs="宋体"/>
          <w:b/>
          <w:bCs/>
          <w:color w:val="000000"/>
          <w:sz w:val="24"/>
          <w:szCs w:val="24"/>
          <w:highlight w:val="none"/>
          <w:lang w:val="zh-CN"/>
        </w:rPr>
        <w:outlineLvl w:val="9"/>
      </w:pPr>
      <w:r>
        <w:rPr>
          <w:rFonts w:hint="eastAsia" w:ascii="宋体" w:hAnsi="宋体" w:cs="宋体"/>
          <w:b/>
          <w:bCs/>
          <w:color w:val="000000"/>
          <w:sz w:val="24"/>
          <w:szCs w:val="24"/>
          <w:highlight w:val="none"/>
          <w:lang w:val="zh-CN"/>
        </w:rPr>
        <w:t xml:space="preserve">(2)投标(响应)报价低于通过符合性审查的次低报价供应商投标(响应)报价50%的，即投标(响应)报价</w:t>
      </w:r>
      <w:r>
        <w:rPr>
          <w:rFonts w:hint="eastAsia" w:ascii="宋体" w:hAnsi="宋体" w:eastAsia="宋体" w:cs="宋体"/>
          <w:b/>
          <w:bCs/>
          <w:color w:val="000000"/>
          <w:sz w:val="24"/>
          <w:szCs w:val="24"/>
          <w:highlight w:val="none"/>
          <w:lang w:val="zh-CN"/>
        </w:rPr>
        <w:t xml:space="preserve">&lt;</w:t>
      </w:r>
      <w:r>
        <w:rPr>
          <w:rFonts w:hint="eastAsia" w:ascii="宋体" w:hAnsi="宋体" w:cs="宋体"/>
          <w:b/>
          <w:bCs/>
          <w:color w:val="000000"/>
          <w:sz w:val="24"/>
          <w:szCs w:val="24"/>
          <w:highlight w:val="none"/>
          <w:lang w:val="zh-CN"/>
        </w:rPr>
        <w:t xml:space="preserve">通过符合性审查的次低报价供应商投标(响应)报价X50%;</w:t>
      </w:r>
      <w:r>
        <w:rPr>
          <w:rFonts w:hint="eastAsia" w:ascii="宋体" w:hAnsi="宋体" w:cs="宋体"/>
          <w:b/>
          <w:bCs/>
          <w:color w:val="000000"/>
          <w:sz w:val="24"/>
          <w:szCs w:val="24"/>
          <w:highlight w:val="none"/>
          <w:lang w:val="zh-CN"/>
        </w:rPr>
      </w:r>
      <w:r/>
    </w:p>
    <w:p>
      <w:pPr>
        <w:pStyle w:val="708"/>
        <w:ind w:left="0" w:firstLine="482"/>
        <w:jc w:val="left"/>
        <w:keepLines w:val="0"/>
        <w:keepNext w:val="0"/>
        <w:pageBreakBefore w:val="0"/>
        <w:spacing w:line="360" w:lineRule="auto"/>
        <w:widowControl w:val="off"/>
        <w:rPr>
          <w:rFonts w:hint="eastAsia" w:ascii="宋体" w:hAnsi="宋体" w:cs="宋体"/>
          <w:b/>
          <w:bCs/>
          <w:color w:val="000000"/>
          <w:sz w:val="24"/>
          <w:szCs w:val="24"/>
          <w:highlight w:val="none"/>
          <w:lang w:val="zh-CN"/>
        </w:rPr>
        <w:outlineLvl w:val="9"/>
      </w:pPr>
      <w:r>
        <w:rPr>
          <w:rFonts w:hint="eastAsia" w:ascii="宋体" w:hAnsi="宋体" w:cs="宋体"/>
          <w:b/>
          <w:bCs/>
          <w:color w:val="000000"/>
          <w:sz w:val="24"/>
          <w:szCs w:val="24"/>
          <w:highlight w:val="none"/>
          <w:lang w:val="zh-CN"/>
        </w:rPr>
        <w:t xml:space="preserve">(3)投标(响应)报价低于采购项目最高限价45%的，即投标(响应)报价</w:t>
      </w:r>
      <w:r>
        <w:rPr>
          <w:rFonts w:hint="eastAsia" w:ascii="宋体" w:hAnsi="宋体" w:eastAsia="宋体" w:cs="宋体"/>
          <w:b/>
          <w:bCs/>
          <w:color w:val="000000"/>
          <w:sz w:val="24"/>
          <w:szCs w:val="24"/>
          <w:highlight w:val="none"/>
          <w:lang w:val="zh-CN"/>
        </w:rPr>
        <w:t xml:space="preserve">&lt;</w:t>
      </w:r>
      <w:r>
        <w:rPr>
          <w:rFonts w:hint="eastAsia" w:ascii="宋体" w:hAnsi="宋体" w:cs="宋体"/>
          <w:b/>
          <w:bCs/>
          <w:color w:val="000000"/>
          <w:sz w:val="24"/>
          <w:szCs w:val="24"/>
          <w:highlight w:val="none"/>
          <w:lang w:val="zh-CN"/>
        </w:rPr>
        <w:t xml:space="preserve">采购项目最高限价X45%;</w:t>
      </w:r>
      <w:r>
        <w:rPr>
          <w:rFonts w:hint="eastAsia" w:ascii="宋体" w:hAnsi="宋体" w:cs="宋体"/>
          <w:b/>
          <w:bCs/>
          <w:color w:val="000000"/>
          <w:sz w:val="24"/>
          <w:szCs w:val="24"/>
          <w:highlight w:val="none"/>
          <w:lang w:val="zh-CN"/>
        </w:rPr>
      </w:r>
      <w:r/>
    </w:p>
    <w:p>
      <w:pPr>
        <w:pStyle w:val="708"/>
        <w:ind w:left="0" w:firstLine="482"/>
        <w:jc w:val="left"/>
        <w:keepLines w:val="0"/>
        <w:keepNext w:val="0"/>
        <w:pageBreakBefore w:val="0"/>
        <w:spacing w:line="360" w:lineRule="auto"/>
        <w:widowControl w:val="off"/>
        <w:rPr>
          <w:rFonts w:hint="eastAsia" w:ascii="宋体" w:hAnsi="宋体" w:cs="宋体"/>
          <w:b/>
          <w:bCs/>
          <w:color w:val="000000"/>
          <w:sz w:val="24"/>
          <w:szCs w:val="24"/>
          <w:highlight w:val="none"/>
          <w:lang w:val="zh-CN"/>
        </w:rPr>
        <w:outlineLvl w:val="9"/>
      </w:pPr>
      <w:r>
        <w:rPr>
          <w:rFonts w:hint="eastAsia" w:ascii="宋体" w:hAnsi="宋体" w:cs="宋体"/>
          <w:b/>
          <w:bCs/>
          <w:color w:val="000000"/>
          <w:sz w:val="24"/>
          <w:szCs w:val="24"/>
          <w:highlight w:val="none"/>
          <w:lang w:val="zh-CN"/>
        </w:rPr>
        <w:t xml:space="preserve">(4)评审委员会基于专业判断，认为供应商报价过低，有可能影响产品质量或者不能诚信履约的其他情形。</w:t>
      </w:r>
      <w:r>
        <w:rPr>
          <w:rFonts w:hint="eastAsia" w:ascii="宋体" w:hAnsi="宋体" w:cs="宋体"/>
          <w:b/>
          <w:bCs/>
          <w:color w:val="000000"/>
          <w:sz w:val="24"/>
          <w:szCs w:val="24"/>
          <w:highlight w:val="none"/>
          <w:lang w:val="zh-CN"/>
        </w:rPr>
      </w:r>
      <w:r/>
    </w:p>
    <w:p>
      <w:pPr>
        <w:pStyle w:val="708"/>
        <w:ind w:left="0" w:firstLine="482"/>
        <w:jc w:val="left"/>
        <w:keepLines w:val="0"/>
        <w:keepNext w:val="0"/>
        <w:pageBreakBefore w:val="0"/>
        <w:spacing w:line="360" w:lineRule="auto"/>
        <w:widowControl w:val="off"/>
        <w:rPr>
          <w:rFonts w:hint="eastAsia" w:ascii="宋体" w:hAnsi="宋体" w:cs="宋体"/>
          <w:b/>
          <w:bCs/>
          <w:color w:val="000000"/>
          <w:sz w:val="24"/>
          <w:szCs w:val="24"/>
          <w:highlight w:val="none"/>
          <w:lang w:val="zh-CN"/>
        </w:rPr>
        <w:outlineLvl w:val="9"/>
      </w:pPr>
      <w:r>
        <w:rPr>
          <w:rFonts w:hint="eastAsia" w:ascii="宋体" w:hAnsi="宋体" w:cs="宋体"/>
          <w:b/>
          <w:bCs/>
          <w:color w:val="000000"/>
          <w:sz w:val="24"/>
          <w:szCs w:val="24"/>
          <w:highlight w:val="none"/>
          <w:lang w:val="zh-CN"/>
        </w:rPr>
        <w:t xml:space="preserve">具体要求按《关于推动解决政府采购异常低价问题的通知》(财库【2026】2号)执行。</w:t>
      </w:r>
      <w:r>
        <w:rPr>
          <w:rFonts w:hint="eastAsia" w:ascii="宋体" w:hAnsi="宋体" w:cs="宋体"/>
          <w:b/>
          <w:bCs/>
          <w:color w:val="000000"/>
          <w:sz w:val="24"/>
          <w:szCs w:val="24"/>
          <w:highlight w:val="none"/>
          <w:lang w:val="zh-CN"/>
        </w:rPr>
      </w:r>
      <w:r/>
    </w:p>
    <w:p>
      <w:pPr>
        <w:pStyle w:val="708"/>
        <w:ind w:firstLine="480"/>
        <w:jc w:val="left"/>
        <w:spacing w:line="360" w:lineRule="auto"/>
        <w:rPr>
          <w:rFonts w:hint="eastAsia" w:ascii="宋体" w:hAnsi="宋体" w:cs="宋体"/>
          <w:b w:val="0"/>
          <w:bCs w:val="0"/>
          <w:sz w:val="24"/>
          <w:szCs w:val="24"/>
          <w:lang w:val="zh-CN"/>
        </w:rPr>
      </w:pPr>
      <w:r>
        <w:rPr>
          <w:rFonts w:hint="eastAsia" w:ascii="宋体" w:hAnsi="宋体" w:cs="宋体"/>
          <w:b w:val="0"/>
          <w:bCs w:val="0"/>
          <w:sz w:val="24"/>
          <w:szCs w:val="24"/>
          <w:lang w:val="zh-CN"/>
        </w:rPr>
        <w:t xml:space="preserve">评审委员会应当要求相关供应商在现场合理的时间内，提供项目具体成本测算等与报价合理性相关的书面说明及相关证明材料，对投标（响应）价格作出解释，内容包括但不限于其最后报价与首次报价差额的原因、具体可落实环节和理由等。由评审委员会结合同类产品在主要电商平台的价格、该行业当地薪资水平等情况，依据专业经验对供应商报价合理性进行判断。投标（响应）供应商不能按要求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b w:val="0"/>
          <w:bCs w:val="0"/>
          <w:sz w:val="24"/>
          <w:szCs w:val="24"/>
          <w:lang w:val="zh-CN"/>
        </w:rPr>
      </w:r>
      <w:r/>
    </w:p>
    <w:p>
      <w:pPr>
        <w:pStyle w:val="708"/>
        <w:ind w:firstLine="480"/>
        <w:jc w:val="left"/>
        <w:spacing w:line="360" w:lineRule="auto"/>
        <w:rPr>
          <w:rFonts w:hint="eastAsia" w:ascii="宋体" w:hAnsi="宋体" w:cs="宋体"/>
          <w:b/>
          <w:bCs/>
          <w:sz w:val="24"/>
          <w:szCs w:val="24"/>
          <w:lang w:val="zh-CN"/>
        </w:rPr>
      </w:pPr>
      <w:r>
        <w:rPr>
          <w:rFonts w:hint="eastAsia" w:ascii="宋体" w:hAnsi="宋体" w:cs="宋体"/>
          <w:b w:val="0"/>
          <w:bCs w:val="0"/>
          <w:sz w:val="24"/>
          <w:szCs w:val="24"/>
          <w:lang w:val="zh-CN"/>
        </w:rPr>
        <w:t xml:space="preserve">出现采购文件规定的异常低价情形，评审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宋体" w:hAnsi="宋体" w:cs="宋体"/>
          <w:b/>
          <w:bCs/>
          <w:sz w:val="24"/>
          <w:szCs w:val="24"/>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未通过资格审查或符合性审查的投标人，采购代理机构将通过苏采云系统告知其具体原因，评标结束后不再接受有关询问。</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zh-CN"/>
        </w:rPr>
        <w:t xml:space="preserve">如出现投标截止时间后参加的投标人或者对招标文件作出实质性响应的各包投标人不足三家的情况，按政府采购相关规定执行。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澄清有关问题。</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 评标期间，评标委员会对投标文件中含义不明确、同类问题表述不一致或者有明显文字和计算错误的内容，有权要求投标人作出必要的澄清、说明或者补正。</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投标人的澄清、说明或者补正不得超出投标文件的范围或者改变投标文件的实质性内容。</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评标委员会并非对每个投标人都做澄清要求。</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 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 接到评标委员会澄清、说明和补正要求的，投标人如未按规定作出澄清、说明和补正，其风险由投标人自行承担。</w:t>
      </w:r>
      <w:r>
        <w:rPr>
          <w:rFonts w:hint="eastAsia" w:ascii="宋体" w:hAnsi="宋体" w:eastAsia="宋体" w:cs="宋体"/>
          <w:color w:val="000000"/>
          <w:sz w:val="24"/>
          <w:szCs w:val="24"/>
          <w:highlight w:val="none"/>
          <w:lang w:val="zh-CN"/>
        </w:rPr>
      </w:r>
      <w:r/>
    </w:p>
    <w:p>
      <w:pPr>
        <w:pStyle w:val="708"/>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21.2.</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zh-CN"/>
        </w:rPr>
        <w:t xml:space="preserve">投标文件报价出现前后不一致的，除招标文件另有规定外，按照下列规定修正：</w:t>
      </w:r>
      <w:r>
        <w:rPr>
          <w:rFonts w:hint="eastAsia" w:ascii="宋体" w:hAnsi="宋体" w:eastAsia="宋体" w:cs="宋体"/>
          <w:b/>
          <w:bCs/>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（1）投标文件中开标一览表内容与投标文件中相应内容不一致的，以开标一览表为准；</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（2）大写金额和小写金额不一致的，以大写金额为准；</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（3）单价金额小数点或者百分比有明显错位的，以开标一览表的总价为准，并修改单价；</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（4）总价金额与按单价汇总金额不一致的，以单价金额计算结果为准。</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同时出现两种以上不一致的，按照前款规定的顺序修正。</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21.2.5 比较与评价。</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按照招标文件中规定的评标方法和标准，对资格性检查和符合性检查合格的投标文件进行商务和技术评估，综合比较与评价。 </w:t>
      </w:r>
      <w:r>
        <w:rPr>
          <w:rFonts w:hint="eastAsia" w:ascii="宋体" w:hAnsi="宋体" w:eastAsia="宋体" w:cs="宋体"/>
          <w:color w:val="000000"/>
          <w:sz w:val="24"/>
          <w:szCs w:val="24"/>
          <w:highlight w:val="none"/>
          <w:lang w:val="zh-CN"/>
        </w:rPr>
      </w:r>
      <w:r/>
    </w:p>
    <w:p>
      <w:pPr>
        <w:pStyle w:val="708"/>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2</w:t>
      </w:r>
      <w:r>
        <w:rPr>
          <w:rFonts w:hint="eastAsia" w:ascii="宋体" w:hAnsi="宋体" w:eastAsia="宋体" w:cs="宋体"/>
          <w:b/>
          <w:bCs/>
          <w:color w:val="000000"/>
          <w:sz w:val="24"/>
          <w:szCs w:val="24"/>
          <w:highlight w:val="none"/>
          <w:lang w:val="en-US" w:eastAsia="zh-CN"/>
        </w:rPr>
        <w:t xml:space="preserve">1.2.6</w:t>
      </w:r>
      <w:r>
        <w:rPr>
          <w:rFonts w:hint="eastAsia" w:ascii="宋体" w:hAnsi="宋体" w:eastAsia="宋体" w:cs="宋体"/>
          <w:b/>
          <w:bCs/>
          <w:color w:val="000000"/>
          <w:sz w:val="24"/>
          <w:szCs w:val="24"/>
          <w:highlight w:val="none"/>
          <w:lang w:val="zh-CN"/>
        </w:rPr>
        <w:t xml:space="preserve">投标人在开、评标全过程中应保持通讯畅通，及时登录苏采云系统查阅、答复相关信息，并安排专人与采购代理机构及评标委员会联系。</w:t>
      </w:r>
      <w:r>
        <w:rPr>
          <w:rFonts w:hint="eastAsia" w:ascii="宋体" w:hAnsi="宋体" w:eastAsia="宋体" w:cs="宋体"/>
          <w:b/>
          <w:bCs/>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21.3 评标方法和标准 </w:t>
      </w:r>
      <w:r>
        <w:rPr>
          <w:rFonts w:hint="eastAsia" w:ascii="宋体" w:hAnsi="宋体" w:eastAsia="宋体" w:cs="宋体"/>
          <w:color w:val="000000"/>
          <w:sz w:val="24"/>
          <w:szCs w:val="24"/>
          <w:highlight w:val="none"/>
          <w:lang w:val="zh-CN"/>
        </w:rPr>
      </w:r>
      <w:r/>
    </w:p>
    <w:p>
      <w:pPr>
        <w:pStyle w:val="708"/>
        <w:ind w:left="0" w:firstLine="480"/>
        <w:jc w:val="left"/>
        <w:keepLines w:val="0"/>
        <w:keepNext w:val="0"/>
        <w:pageBreakBefore w:val="0"/>
        <w:spacing w:line="360" w:lineRule="auto"/>
        <w:widowControl w:val="off"/>
        <w:rPr>
          <w:rFonts w:hint="eastAsia" w:ascii="宋体" w:hAnsi="宋体" w:eastAsia="宋体" w:cs="宋体"/>
          <w:b/>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21.3.2</w:t>
      </w:r>
      <w:r>
        <w:rPr>
          <w:rFonts w:hint="eastAsia" w:ascii="宋体" w:hAnsi="宋体" w:eastAsia="宋体" w:cs="宋体"/>
          <w:color w:val="000000"/>
          <w:sz w:val="24"/>
          <w:szCs w:val="24"/>
          <w:highlight w:val="none"/>
        </w:rPr>
        <w:t xml:space="preserve"> 本次采购采用综合评分法，评标方法和标准，详见本招标文件第三章。综合评分法，是指投标文件满足招标文件全部实质性要求，且按照评审因素的量化指标评审得分最高的投标人为中标候选人的评标方法。</w:t>
      </w:r>
      <w:r>
        <w:rPr>
          <w:rFonts w:hint="eastAsia" w:ascii="宋体" w:hAnsi="宋体" w:eastAsia="宋体" w:cs="宋体"/>
          <w:b/>
          <w:color w:val="000000"/>
          <w:sz w:val="24"/>
          <w:szCs w:val="24"/>
          <w:highlight w:val="none"/>
          <w:lang w:val="zh-CN"/>
        </w:rPr>
      </w:r>
      <w:r/>
    </w:p>
    <w:p>
      <w:pPr>
        <w:pStyle w:val="708"/>
        <w:numPr>
          <w:ilvl w:val="0"/>
          <w:numId w:val="0"/>
        </w:numPr>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eastAsia="zh-CN" w:bidi="ar-SA"/>
        </w:rPr>
        <w:t xml:space="preserve">22.</w:t>
      </w:r>
      <w:r>
        <w:rPr>
          <w:rFonts w:hint="eastAsia" w:ascii="宋体" w:hAnsi="宋体" w:eastAsia="宋体" w:cs="宋体"/>
          <w:b/>
          <w:bCs/>
          <w:color w:val="000000"/>
          <w:sz w:val="24"/>
          <w:szCs w:val="24"/>
          <w:highlight w:val="none"/>
          <w:lang w:val="zh-CN"/>
        </w:rPr>
        <w:t xml:space="preserve">确定中标供应商 </w:t>
      </w:r>
      <w:r>
        <w:rPr>
          <w:rFonts w:hint="eastAsia" w:ascii="宋体" w:hAnsi="宋体" w:eastAsia="宋体" w:cs="宋体"/>
          <w:b/>
          <w:bCs/>
          <w:color w:val="000000"/>
          <w:sz w:val="24"/>
          <w:szCs w:val="24"/>
          <w:highlight w:val="none"/>
          <w:lang w:val="zh-CN"/>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22.1采用综合评分法的，评标结果按评审后得分由高到低顺序排列。得分相同的，按投标报价由低到高顺序排列。得分且投标报价相同的并列，按技术指标优劣顺序排列。</w:t>
      </w:r>
      <w:bookmarkStart w:id="34" w:name="_Hlk44576646"/>
      <w:r>
        <w:rPr>
          <w:rFonts w:hint="eastAsia" w:ascii="宋体" w:hAnsi="宋体" w:eastAsia="宋体" w:cs="宋体"/>
          <w:color w:val="000000"/>
          <w:sz w:val="24"/>
          <w:szCs w:val="24"/>
          <w:highlight w:val="none"/>
        </w:rPr>
        <w:t xml:space="preserve">投标文件满足招标文件全部实质性要求，</w:t>
      </w:r>
      <w:bookmarkEnd w:id="34"/>
      <w:r/>
      <w:bookmarkStart w:id="35" w:name="_Hlk128053036"/>
      <w:r>
        <w:rPr>
          <w:rFonts w:hint="eastAsia" w:ascii="宋体" w:hAnsi="宋体" w:eastAsia="宋体" w:cs="宋体"/>
          <w:color w:val="000000"/>
          <w:sz w:val="24"/>
          <w:szCs w:val="24"/>
          <w:highlight w:val="none"/>
        </w:rPr>
        <w:t xml:space="preserve">且按照评审因素的量化指标评审得分，经采购人授权，评标委员会确定中标人。</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22.2中标人确定后，采购代理机构在</w:t>
      </w:r>
      <w:r>
        <w:rPr>
          <w:rFonts w:hint="eastAsia" w:ascii="宋体" w:hAnsi="宋体" w:eastAsia="宋体" w:cs="宋体"/>
          <w:color w:val="000000"/>
          <w:sz w:val="24"/>
          <w:szCs w:val="24"/>
          <w:highlight w:val="none"/>
          <w:lang w:val="zh-CN"/>
        </w:rPr>
        <w:t xml:space="preserve">“江苏政府采购网”发布</w:t>
      </w:r>
      <w:r>
        <w:rPr>
          <w:rFonts w:hint="eastAsia" w:ascii="宋体" w:hAnsi="宋体" w:eastAsia="宋体" w:cs="宋体"/>
          <w:color w:val="000000"/>
          <w:sz w:val="24"/>
          <w:szCs w:val="24"/>
          <w:highlight w:val="none"/>
        </w:rPr>
        <w:t xml:space="preserve">中标公告，公告期限为1个工作日。</w:t>
      </w:r>
      <w:bookmarkEnd w:id="35"/>
      <w:r>
        <w:rPr>
          <w:rFonts w:hint="eastAsia" w:ascii="宋体" w:hAnsi="宋体" w:eastAsia="宋体" w:cs="宋体"/>
          <w:color w:val="000000"/>
          <w:sz w:val="24"/>
          <w:szCs w:val="24"/>
          <w:highlight w:val="none"/>
        </w:rPr>
      </w:r>
      <w:r/>
    </w:p>
    <w:p>
      <w:pPr>
        <w:pStyle w:val="708"/>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23.</w:t>
      </w:r>
      <w:r>
        <w:rPr>
          <w:rFonts w:hint="eastAsia" w:ascii="宋体" w:hAnsi="宋体" w:eastAsia="宋体" w:cs="宋体"/>
          <w:color w:val="000000"/>
          <w:sz w:val="24"/>
          <w:szCs w:val="24"/>
          <w:highlight w:val="none"/>
        </w:rPr>
        <w:t xml:space="preserve"> </w:t>
      </w:r>
      <w:r>
        <w:rPr>
          <w:rFonts w:hint="eastAsia" w:ascii="宋体" w:hAnsi="宋体" w:eastAsia="宋体" w:cs="宋体"/>
          <w:b/>
          <w:bCs/>
          <w:color w:val="000000"/>
          <w:sz w:val="24"/>
          <w:szCs w:val="24"/>
          <w:highlight w:val="none"/>
        </w:rPr>
        <w:t xml:space="preserve">中标通知书</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23.l 中标结果确定后，采购代理机构将向中标人发出中标通知书。中标人可在中标结果公告届满之日起三十日内,登录苏采云系统下载。</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23.2 中标通知书是合同的一个组成部分，对采购人和中标人均具有法律效力。中标通知书发出后，采购人改变中标结果或者中标人放弃中标项目的，应当依法承担法律责任。</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23.3 中标人在领取中标通知书时，需向采购代理机构提供纸质版投标文件一式叁份（盖章版本），投标文件提倡按照A4幅面打印或复印并进行装订（采用胶装形式递交）。</w:t>
      </w:r>
      <w:r>
        <w:rPr>
          <w:rFonts w:hint="eastAsia" w:ascii="宋体" w:hAnsi="宋体" w:eastAsia="宋体" w:cs="宋体"/>
          <w:color w:val="000000"/>
          <w:sz w:val="24"/>
          <w:szCs w:val="24"/>
          <w:highlight w:val="none"/>
        </w:rPr>
      </w:r>
      <w:r/>
    </w:p>
    <w:p>
      <w:pPr>
        <w:pStyle w:val="708"/>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24.评标过程的保密性</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24.1 采购人和采购代理机构将采取必要措施，保证评标在严格保密的情况下进行。</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24.2 任何单位和个人不得非法干预、影响评标办法的确定，以及评标过程和结果。</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24.3 凡是与审查、澄清、评价和比较投标的有关资料等，均不向投标人及与评标无关的其他人员透露。</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24.4采购代理机构和评标委员会不向未中标的投标人解释未中标原因，也不公布评标过程中的相关细节。</w:t>
      </w:r>
      <w:r>
        <w:rPr>
          <w:rFonts w:hint="eastAsia" w:ascii="宋体" w:hAnsi="宋体" w:eastAsia="宋体" w:cs="宋体"/>
          <w:color w:val="000000"/>
          <w:sz w:val="24"/>
          <w:szCs w:val="24"/>
          <w:highlight w:val="none"/>
        </w:rPr>
      </w:r>
      <w:r/>
    </w:p>
    <w:p>
      <w:pPr>
        <w:pStyle w:val="708"/>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1"/>
      </w:pPr>
      <w:r/>
      <w:bookmarkStart w:id="36" w:name="_Hlk176188663"/>
      <w:r/>
      <w:bookmarkStart w:id="37" w:name="_Toc13547"/>
      <w:r/>
      <w:bookmarkStart w:id="38" w:name="_Toc5971"/>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、签订合同</w:t>
      </w:r>
      <w:bookmarkEnd w:id="36"/>
      <w:r/>
      <w:bookmarkEnd w:id="37"/>
      <w:r/>
      <w:bookmarkEnd w:id="38"/>
      <w:r>
        <w:rPr>
          <w:rFonts w:hint="eastAsia" w:ascii="宋体" w:hAnsi="宋体" w:eastAsia="宋体" w:cs="宋体"/>
          <w:color w:val="000000"/>
          <w:sz w:val="24"/>
          <w:szCs w:val="24"/>
          <w:highlight w:val="none"/>
        </w:rPr>
      </w:r>
      <w:r/>
    </w:p>
    <w:p>
      <w:pPr>
        <w:pStyle w:val="708"/>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25.签订合同</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25.2采购人不得向中标人提出任何不合理的要求作为签订合同的条件。</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bookmarkStart w:id="39" w:name="_Hlk128053131"/>
      <w:r>
        <w:rPr>
          <w:rFonts w:hint="eastAsia" w:ascii="宋体" w:hAnsi="宋体" w:eastAsia="宋体" w:cs="宋体"/>
          <w:color w:val="000000"/>
          <w:sz w:val="24"/>
          <w:szCs w:val="24"/>
          <w:highlight w:val="none"/>
        </w:rPr>
        <w:t xml:space="preserve">25.3</w:t>
      </w:r>
      <w:bookmarkStart w:id="40" w:name="_Hlk134712780"/>
      <w:r>
        <w:rPr>
          <w:rFonts w:hint="eastAsia" w:ascii="宋体" w:hAnsi="宋体" w:eastAsia="宋体" w:cs="宋体"/>
          <w:color w:val="000000"/>
          <w:sz w:val="24"/>
          <w:szCs w:val="24"/>
          <w:highlight w:val="none"/>
        </w:rPr>
        <w:t xml:space="preserve">中标人拒绝与采购人签订合同的，采购人可以按照评标报告推荐的中标候选人名单排序，确定下一候选人为中标人，也可以重新开展政府采购活动。</w:t>
      </w:r>
      <w:bookmarkEnd w:id="39"/>
      <w:r/>
      <w:bookmarkEnd w:id="40"/>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25.4 政府采购合同履行中，采购人需追加与合同标的相同的</w:t>
      </w:r>
      <w:bookmarkStart w:id="41" w:name="_Hlk176352307"/>
      <w:r>
        <w:rPr>
          <w:rFonts w:hint="eastAsia" w:ascii="宋体" w:hAnsi="宋体" w:eastAsia="宋体" w:cs="宋体"/>
          <w:color w:val="000000"/>
          <w:sz w:val="24"/>
          <w:szCs w:val="24"/>
          <w:highlight w:val="none"/>
        </w:rPr>
        <w:t xml:space="preserve">服务（包含与服务相关的货物）</w:t>
      </w:r>
      <w:bookmarkEnd w:id="41"/>
      <w:r>
        <w:rPr>
          <w:rFonts w:hint="eastAsia" w:ascii="宋体" w:hAnsi="宋体" w:eastAsia="宋体" w:cs="宋体"/>
          <w:color w:val="000000"/>
          <w:sz w:val="24"/>
          <w:szCs w:val="24"/>
          <w:highlight w:val="none"/>
        </w:rPr>
        <w:t xml:space="preserve">，在不改变合同其他条款的前提下，可以与中标人协商签订补充合同，但所有补充合同的采购金额不得超过原合同采购金额的百分之十。</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25.5招标文件、中标人的投标文件及招标过程中有关澄清、承诺文件均作为合同附件。</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25.6采购人与中标人应当根据合同的约定依法履行合同义务。</w:t>
      </w:r>
      <w:r>
        <w:rPr>
          <w:rFonts w:hint="eastAsia" w:ascii="宋体" w:hAnsi="宋体" w:eastAsia="宋体" w:cs="宋体"/>
          <w:color w:val="000000"/>
          <w:sz w:val="24"/>
          <w:szCs w:val="24"/>
          <w:highlight w:val="none"/>
        </w:rPr>
      </w:r>
      <w:r/>
    </w:p>
    <w:p>
      <w:pPr>
        <w:pStyle w:val="708"/>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1"/>
      </w:pPr>
      <w:r/>
      <w:bookmarkStart w:id="42" w:name="_Toc15612"/>
      <w:r/>
      <w:bookmarkStart w:id="43" w:name="_Toc28924"/>
      <w:r>
        <w:rPr>
          <w:rFonts w:hint="eastAsia" w:ascii="宋体" w:hAnsi="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、质疑和投诉</w:t>
      </w:r>
      <w:bookmarkEnd w:id="42"/>
      <w:r/>
      <w:bookmarkEnd w:id="43"/>
      <w:r>
        <w:rPr>
          <w:rFonts w:hint="eastAsia" w:ascii="宋体" w:hAnsi="宋体" w:eastAsia="宋体" w:cs="宋体"/>
          <w:color w:val="000000"/>
          <w:sz w:val="24"/>
          <w:szCs w:val="24"/>
          <w:highlight w:val="none"/>
        </w:rPr>
      </w:r>
      <w:r/>
    </w:p>
    <w:p>
      <w:pPr>
        <w:pStyle w:val="708"/>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26.质疑</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bookmarkStart w:id="44" w:name="_Hlk135041925"/>
      <w:r>
        <w:rPr>
          <w:rFonts w:hint="eastAsia" w:ascii="宋体" w:hAnsi="宋体" w:eastAsia="宋体" w:cs="宋体"/>
          <w:color w:val="000000"/>
          <w:sz w:val="24"/>
          <w:szCs w:val="24"/>
          <w:highlight w:val="none"/>
        </w:rPr>
        <w:t xml:space="preserve">26.1投标人对采购活动事项有疑问的，可以向采购代理机构提出询问，采购代理机构将依法作出答复，但答复的内容不涉及商业秘密。</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26.2提出质疑的投标人应当是参与所质疑项目采购活动的投标人。潜在投标人已依法获取其可质疑的招标文件的，可以对该文件提出质疑。</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以联合体形式参加政府采购活动的，其质疑应当由组成联合体的所有投标人共同提出，联合体各方均须按要求加盖公章。</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26.3投标人认为招标文件、采购过程和中标结果使自己的合法权益受到损害的，可以在知道或者应知其权益受到损害之日起七个工作日内，将质疑文件原件送达采购人或采购代理机构。</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投标人必须在法定质疑期内一次性提出针对同一采购程序环节的质疑。</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26.4 投标人提出质疑应当按照《政府采购质疑和投诉办法》的规定提交质疑函和必要的证明材料。质疑函应当包括下列内容：</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（1）投标人的姓名或者名称、地址、邮编、联系人及联系电话；</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（2）质疑项目的名称、编号；</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（3）具体、明确的质疑事项和与质疑事项相关的请求（具体条款）；</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（4）事实依据（具体条款）；</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（5）必要的法律依据（具体条款）；</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（6）提出质疑的日期。</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质疑函应当使用中文。相关当事人提供外文书证或者外国语视听资料的，应当附有中文译本，由翻译机构盖章或者翻译人员签名。</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26.5 质疑函应当现场提交至采购代理机构联系人处，提交时应出示有效身份证明。未按上述要求提交质疑函的，质疑不予受理。</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26.7 采购代理机构在收到投标人的书面质疑后将及时组织调查核实，在</w:t>
      </w:r>
      <w:r>
        <w:rPr>
          <w:rFonts w:hint="eastAsia" w:ascii="宋体" w:hAnsi="宋体" w:eastAsia="宋体" w:cs="宋体"/>
          <w:b/>
          <w:bCs/>
          <w:color w:val="000000"/>
          <w:sz w:val="24"/>
          <w:szCs w:val="24"/>
          <w:highlight w:val="none"/>
        </w:rPr>
        <w:t xml:space="preserve">七个工作日内</w:t>
      </w:r>
      <w:r>
        <w:rPr>
          <w:rFonts w:hint="eastAsia" w:ascii="宋体" w:hAnsi="宋体" w:eastAsia="宋体" w:cs="宋体"/>
          <w:color w:val="000000"/>
          <w:sz w:val="24"/>
          <w:szCs w:val="24"/>
          <w:highlight w:val="none"/>
        </w:rPr>
        <w:t xml:space="preserve">作出答复，并以书面或在网站公告形式通知质疑投标人和其他有关投标人，答复的内容不涉及商业秘密。</w:t>
      </w:r>
      <w:bookmarkEnd w:id="44"/>
      <w:r>
        <w:rPr>
          <w:rFonts w:hint="eastAsia" w:ascii="宋体" w:hAnsi="宋体" w:eastAsia="宋体" w:cs="宋体"/>
          <w:color w:val="000000"/>
          <w:sz w:val="24"/>
          <w:szCs w:val="24"/>
          <w:highlight w:val="none"/>
        </w:rPr>
      </w:r>
      <w:r/>
    </w:p>
    <w:p>
      <w:pPr>
        <w:pStyle w:val="708"/>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27.投诉</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27.1质疑投标人对采购代理机构的答复不满意或者采购代理机构未在规定的时间内作出答复的，可以在答复期满后十五个工作日内向同级政府采购监督管理部门投诉。</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27.2 投标人投诉应当有明确的请求和必要的证明材料。投标人投诉的事项不得超出已质疑事项的范围。</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27.3投诉人对政府采购监督管理部门的投诉处理决定不服或者政府采购监督管理部门逾期未作处理的，可以依法申请行政复议或者向人民法院提起行政诉讼。</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27.4 投诉人在全国范围12个月内3次以上投诉查无实据的，由财政部门列入不良行为记录名单。</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27.5投诉人有下列行为之一的，属于虚假、恶意投诉，由财政部门列入不良行为记录名单，禁止其1至3年内参加政府采购活动：</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（1）捏造事实；</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（2）提供虚假材料；</w:t>
      </w:r>
      <w:r>
        <w:rPr>
          <w:rFonts w:hint="eastAsia" w:ascii="宋体" w:hAnsi="宋体" w:eastAsia="宋体" w:cs="宋体"/>
          <w:color w:val="000000"/>
          <w:sz w:val="24"/>
          <w:szCs w:val="24"/>
          <w:highlight w:val="none"/>
        </w:rPr>
      </w:r>
      <w:r/>
    </w:p>
    <w:p>
      <w:pPr>
        <w:pStyle w:val="708"/>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（3）以非法手段取得证明材料。证据来源的合法性存在明显疑问，投诉人无法证明其取得方式合法的，视为以非法手段取得证明材料。</w:t>
      </w:r>
      <w:r>
        <w:rPr>
          <w:rFonts w:hint="eastAsia" w:ascii="宋体" w:hAnsi="宋体" w:eastAsia="宋体" w:cs="宋体"/>
          <w:color w:val="000000"/>
          <w:sz w:val="24"/>
          <w:szCs w:val="24"/>
          <w:highlight w:val="none"/>
        </w:rPr>
      </w:r>
      <w:r/>
    </w:p>
    <w:p>
      <w:pPr>
        <w:pStyle w:val="708"/>
        <w:numPr>
          <w:ilvl w:val="0"/>
          <w:numId w:val="0"/>
        </w:numPr>
        <w:jc w:val="left"/>
        <w:spacing w:line="240" w:lineRule="auto"/>
        <w:rPr>
          <w:rFonts w:hint="eastAsia" w:ascii="宋体" w:hAnsi="宋体" w:eastAsia="宋体" w:cs="宋体"/>
          <w:b/>
          <w:bCs/>
          <w:color w:val="000000"/>
          <w:spacing w:val="-10"/>
          <w:sz w:val="36"/>
          <w:szCs w:val="36"/>
          <w:highlight w:val="none"/>
          <w:lang w:val="zh-CN" w:eastAsia="zh-CN" w:bidi="ar-SA"/>
        </w:rPr>
        <w:outlineLvl w:val="9"/>
      </w:pPr>
      <w:r/>
      <w:bookmarkStart w:id="45" w:name="_Toc1856"/>
      <w:r/>
      <w:bookmarkStart w:id="46" w:name="_Toc24697"/>
      <w:r>
        <w:rPr>
          <w:rFonts w:hint="eastAsia" w:ascii="宋体" w:hAnsi="宋体" w:eastAsia="宋体" w:cs="宋体"/>
          <w:b/>
          <w:bCs/>
          <w:color w:val="000000"/>
          <w:spacing w:val="-10"/>
          <w:sz w:val="36"/>
          <w:szCs w:val="36"/>
          <w:highlight w:val="none"/>
          <w:lang w:val="zh-CN" w:eastAsia="zh-CN" w:bidi="ar-SA"/>
        </w:rPr>
        <w:br w:type="page" w:clear="all"/>
      </w:r>
      <w:r>
        <w:rPr>
          <w:rFonts w:hint="eastAsia" w:ascii="宋体" w:hAnsi="宋体" w:eastAsia="宋体" w:cs="宋体"/>
          <w:b/>
          <w:bCs/>
          <w:color w:val="000000"/>
          <w:spacing w:val="-10"/>
          <w:sz w:val="36"/>
          <w:szCs w:val="36"/>
          <w:highlight w:val="none"/>
          <w:lang w:val="zh-CN" w:eastAsia="zh-CN" w:bidi="ar-SA"/>
        </w:rPr>
      </w:r>
      <w:r/>
    </w:p>
    <w:p>
      <w:pPr>
        <w:pStyle w:val="708"/>
        <w:numPr>
          <w:ilvl w:val="0"/>
          <w:numId w:val="0"/>
        </w:numPr>
        <w:jc w:val="center"/>
        <w:spacing w:line="360" w:lineRule="auto"/>
        <w:rPr>
          <w:rFonts w:hint="eastAsia" w:ascii="宋体" w:hAnsi="宋体" w:eastAsia="宋体" w:cs="宋体"/>
          <w:b/>
          <w:bCs/>
          <w:color w:val="000000"/>
          <w:spacing w:val="-10"/>
          <w:sz w:val="36"/>
          <w:szCs w:val="36"/>
          <w:highlight w:val="none"/>
          <w:lang w:val="zh-CN"/>
        </w:rPr>
        <w:outlineLvl w:val="0"/>
      </w:pPr>
      <w:r>
        <w:rPr>
          <w:rFonts w:hint="eastAsia" w:ascii="宋体" w:hAnsi="宋体" w:eastAsia="宋体" w:cs="宋体"/>
          <w:b/>
          <w:bCs/>
          <w:color w:val="000000"/>
          <w:spacing w:val="-10"/>
          <w:sz w:val="36"/>
          <w:szCs w:val="36"/>
          <w:highlight w:val="none"/>
          <w:lang w:val="zh-CN" w:eastAsia="zh-CN" w:bidi="ar-SA"/>
        </w:rPr>
        <w:t xml:space="preserve">第三章</w:t>
      </w:r>
      <w:r>
        <w:rPr>
          <w:rFonts w:hint="eastAsia" w:ascii="宋体" w:hAnsi="宋体" w:eastAsia="宋体" w:cs="宋体"/>
          <w:b/>
          <w:bCs/>
          <w:color w:val="000000"/>
          <w:spacing w:val="-10"/>
          <w:sz w:val="36"/>
          <w:szCs w:val="36"/>
          <w:highlight w:val="none"/>
          <w:lang w:val="en-US" w:eastAsia="zh-CN" w:bidi="ar-SA"/>
        </w:rPr>
        <w:t xml:space="preserve">   </w:t>
      </w:r>
      <w:r>
        <w:rPr>
          <w:rFonts w:hint="eastAsia" w:ascii="宋体" w:hAnsi="宋体" w:eastAsia="宋体" w:cs="宋体"/>
          <w:b/>
          <w:bCs/>
          <w:color w:val="000000"/>
          <w:spacing w:val="-10"/>
          <w:sz w:val="36"/>
          <w:szCs w:val="36"/>
          <w:highlight w:val="none"/>
          <w:lang w:val="zh-CN"/>
        </w:rPr>
        <w:t xml:space="preserve">评标方法和标准</w:t>
      </w:r>
      <w:bookmarkEnd w:id="45"/>
      <w:r/>
      <w:bookmarkEnd w:id="46"/>
      <w:r>
        <w:rPr>
          <w:rFonts w:hint="eastAsia" w:ascii="宋体" w:hAnsi="宋体" w:eastAsia="宋体" w:cs="宋体"/>
          <w:b/>
          <w:bCs/>
          <w:color w:val="000000"/>
          <w:spacing w:val="-10"/>
          <w:sz w:val="36"/>
          <w:szCs w:val="36"/>
          <w:highlight w:val="none"/>
          <w:lang w:val="zh-CN"/>
        </w:rPr>
      </w:r>
      <w:r/>
    </w:p>
    <w:p>
      <w:pPr>
        <w:pStyle w:val="708"/>
        <w:numPr>
          <w:ilvl w:val="0"/>
          <w:numId w:val="0"/>
        </w:numPr>
        <w:jc w:val="left"/>
        <w:keepLines w:val="0"/>
        <w:keepNext w:val="0"/>
        <w:pageBreakBefore w:val="0"/>
        <w:spacing w:line="360" w:lineRule="auto"/>
        <w:widowControl w:val="off"/>
        <w:rPr>
          <w:rFonts w:hint="eastAsia" w:ascii="宋体" w:hAnsi="宋体" w:eastAsia="宋体" w:cs="宋体"/>
          <w:b/>
          <w:bCs/>
          <w:color w:val="000000"/>
          <w:spacing w:val="-10"/>
          <w:sz w:val="24"/>
          <w:szCs w:val="24"/>
          <w:highlight w:val="none"/>
          <w:lang w:val="zh-CN"/>
        </w:rPr>
        <w:outlineLvl w:val="1"/>
      </w:pPr>
      <w:r/>
      <w:bookmarkStart w:id="47" w:name="_Toc7626"/>
      <w:r/>
      <w:bookmarkStart w:id="48" w:name="_Toc9659"/>
      <w:r>
        <w:rPr>
          <w:rFonts w:hint="eastAsia" w:ascii="宋体" w:hAnsi="宋体" w:eastAsia="宋体" w:cs="宋体"/>
          <w:b/>
          <w:bCs/>
          <w:color w:val="000000"/>
          <w:spacing w:val="-10"/>
          <w:sz w:val="24"/>
          <w:szCs w:val="24"/>
          <w:highlight w:val="none"/>
          <w:lang w:val="zh-CN"/>
        </w:rPr>
        <w:t xml:space="preserve">一、采用综合评分法</w:t>
      </w:r>
      <w:bookmarkEnd w:id="47"/>
      <w:r/>
      <w:bookmarkEnd w:id="48"/>
      <w:r>
        <w:rPr>
          <w:rFonts w:hint="eastAsia" w:ascii="宋体" w:hAnsi="宋体" w:eastAsia="宋体" w:cs="宋体"/>
          <w:b/>
          <w:bCs/>
          <w:color w:val="000000"/>
          <w:spacing w:val="-10"/>
          <w:sz w:val="24"/>
          <w:szCs w:val="24"/>
          <w:highlight w:val="none"/>
          <w:lang w:val="zh-CN"/>
        </w:rPr>
      </w:r>
      <w:r/>
    </w:p>
    <w:p>
      <w:pPr>
        <w:pStyle w:val="708"/>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pacing w:val="-10"/>
          <w:sz w:val="24"/>
          <w:szCs w:val="24"/>
          <w:highlight w:val="none"/>
          <w:lang w:val="zh-CN"/>
        </w:rPr>
        <w:outlineLvl w:val="9"/>
      </w:pPr>
      <w:r>
        <w:rPr>
          <w:rFonts w:hint="eastAsia" w:ascii="宋体" w:hAnsi="宋体" w:eastAsia="宋体" w:cs="宋体"/>
          <w:b w:val="0"/>
          <w:bCs w:val="0"/>
          <w:color w:val="000000"/>
          <w:spacing w:val="-10"/>
          <w:sz w:val="24"/>
          <w:szCs w:val="24"/>
          <w:highlight w:val="none"/>
          <w:lang w:val="zh-CN"/>
        </w:rPr>
        <w:t xml:space="preserve">采用综合评分法。综合评分法是指投标文件满足招标文件全部实质性要求，且按照招标文件中规定评审因素量化指标评审得分最高的投标人为中标候选人的评标方法</w:t>
      </w:r>
      <w:r>
        <w:rPr>
          <w:rFonts w:hint="eastAsia" w:ascii="宋体" w:hAnsi="宋体" w:eastAsia="宋体" w:cs="宋体"/>
          <w:b w:val="0"/>
          <w:bCs w:val="0"/>
          <w:color w:val="000000"/>
          <w:spacing w:val="-10"/>
          <w:sz w:val="24"/>
          <w:szCs w:val="24"/>
          <w:highlight w:val="none"/>
          <w:lang w:val="zh-CN"/>
        </w:rPr>
        <w:t xml:space="preserve">。</w:t>
      </w:r>
      <w:r>
        <w:rPr>
          <w:rFonts w:hint="eastAsia" w:ascii="宋体" w:hAnsi="宋体" w:eastAsia="宋体" w:cs="宋体"/>
          <w:b w:val="0"/>
          <w:bCs w:val="0"/>
          <w:color w:val="000000"/>
          <w:spacing w:val="-10"/>
          <w:sz w:val="24"/>
          <w:szCs w:val="24"/>
          <w:highlight w:val="none"/>
          <w:lang w:val="zh-CN"/>
        </w:rPr>
      </w:r>
      <w:r/>
    </w:p>
    <w:p>
      <w:pPr>
        <w:pStyle w:val="708"/>
        <w:numPr>
          <w:ilvl w:val="0"/>
          <w:numId w:val="0"/>
        </w:numPr>
        <w:jc w:val="left"/>
        <w:keepLines w:val="0"/>
        <w:keepNext w:val="0"/>
        <w:pageBreakBefore w:val="0"/>
        <w:spacing w:line="360" w:lineRule="auto"/>
        <w:widowControl w:val="off"/>
        <w:rPr>
          <w:rFonts w:hint="eastAsia" w:ascii="宋体" w:hAnsi="宋体" w:eastAsia="宋体" w:cs="宋体"/>
          <w:b/>
          <w:bCs/>
          <w:color w:val="000000"/>
          <w:spacing w:val="-10"/>
          <w:sz w:val="24"/>
          <w:szCs w:val="24"/>
          <w:highlight w:val="none"/>
          <w:lang w:val="zh-CN"/>
        </w:rPr>
        <w:outlineLvl w:val="1"/>
      </w:pPr>
      <w:r/>
      <w:bookmarkStart w:id="49" w:name="_Toc9317"/>
      <w:r/>
      <w:bookmarkStart w:id="50" w:name="_Toc32490"/>
      <w:r>
        <w:rPr>
          <w:rFonts w:hint="eastAsia" w:ascii="宋体" w:hAnsi="宋体" w:eastAsia="宋体" w:cs="宋体"/>
          <w:b/>
          <w:bCs/>
          <w:color w:val="000000"/>
          <w:spacing w:val="-10"/>
          <w:sz w:val="24"/>
          <w:szCs w:val="24"/>
          <w:highlight w:val="none"/>
          <w:lang w:val="zh-CN"/>
        </w:rPr>
        <w:t xml:space="preserve">二、综合评分法评审评分细则</w:t>
      </w:r>
      <w:bookmarkEnd w:id="49"/>
      <w:r/>
      <w:bookmarkEnd w:id="50"/>
      <w:r>
        <w:rPr>
          <w:rFonts w:hint="eastAsia" w:ascii="宋体" w:hAnsi="宋体" w:eastAsia="宋体" w:cs="宋体"/>
          <w:b/>
          <w:bCs/>
          <w:color w:val="000000"/>
          <w:spacing w:val="-10"/>
          <w:sz w:val="24"/>
          <w:szCs w:val="24"/>
          <w:highlight w:val="none"/>
          <w:lang w:val="zh-CN"/>
        </w:rPr>
      </w:r>
      <w:r/>
    </w:p>
    <w:p>
      <w:pPr>
        <w:pStyle w:val="708"/>
        <w:spacing w:line="360" w:lineRule="auto"/>
        <w:rPr>
          <w:rFonts w:hint="eastAsia" w:ascii="宋体" w:hAnsi="宋体" w:eastAsia="宋体" w:cs="宋体"/>
          <w:b w:val="0"/>
          <w:bCs w:val="0"/>
          <w:color w:val="000000"/>
          <w:spacing w:val="-10"/>
          <w:sz w:val="24"/>
          <w:szCs w:val="24"/>
          <w:highlight w:val="none"/>
          <w:lang w:val="zh-CN"/>
        </w:rPr>
        <w:outlineLvl w:val="9"/>
      </w:pPr>
      <w:r>
        <w:rPr>
          <w:rFonts w:hint="eastAsia" w:ascii="宋体" w:hAnsi="宋体" w:eastAsia="宋体" w:cs="宋体"/>
          <w:b w:val="0"/>
          <w:bCs w:val="0"/>
          <w:color w:val="000000"/>
          <w:spacing w:val="-10"/>
          <w:sz w:val="24"/>
          <w:szCs w:val="24"/>
          <w:highlight w:val="none"/>
          <w:lang w:val="zh-CN"/>
        </w:rPr>
        <w:t xml:space="preserve">具体评标方法和标准见下表：</w:t>
      </w:r>
      <w:r>
        <w:rPr>
          <w:rFonts w:hint="eastAsia" w:ascii="宋体" w:hAnsi="宋体" w:eastAsia="宋体" w:cs="宋体"/>
          <w:b w:val="0"/>
          <w:bCs w:val="0"/>
          <w:color w:val="000000"/>
          <w:spacing w:val="-10"/>
          <w:sz w:val="24"/>
          <w:szCs w:val="24"/>
          <w:highlight w:val="none"/>
          <w:lang w:val="zh-CN"/>
        </w:rPr>
      </w:r>
      <w:r/>
    </w:p>
    <w:tbl>
      <w:tblPr>
        <w:tblStyle w:val="1294"/>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232"/>
        <w:gridCol w:w="6277"/>
        <w:gridCol w:w="647"/>
        <w:gridCol w:w="900"/>
      </w:tblGrid>
      <w:tr>
        <w:trPr>
          <w:trHeight w:val="501"/>
          <w:tblHeader/>
        </w:trPr>
        <w:tc>
          <w:tcPr>
            <w:tcW w:w="519" w:type="dxa"/>
            <w:vAlign w:val="center"/>
            <w:textDirection w:val="lrTb"/>
            <w:noWrap w:val="false"/>
          </w:tcPr>
          <w:p>
            <w:pPr>
              <w:pStyle w:val="708"/>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序号</w:t>
            </w:r>
            <w:r>
              <w:rPr>
                <w:rFonts w:hint="eastAsia" w:ascii="宋体" w:hAnsi="宋体" w:eastAsia="宋体" w:cs="宋体"/>
                <w:b/>
                <w:bCs/>
                <w:color w:val="000000"/>
                <w:spacing w:val="-3"/>
                <w:sz w:val="21"/>
                <w:szCs w:val="21"/>
              </w:rPr>
            </w:r>
            <w:r/>
          </w:p>
        </w:tc>
        <w:tc>
          <w:tcPr>
            <w:tcW w:w="1232" w:type="dxa"/>
            <w:vAlign w:val="center"/>
            <w:textDirection w:val="lrTb"/>
            <w:noWrap w:val="false"/>
          </w:tcPr>
          <w:p>
            <w:pPr>
              <w:pStyle w:val="708"/>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评审因素</w:t>
            </w:r>
            <w:r>
              <w:rPr>
                <w:rFonts w:hint="eastAsia" w:ascii="宋体" w:hAnsi="宋体" w:eastAsia="宋体" w:cs="宋体"/>
                <w:b/>
                <w:bCs/>
                <w:color w:val="000000"/>
                <w:spacing w:val="-3"/>
                <w:sz w:val="21"/>
                <w:szCs w:val="21"/>
              </w:rPr>
            </w:r>
            <w:r/>
          </w:p>
        </w:tc>
        <w:tc>
          <w:tcPr>
            <w:tcW w:w="6277" w:type="dxa"/>
            <w:vAlign w:val="center"/>
            <w:textDirection w:val="lrTb"/>
            <w:noWrap w:val="false"/>
          </w:tcPr>
          <w:p>
            <w:pPr>
              <w:pStyle w:val="708"/>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评审细则</w:t>
            </w:r>
            <w:r>
              <w:rPr>
                <w:rFonts w:hint="eastAsia" w:ascii="宋体" w:hAnsi="宋体" w:eastAsia="宋体" w:cs="宋体"/>
                <w:b/>
                <w:bCs/>
                <w:color w:val="000000"/>
                <w:spacing w:val="-3"/>
                <w:sz w:val="21"/>
                <w:szCs w:val="21"/>
              </w:rPr>
            </w:r>
            <w:r/>
          </w:p>
        </w:tc>
        <w:tc>
          <w:tcPr>
            <w:tcW w:w="647" w:type="dxa"/>
            <w:vAlign w:val="center"/>
            <w:textDirection w:val="lrTb"/>
            <w:noWrap w:val="false"/>
          </w:tcPr>
          <w:p>
            <w:pPr>
              <w:pStyle w:val="708"/>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分值</w:t>
            </w:r>
            <w:r>
              <w:rPr>
                <w:rFonts w:hint="eastAsia" w:ascii="宋体" w:hAnsi="宋体" w:eastAsia="宋体" w:cs="宋体"/>
                <w:b/>
                <w:bCs/>
                <w:color w:val="000000"/>
                <w:spacing w:val="-3"/>
                <w:sz w:val="21"/>
                <w:szCs w:val="21"/>
              </w:rPr>
            </w:r>
            <w:r/>
          </w:p>
        </w:tc>
        <w:tc>
          <w:tcPr>
            <w:tcW w:w="900" w:type="dxa"/>
            <w:vAlign w:val="center"/>
            <w:textDirection w:val="lrTb"/>
            <w:noWrap w:val="false"/>
          </w:tcPr>
          <w:p>
            <w:pPr>
              <w:pStyle w:val="708"/>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类型</w:t>
            </w:r>
            <w:r>
              <w:rPr>
                <w:rFonts w:hint="eastAsia"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708"/>
              <w:ind w:left="114"/>
              <w:keepLines w:val="0"/>
              <w:keepNext w:val="0"/>
              <w:pageBreakBefore w:val="0"/>
              <w:spacing w:before="122"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1.</w:t>
            </w:r>
            <w:r>
              <w:rPr>
                <w:rFonts w:hint="eastAsia" w:ascii="宋体" w:hAnsi="宋体" w:eastAsia="宋体" w:cs="宋体"/>
                <w:b/>
                <w:bCs/>
                <w:color w:val="000000"/>
                <w:spacing w:val="-3"/>
                <w:sz w:val="21"/>
                <w:szCs w:val="21"/>
              </w:rPr>
              <w:t xml:space="preserve">价</w:t>
            </w:r>
            <w:r>
              <w:rPr>
                <w:rFonts w:hint="eastAsia" w:ascii="宋体" w:hAnsi="宋体" w:eastAsia="宋体" w:cs="宋体"/>
                <w:b/>
                <w:bCs/>
                <w:color w:val="000000"/>
                <w:spacing w:val="-2"/>
                <w:sz w:val="21"/>
                <w:szCs w:val="21"/>
              </w:rPr>
              <w:t xml:space="preserve">格</w:t>
            </w:r>
            <w:r>
              <w:rPr>
                <w:rFonts w:hint="eastAsia" w:ascii="宋体" w:hAnsi="宋体" w:eastAsia="宋体" w:cs="宋体"/>
                <w:color w:val="000000"/>
                <w:sz w:val="21"/>
                <w:szCs w:val="21"/>
              </w:rPr>
            </w:r>
            <w:r/>
          </w:p>
        </w:tc>
      </w:tr>
      <w:tr>
        <w:trPr>
          <w:trHeight w:val="1030"/>
        </w:trPr>
        <w:tc>
          <w:tcPr>
            <w:tcW w:w="519" w:type="dxa"/>
            <w:vAlign w:val="center"/>
            <w:textDirection w:val="lrTb"/>
            <w:noWrap w:val="false"/>
          </w:tcPr>
          <w:p>
            <w:pPr>
              <w:pStyle w:val="708"/>
              <w:jc w:val="center"/>
              <w:keepLines w:val="0"/>
              <w:keepNext w:val="0"/>
              <w:pageBreakBefore w:val="0"/>
              <w:spacing w:before="68"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1</w:t>
            </w:r>
            <w:r>
              <w:rPr>
                <w:rFonts w:hint="eastAsia" w:ascii="宋体" w:hAnsi="宋体" w:eastAsia="宋体" w:cs="宋体"/>
                <w:color w:val="000000"/>
                <w:spacing w:val="-5"/>
                <w:sz w:val="21"/>
                <w:szCs w:val="21"/>
              </w:rPr>
              <w:t xml:space="preserve">.1</w:t>
            </w:r>
            <w:r>
              <w:rPr>
                <w:rFonts w:hint="eastAsia" w:ascii="宋体" w:hAnsi="宋体" w:eastAsia="宋体" w:cs="宋体"/>
                <w:color w:val="000000"/>
                <w:sz w:val="21"/>
                <w:szCs w:val="21"/>
              </w:rPr>
            </w:r>
            <w:r/>
          </w:p>
        </w:tc>
        <w:tc>
          <w:tcPr>
            <w:tcW w:w="1232" w:type="dxa"/>
            <w:vAlign w:val="center"/>
            <w:textDirection w:val="lrTb"/>
            <w:noWrap w:val="false"/>
          </w:tcPr>
          <w:p>
            <w:pPr>
              <w:pStyle w:val="708"/>
              <w:jc w:val="left"/>
              <w:keepLines w:val="0"/>
              <w:keepNext w:val="0"/>
              <w:pageBreakBefore w:val="0"/>
              <w:spacing w:before="68"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2"/>
                <w:sz w:val="21"/>
                <w:szCs w:val="21"/>
              </w:rPr>
              <w:t xml:space="preserve">价格分</w:t>
            </w:r>
            <w:r>
              <w:rPr>
                <w:rFonts w:hint="eastAsia" w:ascii="宋体" w:hAnsi="宋体" w:eastAsia="宋体" w:cs="宋体"/>
                <w:color w:val="000000"/>
                <w:sz w:val="21"/>
                <w:szCs w:val="21"/>
              </w:rPr>
            </w:r>
            <w:r/>
          </w:p>
        </w:tc>
        <w:tc>
          <w:tcPr>
            <w:tcW w:w="6277" w:type="dxa"/>
            <w:vAlign w:val="center"/>
            <w:textDirection w:val="lrTb"/>
            <w:noWrap w:val="false"/>
          </w:tcPr>
          <w:p>
            <w:pPr>
              <w:pStyle w:val="708"/>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pacing w:val="1"/>
                <w:sz w:val="21"/>
                <w:szCs w:val="21"/>
              </w:rPr>
              <w:t xml:space="preserve">采用低价优先</w:t>
            </w:r>
            <w:r>
              <w:rPr>
                <w:rFonts w:hint="eastAsia" w:ascii="宋体" w:hAnsi="宋体" w:eastAsia="宋体" w:cs="宋体"/>
                <w:color w:val="000000"/>
                <w:sz w:val="21"/>
                <w:szCs w:val="21"/>
              </w:rPr>
              <w:t xml:space="preserve">法计算</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即满足招标文件要求且投标价格最低的投标</w:t>
            </w:r>
            <w:r>
              <w:rPr>
                <w:rFonts w:hint="eastAsia" w:ascii="宋体" w:hAnsi="宋体" w:eastAsia="宋体" w:cs="宋体"/>
                <w:color w:val="000000"/>
                <w:spacing w:val="1"/>
                <w:sz w:val="21"/>
                <w:szCs w:val="21"/>
              </w:rPr>
              <w:t xml:space="preserve">报价为评标基准</w:t>
            </w:r>
            <w:r>
              <w:rPr>
                <w:rFonts w:hint="eastAsia" w:ascii="宋体" w:hAnsi="宋体" w:eastAsia="宋体" w:cs="宋体"/>
                <w:color w:val="000000"/>
                <w:sz w:val="21"/>
                <w:szCs w:val="21"/>
              </w:rPr>
              <w:t xml:space="preserve">价</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其价格分为满分。其他投标人的价格分统一按</w:t>
            </w:r>
            <w:r>
              <w:rPr>
                <w:rFonts w:hint="eastAsia" w:ascii="宋体" w:hAnsi="宋体" w:eastAsia="宋体" w:cs="宋体"/>
                <w:color w:val="000000"/>
                <w:spacing w:val="-1"/>
                <w:sz w:val="21"/>
                <w:szCs w:val="21"/>
              </w:rPr>
              <w:t xml:space="preserve">照下列公</w:t>
            </w:r>
            <w:r>
              <w:rPr>
                <w:rFonts w:hint="eastAsia" w:ascii="宋体" w:hAnsi="宋体" w:eastAsia="宋体" w:cs="宋体"/>
                <w:color w:val="000000"/>
                <w:sz w:val="21"/>
                <w:szCs w:val="21"/>
              </w:rPr>
              <w:t xml:space="preserve">式计算：投标报价得分=(评标基准价/投标报价)×</w:t>
            </w:r>
            <w:r>
              <w:rPr>
                <w:rFonts w:hint="eastAsia" w:ascii="宋体" w:hAnsi="宋体" w:eastAsia="宋体" w:cs="宋体"/>
                <w:color w:val="000000"/>
                <w:sz w:val="21"/>
                <w:szCs w:val="21"/>
                <w:lang w:val="en-US" w:eastAsia="zh-CN"/>
              </w:rPr>
              <w:t xml:space="preserve">价格分值（小数点保留两位）</w:t>
            </w:r>
            <w:r>
              <w:rPr>
                <w:rFonts w:hint="eastAsia" w:ascii="宋体" w:hAnsi="宋体" w:eastAsia="宋体" w:cs="宋体"/>
                <w:color w:val="000000"/>
                <w:sz w:val="21"/>
                <w:szCs w:val="21"/>
                <w:lang w:val="en-US" w:eastAsia="zh-CN"/>
              </w:rPr>
            </w:r>
            <w:r/>
          </w:p>
        </w:tc>
        <w:tc>
          <w:tcPr>
            <w:tcW w:w="647" w:type="dxa"/>
            <w:vAlign w:val="center"/>
            <w:textDirection w:val="lrTb"/>
            <w:noWrap w:val="false"/>
          </w:tcPr>
          <w:p>
            <w:pPr>
              <w:pStyle w:val="708"/>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30</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708"/>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价格分</w:t>
            </w:r>
            <w:r>
              <w:rPr>
                <w:rFonts w:hint="eastAsia" w:ascii="宋体" w:hAnsi="宋体" w:eastAsia="宋体" w:cs="宋体"/>
                <w:color w:val="000000"/>
                <w:sz w:val="21"/>
                <w:szCs w:val="21"/>
                <w:highlight w:val="none"/>
                <w:lang w:val="en-US" w:eastAsia="zh-CN"/>
              </w:rPr>
            </w:r>
            <w:r/>
          </w:p>
        </w:tc>
      </w:tr>
      <w:tr>
        <w:trPr>
          <w:trHeight w:val="460"/>
        </w:trPr>
        <w:tc>
          <w:tcPr>
            <w:gridSpan w:val="5"/>
            <w:tcW w:w="9575" w:type="dxa"/>
            <w:vAlign w:val="top"/>
            <w:textDirection w:val="lrTb"/>
            <w:noWrap w:val="false"/>
          </w:tcPr>
          <w:p>
            <w:pPr>
              <w:pStyle w:val="708"/>
              <w:ind w:left="114"/>
              <w:keepLines w:val="0"/>
              <w:keepNext w:val="0"/>
              <w:pageBreakBefore w:val="0"/>
              <w:spacing w:before="123"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2.技术</w:t>
            </w:r>
            <w:r>
              <w:rPr>
                <w:rFonts w:hint="eastAsia" w:ascii="宋体" w:hAnsi="宋体" w:eastAsia="宋体" w:cs="宋体"/>
                <w:color w:val="000000"/>
                <w:sz w:val="21"/>
                <w:szCs w:val="21"/>
              </w:rPr>
            </w:r>
            <w:r/>
          </w:p>
        </w:tc>
      </w:tr>
      <w:tr>
        <w:trPr>
          <w:trHeight w:val="891"/>
        </w:trPr>
        <w:tc>
          <w:tcPr>
            <w:tcW w:w="519" w:type="dxa"/>
            <w:vAlign w:val="center"/>
            <w:textDirection w:val="lrTb"/>
            <w:noWrap w:val="false"/>
          </w:tcPr>
          <w:p>
            <w:pPr>
              <w:pStyle w:val="708"/>
              <w:jc w:val="center"/>
              <w:keepLines w:val="0"/>
              <w:keepNext w:val="0"/>
              <w:pageBreakBefore w:val="0"/>
              <w:spacing w:before="68" w:line="264"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2.1</w:t>
            </w:r>
            <w:r>
              <w:rPr>
                <w:rFonts w:hint="eastAsia" w:ascii="宋体" w:hAnsi="宋体" w:eastAsia="宋体" w:cs="宋体"/>
                <w:color w:val="000000"/>
                <w:spacing w:val="-2"/>
                <w:sz w:val="21"/>
                <w:szCs w:val="21"/>
              </w:rPr>
            </w:r>
            <w:r/>
          </w:p>
        </w:tc>
        <w:tc>
          <w:tcPr>
            <w:tcW w:w="1232" w:type="dxa"/>
            <w:vAlign w:val="center"/>
            <w:textDirection w:val="lrTb"/>
            <w:noWrap w:val="false"/>
          </w:tcPr>
          <w:p>
            <w:pPr>
              <w:pStyle w:val="708"/>
              <w:jc w:val="left"/>
              <w:keepLines w:val="0"/>
              <w:keepNext w:val="0"/>
              <w:pageBreakBefore w:val="0"/>
              <w:spacing w:before="68" w:line="264" w:lineRule="auto"/>
              <w:widowControl w:val="off"/>
              <w:rPr>
                <w:rFonts w:hint="eastAsia" w:ascii="宋体" w:hAnsi="宋体" w:eastAsia="宋体" w:cs="宋体"/>
                <w:color w:val="000000"/>
                <w:spacing w:val="-2"/>
                <w:sz w:val="21"/>
                <w:szCs w:val="21"/>
                <w:lang w:eastAsia="zh-CN"/>
              </w:rPr>
            </w:pPr>
            <w:r>
              <w:rPr>
                <w:rFonts w:hint="eastAsia" w:ascii="宋体" w:hAnsi="宋体" w:eastAsia="宋体" w:cs="宋体"/>
                <w:color w:val="000000"/>
                <w:spacing w:val="-2"/>
                <w:sz w:val="21"/>
                <w:szCs w:val="21"/>
                <w:lang w:val="en-US" w:eastAsia="zh-CN"/>
              </w:rPr>
              <w:t xml:space="preserve">产品技术参数</w:t>
            </w:r>
            <w:r>
              <w:rPr>
                <w:rFonts w:hint="eastAsia" w:ascii="宋体" w:hAnsi="宋体" w:eastAsia="宋体" w:cs="宋体"/>
                <w:color w:val="000000"/>
                <w:spacing w:val="-2"/>
                <w:sz w:val="21"/>
                <w:szCs w:val="21"/>
                <w:lang w:eastAsia="zh-CN"/>
              </w:rPr>
            </w:r>
            <w:r/>
          </w:p>
        </w:tc>
        <w:tc>
          <w:tcPr>
            <w:tcW w:w="6277" w:type="dxa"/>
            <w:vAlign w:val="center"/>
            <w:textDirection w:val="lrTb"/>
            <w:noWrap w:val="false"/>
          </w:tcPr>
          <w:p>
            <w:pPr>
              <w:pStyle w:val="708"/>
              <w:jc w:val="both"/>
              <w:keepLines w:val="0"/>
              <w:keepNext w:val="0"/>
              <w:pageBreakBefore w:val="0"/>
              <w:spacing w:line="264" w:lineRule="auto"/>
              <w:widowControl w:val="off"/>
              <w:rPr>
                <w:rFonts w:hint="eastAsia" w:ascii="宋体" w:hAnsi="宋体" w:eastAsia="宋体" w:cs="宋体"/>
                <w:color w:val="000000"/>
                <w:spacing w:val="1"/>
                <w:sz w:val="21"/>
                <w:szCs w:val="21"/>
              </w:rPr>
            </w:pPr>
            <w:r>
              <w:rPr>
                <w:rFonts w:hint="eastAsia" w:ascii="宋体" w:hAnsi="宋体" w:eastAsia="宋体" w:cs="宋体"/>
                <w:color w:val="000000"/>
                <w:sz w:val="21"/>
                <w:szCs w:val="21"/>
                <w:lang w:val="en-US" w:eastAsia="zh-CN"/>
              </w:rPr>
              <w:t xml:space="preserve">产品技术参数全部满足招标要求的得满分，打▲指标为重要指标，有1项负偏离扣2分，其余指标有1项负偏离扣1分，扣完为止。</w:t>
            </w:r>
            <w:r>
              <w:rPr>
                <w:rFonts w:hint="eastAsia" w:ascii="宋体" w:hAnsi="宋体" w:eastAsia="宋体" w:cs="宋体"/>
                <w:color w:val="000000"/>
                <w:spacing w:val="1"/>
                <w:sz w:val="21"/>
                <w:szCs w:val="21"/>
              </w:rPr>
            </w:r>
            <w:r/>
          </w:p>
        </w:tc>
        <w:tc>
          <w:tcPr>
            <w:tcW w:w="647" w:type="dxa"/>
            <w:vAlign w:val="center"/>
            <w:textDirection w:val="lrTb"/>
            <w:noWrap w:val="false"/>
          </w:tcPr>
          <w:p>
            <w:pPr>
              <w:pStyle w:val="708"/>
              <w:jc w:val="center"/>
              <w:keepLines w:val="0"/>
              <w:keepNext w:val="0"/>
              <w:pageBreakBefore w:val="0"/>
              <w:spacing w:before="68"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rPr>
                <w:rFonts w:hint="eastAsia" w:ascii="宋体" w:hAnsi="宋体" w:cs="宋体"/>
                <w:color w:val="000000"/>
                <w:sz w:val="21"/>
                <w:szCs w:val="21"/>
                <w:lang w:val="en-US" w:eastAsia="zh-CN"/>
              </w:rPr>
              <w:t xml:space="preserve">0</w:t>
            </w:r>
            <w:r>
              <w:rPr>
                <w:rFonts w:ascii="宋体" w:hAnsi="宋体" w:eastAsia="宋体" w:cs="宋体"/>
                <w:color w:val="000000"/>
                <w:sz w:val="21"/>
                <w:szCs w:val="21"/>
                <w:lang w:val="en-US" w:eastAsia="zh-CN"/>
              </w:rPr>
            </w:r>
            <w:r/>
          </w:p>
        </w:tc>
        <w:tc>
          <w:tcPr>
            <w:tcW w:w="900" w:type="dxa"/>
            <w:vAlign w:val="center"/>
            <w:textDirection w:val="lrTb"/>
            <w:noWrap w:val="false"/>
          </w:tcPr>
          <w:p>
            <w:pPr>
              <w:pStyle w:val="708"/>
              <w:jc w:val="center"/>
              <w:keepLines w:val="0"/>
              <w:keepNext w:val="0"/>
              <w:pageBreakBefore w:val="0"/>
              <w:spacing w:before="68" w:line="264"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pacing w:val="-6"/>
                <w:sz w:val="21"/>
                <w:szCs w:val="21"/>
                <w:lang w:eastAsia="zh-CN"/>
              </w:rPr>
              <w:t xml:space="preserve">客</w:t>
            </w:r>
            <w:r>
              <w:rPr>
                <w:rFonts w:hint="eastAsia"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lang w:eastAsia="zh-CN"/>
              </w:rPr>
            </w:r>
            <w:r/>
          </w:p>
        </w:tc>
      </w:tr>
      <w:tr>
        <w:trPr>
          <w:trHeight w:val="889"/>
        </w:trPr>
        <w:tc>
          <w:tcPr>
            <w:tcW w:w="519" w:type="dxa"/>
            <w:vAlign w:val="center"/>
            <w:textDirection w:val="lrTb"/>
            <w:noWrap w:val="false"/>
          </w:tcPr>
          <w:p>
            <w:pPr>
              <w:pStyle w:val="708"/>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2.</w:t>
            </w:r>
            <w:r>
              <w:rPr>
                <w:rFonts w:hint="eastAsia" w:ascii="宋体" w:hAnsi="宋体" w:cs="宋体"/>
                <w:color w:val="000000"/>
                <w:spacing w:val="-2"/>
                <w:sz w:val="21"/>
                <w:szCs w:val="21"/>
                <w:lang w:val="en-US" w:eastAsia="zh-CN"/>
              </w:rPr>
              <w:t xml:space="preserve">2</w:t>
            </w:r>
            <w:r>
              <w:rPr>
                <w:rFonts w:hint="eastAsia" w:ascii="宋体" w:hAnsi="宋体" w:eastAsia="宋体" w:cs="宋体"/>
                <w:color w:val="000000"/>
                <w:spacing w:val="-2"/>
                <w:sz w:val="21"/>
                <w:szCs w:val="21"/>
                <w:lang w:val="en-US" w:eastAsia="zh-CN"/>
              </w:rPr>
            </w:r>
            <w:r/>
          </w:p>
        </w:tc>
        <w:tc>
          <w:tcPr>
            <w:tcW w:w="1232" w:type="dxa"/>
            <w:vAlign w:val="center"/>
            <w:textDirection w:val="lrTb"/>
            <w:noWrap w:val="false"/>
          </w:tcPr>
          <w:p>
            <w:pPr>
              <w:pStyle w:val="708"/>
              <w:jc w:val="left"/>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组织实施方案</w:t>
            </w:r>
            <w:r>
              <w:rPr>
                <w:rFonts w:ascii="宋体" w:hAnsi="宋体" w:eastAsia="宋体" w:cs="宋体"/>
                <w:color w:val="000000"/>
                <w:spacing w:val="-2"/>
                <w:sz w:val="21"/>
                <w:szCs w:val="21"/>
                <w:lang w:val="en-US" w:eastAsia="zh-CN"/>
              </w:rPr>
            </w:r>
            <w:r/>
          </w:p>
        </w:tc>
        <w:tc>
          <w:tcPr>
            <w:tcW w:w="6277" w:type="dxa"/>
            <w:vAlign w:val="center"/>
            <w:textDirection w:val="lrTb"/>
            <w:noWrap w:val="false"/>
          </w:tcPr>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根据投标文件提供的项目组织实施方案（时间进度安排、项目安全措施、质量控制措施等）进行综合评分：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（1）项目组织实施方案</w:t>
            </w:r>
            <w:r>
              <w:rPr>
                <w:rFonts w:hint="eastAsia" w:ascii="宋体" w:hAnsi="宋体" w:eastAsia="宋体" w:cs="宋体"/>
                <w:color w:val="000000"/>
                <w:sz w:val="21"/>
                <w:szCs w:val="21"/>
                <w:lang w:val="zh-CN" w:eastAsia="zh-CN"/>
              </w:rPr>
              <w:t xml:space="preserve">满足</w:t>
            </w:r>
            <w:r>
              <w:rPr>
                <w:rFonts w:hint="eastAsia" w:ascii="宋体" w:hAnsi="宋体" w:eastAsia="宋体" w:cs="宋体"/>
                <w:color w:val="000000"/>
                <w:sz w:val="21"/>
                <w:szCs w:val="21"/>
                <w:lang w:val="en-US" w:eastAsia="zh-CN"/>
              </w:rPr>
              <w:t xml:space="preserve">项目要求、合理、可行针对性强得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（2）项目组织实施方案合理具有一定的针对性得4分；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（3）项目组织实施方案基本满足项目需求3分；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（4）项目组织实施方案不完整得2分；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（5）未提项目组织实施方案内容的本项不得分。</w:t>
            </w:r>
            <w:r>
              <w:rPr>
                <w:rFonts w:hint="eastAsia" w:ascii="宋体" w:hAnsi="宋体" w:eastAsia="宋体" w:cs="宋体"/>
                <w:color w:val="000000"/>
                <w:sz w:val="21"/>
                <w:szCs w:val="21"/>
                <w:lang w:val="en-US" w:eastAsia="zh-CN"/>
              </w:rPr>
            </w:r>
            <w:r/>
          </w:p>
        </w:tc>
        <w:tc>
          <w:tcPr>
            <w:tcW w:w="647" w:type="dxa"/>
            <w:vAlign w:val="center"/>
            <w:textDirection w:val="lrTb"/>
            <w:noWrap w:val="false"/>
          </w:tcPr>
          <w:p>
            <w:pPr>
              <w:pStyle w:val="708"/>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cs="宋体"/>
                <w:color w:val="000000"/>
                <w:sz w:val="22"/>
                <w:szCs w:val="22"/>
                <w:lang w:val="en-US" w:eastAsia="zh-CN"/>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708"/>
              <w:jc w:val="center"/>
              <w:keepLines w:val="0"/>
              <w:keepNext w:val="0"/>
              <w:pageBreakBefore w:val="0"/>
              <w:spacing w:before="68" w:line="240"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pacing w:val="-6"/>
                <w:sz w:val="21"/>
                <w:szCs w:val="21"/>
                <w:highlight w:val="none"/>
                <w:lang w:val="en-US" w:eastAsia="zh-CN"/>
              </w:rPr>
              <w:t xml:space="preserve">主观分</w:t>
            </w:r>
            <w:r>
              <w:rPr>
                <w:rFonts w:hint="eastAsia" w:ascii="宋体" w:hAnsi="宋体" w:eastAsia="宋体" w:cs="宋体"/>
                <w:color w:val="000000"/>
                <w:sz w:val="21"/>
                <w:szCs w:val="21"/>
                <w:lang w:val="en-US" w:eastAsia="zh-CN" w:bidi="ar-SA"/>
              </w:rPr>
            </w:r>
            <w:r/>
          </w:p>
        </w:tc>
      </w:tr>
      <w:tr>
        <w:trPr>
          <w:trHeight w:val="889"/>
        </w:trPr>
        <w:tc>
          <w:tcPr>
            <w:tcW w:w="519" w:type="dxa"/>
            <w:vAlign w:val="center"/>
            <w:textDirection w:val="lrTb"/>
            <w:noWrap w:val="false"/>
          </w:tcPr>
          <w:p>
            <w:pPr>
              <w:pStyle w:val="708"/>
              <w:jc w:val="center"/>
              <w:keepLines w:val="0"/>
              <w:keepNext w:val="0"/>
              <w:pageBreakBefore w:val="0"/>
              <w:spacing w:before="68"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2"/>
                <w:sz w:val="21"/>
                <w:szCs w:val="21"/>
                <w:lang w:val="en-US" w:eastAsia="zh-CN"/>
              </w:rPr>
              <w:t xml:space="preserve">2.</w:t>
            </w:r>
            <w:r>
              <w:rPr>
                <w:rFonts w:hint="eastAsia" w:ascii="宋体" w:hAnsi="宋体" w:cs="宋体"/>
                <w:color w:val="000000"/>
                <w:spacing w:val="-2"/>
                <w:sz w:val="21"/>
                <w:szCs w:val="21"/>
                <w:lang w:val="en-US" w:eastAsia="zh-CN"/>
              </w:rPr>
              <w:t xml:space="preserve">3</w:t>
            </w:r>
            <w:r>
              <w:rPr>
                <w:rFonts w:hint="eastAsia" w:ascii="宋体" w:hAnsi="宋体" w:eastAsia="宋体" w:cs="宋体"/>
                <w:color w:val="000000"/>
                <w:sz w:val="21"/>
                <w:szCs w:val="21"/>
                <w:highlight w:val="none"/>
                <w:lang w:val="en-US" w:eastAsia="zh-CN"/>
              </w:rPr>
            </w:r>
            <w:r/>
          </w:p>
        </w:tc>
        <w:tc>
          <w:tcPr>
            <w:tcW w:w="1232" w:type="dxa"/>
            <w:vAlign w:val="center"/>
            <w:textDirection w:val="lrTb"/>
            <w:noWrap w:val="false"/>
          </w:tcPr>
          <w:p>
            <w:pPr>
              <w:pStyle w:val="708"/>
              <w:jc w:val="left"/>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运输配送方案</w:t>
            </w:r>
            <w:r>
              <w:rPr>
                <w:rFonts w:ascii="宋体" w:hAnsi="宋体" w:eastAsia="宋体" w:cs="宋体"/>
                <w:color w:val="000000"/>
                <w:spacing w:val="-2"/>
                <w:sz w:val="21"/>
                <w:szCs w:val="21"/>
                <w:lang w:val="en-US" w:eastAsia="zh-CN"/>
              </w:rPr>
            </w:r>
            <w:r/>
          </w:p>
        </w:tc>
        <w:tc>
          <w:tcPr>
            <w:tcW w:w="6277" w:type="dxa"/>
            <w:vAlign w:val="center"/>
            <w:textDirection w:val="lrTb"/>
            <w:noWrap w:val="false"/>
          </w:tcPr>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根据投标文件提供的项目运输配送方案（运输方案、运输要求、运输安全保障等）进行综合评分：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（1）运输配送方案</w:t>
            </w:r>
            <w:r>
              <w:rPr>
                <w:rFonts w:hint="eastAsia" w:ascii="宋体" w:hAnsi="宋体" w:eastAsia="宋体" w:cs="宋体"/>
                <w:color w:val="000000"/>
                <w:sz w:val="21"/>
                <w:szCs w:val="21"/>
                <w:lang w:val="zh-CN" w:eastAsia="zh-CN"/>
              </w:rPr>
              <w:t xml:space="preserve">满足</w:t>
            </w:r>
            <w:r>
              <w:rPr>
                <w:rFonts w:hint="eastAsia" w:ascii="宋体" w:hAnsi="宋体" w:eastAsia="宋体" w:cs="宋体"/>
                <w:color w:val="000000"/>
                <w:sz w:val="21"/>
                <w:szCs w:val="21"/>
                <w:lang w:val="en-US" w:eastAsia="zh-CN"/>
              </w:rPr>
              <w:t xml:space="preserve">项目要求、合理、可行针对性强得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（2）运输配送方案合理具有一定的针对性得4分；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（3）运输配送方案基本满足项目需求3分；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（4）运输配送方案不完整得2分；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（5）未提项目运输配送方案内容的本项不得分。</w:t>
            </w:r>
            <w:r>
              <w:rPr>
                <w:rFonts w:hint="eastAsia" w:ascii="宋体" w:hAnsi="宋体" w:eastAsia="宋体" w:cs="宋体"/>
                <w:color w:val="000000"/>
                <w:sz w:val="21"/>
                <w:szCs w:val="21"/>
                <w:lang w:val="en-US" w:eastAsia="zh-CN"/>
              </w:rPr>
            </w:r>
            <w:r/>
          </w:p>
        </w:tc>
        <w:tc>
          <w:tcPr>
            <w:tcW w:w="647" w:type="dxa"/>
            <w:vAlign w:val="center"/>
            <w:textDirection w:val="lrTb"/>
            <w:noWrap w:val="false"/>
          </w:tcPr>
          <w:p>
            <w:pPr>
              <w:pStyle w:val="708"/>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cs="宋体"/>
                <w:color w:val="000000"/>
                <w:sz w:val="22"/>
                <w:szCs w:val="22"/>
                <w:lang w:val="en-US" w:eastAsia="zh-CN"/>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708"/>
              <w:jc w:val="center"/>
              <w:keepLines w:val="0"/>
              <w:keepNext w:val="0"/>
              <w:pageBreakBefore w:val="0"/>
              <w:spacing w:before="68" w:line="24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主观分</w:t>
            </w:r>
            <w:r>
              <w:rPr>
                <w:rFonts w:ascii="宋体" w:hAnsi="宋体" w:eastAsia="宋体" w:cs="宋体"/>
                <w:color w:val="000000"/>
                <w:sz w:val="21"/>
                <w:szCs w:val="21"/>
                <w:highlight w:val="none"/>
                <w:lang w:val="en-US" w:eastAsia="zh-CN" w:bidi="ar-SA"/>
              </w:rPr>
            </w:r>
            <w:r/>
          </w:p>
        </w:tc>
      </w:tr>
      <w:tr>
        <w:trPr>
          <w:trHeight w:val="889"/>
        </w:trPr>
        <w:tc>
          <w:tcPr>
            <w:tcW w:w="519" w:type="dxa"/>
            <w:vAlign w:val="center"/>
            <w:textDirection w:val="lrTb"/>
            <w:noWrap w:val="false"/>
          </w:tcPr>
          <w:p>
            <w:pPr>
              <w:pStyle w:val="708"/>
              <w:jc w:val="center"/>
              <w:keepLines w:val="0"/>
              <w:keepNext w:val="0"/>
              <w:pageBreakBefore w:val="0"/>
              <w:spacing w:before="68" w:line="240"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2.</w:t>
            </w:r>
            <w:r>
              <w:rPr>
                <w:rFonts w:hint="eastAsia" w:ascii="宋体" w:hAnsi="宋体" w:cs="宋体"/>
                <w:color w:val="000000"/>
                <w:spacing w:val="-2"/>
                <w:sz w:val="21"/>
                <w:szCs w:val="21"/>
                <w:highlight w:val="none"/>
                <w:lang w:val="en-US" w:eastAsia="zh-CN"/>
              </w:rPr>
              <w:t xml:space="preserve">4</w:t>
            </w:r>
            <w:r>
              <w:rPr>
                <w:rFonts w:hint="eastAsia" w:ascii="宋体" w:hAnsi="宋体" w:eastAsia="宋体" w:cs="宋体"/>
                <w:color w:val="000000"/>
                <w:spacing w:val="-2"/>
                <w:sz w:val="21"/>
                <w:szCs w:val="21"/>
                <w:highlight w:val="none"/>
                <w:lang w:val="en-US" w:eastAsia="zh-CN" w:bidi="ar-SA"/>
              </w:rPr>
            </w:r>
            <w:r/>
          </w:p>
        </w:tc>
        <w:tc>
          <w:tcPr>
            <w:tcW w:w="1232" w:type="dxa"/>
            <w:vAlign w:val="center"/>
            <w:textDirection w:val="lrTb"/>
            <w:noWrap w:val="false"/>
          </w:tcPr>
          <w:p>
            <w:pPr>
              <w:pStyle w:val="708"/>
              <w:jc w:val="left"/>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安装调试方案</w:t>
            </w:r>
            <w:r>
              <w:rPr>
                <w:rFonts w:ascii="宋体" w:hAnsi="宋体" w:eastAsia="宋体" w:cs="宋体"/>
                <w:color w:val="000000"/>
                <w:spacing w:val="-2"/>
                <w:sz w:val="21"/>
                <w:szCs w:val="21"/>
                <w:lang w:val="en-US" w:eastAsia="zh-CN"/>
              </w:rPr>
            </w:r>
            <w:r/>
          </w:p>
        </w:tc>
        <w:tc>
          <w:tcPr>
            <w:tcW w:w="6277" w:type="dxa"/>
            <w:vAlign w:val="center"/>
            <w:textDirection w:val="lrTb"/>
            <w:noWrap w:val="false"/>
          </w:tcPr>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根据投标文件提供的项目安装调试方案（安装调试流程、安装调试保障措施等）进行综合评分：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（1）安装调试方案</w:t>
            </w:r>
            <w:r>
              <w:rPr>
                <w:rFonts w:hint="eastAsia" w:ascii="宋体" w:hAnsi="宋体" w:eastAsia="宋体" w:cs="宋体"/>
                <w:color w:val="000000"/>
                <w:sz w:val="21"/>
                <w:szCs w:val="21"/>
                <w:lang w:val="zh-CN" w:eastAsia="zh-CN"/>
              </w:rPr>
              <w:t xml:space="preserve">满足</w:t>
            </w:r>
            <w:r>
              <w:rPr>
                <w:rFonts w:hint="eastAsia" w:ascii="宋体" w:hAnsi="宋体" w:eastAsia="宋体" w:cs="宋体"/>
                <w:color w:val="000000"/>
                <w:sz w:val="21"/>
                <w:szCs w:val="21"/>
                <w:lang w:val="en-US" w:eastAsia="zh-CN"/>
              </w:rPr>
              <w:t xml:space="preserve">项目要求、合理、可行针对性强得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（2）安装调试方案合理具有一定的针对性得4分；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（3）安装调试方案基本满足项目需求3分；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（4）安装调试方案不完整得2分；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（5）未提项安装调试方案内容的本项不得分。</w:t>
            </w:r>
            <w:r>
              <w:rPr>
                <w:rFonts w:ascii="宋体" w:hAnsi="宋体" w:eastAsia="宋体" w:cs="宋体"/>
                <w:color w:val="000000"/>
                <w:sz w:val="21"/>
                <w:szCs w:val="21"/>
                <w:lang w:val="en-US" w:eastAsia="zh-CN"/>
              </w:rPr>
            </w:r>
            <w:r/>
          </w:p>
        </w:tc>
        <w:tc>
          <w:tcPr>
            <w:tcW w:w="647" w:type="dxa"/>
            <w:vAlign w:val="center"/>
            <w:textDirection w:val="lrTb"/>
            <w:noWrap w:val="false"/>
          </w:tcPr>
          <w:p>
            <w:pPr>
              <w:pStyle w:val="708"/>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cs="宋体"/>
                <w:color w:val="000000"/>
                <w:sz w:val="22"/>
                <w:szCs w:val="22"/>
                <w:lang w:val="en-US" w:eastAsia="zh-CN"/>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708"/>
              <w:jc w:val="center"/>
              <w:keepLines w:val="0"/>
              <w:keepNext w:val="0"/>
              <w:pageBreakBefore w:val="0"/>
              <w:spacing w:before="68" w:line="240"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主观分</w:t>
            </w:r>
            <w:r>
              <w:rPr>
                <w:rFonts w:hint="eastAsia" w:ascii="宋体" w:hAnsi="宋体" w:eastAsia="宋体" w:cs="宋体"/>
                <w:color w:val="000000"/>
                <w:spacing w:val="-6"/>
                <w:sz w:val="21"/>
                <w:szCs w:val="21"/>
                <w:highlight w:val="none"/>
                <w:lang w:val="en-US" w:eastAsia="zh-CN" w:bidi="ar-SA"/>
              </w:rPr>
            </w:r>
            <w:r/>
          </w:p>
        </w:tc>
      </w:tr>
      <w:tr>
        <w:trPr>
          <w:trHeight w:val="889"/>
        </w:trPr>
        <w:tc>
          <w:tcPr>
            <w:tcW w:w="519" w:type="dxa"/>
            <w:vAlign w:val="center"/>
            <w:textDirection w:val="lrTb"/>
            <w:noWrap w:val="false"/>
          </w:tcPr>
          <w:p>
            <w:pPr>
              <w:pStyle w:val="708"/>
              <w:jc w:val="center"/>
              <w:keepLines w:val="0"/>
              <w:keepNext w:val="0"/>
              <w:pageBreakBefore w:val="0"/>
              <w:spacing w:before="68" w:line="240" w:lineRule="auto"/>
              <w:widowControl w:val="off"/>
              <w:rPr>
                <w:rFonts w:ascii="宋体" w:hAnsi="宋体" w:eastAsia="宋体" w:cs="宋体"/>
                <w:color w:val="000000"/>
                <w:spacing w:val="-2"/>
                <w:sz w:val="21"/>
                <w:szCs w:val="21"/>
                <w:highlight w:val="none"/>
                <w:lang w:val="en-US" w:eastAsia="zh-CN"/>
              </w:rPr>
            </w:pPr>
            <w:r>
              <w:rPr>
                <w:rFonts w:hint="eastAsia" w:ascii="宋体" w:hAnsi="宋体" w:cs="宋体"/>
                <w:color w:val="000000"/>
                <w:spacing w:val="-2"/>
                <w:sz w:val="21"/>
                <w:szCs w:val="21"/>
                <w:highlight w:val="none"/>
                <w:lang w:val="en-US" w:eastAsia="zh-CN"/>
              </w:rPr>
              <w:t xml:space="preserve">2.5</w:t>
            </w:r>
            <w:r>
              <w:rPr>
                <w:rFonts w:ascii="宋体" w:hAnsi="宋体" w:eastAsia="宋体" w:cs="宋体"/>
                <w:color w:val="000000"/>
                <w:spacing w:val="-2"/>
                <w:sz w:val="21"/>
                <w:szCs w:val="21"/>
                <w:highlight w:val="none"/>
                <w:lang w:val="en-US" w:eastAsia="zh-CN"/>
              </w:rPr>
            </w:r>
            <w:r/>
          </w:p>
        </w:tc>
        <w:tc>
          <w:tcPr>
            <w:tcW w:w="1232" w:type="dxa"/>
            <w:vAlign w:val="center"/>
            <w:textDirection w:val="lrTb"/>
            <w:noWrap w:val="false"/>
          </w:tcPr>
          <w:p>
            <w:pPr>
              <w:pStyle w:val="708"/>
              <w:jc w:val="left"/>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培训服务方案</w:t>
            </w:r>
            <w:r>
              <w:rPr>
                <w:rFonts w:ascii="宋体" w:hAnsi="宋体" w:eastAsia="宋体" w:cs="宋体"/>
                <w:color w:val="000000"/>
                <w:spacing w:val="-2"/>
                <w:sz w:val="21"/>
                <w:szCs w:val="21"/>
                <w:lang w:val="en-US" w:eastAsia="zh-CN"/>
              </w:rPr>
            </w:r>
            <w:r/>
          </w:p>
        </w:tc>
        <w:tc>
          <w:tcPr>
            <w:tcW w:w="6277" w:type="dxa"/>
            <w:vAlign w:val="center"/>
            <w:textDirection w:val="lrTb"/>
            <w:noWrap w:val="false"/>
          </w:tcPr>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根据投标人的培训服务方案（器材使用教学、设备操作、设备维护及简单的设备维修等）进行综合评分：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（1）培训服务方案</w:t>
            </w:r>
            <w:r>
              <w:rPr>
                <w:rFonts w:hint="eastAsia" w:ascii="宋体" w:hAnsi="宋体" w:eastAsia="宋体" w:cs="宋体"/>
                <w:color w:val="000000"/>
                <w:sz w:val="21"/>
                <w:szCs w:val="21"/>
                <w:lang w:val="zh-CN" w:eastAsia="zh-CN"/>
              </w:rPr>
              <w:t xml:space="preserve">满足</w:t>
            </w:r>
            <w:r>
              <w:rPr>
                <w:rFonts w:hint="eastAsia" w:ascii="宋体" w:hAnsi="宋体" w:eastAsia="宋体" w:cs="宋体"/>
                <w:color w:val="000000"/>
                <w:sz w:val="21"/>
                <w:szCs w:val="21"/>
                <w:lang w:val="en-US" w:eastAsia="zh-CN"/>
              </w:rPr>
              <w:t xml:space="preserve">项目要求、合理、可行针对性强得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（2）培训服务方案合理具有一定的针对性得4分；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（3）培训服务方案基本满足项目需求3分；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（4）培训服务方案不完整得2分；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（5）未提培训服务方案内容的本项不得分。</w:t>
            </w:r>
            <w:r>
              <w:rPr>
                <w:rFonts w:hint="eastAsia" w:ascii="宋体" w:hAnsi="宋体" w:eastAsia="宋体" w:cs="宋体"/>
                <w:color w:val="000000"/>
                <w:sz w:val="21"/>
                <w:szCs w:val="21"/>
                <w:lang w:val="en-US" w:eastAsia="zh-CN"/>
              </w:rPr>
            </w:r>
            <w:r/>
          </w:p>
        </w:tc>
        <w:tc>
          <w:tcPr>
            <w:tcW w:w="647" w:type="dxa"/>
            <w:vAlign w:val="center"/>
            <w:textDirection w:val="lrTb"/>
            <w:noWrap w:val="false"/>
          </w:tcPr>
          <w:p>
            <w:pPr>
              <w:pStyle w:val="708"/>
              <w:ind w:left="0" w:right="0"/>
              <w:jc w:val="center"/>
              <w:keepLines w:val="0"/>
              <w:keepNext w:val="0"/>
              <w:spacing w:before="0" w:beforeAutospacing="0" w:after="0" w:afterAutospacing="0"/>
              <w:widowControl/>
              <w:rPr>
                <w:rFonts w:ascii="宋体" w:hAnsi="宋体" w:cs="宋体"/>
                <w:color w:val="000000"/>
                <w:sz w:val="21"/>
                <w:szCs w:val="21"/>
                <w:highlight w:val="none"/>
                <w:lang w:val="en-US" w:eastAsia="zh-CN" w:bidi="ar-SA"/>
              </w:rPr>
              <w:suppressLineNumbers w:val="0"/>
            </w:pPr>
            <w:r>
              <w:rPr>
                <w:rFonts w:hint="eastAsia" w:ascii="宋体" w:hAnsi="宋体" w:cs="宋体"/>
                <w:color w:val="000000"/>
                <w:sz w:val="22"/>
                <w:szCs w:val="22"/>
                <w:lang w:val="en-US" w:eastAsia="zh-CN"/>
              </w:rPr>
              <w:t xml:space="preserve">6</w:t>
            </w:r>
            <w:r>
              <w:rPr>
                <w:rFonts w:ascii="宋体" w:hAnsi="宋体" w:cs="宋体"/>
                <w:color w:val="000000"/>
                <w:sz w:val="21"/>
                <w:szCs w:val="21"/>
                <w:highlight w:val="none"/>
                <w:lang w:val="en-US" w:eastAsia="zh-CN" w:bidi="ar-SA"/>
              </w:rPr>
            </w:r>
            <w:r/>
          </w:p>
        </w:tc>
        <w:tc>
          <w:tcPr>
            <w:tcW w:w="900" w:type="dxa"/>
            <w:vAlign w:val="center"/>
            <w:textDirection w:val="lrTb"/>
            <w:noWrap w:val="false"/>
          </w:tcPr>
          <w:p>
            <w:pPr>
              <w:pStyle w:val="708"/>
              <w:jc w:val="center"/>
              <w:keepLines w:val="0"/>
              <w:keepNext w:val="0"/>
              <w:pageBreakBefore w:val="0"/>
              <w:spacing w:before="68" w:line="240" w:lineRule="auto"/>
              <w:widowControl w:val="off"/>
              <w:rPr>
                <w:rFonts w:ascii="宋体" w:hAnsi="宋体" w:eastAsia="宋体" w:cs="宋体"/>
                <w:color w:val="000000"/>
                <w:spacing w:val="-6"/>
                <w:sz w:val="21"/>
                <w:szCs w:val="21"/>
                <w:highlight w:val="none"/>
                <w:lang w:val="en-US" w:eastAsia="zh-CN"/>
              </w:rPr>
            </w:pPr>
            <w:r>
              <w:rPr>
                <w:rFonts w:hint="eastAsia" w:ascii="宋体" w:hAnsi="宋体" w:cs="宋体"/>
                <w:color w:val="000000"/>
                <w:spacing w:val="-6"/>
                <w:sz w:val="21"/>
                <w:szCs w:val="21"/>
                <w:highlight w:val="none"/>
                <w:lang w:val="en-US" w:eastAsia="zh-CN"/>
              </w:rPr>
              <w:t xml:space="preserve">主观分</w:t>
            </w:r>
            <w:r>
              <w:rPr>
                <w:rFonts w:ascii="宋体" w:hAnsi="宋体" w:eastAsia="宋体" w:cs="宋体"/>
                <w:color w:val="000000"/>
                <w:spacing w:val="-6"/>
                <w:sz w:val="21"/>
                <w:szCs w:val="21"/>
                <w:highlight w:val="none"/>
                <w:lang w:val="en-US" w:eastAsia="zh-CN"/>
              </w:rPr>
            </w:r>
            <w:r/>
          </w:p>
        </w:tc>
      </w:tr>
      <w:tr>
        <w:trPr>
          <w:trHeight w:val="889"/>
        </w:trPr>
        <w:tc>
          <w:tcPr>
            <w:tcW w:w="519" w:type="dxa"/>
            <w:vAlign w:val="center"/>
            <w:textDirection w:val="lrTb"/>
            <w:noWrap w:val="false"/>
          </w:tcPr>
          <w:p>
            <w:pPr>
              <w:pStyle w:val="708"/>
              <w:jc w:val="center"/>
              <w:keepLines w:val="0"/>
              <w:keepNext w:val="0"/>
              <w:pageBreakBefore w:val="0"/>
              <w:spacing w:before="68" w:line="240" w:lineRule="auto"/>
              <w:widowControl w:val="off"/>
              <w:rPr>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2.</w:t>
            </w:r>
            <w:r>
              <w:rPr>
                <w:rFonts w:hint="eastAsia" w:ascii="宋体" w:hAnsi="宋体" w:cs="宋体"/>
                <w:color w:val="000000"/>
                <w:spacing w:val="-2"/>
                <w:sz w:val="21"/>
                <w:szCs w:val="21"/>
                <w:highlight w:val="none"/>
                <w:lang w:val="en-US" w:eastAsia="zh-CN"/>
              </w:rPr>
              <w:t xml:space="preserve">6</w:t>
            </w:r>
            <w:r>
              <w:rPr>
                <w:rFonts w:ascii="宋体" w:hAnsi="宋体" w:eastAsia="宋体" w:cs="宋体"/>
                <w:color w:val="000000"/>
                <w:spacing w:val="-2"/>
                <w:sz w:val="21"/>
                <w:szCs w:val="21"/>
                <w:highlight w:val="none"/>
                <w:lang w:val="en-US" w:eastAsia="zh-CN" w:bidi="ar-SA"/>
              </w:rPr>
            </w:r>
            <w:r/>
          </w:p>
        </w:tc>
        <w:tc>
          <w:tcPr>
            <w:tcW w:w="1232" w:type="dxa"/>
            <w:vAlign w:val="center"/>
            <w:textDirection w:val="lrTb"/>
            <w:noWrap w:val="false"/>
          </w:tcPr>
          <w:p>
            <w:pPr>
              <w:pStyle w:val="708"/>
              <w:jc w:val="left"/>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售后服务方案</w:t>
            </w:r>
            <w:r>
              <w:rPr>
                <w:rFonts w:ascii="宋体" w:hAnsi="宋体" w:eastAsia="宋体" w:cs="宋体"/>
                <w:color w:val="000000"/>
                <w:spacing w:val="-2"/>
                <w:sz w:val="21"/>
                <w:szCs w:val="21"/>
                <w:lang w:val="en-US" w:eastAsia="zh-CN"/>
              </w:rPr>
            </w:r>
            <w:r/>
          </w:p>
        </w:tc>
        <w:tc>
          <w:tcPr>
            <w:tcW w:w="6277" w:type="dxa"/>
            <w:vAlign w:val="center"/>
            <w:textDirection w:val="lrTb"/>
            <w:noWrap w:val="false"/>
          </w:tcPr>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根据投标人的售后服务方案(服务体系、服务内容、故障解决方案、故障响应等）进行综合评分：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（1）售后服务方案内容全面、科学合理、可操作性强的得 </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 </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（2）售后服务方案内容较为全面、较为科学合理的得4分； </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（3）售后服务方案内容全面性、科学合理性、可操作性较差的得3分；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（4）售后服务方案内容不完整的得2分。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（5）未提售后服务方案内容的本项不得分。</w:t>
            </w:r>
            <w:r>
              <w:rPr>
                <w:rFonts w:hint="eastAsia" w:ascii="宋体" w:hAnsi="宋体" w:eastAsia="宋体" w:cs="宋体"/>
                <w:color w:val="000000"/>
                <w:sz w:val="21"/>
                <w:szCs w:val="21"/>
                <w:lang w:val="zh-CN" w:eastAsia="zh-CN"/>
              </w:rPr>
            </w:r>
            <w:r/>
          </w:p>
        </w:tc>
        <w:tc>
          <w:tcPr>
            <w:tcW w:w="647" w:type="dxa"/>
            <w:vAlign w:val="center"/>
            <w:textDirection w:val="lrTb"/>
            <w:noWrap w:val="false"/>
          </w:tcPr>
          <w:p>
            <w:pPr>
              <w:pStyle w:val="708"/>
              <w:ind w:left="0" w:right="0"/>
              <w:jc w:val="center"/>
              <w:keepLines w:val="0"/>
              <w:keepNext w:val="0"/>
              <w:spacing w:before="0" w:beforeAutospacing="0" w:after="0" w:afterAutospacing="0"/>
              <w:widowControl/>
              <w:rPr>
                <w:rFonts w:ascii="宋体" w:hAnsi="宋体" w:eastAsia="宋体" w:cs="宋体"/>
                <w:color w:val="000000"/>
                <w:sz w:val="21"/>
                <w:szCs w:val="21"/>
                <w:highlight w:val="none"/>
                <w:lang w:val="en-US" w:eastAsia="zh-CN" w:bidi="ar-SA"/>
              </w:rPr>
              <w:suppressLineNumbers w:val="0"/>
            </w:pPr>
            <w:r>
              <w:rPr>
                <w:rFonts w:hint="eastAsia" w:ascii="宋体" w:hAnsi="宋体" w:cs="宋体"/>
                <w:color w:val="000000"/>
                <w:sz w:val="22"/>
                <w:szCs w:val="22"/>
                <w:lang w:val="en-US" w:eastAsia="zh-CN"/>
              </w:rPr>
              <w:t xml:space="preserve">6</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708"/>
              <w:jc w:val="center"/>
              <w:keepLines w:val="0"/>
              <w:keepNext w:val="0"/>
              <w:pageBreakBefore w:val="0"/>
              <w:spacing w:before="68" w:line="240"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主观分</w:t>
            </w:r>
            <w:r>
              <w:rPr>
                <w:rFonts w:hint="eastAsia" w:ascii="宋体" w:hAnsi="宋体" w:eastAsia="宋体" w:cs="宋体"/>
                <w:color w:val="000000"/>
                <w:spacing w:val="-6"/>
                <w:sz w:val="21"/>
                <w:szCs w:val="21"/>
                <w:highlight w:val="none"/>
                <w:lang w:val="en-US" w:eastAsia="zh-CN" w:bidi="ar-SA"/>
              </w:rPr>
            </w:r>
            <w:r/>
          </w:p>
        </w:tc>
      </w:tr>
      <w:tr>
        <w:trPr>
          <w:trHeight w:val="472"/>
        </w:trPr>
        <w:tc>
          <w:tcPr>
            <w:gridSpan w:val="5"/>
            <w:tcW w:w="9575" w:type="dxa"/>
            <w:vAlign w:val="center"/>
            <w:textDirection w:val="lrTb"/>
            <w:noWrap w:val="false"/>
          </w:tcPr>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3.商务</w:t>
            </w:r>
            <w:r>
              <w:rPr>
                <w:rFonts w:hint="eastAsia" w:ascii="宋体" w:hAnsi="宋体" w:eastAsia="宋体" w:cs="宋体"/>
                <w:color w:val="000000"/>
                <w:sz w:val="21"/>
                <w:szCs w:val="21"/>
                <w:lang w:val="en-US" w:eastAsia="zh-CN"/>
              </w:rPr>
            </w:r>
            <w:r/>
          </w:p>
        </w:tc>
      </w:tr>
      <w:tr>
        <w:trPr>
          <w:trHeight w:val="1083"/>
        </w:trPr>
        <w:tc>
          <w:tcPr>
            <w:tcW w:w="519" w:type="dxa"/>
            <w:vAlign w:val="center"/>
            <w:textDirection w:val="lrTb"/>
            <w:noWrap w:val="false"/>
          </w:tcPr>
          <w:p>
            <w:pPr>
              <w:pStyle w:val="708"/>
              <w:jc w:val="center"/>
              <w:keepLines w:val="0"/>
              <w:keepNext w:val="0"/>
              <w:pageBreakBefore w:val="0"/>
              <w:spacing w:before="68" w:line="240" w:lineRule="auto"/>
              <w:widowControl w:val="off"/>
              <w:rPr>
                <w:rFonts w:ascii="宋体" w:hAnsi="宋体" w:eastAsia="宋体" w:cs="宋体"/>
                <w:color w:val="000000"/>
                <w:spacing w:val="-2"/>
                <w:sz w:val="21"/>
                <w:szCs w:val="21"/>
                <w:lang w:val="en-US" w:eastAsia="zh-CN"/>
              </w:rPr>
            </w:pPr>
            <w:r>
              <w:rPr>
                <w:rFonts w:hint="eastAsia" w:ascii="宋体" w:hAnsi="宋体" w:cs="宋体"/>
                <w:color w:val="000000"/>
                <w:spacing w:val="-2"/>
                <w:sz w:val="21"/>
                <w:szCs w:val="21"/>
                <w:lang w:val="en-US" w:eastAsia="zh-CN"/>
              </w:rPr>
              <w:t xml:space="preserve">3.1</w:t>
            </w:r>
            <w:r>
              <w:rPr>
                <w:rFonts w:ascii="宋体" w:hAnsi="宋体" w:eastAsia="宋体" w:cs="宋体"/>
                <w:color w:val="000000"/>
                <w:spacing w:val="-2"/>
                <w:sz w:val="21"/>
                <w:szCs w:val="21"/>
                <w:lang w:val="en-US" w:eastAsia="zh-CN"/>
              </w:rPr>
            </w:r>
            <w:r/>
          </w:p>
        </w:tc>
        <w:tc>
          <w:tcPr>
            <w:tcW w:w="1232" w:type="dxa"/>
            <w:vAlign w:val="center"/>
            <w:textDirection w:val="lrTb"/>
            <w:noWrap w:val="false"/>
          </w:tcPr>
          <w:p>
            <w:pPr>
              <w:pStyle w:val="708"/>
              <w:jc w:val="left"/>
              <w:keepLines w:val="0"/>
              <w:keepNext w:val="0"/>
              <w:pageBreakBefore w:val="0"/>
              <w:spacing w:before="68" w:line="240" w:lineRule="auto"/>
              <w:widowControl w:val="off"/>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1"/>
                <w:sz w:val="21"/>
                <w:szCs w:val="21"/>
                <w:lang w:eastAsia="zh-CN"/>
              </w:rPr>
              <w:t xml:space="preserve">履约能力</w:t>
            </w:r>
            <w:r>
              <w:rPr>
                <w:rFonts w:hint="eastAsia" w:ascii="宋体" w:hAnsi="宋体" w:eastAsia="宋体" w:cs="宋体"/>
                <w:color w:val="000000"/>
                <w:spacing w:val="-1"/>
                <w:sz w:val="21"/>
                <w:szCs w:val="21"/>
                <w:lang w:val="en-US" w:eastAsia="zh-CN"/>
              </w:rPr>
              <w:t xml:space="preserve">1</w:t>
            </w:r>
            <w:r>
              <w:rPr>
                <w:rFonts w:hint="eastAsia" w:ascii="宋体" w:hAnsi="宋体" w:eastAsia="宋体" w:cs="宋体"/>
                <w:color w:val="000000"/>
                <w:spacing w:val="0"/>
                <w:sz w:val="21"/>
                <w:szCs w:val="21"/>
                <w:highlight w:val="none"/>
                <w:lang w:val="en-US" w:eastAsia="zh-CN"/>
              </w:rPr>
            </w:r>
            <w:r/>
          </w:p>
        </w:tc>
        <w:tc>
          <w:tcPr>
            <w:tcW w:w="6277" w:type="dxa"/>
            <w:vAlign w:val="center"/>
            <w:textDirection w:val="lrTb"/>
            <w:noWrap w:val="false"/>
          </w:tcPr>
          <w:p>
            <w:pPr>
              <w:pStyle w:val="708"/>
              <w:jc w:val="both"/>
              <w:keepLines w:val="0"/>
              <w:keepNext w:val="0"/>
              <w:pageBreakBefore w:val="0"/>
              <w:spacing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1、所投室外乒乓球台、肋木、</w:t>
            </w:r>
            <w:r>
              <w:rPr>
                <w:rFonts w:hint="eastAsia" w:ascii="宋体" w:hAnsi="宋体" w:cs="宋体"/>
                <w:color w:val="000000"/>
                <w:sz w:val="21"/>
                <w:szCs w:val="21"/>
                <w:highlight w:val="yellow"/>
                <w:lang w:val="en-US" w:eastAsia="zh-CN"/>
              </w:rPr>
              <w:t xml:space="preserve">云</w:t>
            </w:r>
            <w:r>
              <w:rPr>
                <w:rFonts w:hint="eastAsia" w:ascii="宋体" w:hAnsi="宋体" w:eastAsia="宋体" w:cs="宋体"/>
                <w:color w:val="000000"/>
                <w:sz w:val="21"/>
                <w:szCs w:val="21"/>
                <w:highlight w:val="yellow"/>
                <w:lang w:val="en-US" w:eastAsia="zh-CN"/>
              </w:rPr>
              <w:t xml:space="preserve">梯</w:t>
            </w:r>
            <w:r>
              <w:rPr>
                <w:rFonts w:hint="eastAsia" w:ascii="宋体" w:hAnsi="宋体" w:eastAsia="宋体" w:cs="宋体"/>
                <w:color w:val="000000"/>
                <w:sz w:val="21"/>
                <w:szCs w:val="21"/>
                <w:lang w:val="en-US" w:eastAsia="zh-CN"/>
              </w:rPr>
              <w:t xml:space="preserve">产品应符合GB19272-2024《室外健身器材的安全通用要求》检测标准要求,所投相应体育器材的生产厂商需分别提供由国家体育用品检测中心出具的检测报告、符合国家认可的器材质量认证机构出具的认证证书以及确认函。满分</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分，缺一项扣2分，扣完为止。</w:t>
            </w:r>
            <w:r>
              <w:rPr>
                <w:rFonts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2、所投体测产品：立定跳远测试仪、坐位体前屈测试仪需为同一品牌产品，设备制造商具有：①提供信息安全管理体系认证证书；</w:t>
            </w:r>
            <w:r>
              <w:rPr>
                <w:rFonts w:ascii="宋体" w:hAnsi="宋体" w:eastAsia="宋体" w:cs="宋体"/>
                <w:color w:val="000000"/>
                <w:sz w:val="21"/>
                <w:szCs w:val="21"/>
                <w:lang w:val="en-US" w:eastAsia="zh-CN"/>
              </w:rPr>
              <w:t xml:space="preserve">②</w:t>
            </w:r>
            <w:r>
              <w:rPr>
                <w:rFonts w:hint="eastAsia" w:ascii="宋体" w:hAnsi="宋体" w:eastAsia="宋体" w:cs="宋体"/>
                <w:color w:val="000000"/>
                <w:sz w:val="21"/>
                <w:szCs w:val="21"/>
                <w:lang w:val="en-US" w:eastAsia="zh-CN"/>
              </w:rPr>
              <w:t xml:space="preserve">提供测试仪设备制造商信息安全服务资质认证证书。③具有CNAS或CMA标识的第三方检测机构出具的全部产品检测报告；以上证明文件，每提供一个证明文件得1分，全部提供得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708"/>
              <w:jc w:val="both"/>
              <w:keepLines w:val="0"/>
              <w:keepNext w:val="0"/>
              <w:pageBreakBefore w:val="0"/>
              <w:spacing w:line="264"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以上需提供相关证书复印件加盖生产厂商公章。</w:t>
            </w:r>
            <w:r>
              <w:rPr>
                <w:rFonts w:hint="eastAsia" w:ascii="宋体" w:hAnsi="宋体" w:eastAsia="宋体" w:cs="宋体"/>
                <w:color w:val="000000"/>
                <w:sz w:val="21"/>
                <w:szCs w:val="21"/>
                <w:lang w:val="zh-CN" w:eastAsia="zh-CN"/>
              </w:rPr>
            </w:r>
            <w:r/>
          </w:p>
        </w:tc>
        <w:tc>
          <w:tcPr>
            <w:tcW w:w="647" w:type="dxa"/>
            <w:vAlign w:val="center"/>
            <w:textDirection w:val="lrTb"/>
            <w:noWrap w:val="false"/>
          </w:tcPr>
          <w:p>
            <w:pPr>
              <w:pStyle w:val="708"/>
              <w:ind w:left="0" w:right="0"/>
              <w:jc w:val="center"/>
              <w:keepLines w:val="0"/>
              <w:keepNext w:val="0"/>
              <w:spacing w:before="0" w:beforeAutospacing="0" w:after="0" w:afterAutospacing="0"/>
              <w:widowControl/>
              <w:rPr>
                <w:rFonts w:ascii="宋体" w:hAnsi="宋体" w:eastAsia="宋体" w:cs="宋体"/>
                <w:color w:val="000000"/>
                <w:sz w:val="21"/>
                <w:szCs w:val="21"/>
                <w:lang w:val="en-US" w:eastAsia="zh-CN" w:bidi="ar-SA"/>
              </w:rPr>
              <w:suppressLineNumbers w:val="0"/>
            </w:pPr>
            <w:r>
              <w:rPr>
                <w:rFonts w:hint="eastAsia" w:ascii="宋体" w:hAnsi="宋体" w:cs="宋体"/>
                <w:color w:val="000000"/>
                <w:sz w:val="22"/>
                <w:szCs w:val="22"/>
                <w:lang w:val="en-US" w:eastAsia="zh-CN"/>
              </w:rPr>
              <w:t xml:space="preserve">12</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708"/>
              <w:jc w:val="center"/>
              <w:keepLines w:val="0"/>
              <w:keepNext w:val="0"/>
              <w:pageBreakBefore w:val="0"/>
              <w:spacing w:before="68" w:line="240" w:lineRule="auto"/>
              <w:widowControl w:val="off"/>
              <w:rPr>
                <w:rFonts w:ascii="宋体" w:hAnsi="宋体" w:eastAsia="宋体" w:cs="宋体"/>
                <w:color w:val="000000"/>
                <w:spacing w:val="-6"/>
                <w:sz w:val="21"/>
                <w:szCs w:val="21"/>
                <w:lang w:val="en-US" w:eastAsia="zh-CN" w:bidi="ar-SA"/>
              </w:rPr>
            </w:pPr>
            <w:r>
              <w:rPr>
                <w:rFonts w:hint="eastAsia" w:ascii="宋体" w:hAnsi="宋体" w:cs="宋体"/>
                <w:color w:val="000000"/>
                <w:spacing w:val="-6"/>
                <w:sz w:val="21"/>
                <w:szCs w:val="21"/>
                <w:lang w:val="en-US" w:eastAsia="zh-CN" w:bidi="ar-SA"/>
              </w:rPr>
              <w:t xml:space="preserve">客观分</w:t>
            </w:r>
            <w:r>
              <w:rPr>
                <w:rFonts w:ascii="宋体" w:hAnsi="宋体" w:eastAsia="宋体" w:cs="宋体"/>
                <w:color w:val="000000"/>
                <w:spacing w:val="-6"/>
                <w:sz w:val="21"/>
                <w:szCs w:val="21"/>
                <w:lang w:val="en-US" w:eastAsia="zh-CN" w:bidi="ar-SA"/>
              </w:rPr>
            </w:r>
            <w:r/>
          </w:p>
        </w:tc>
      </w:tr>
      <w:tr>
        <w:trPr>
          <w:trHeight w:val="1083"/>
        </w:trPr>
        <w:tc>
          <w:tcPr>
            <w:tcW w:w="519" w:type="dxa"/>
            <w:vAlign w:val="center"/>
            <w:textDirection w:val="lrTb"/>
            <w:noWrap w:val="false"/>
          </w:tcPr>
          <w:p>
            <w:pPr>
              <w:pStyle w:val="708"/>
              <w:jc w:val="center"/>
              <w:keepLines w:val="0"/>
              <w:keepNext w:val="0"/>
              <w:pageBreakBefore w:val="0"/>
              <w:spacing w:before="68" w:line="240"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rPr>
              <w:t xml:space="preserve">3.2</w:t>
            </w:r>
            <w:r>
              <w:rPr>
                <w:rFonts w:hint="eastAsia" w:ascii="宋体" w:hAnsi="宋体" w:eastAsia="宋体" w:cs="宋体"/>
                <w:color w:val="000000"/>
                <w:spacing w:val="-2"/>
                <w:sz w:val="21"/>
                <w:szCs w:val="21"/>
                <w:lang w:val="en-US" w:eastAsia="zh-CN" w:bidi="ar-SA"/>
              </w:rPr>
            </w:r>
            <w:r/>
          </w:p>
        </w:tc>
        <w:tc>
          <w:tcPr>
            <w:tcW w:w="1232" w:type="dxa"/>
            <w:vAlign w:val="center"/>
            <w:textDirection w:val="lrTb"/>
            <w:noWrap w:val="false"/>
          </w:tcPr>
          <w:p>
            <w:pPr>
              <w:pStyle w:val="708"/>
              <w:jc w:val="left"/>
              <w:keepLines w:val="0"/>
              <w:keepNext w:val="0"/>
              <w:pageBreakBefore w:val="0"/>
              <w:spacing w:before="68" w:line="240" w:lineRule="auto"/>
              <w:widowControl w:val="off"/>
              <w:rPr>
                <w:rFonts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1"/>
                <w:sz w:val="21"/>
                <w:szCs w:val="21"/>
                <w:lang w:eastAsia="zh-CN"/>
              </w:rPr>
              <w:t xml:space="preserve">履约能力</w:t>
            </w:r>
            <w:r>
              <w:rPr>
                <w:rFonts w:hint="eastAsia" w:ascii="宋体" w:hAnsi="宋体" w:eastAsia="宋体" w:cs="宋体"/>
                <w:color w:val="000000"/>
                <w:spacing w:val="-1"/>
                <w:sz w:val="21"/>
                <w:szCs w:val="21"/>
                <w:lang w:val="en-US" w:eastAsia="zh-CN"/>
              </w:rPr>
              <w:t xml:space="preserve">2</w:t>
            </w:r>
            <w:r>
              <w:rPr>
                <w:rFonts w:ascii="宋体" w:hAnsi="宋体" w:eastAsia="宋体" w:cs="宋体"/>
                <w:color w:val="000000"/>
                <w:spacing w:val="0"/>
                <w:sz w:val="21"/>
                <w:szCs w:val="21"/>
                <w:highlight w:val="none"/>
                <w:lang w:val="en-US" w:eastAsia="zh-CN" w:bidi="ar-SA"/>
              </w:rPr>
            </w:r>
            <w:r/>
          </w:p>
        </w:tc>
        <w:tc>
          <w:tcPr>
            <w:tcW w:w="6277" w:type="dxa"/>
            <w:vAlign w:val="center"/>
            <w:textDirection w:val="lrTb"/>
            <w:noWrap w:val="false"/>
          </w:tcPr>
          <w:p>
            <w:pPr>
              <w:pStyle w:val="708"/>
              <w:jc w:val="both"/>
              <w:keepLines w:val="0"/>
              <w:keepNext w:val="0"/>
              <w:pageBreakBefore w:val="0"/>
              <w:spacing w:line="264"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供应商所投室内乒乓球台、羽毛球柱产品险种类别：具有产品质量险、产品责任险、公众责任险，最高得分2分。（提供有效期内证明材料复印件加盖公章，缺项不得分）</w:t>
            </w:r>
            <w:r>
              <w:rPr>
                <w:rFonts w:hint="eastAsia" w:ascii="宋体" w:hAnsi="宋体" w:eastAsia="宋体" w:cs="宋体"/>
                <w:color w:val="000000"/>
                <w:sz w:val="21"/>
                <w:szCs w:val="21"/>
                <w:lang w:val="zh-CN" w:eastAsia="zh-CN"/>
              </w:rPr>
            </w:r>
            <w:r/>
          </w:p>
        </w:tc>
        <w:tc>
          <w:tcPr>
            <w:tcW w:w="647" w:type="dxa"/>
            <w:vAlign w:val="center"/>
            <w:textDirection w:val="lrTb"/>
            <w:noWrap w:val="false"/>
          </w:tcPr>
          <w:p>
            <w:pPr>
              <w:pStyle w:val="708"/>
              <w:ind w:left="0" w:right="0"/>
              <w:jc w:val="center"/>
              <w:keepLines w:val="0"/>
              <w:keepNext w:val="0"/>
              <w:spacing w:before="0" w:beforeAutospacing="0" w:after="0" w:afterAutospacing="0"/>
              <w:widowControl/>
              <w:rPr>
                <w:rFonts w:hint="eastAsia" w:ascii="宋体" w:hAnsi="宋体" w:eastAsia="宋体" w:cs="宋体"/>
                <w:color w:val="000000"/>
                <w:sz w:val="21"/>
                <w:szCs w:val="21"/>
                <w:lang w:val="en-US" w:eastAsia="zh-CN" w:bidi="ar-SA"/>
              </w:rPr>
              <w:suppressLineNumbers w:val="0"/>
            </w:pPr>
            <w:r>
              <w:rPr>
                <w:rFonts w:hint="eastAsia" w:ascii="宋体" w:hAnsi="宋体" w:cs="宋体"/>
                <w:color w:val="000000"/>
                <w:sz w:val="22"/>
                <w:szCs w:val="22"/>
                <w:lang w:val="en-US" w:eastAsia="zh-CN"/>
              </w:rPr>
              <w:t xml:space="preserve">2</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708"/>
              <w:jc w:val="center"/>
              <w:keepLines w:val="0"/>
              <w:keepNext w:val="0"/>
              <w:pageBreakBefore w:val="0"/>
              <w:spacing w:before="68" w:line="240" w:lineRule="auto"/>
              <w:widowControl w:val="off"/>
              <w:rPr>
                <w:rFonts w:ascii="宋体" w:hAnsi="宋体" w:eastAsia="宋体" w:cs="宋体"/>
                <w:color w:val="000000"/>
                <w:spacing w:val="-6"/>
                <w:sz w:val="21"/>
                <w:szCs w:val="21"/>
                <w:lang w:val="en-US" w:eastAsia="zh-CN" w:bidi="ar-SA"/>
              </w:rPr>
            </w:pPr>
            <w:r>
              <w:rPr>
                <w:rFonts w:hint="eastAsia" w:ascii="宋体" w:hAnsi="宋体" w:cs="宋体"/>
                <w:color w:val="000000"/>
                <w:spacing w:val="-6"/>
                <w:sz w:val="21"/>
                <w:szCs w:val="21"/>
                <w:lang w:val="en-US" w:eastAsia="zh-CN" w:bidi="ar-SA"/>
              </w:rPr>
              <w:t xml:space="preserve">客观分</w:t>
            </w:r>
            <w:r>
              <w:rPr>
                <w:rFonts w:ascii="宋体" w:hAnsi="宋体" w:eastAsia="宋体" w:cs="宋体"/>
                <w:color w:val="000000"/>
                <w:spacing w:val="-6"/>
                <w:sz w:val="21"/>
                <w:szCs w:val="21"/>
                <w:lang w:val="en-US" w:eastAsia="zh-CN" w:bidi="ar-SA"/>
              </w:rPr>
            </w:r>
            <w:r/>
          </w:p>
        </w:tc>
      </w:tr>
      <w:tr>
        <w:trPr>
          <w:trHeight w:val="455"/>
        </w:trPr>
        <w:tc>
          <w:tcPr>
            <w:gridSpan w:val="5"/>
            <w:tcW w:w="9575" w:type="dxa"/>
            <w:vAlign w:val="center"/>
            <w:textDirection w:val="lrTb"/>
            <w:noWrap w:val="false"/>
          </w:tcPr>
          <w:p>
            <w:pPr>
              <w:pStyle w:val="708"/>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4.业绩</w:t>
            </w:r>
            <w:r>
              <w:rPr>
                <w:rFonts w:hint="eastAsia" w:ascii="宋体" w:hAnsi="宋体" w:eastAsia="宋体" w:cs="宋体"/>
                <w:color w:val="000000"/>
                <w:sz w:val="21"/>
                <w:szCs w:val="21"/>
              </w:rPr>
            </w:r>
            <w:r/>
          </w:p>
        </w:tc>
      </w:tr>
      <w:tr>
        <w:trPr>
          <w:trHeight w:val="1015"/>
        </w:trPr>
        <w:tc>
          <w:tcPr>
            <w:tcW w:w="519" w:type="dxa"/>
            <w:vAlign w:val="center"/>
            <w:textDirection w:val="lrTb"/>
            <w:noWrap w:val="false"/>
          </w:tcPr>
          <w:p>
            <w:pPr>
              <w:pStyle w:val="708"/>
              <w:jc w:val="center"/>
              <w:keepLines w:val="0"/>
              <w:keepNext w:val="0"/>
              <w:pageBreakBefore w:val="0"/>
              <w:spacing w:before="68" w:line="240"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4</w:t>
            </w:r>
            <w:r>
              <w:rPr>
                <w:rFonts w:ascii="宋体" w:hAnsi="宋体" w:eastAsia="宋体" w:cs="宋体"/>
                <w:color w:val="000000"/>
                <w:spacing w:val="-2"/>
                <w:sz w:val="21"/>
                <w:szCs w:val="21"/>
              </w:rPr>
              <w:t xml:space="preserve">.1</w:t>
            </w:r>
            <w:r>
              <w:rPr>
                <w:rFonts w:hint="eastAsia" w:ascii="宋体" w:hAnsi="宋体" w:eastAsia="宋体" w:cs="宋体"/>
                <w:color w:val="000000"/>
                <w:spacing w:val="-2"/>
                <w:sz w:val="21"/>
                <w:szCs w:val="21"/>
              </w:rPr>
            </w:r>
            <w:r/>
          </w:p>
        </w:tc>
        <w:tc>
          <w:tcPr>
            <w:tcW w:w="1232" w:type="dxa"/>
            <w:vAlign w:val="center"/>
            <w:textDirection w:val="lrTb"/>
            <w:noWrap w:val="false"/>
          </w:tcPr>
          <w:p>
            <w:pPr>
              <w:pStyle w:val="708"/>
              <w:jc w:val="both"/>
              <w:keepLines w:val="0"/>
              <w:keepNext w:val="0"/>
              <w:pageBreakBefore w:val="0"/>
              <w:spacing w:before="69" w:line="240" w:lineRule="auto"/>
              <w:widowControl w:val="off"/>
              <w:rPr>
                <w:rFonts w:hint="eastAsia" w:ascii="宋体" w:hAnsi="宋体" w:eastAsia="宋体" w:cs="宋体"/>
                <w:color w:val="000000"/>
                <w:spacing w:val="-2"/>
                <w:sz w:val="21"/>
                <w:szCs w:val="21"/>
              </w:rPr>
            </w:pPr>
            <w:r>
              <w:rPr>
                <w:rFonts w:ascii="宋体" w:hAnsi="宋体" w:eastAsia="宋体" w:cs="宋体"/>
                <w:color w:val="000000"/>
                <w:spacing w:val="-1"/>
                <w:sz w:val="21"/>
                <w:szCs w:val="21"/>
                <w:lang w:eastAsia="zh-CN"/>
              </w:rPr>
              <w:t xml:space="preserve">投标人</w:t>
            </w:r>
            <w:r>
              <w:rPr>
                <w:rFonts w:ascii="宋体" w:hAnsi="宋体" w:eastAsia="宋体" w:cs="宋体"/>
                <w:color w:val="000000"/>
                <w:spacing w:val="-1"/>
                <w:sz w:val="21"/>
                <w:szCs w:val="21"/>
              </w:rPr>
              <w:t xml:space="preserve">业绩</w:t>
            </w:r>
            <w:r>
              <w:rPr>
                <w:rFonts w:hint="eastAsia" w:ascii="宋体" w:hAnsi="宋体" w:eastAsia="宋体" w:cs="宋体"/>
                <w:color w:val="000000"/>
                <w:spacing w:val="-2"/>
                <w:sz w:val="21"/>
                <w:szCs w:val="21"/>
              </w:rPr>
            </w:r>
            <w:r/>
          </w:p>
        </w:tc>
        <w:tc>
          <w:tcPr>
            <w:tcW w:w="6277" w:type="dxa"/>
            <w:vAlign w:val="center"/>
            <w:textDirection w:val="lrTb"/>
            <w:noWrap w:val="false"/>
          </w:tcPr>
          <w:p>
            <w:pPr>
              <w:pStyle w:val="708"/>
              <w:jc w:val="both"/>
              <w:spacing w:line="240"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投标人</w:t>
            </w:r>
            <w:r>
              <w:rPr>
                <w:rFonts w:hint="eastAsia" w:ascii="宋体" w:hAnsi="宋体" w:eastAsia="宋体" w:cs="宋体"/>
                <w:color w:val="000000"/>
                <w:sz w:val="21"/>
                <w:szCs w:val="21"/>
                <w:lang w:val="en-US" w:eastAsia="zh-CN" w:bidi="ar-SA"/>
              </w:rPr>
              <w:t xml:space="preserve">提供</w:t>
            </w:r>
            <w:r>
              <w:rPr>
                <w:rStyle w:val="806"/>
                <w:rFonts w:hint="eastAsia" w:ascii="宋体" w:hAnsi="宋体" w:eastAsia="宋体" w:cs="宋体"/>
                <w:color w:val="000000"/>
                <w:sz w:val="21"/>
                <w:szCs w:val="21"/>
              </w:rPr>
              <w:t xml:space="preserve">20</w:t>
            </w:r>
            <w:r>
              <w:rPr>
                <w:rStyle w:val="806"/>
                <w:rFonts w:hint="eastAsia" w:ascii="宋体" w:hAnsi="宋体" w:eastAsia="宋体" w:cs="宋体"/>
                <w:color w:val="000000"/>
                <w:sz w:val="21"/>
                <w:szCs w:val="21"/>
                <w:lang w:val="en-US" w:eastAsia="zh-CN"/>
              </w:rPr>
              <w:t xml:space="preserve">22</w:t>
            </w:r>
            <w:r>
              <w:rPr>
                <w:rStyle w:val="806"/>
                <w:rFonts w:hint="eastAsia" w:ascii="宋体" w:hAnsi="宋体" w:eastAsia="宋体" w:cs="宋体"/>
                <w:color w:val="000000"/>
                <w:sz w:val="21"/>
                <w:szCs w:val="21"/>
              </w:rPr>
              <w:t xml:space="preserve">年</w:t>
            </w:r>
            <w:r>
              <w:rPr>
                <w:rStyle w:val="806"/>
                <w:rFonts w:hint="eastAsia" w:ascii="宋体" w:hAnsi="宋体" w:eastAsia="宋体" w:cs="宋体"/>
                <w:color w:val="000000"/>
                <w:sz w:val="21"/>
                <w:szCs w:val="21"/>
                <w:lang w:val="en-US" w:eastAsia="zh-CN"/>
              </w:rPr>
              <w:t xml:space="preserve">1</w:t>
            </w:r>
            <w:r>
              <w:rPr>
                <w:rStyle w:val="806"/>
                <w:rFonts w:hint="eastAsia" w:ascii="宋体" w:hAnsi="宋体" w:eastAsia="宋体" w:cs="宋体"/>
                <w:color w:val="000000"/>
                <w:sz w:val="21"/>
                <w:szCs w:val="21"/>
              </w:rPr>
              <w:t xml:space="preserve">月</w:t>
            </w:r>
            <w:r>
              <w:rPr>
                <w:rStyle w:val="806"/>
                <w:rFonts w:hint="eastAsia" w:ascii="宋体" w:hAnsi="宋体" w:eastAsia="宋体" w:cs="宋体"/>
                <w:color w:val="000000"/>
                <w:sz w:val="21"/>
                <w:szCs w:val="21"/>
                <w:lang w:val="en-US" w:eastAsia="zh-CN"/>
              </w:rPr>
              <w:t xml:space="preserve">1</w:t>
            </w:r>
            <w:r>
              <w:rPr>
                <w:rStyle w:val="806"/>
                <w:rFonts w:hint="eastAsia" w:ascii="宋体" w:hAnsi="宋体" w:eastAsia="宋体" w:cs="宋体"/>
                <w:color w:val="000000"/>
                <w:sz w:val="21"/>
                <w:szCs w:val="21"/>
              </w:rPr>
              <w:t xml:space="preserve">日</w:t>
            </w:r>
            <w:r>
              <w:rPr>
                <w:rFonts w:ascii="宋体" w:hAnsi="宋体" w:eastAsia="宋体" w:cs="宋体"/>
                <w:color w:val="000000"/>
                <w:sz w:val="21"/>
                <w:szCs w:val="21"/>
                <w:lang w:val="en-US" w:eastAsia="zh-CN" w:bidi="ar-SA"/>
              </w:rPr>
              <w:t xml:space="preserve">（含）以来类似项目业绩，每提供</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个得</w:t>
            </w:r>
            <w:r>
              <w:rPr>
                <w:rFonts w:hint="eastAsia" w:ascii="宋体" w:hAnsi="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t xml:space="preserve">分，最多得</w:t>
            </w:r>
            <w:r>
              <w:rPr>
                <w:rFonts w:hint="eastAsia" w:ascii="宋体" w:hAnsi="宋体" w:cs="宋体"/>
                <w:color w:val="000000"/>
                <w:sz w:val="21"/>
                <w:szCs w:val="21"/>
                <w:lang w:val="en-US" w:eastAsia="zh-CN" w:bidi="ar-SA"/>
              </w:rPr>
              <w:t xml:space="preserve">6</w:t>
            </w:r>
            <w:r>
              <w:rPr>
                <w:rFonts w:ascii="宋体" w:hAnsi="宋体" w:eastAsia="宋体" w:cs="宋体"/>
                <w:color w:val="000000"/>
                <w:sz w:val="21"/>
                <w:szCs w:val="21"/>
                <w:lang w:val="en-US" w:eastAsia="zh-CN" w:bidi="ar-SA"/>
              </w:rPr>
              <w:t xml:space="preserve">分</w:t>
            </w:r>
            <w:r>
              <w:rPr>
                <w:rFonts w:hint="eastAsia" w:ascii="宋体" w:hAnsi="宋体" w:cs="宋体"/>
                <w:color w:val="000000"/>
                <w:sz w:val="21"/>
                <w:szCs w:val="21"/>
                <w:lang w:val="en-US" w:eastAsia="zh-CN" w:bidi="ar-SA"/>
              </w:rPr>
              <w:t xml:space="preserve">。</w:t>
            </w:r>
            <w:r>
              <w:rPr>
                <w:rFonts w:ascii="宋体" w:hAnsi="宋体" w:eastAsia="宋体" w:cs="宋体"/>
                <w:color w:val="000000"/>
                <w:sz w:val="21"/>
                <w:szCs w:val="21"/>
                <w:lang w:val="en-US" w:eastAsia="zh-CN" w:bidi="ar-SA"/>
              </w:rPr>
            </w:r>
            <w:r/>
          </w:p>
          <w:p>
            <w:pPr>
              <w:pStyle w:val="708"/>
              <w:jc w:val="both"/>
              <w:spacing w:line="240" w:lineRule="auto"/>
              <w:widowControl w:val="off"/>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ar-SA"/>
              </w:rPr>
              <w:t xml:space="preserve">时间以合同签订时间为准，提供有效合同，合同页须清晰可见相应内容。</w:t>
            </w:r>
            <w:r>
              <w:rPr>
                <w:rFonts w:ascii="宋体" w:hAnsi="宋体" w:eastAsia="宋体" w:cs="宋体"/>
                <w:color w:val="000000"/>
                <w:sz w:val="21"/>
                <w:szCs w:val="21"/>
                <w:lang w:val="en-US" w:eastAsia="zh-CN" w:bidi="ar-SA"/>
              </w:rPr>
              <w:t xml:space="preserve">否则不予认可。</w:t>
            </w:r>
            <w:r>
              <w:rPr>
                <w:rFonts w:hint="eastAsia" w:ascii="宋体" w:hAnsi="宋体" w:eastAsia="宋体" w:cs="宋体"/>
                <w:color w:val="000000"/>
                <w:sz w:val="21"/>
                <w:szCs w:val="21"/>
                <w:lang w:val="en-US" w:eastAsia="zh-CN" w:bidi="zh-CN"/>
              </w:rPr>
            </w:r>
            <w:r/>
          </w:p>
        </w:tc>
        <w:tc>
          <w:tcPr>
            <w:tcW w:w="647" w:type="dxa"/>
            <w:vAlign w:val="center"/>
            <w:textDirection w:val="lrTb"/>
            <w:noWrap w:val="false"/>
          </w:tcPr>
          <w:p>
            <w:pPr>
              <w:pStyle w:val="708"/>
              <w:jc w:val="center"/>
              <w:spacing w:line="240"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708"/>
              <w:jc w:val="center"/>
              <w:keepLines w:val="0"/>
              <w:keepNext w:val="0"/>
              <w:pageBreakBefore w:val="0"/>
              <w:spacing w:before="68" w:line="24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pacing w:val="-6"/>
                <w:sz w:val="21"/>
                <w:szCs w:val="21"/>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lang w:eastAsia="zh-CN"/>
              </w:rPr>
            </w:r>
            <w:r/>
          </w:p>
        </w:tc>
      </w:tr>
      <w:tr>
        <w:trPr>
          <w:trHeight w:val="464"/>
        </w:trPr>
        <w:tc>
          <w:tcPr>
            <w:tcW w:w="519" w:type="dxa"/>
            <w:vAlign w:val="center"/>
            <w:textDirection w:val="lrTb"/>
            <w:noWrap w:val="false"/>
          </w:tcPr>
          <w:p>
            <w:pPr>
              <w:pStyle w:val="708"/>
              <w:jc w:val="center"/>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3"/>
                <w:sz w:val="21"/>
                <w:szCs w:val="21"/>
              </w:rPr>
              <w:t xml:space="preserve">合</w:t>
            </w:r>
            <w:r>
              <w:rPr>
                <w:rFonts w:hint="eastAsia" w:ascii="宋体" w:hAnsi="宋体" w:eastAsia="宋体" w:cs="宋体"/>
                <w:color w:val="000000"/>
                <w:spacing w:val="-2"/>
                <w:sz w:val="21"/>
                <w:szCs w:val="21"/>
              </w:rPr>
              <w:t xml:space="preserve">计</w:t>
            </w:r>
            <w:r>
              <w:rPr>
                <w:rFonts w:hint="eastAsia" w:ascii="宋体" w:hAnsi="宋体" w:eastAsia="宋体" w:cs="宋体"/>
                <w:color w:val="000000"/>
                <w:sz w:val="21"/>
                <w:szCs w:val="21"/>
              </w:rPr>
            </w:r>
            <w:r/>
          </w:p>
        </w:tc>
        <w:tc>
          <w:tcPr>
            <w:gridSpan w:val="2"/>
            <w:tcW w:w="7509" w:type="dxa"/>
            <w:vAlign w:val="center"/>
            <w:textDirection w:val="lrTb"/>
            <w:noWrap w:val="false"/>
          </w:tcPr>
          <w:p>
            <w:pPr>
              <w:pStyle w:val="708"/>
              <w:ind w:left="172"/>
              <w:jc w:val="center"/>
              <w:keepLines w:val="0"/>
              <w:keepNext w:val="0"/>
              <w:pageBreakBefore w:val="0"/>
              <w:spacing w:before="123" w:line="264"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r>
            <w:r/>
          </w:p>
        </w:tc>
        <w:tc>
          <w:tcPr>
            <w:gridSpan w:val="2"/>
            <w:tcW w:w="1547" w:type="dxa"/>
            <w:vAlign w:val="center"/>
            <w:textDirection w:val="lrTb"/>
            <w:noWrap w:val="false"/>
          </w:tcPr>
          <w:p>
            <w:pPr>
              <w:pStyle w:val="708"/>
              <w:jc w:val="center"/>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11"/>
                <w:sz w:val="21"/>
                <w:szCs w:val="21"/>
              </w:rPr>
              <w:t xml:space="preserve">100分</w:t>
            </w:r>
            <w:r>
              <w:rPr>
                <w:rFonts w:hint="eastAsia" w:ascii="宋体" w:hAnsi="宋体" w:eastAsia="宋体" w:cs="宋体"/>
                <w:color w:val="000000"/>
                <w:sz w:val="21"/>
                <w:szCs w:val="21"/>
              </w:rPr>
            </w:r>
            <w:r/>
          </w:p>
        </w:tc>
      </w:tr>
    </w:tbl>
    <w:p>
      <w:pPr>
        <w:pStyle w:val="708"/>
        <w:spacing w:line="360" w:lineRule="auto"/>
        <w:rPr>
          <w:rFonts w:hint="eastAsia" w:ascii="宋体" w:hAnsi="宋体" w:eastAsia="宋体" w:cs="宋体"/>
          <w:b w:val="0"/>
          <w:bCs w:val="0"/>
          <w:color w:val="000000"/>
          <w:spacing w:val="-10"/>
          <w:sz w:val="24"/>
          <w:szCs w:val="24"/>
          <w:highlight w:val="none"/>
          <w:lang w:val="zh-CN"/>
        </w:rPr>
        <w:outlineLvl w:val="9"/>
      </w:pPr>
      <w:r>
        <w:rPr>
          <w:rFonts w:hint="eastAsia" w:ascii="宋体" w:hAnsi="宋体" w:eastAsia="宋体" w:cs="宋体"/>
          <w:b w:val="0"/>
          <w:bCs w:val="0"/>
          <w:color w:val="000000"/>
          <w:spacing w:val="-10"/>
          <w:sz w:val="24"/>
          <w:szCs w:val="24"/>
          <w:highlight w:val="none"/>
          <w:lang w:val="zh-CN"/>
        </w:rPr>
      </w:r>
      <w:r/>
    </w:p>
    <w:p>
      <w:pPr>
        <w:pStyle w:val="708"/>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说明：</w:t>
      </w:r>
      <w:r>
        <w:rPr>
          <w:rFonts w:hint="eastAsia" w:ascii="宋体" w:hAnsi="宋体" w:eastAsia="宋体" w:cs="宋体"/>
          <w:b/>
          <w:bCs/>
          <w:color w:val="000000"/>
          <w:sz w:val="24"/>
          <w:szCs w:val="24"/>
          <w:highlight w:val="none"/>
        </w:rPr>
      </w:r>
      <w:r/>
    </w:p>
    <w:p>
      <w:pPr>
        <w:pStyle w:val="708"/>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1．核心产品评审。</w:t>
      </w:r>
      <w:r>
        <w:rPr>
          <w:rFonts w:hint="eastAsia" w:ascii="宋体" w:hAnsi="宋体"/>
          <w:color w:val="000000"/>
          <w:sz w:val="22"/>
          <w:szCs w:val="22"/>
          <w:highlight w:val="none"/>
          <w:lang w:val="zh-CN"/>
        </w:rPr>
        <w:t xml:space="preserve">如一个分包内包含多种产品的，采购人或采购代理机构将载明核心产品，多家供应商提供的核心产品品牌相同的且通过资格审查、符合性审查的不同供应商参加同一合同项下评审的，按一家供应商计算，评审后综合得分最高的同品牌供应商获得成交候选供应商推荐资格；综合得分相同的，由采购人委托评审小组按照采购文件规定的方式（综合得分相同的，按照报价由低到高排序；综合得分且报价相同的，则按“评分因素第2项”的评审得分由高到低排序）确定一个供应商获得成交候选供应商推荐资格，其他同品牌供应商不作为成交候选供应商。</w:t>
      </w:r>
      <w:r>
        <w:rPr>
          <w:rFonts w:hint="eastAsia" w:ascii="宋体" w:hAnsi="宋体"/>
          <w:b/>
          <w:bCs/>
          <w:color w:val="000000"/>
          <w:sz w:val="22"/>
          <w:szCs w:val="22"/>
          <w:highlight w:val="none"/>
          <w:lang w:val="zh-CN"/>
        </w:rPr>
      </w:r>
      <w:r/>
    </w:p>
    <w:p>
      <w:pPr>
        <w:pStyle w:val="708"/>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2</w:t>
      </w:r>
      <w:r>
        <w:rPr>
          <w:rFonts w:hint="eastAsia" w:ascii="宋体" w:hAnsi="宋体"/>
          <w:color w:val="000000"/>
          <w:sz w:val="22"/>
          <w:szCs w:val="22"/>
          <w:highlight w:val="none"/>
        </w:rPr>
        <w:t xml:space="preserve">．</w:t>
      </w:r>
      <w:r>
        <w:rPr>
          <w:rFonts w:hint="eastAsia" w:ascii="宋体" w:hAnsi="宋体"/>
          <w:b/>
          <w:bCs/>
          <w:color w:val="000000"/>
          <w:sz w:val="22"/>
          <w:szCs w:val="22"/>
          <w:highlight w:val="none"/>
          <w:lang w:val="zh-CN"/>
        </w:rPr>
        <w:t xml:space="preserve">小微企业价格扣除</w:t>
      </w:r>
      <w:r>
        <w:rPr>
          <w:rFonts w:hint="eastAsia" w:ascii="宋体" w:hAnsi="宋体"/>
          <w:b/>
          <w:bCs/>
          <w:color w:val="000000"/>
          <w:sz w:val="22"/>
          <w:szCs w:val="22"/>
          <w:highlight w:val="none"/>
          <w:lang w:val="zh-CN"/>
        </w:rPr>
      </w:r>
      <w:r/>
    </w:p>
    <w:p>
      <w:pPr>
        <w:pStyle w:val="708"/>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2</w:t>
      </w:r>
      <w:r>
        <w:rPr>
          <w:rFonts w:hint="eastAsia" w:ascii="宋体" w:hAnsi="宋体"/>
          <w:color w:val="000000"/>
          <w:sz w:val="22"/>
          <w:szCs w:val="22"/>
          <w:highlight w:val="none"/>
          <w:lang w:val="zh-CN"/>
        </w:rPr>
        <w:t xml:space="preserve">.1货物采购项目对小微企业生产的产品给予报价的</w:t>
      </w:r>
      <w:r>
        <w:rPr>
          <w:rFonts w:hint="eastAsia" w:ascii="宋体" w:hAnsi="宋体"/>
          <w:b/>
          <w:bCs/>
          <w:color w:val="000000"/>
          <w:sz w:val="22"/>
          <w:szCs w:val="22"/>
          <w:highlight w:val="none"/>
          <w:lang w:val="zh-CN"/>
        </w:rPr>
        <w:t xml:space="preserve">10%</w:t>
      </w:r>
      <w:r>
        <w:rPr>
          <w:rFonts w:hint="eastAsia" w:ascii="宋体" w:hAnsi="宋体"/>
          <w:color w:val="000000"/>
          <w:sz w:val="22"/>
          <w:szCs w:val="22"/>
          <w:highlight w:val="none"/>
          <w:lang w:val="zh-CN"/>
        </w:rPr>
        <w:t xml:space="preserve">价格扣除，用扣除后的价格参与评审。</w:t>
      </w:r>
      <w:r>
        <w:rPr>
          <w:rFonts w:hint="eastAsia" w:ascii="宋体" w:hAnsi="宋体"/>
          <w:color w:val="000000"/>
          <w:sz w:val="22"/>
          <w:szCs w:val="22"/>
          <w:highlight w:val="none"/>
          <w:lang w:val="zh-CN"/>
        </w:rPr>
      </w:r>
      <w:r/>
    </w:p>
    <w:p>
      <w:pPr>
        <w:pStyle w:val="708"/>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2</w:t>
      </w:r>
      <w:r>
        <w:rPr>
          <w:rFonts w:hint="eastAsia" w:ascii="宋体" w:hAnsi="宋体"/>
          <w:color w:val="000000"/>
          <w:sz w:val="22"/>
          <w:szCs w:val="22"/>
          <w:highlight w:val="none"/>
          <w:lang w:val="zh-CN"/>
        </w:rPr>
        <w:t xml:space="preserve">.2大中型企业和其他自然人、法人或者其他组织与小型、微型企业组成联合体共同参加</w:t>
      </w:r>
      <w:r>
        <w:rPr>
          <w:rFonts w:hint="eastAsia" w:ascii="宋体" w:hAnsi="宋体"/>
          <w:color w:val="000000"/>
          <w:sz w:val="22"/>
          <w:szCs w:val="22"/>
          <w:highlight w:val="none"/>
        </w:rPr>
        <w:t xml:space="preserve">评审</w:t>
      </w:r>
      <w:r>
        <w:rPr>
          <w:rFonts w:hint="eastAsia" w:ascii="宋体" w:hAnsi="宋体"/>
          <w:color w:val="000000"/>
          <w:sz w:val="22"/>
          <w:szCs w:val="22"/>
          <w:highlight w:val="none"/>
          <w:lang w:val="zh-CN"/>
        </w:rPr>
        <w:t xml:space="preserve">，</w:t>
      </w:r>
      <w:r>
        <w:rPr>
          <w:rFonts w:hint="eastAsia" w:ascii="宋体" w:hAnsi="宋体"/>
          <w:color w:val="000000"/>
          <w:sz w:val="22"/>
          <w:szCs w:val="22"/>
          <w:highlight w:val="none"/>
        </w:rPr>
        <w:t xml:space="preserve">对于联合协议或者分包意向协议约定小微企业的合同份额占到合同总金额</w:t>
      </w:r>
      <w:r>
        <w:rPr>
          <w:rFonts w:hint="eastAsia" w:ascii="宋体" w:hAnsi="宋体"/>
          <w:b/>
          <w:bCs/>
          <w:color w:val="000000"/>
          <w:sz w:val="22"/>
          <w:szCs w:val="22"/>
          <w:highlight w:val="none"/>
        </w:rPr>
        <w:t xml:space="preserve">30%</w:t>
      </w:r>
      <w:r>
        <w:rPr>
          <w:rFonts w:hint="eastAsia" w:ascii="宋体" w:hAnsi="宋体"/>
          <w:color w:val="000000"/>
          <w:sz w:val="22"/>
          <w:szCs w:val="22"/>
          <w:highlight w:val="none"/>
        </w:rPr>
        <w:t xml:space="preserve">以上的，给予联合体</w:t>
      </w:r>
      <w:r>
        <w:rPr>
          <w:rFonts w:hint="eastAsia" w:ascii="宋体" w:hAnsi="宋体"/>
          <w:b/>
          <w:bCs/>
          <w:color w:val="000000"/>
          <w:sz w:val="22"/>
          <w:szCs w:val="22"/>
          <w:highlight w:val="none"/>
        </w:rPr>
        <w:t xml:space="preserve">4%</w:t>
      </w:r>
      <w:r>
        <w:rPr>
          <w:rFonts w:hint="eastAsia" w:ascii="宋体" w:hAnsi="宋体"/>
          <w:color w:val="000000"/>
          <w:sz w:val="22"/>
          <w:szCs w:val="22"/>
          <w:highlight w:val="none"/>
        </w:rPr>
        <w:t xml:space="preserve">的价格扣除。</w:t>
      </w:r>
      <w:r>
        <w:rPr>
          <w:rFonts w:hint="eastAsia" w:ascii="宋体" w:hAnsi="宋体"/>
          <w:color w:val="000000"/>
          <w:sz w:val="22"/>
          <w:szCs w:val="22"/>
          <w:highlight w:val="none"/>
          <w:lang w:val="zh-CN"/>
        </w:rPr>
        <w:t xml:space="preserve">联合体各方均为小型、微型企业的，联合体视同为小型、微型企业享受10%价格扣除，用扣除后的价格参与评审。组成联合体或者接受分包的小微企业与联合体内其他企业、分包企业之间存在直接控股、管理关系的，不享受价格扣除优惠政策。</w:t>
      </w:r>
      <w:r>
        <w:rPr>
          <w:rFonts w:hint="eastAsia" w:ascii="宋体" w:hAnsi="宋体"/>
          <w:color w:val="000000"/>
          <w:sz w:val="22"/>
          <w:szCs w:val="22"/>
          <w:highlight w:val="none"/>
          <w:lang w:val="zh-CN"/>
        </w:rPr>
      </w:r>
      <w:r/>
    </w:p>
    <w:p>
      <w:pPr>
        <w:pStyle w:val="708"/>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小企业（含小型、微型企业）应当同时符合以下条件：</w:t>
      </w:r>
      <w:r>
        <w:rPr>
          <w:rFonts w:hint="eastAsia" w:ascii="宋体" w:hAnsi="宋体"/>
          <w:color w:val="000000"/>
          <w:sz w:val="22"/>
          <w:szCs w:val="22"/>
          <w:highlight w:val="none"/>
          <w:lang w:val="zh-CN"/>
        </w:rPr>
      </w:r>
      <w:r/>
    </w:p>
    <w:p>
      <w:pPr>
        <w:pStyle w:val="708"/>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（1）供应商为小企业，且符合中小企业划分标准；</w:t>
      </w:r>
      <w:r>
        <w:rPr>
          <w:rFonts w:hint="eastAsia" w:ascii="宋体" w:hAnsi="宋体"/>
          <w:color w:val="000000"/>
          <w:sz w:val="22"/>
          <w:szCs w:val="22"/>
          <w:highlight w:val="none"/>
          <w:lang w:val="zh-CN"/>
        </w:rPr>
      </w:r>
      <w:r/>
    </w:p>
    <w:p>
      <w:pPr>
        <w:pStyle w:val="708"/>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（2）提供本企业制造的货物、承担的工程或者服务，或者提供其他小企业制造的货物。如果提供的货物为大中型企业注册商标的货物，视同大中型企业。</w:t>
      </w:r>
      <w:r>
        <w:rPr>
          <w:rFonts w:hint="eastAsia" w:ascii="宋体" w:hAnsi="宋体"/>
          <w:color w:val="000000"/>
          <w:sz w:val="22"/>
          <w:szCs w:val="22"/>
          <w:highlight w:val="none"/>
          <w:lang w:val="zh-CN"/>
        </w:rPr>
      </w:r>
      <w:r/>
    </w:p>
    <w:p>
      <w:pPr>
        <w:pStyle w:val="708"/>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3．</w:t>
      </w:r>
      <w:r>
        <w:rPr>
          <w:rFonts w:hint="eastAsia" w:ascii="宋体" w:hAnsi="宋体"/>
          <w:b/>
          <w:bCs/>
          <w:color w:val="000000"/>
          <w:sz w:val="22"/>
          <w:szCs w:val="22"/>
          <w:highlight w:val="none"/>
          <w:lang w:val="zh-CN"/>
        </w:rPr>
        <w:t xml:space="preserve">监狱和戒毒企业的价格扣除</w:t>
      </w:r>
      <w:r>
        <w:rPr>
          <w:rFonts w:hint="eastAsia" w:ascii="宋体" w:hAnsi="宋体"/>
          <w:b/>
          <w:bCs/>
          <w:color w:val="000000"/>
          <w:sz w:val="22"/>
          <w:szCs w:val="22"/>
          <w:highlight w:val="none"/>
          <w:lang w:val="zh-CN"/>
        </w:rPr>
      </w:r>
      <w:r/>
    </w:p>
    <w:p>
      <w:pPr>
        <w:pStyle w:val="708"/>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3</w:t>
      </w:r>
      <w:r>
        <w:rPr>
          <w:rFonts w:hint="eastAsia" w:ascii="宋体" w:hAnsi="宋体"/>
          <w:b/>
          <w:bCs/>
          <w:color w:val="000000"/>
          <w:sz w:val="22"/>
          <w:szCs w:val="22"/>
          <w:highlight w:val="none"/>
          <w:lang w:val="zh-CN"/>
        </w:rPr>
        <w:t xml:space="preserve">.1本项目对监狱和戒毒企业，给予10%的价格扣除，用扣除后的价格参与评审。</w:t>
      </w:r>
      <w:r>
        <w:rPr>
          <w:rFonts w:hint="eastAsia" w:ascii="宋体" w:hAnsi="宋体"/>
          <w:b/>
          <w:bCs/>
          <w:color w:val="000000"/>
          <w:sz w:val="22"/>
          <w:szCs w:val="22"/>
          <w:highlight w:val="none"/>
          <w:lang w:val="zh-CN"/>
        </w:rPr>
      </w:r>
      <w:r/>
    </w:p>
    <w:p>
      <w:pPr>
        <w:pStyle w:val="708"/>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3</w:t>
      </w:r>
      <w:r>
        <w:rPr>
          <w:rFonts w:hint="eastAsia" w:ascii="宋体" w:hAnsi="宋体"/>
          <w:color w:val="000000"/>
          <w:sz w:val="22"/>
          <w:szCs w:val="22"/>
          <w:highlight w:val="none"/>
          <w:lang w:val="zh-CN"/>
        </w:rPr>
        <w:t xml:space="preserve">.2监狱企业需提供由省级以上监狱管理局、戒毒管理局（含新疆生产建设兵团）出具的属于监狱企业的证明文件。</w:t>
      </w:r>
      <w:r>
        <w:rPr>
          <w:rFonts w:hint="eastAsia" w:ascii="宋体" w:hAnsi="宋体"/>
          <w:color w:val="000000"/>
          <w:sz w:val="22"/>
          <w:szCs w:val="22"/>
          <w:highlight w:val="none"/>
          <w:lang w:val="zh-CN"/>
        </w:rPr>
      </w:r>
      <w:r/>
    </w:p>
    <w:p>
      <w:pPr>
        <w:pStyle w:val="708"/>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3</w:t>
      </w:r>
      <w:r>
        <w:rPr>
          <w:rFonts w:hint="eastAsia" w:ascii="宋体" w:hAnsi="宋体"/>
          <w:color w:val="000000"/>
          <w:sz w:val="22"/>
          <w:szCs w:val="22"/>
          <w:highlight w:val="none"/>
          <w:lang w:val="zh-CN"/>
        </w:rPr>
        <w:t xml:space="preserve">.3监狱企业标准请参照《关于政府采购支持监狱企业发展有关问题的通知》（财库〔2014〕68号）。</w:t>
      </w:r>
      <w:r>
        <w:rPr>
          <w:rFonts w:hint="eastAsia" w:ascii="宋体" w:hAnsi="宋体"/>
          <w:color w:val="000000"/>
          <w:sz w:val="22"/>
          <w:szCs w:val="22"/>
          <w:highlight w:val="none"/>
          <w:lang w:val="zh-CN"/>
        </w:rPr>
      </w:r>
      <w:r/>
    </w:p>
    <w:p>
      <w:pPr>
        <w:pStyle w:val="708"/>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4．</w:t>
      </w:r>
      <w:r>
        <w:rPr>
          <w:rFonts w:hint="eastAsia" w:ascii="宋体" w:hAnsi="宋体"/>
          <w:b/>
          <w:bCs/>
          <w:color w:val="000000"/>
          <w:sz w:val="22"/>
          <w:szCs w:val="22"/>
          <w:highlight w:val="none"/>
          <w:lang w:val="zh-CN"/>
        </w:rPr>
        <w:t xml:space="preserve">残疾人福利性单位的价格扣除</w:t>
      </w:r>
      <w:r>
        <w:rPr>
          <w:rFonts w:hint="eastAsia" w:ascii="宋体" w:hAnsi="宋体"/>
          <w:b/>
          <w:bCs/>
          <w:color w:val="000000"/>
          <w:sz w:val="22"/>
          <w:szCs w:val="22"/>
          <w:highlight w:val="none"/>
          <w:lang w:val="zh-CN"/>
        </w:rPr>
      </w:r>
      <w:r/>
    </w:p>
    <w:p>
      <w:pPr>
        <w:pStyle w:val="708"/>
        <w:ind w:firstLine="442"/>
        <w:spacing w:line="360" w:lineRule="auto"/>
        <w:rPr>
          <w:rFonts w:hint="eastAsia" w:ascii="宋体" w:hAnsi="宋体"/>
          <w:color w:val="000000"/>
          <w:sz w:val="22"/>
          <w:szCs w:val="22"/>
          <w:highlight w:val="none"/>
          <w:lang w:val="zh-CN"/>
        </w:rPr>
      </w:pPr>
      <w:r>
        <w:rPr>
          <w:rFonts w:hint="eastAsia" w:ascii="宋体" w:hAnsi="宋体"/>
          <w:b/>
          <w:bCs/>
          <w:color w:val="000000"/>
          <w:sz w:val="22"/>
          <w:szCs w:val="22"/>
          <w:highlight w:val="none"/>
        </w:rPr>
        <w:t xml:space="preserve">4</w:t>
      </w:r>
      <w:r>
        <w:rPr>
          <w:rFonts w:hint="eastAsia" w:ascii="宋体" w:hAnsi="宋体"/>
          <w:b/>
          <w:bCs/>
          <w:color w:val="000000"/>
          <w:sz w:val="22"/>
          <w:szCs w:val="22"/>
          <w:highlight w:val="none"/>
          <w:lang w:val="zh-CN"/>
        </w:rPr>
        <w:t xml:space="preserve">.1本项目对残疾人福利性单位，给予10%的价格扣除，用扣除后的价格参与评审。</w:t>
      </w:r>
      <w:r>
        <w:rPr>
          <w:rFonts w:hint="eastAsia" w:ascii="宋体" w:hAnsi="宋体"/>
          <w:color w:val="000000"/>
          <w:sz w:val="22"/>
          <w:szCs w:val="22"/>
          <w:highlight w:val="none"/>
          <w:lang w:val="zh-CN"/>
        </w:rPr>
      </w:r>
      <w:r/>
    </w:p>
    <w:p>
      <w:pPr>
        <w:pStyle w:val="708"/>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4</w:t>
      </w:r>
      <w:r>
        <w:rPr>
          <w:rFonts w:hint="eastAsia" w:ascii="宋体" w:hAnsi="宋体"/>
          <w:color w:val="000000"/>
          <w:sz w:val="22"/>
          <w:szCs w:val="22"/>
          <w:highlight w:val="none"/>
          <w:lang w:val="zh-CN"/>
        </w:rPr>
        <w:t xml:space="preserve">.2残疾人福利性单位需提供《残疾人福利性单位声明函》。</w:t>
      </w:r>
      <w:r>
        <w:rPr>
          <w:rFonts w:hint="eastAsia" w:ascii="宋体" w:hAnsi="宋体"/>
          <w:color w:val="000000"/>
          <w:sz w:val="22"/>
          <w:szCs w:val="22"/>
          <w:highlight w:val="none"/>
          <w:lang w:val="zh-CN"/>
        </w:rPr>
      </w:r>
      <w:r/>
    </w:p>
    <w:p>
      <w:pPr>
        <w:pStyle w:val="708"/>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4</w:t>
      </w:r>
      <w:r>
        <w:rPr>
          <w:rFonts w:hint="eastAsia" w:ascii="宋体" w:hAnsi="宋体"/>
          <w:color w:val="000000"/>
          <w:sz w:val="22"/>
          <w:szCs w:val="22"/>
          <w:highlight w:val="none"/>
          <w:lang w:val="zh-CN"/>
        </w:rPr>
        <w:t xml:space="preserve">.3残疾人福利性单位标准请参照《关于促进残疾人就业政府采购政策的通知》（财库〔2017〕141号）。</w:t>
      </w:r>
      <w:r>
        <w:rPr>
          <w:rFonts w:hint="eastAsia" w:ascii="宋体" w:hAnsi="宋体"/>
          <w:color w:val="000000"/>
          <w:sz w:val="22"/>
          <w:szCs w:val="22"/>
          <w:highlight w:val="none"/>
          <w:lang w:val="zh-CN"/>
        </w:rPr>
      </w:r>
      <w:r/>
    </w:p>
    <w:p>
      <w:pPr>
        <w:pStyle w:val="708"/>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5</w:t>
      </w:r>
      <w:r>
        <w:rPr>
          <w:rFonts w:hint="eastAsia" w:ascii="宋体" w:hAnsi="宋体"/>
          <w:color w:val="000000"/>
          <w:sz w:val="22"/>
          <w:szCs w:val="22"/>
          <w:highlight w:val="none"/>
        </w:rPr>
        <w:t xml:space="preserve">．</w:t>
      </w:r>
      <w:r>
        <w:rPr>
          <w:rFonts w:hint="eastAsia" w:ascii="宋体" w:hAnsi="宋体"/>
          <w:b/>
          <w:bCs/>
          <w:color w:val="000000"/>
          <w:sz w:val="22"/>
          <w:szCs w:val="22"/>
          <w:highlight w:val="none"/>
          <w:lang w:val="zh-CN"/>
        </w:rPr>
        <w:t xml:space="preserve">监狱企业、残疾人福利性单位属于小型、微型企业的，不重复享受政策。</w:t>
      </w:r>
      <w:r>
        <w:rPr>
          <w:rFonts w:hint="eastAsia" w:ascii="宋体" w:hAnsi="宋体"/>
          <w:b/>
          <w:bCs/>
          <w:color w:val="000000"/>
          <w:sz w:val="22"/>
          <w:szCs w:val="22"/>
          <w:highlight w:val="none"/>
          <w:lang w:val="zh-CN"/>
        </w:rPr>
      </w:r>
      <w:r/>
    </w:p>
    <w:p>
      <w:pPr>
        <w:pStyle w:val="708"/>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6．</w:t>
      </w:r>
      <w:r>
        <w:rPr>
          <w:rFonts w:hint="eastAsia" w:ascii="宋体" w:hAnsi="宋体"/>
          <w:color w:val="000000"/>
          <w:sz w:val="22"/>
          <w:szCs w:val="22"/>
          <w:highlight w:val="none"/>
          <w:lang w:val="zh-CN"/>
        </w:rPr>
        <w:t xml:space="preserve">对国家认定的节能产品和环保产品分别给予5%的价格扣除，用扣除后的价格参与评审（节能、环保产品必须纳入“中国政府采购网”等官方网站“节能、环保产品查询系统”，且以提供的证书</w:t>
      </w:r>
      <w:r>
        <w:rPr>
          <w:rFonts w:hint="eastAsia" w:ascii="宋体" w:hAnsi="宋体"/>
          <w:color w:val="000000"/>
          <w:sz w:val="22"/>
          <w:szCs w:val="22"/>
          <w:highlight w:val="none"/>
        </w:rPr>
        <w:t xml:space="preserve">复印件</w:t>
      </w:r>
      <w:r>
        <w:rPr>
          <w:rFonts w:hint="eastAsia" w:ascii="宋体" w:hAnsi="宋体"/>
          <w:color w:val="000000"/>
          <w:sz w:val="22"/>
          <w:szCs w:val="22"/>
          <w:highlight w:val="none"/>
          <w:lang w:val="zh-CN"/>
        </w:rPr>
        <w:t xml:space="preserve">为准）。</w:t>
      </w:r>
      <w:r>
        <w:rPr>
          <w:rFonts w:hint="eastAsia" w:ascii="宋体" w:hAnsi="宋体"/>
          <w:color w:val="000000"/>
          <w:sz w:val="22"/>
          <w:szCs w:val="22"/>
          <w:highlight w:val="none"/>
          <w:lang w:val="zh-CN"/>
        </w:rPr>
      </w:r>
      <w:r/>
    </w:p>
    <w:p>
      <w:pPr>
        <w:pStyle w:val="708"/>
        <w:ind w:firstLine="442"/>
        <w:spacing w:line="360" w:lineRule="auto"/>
        <w:rPr>
          <w:rFonts w:hint="eastAsia" w:ascii="宋体" w:hAnsi="宋体"/>
          <w:b/>
          <w:bCs/>
          <w:color w:val="000000"/>
          <w:sz w:val="22"/>
          <w:szCs w:val="22"/>
          <w:highlight w:val="none"/>
        </w:rPr>
      </w:pPr>
      <w:r>
        <w:rPr>
          <w:rFonts w:hint="eastAsia" w:ascii="宋体" w:hAnsi="宋体"/>
          <w:b/>
          <w:bCs/>
          <w:color w:val="000000"/>
          <w:sz w:val="22"/>
          <w:szCs w:val="22"/>
          <w:highlight w:val="none"/>
        </w:rPr>
        <w:t xml:space="preserve">7.采购本国产品的支持政策</w:t>
      </w:r>
      <w:r>
        <w:rPr>
          <w:rFonts w:hint="eastAsia" w:ascii="宋体" w:hAnsi="宋体"/>
          <w:b/>
          <w:bCs/>
          <w:color w:val="000000"/>
          <w:sz w:val="22"/>
          <w:szCs w:val="22"/>
          <w:highlight w:val="none"/>
        </w:rPr>
      </w:r>
      <w:r/>
    </w:p>
    <w:p>
      <w:pPr>
        <w:pStyle w:val="708"/>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7.1本项目政府采购活动中既有本国产品又有非本国产品参与竞争的，依法对本国产品给予价格评审优惠，对本国产品的报价给予20%的价格扣除，用扣除后的价格参与评审。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2"/>
          <w:szCs w:val="22"/>
          <w:highlight w:val="none"/>
        </w:rPr>
      </w:r>
      <w:r/>
    </w:p>
    <w:p>
      <w:pPr>
        <w:pStyle w:val="708"/>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olor w:val="000000"/>
          <w:sz w:val="22"/>
          <w:szCs w:val="22"/>
          <w:highlight w:val="none"/>
        </w:rPr>
      </w:r>
      <w:r/>
    </w:p>
    <w:p>
      <w:pPr>
        <w:pStyle w:val="708"/>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7.3供应商需按照招标文件的要求提供《关于符合本国产品标准的声明函》，如不提供将不享受本国产品价格评审优惠。</w:t>
      </w:r>
      <w:r>
        <w:rPr>
          <w:rFonts w:hint="eastAsia" w:ascii="宋体" w:hAnsi="宋体"/>
          <w:color w:val="000000"/>
          <w:sz w:val="22"/>
          <w:szCs w:val="22"/>
          <w:highlight w:val="none"/>
        </w:rPr>
      </w:r>
      <w:r/>
    </w:p>
    <w:p>
      <w:pPr>
        <w:pStyle w:val="708"/>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ascii="宋体" w:hAnsi="宋体"/>
          <w:color w:val="000000"/>
          <w:sz w:val="22"/>
          <w:szCs w:val="22"/>
          <w:highlight w:val="none"/>
        </w:rPr>
      </w:r>
      <w:r/>
    </w:p>
    <w:p>
      <w:pPr>
        <w:pStyle w:val="708"/>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olor w:val="000000"/>
          <w:sz w:val="22"/>
          <w:szCs w:val="22"/>
          <w:highlight w:val="none"/>
        </w:rPr>
      </w:r>
      <w:r/>
    </w:p>
    <w:p>
      <w:pPr>
        <w:pStyle w:val="708"/>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8</w:t>
      </w:r>
      <w:r>
        <w:rPr>
          <w:rFonts w:hint="eastAsia" w:ascii="宋体" w:hAnsi="宋体"/>
          <w:b/>
          <w:bCs/>
          <w:color w:val="000000"/>
          <w:sz w:val="22"/>
          <w:szCs w:val="22"/>
          <w:highlight w:val="none"/>
          <w:lang w:val="zh-CN"/>
        </w:rPr>
        <w:t xml:space="preserve">．所有证明材料均以有效的扫描</w:t>
      </w:r>
      <w:r>
        <w:rPr>
          <w:rFonts w:hint="eastAsia" w:ascii="宋体" w:hAnsi="宋体"/>
          <w:b/>
          <w:bCs/>
          <w:color w:val="000000"/>
          <w:sz w:val="22"/>
          <w:szCs w:val="22"/>
          <w:highlight w:val="none"/>
        </w:rPr>
        <w:t xml:space="preserve">件</w:t>
      </w:r>
      <w:r>
        <w:rPr>
          <w:rFonts w:hint="eastAsia" w:ascii="宋体" w:hAnsi="宋体"/>
          <w:b/>
          <w:bCs/>
          <w:color w:val="000000"/>
          <w:sz w:val="22"/>
          <w:szCs w:val="22"/>
          <w:highlight w:val="none"/>
          <w:lang w:val="zh-CN"/>
        </w:rPr>
        <w:t xml:space="preserve">并加盖公章为依据。</w:t>
      </w:r>
      <w:r>
        <w:rPr>
          <w:rFonts w:hint="eastAsia" w:ascii="宋体" w:hAnsi="宋体"/>
          <w:b/>
          <w:bCs/>
          <w:color w:val="000000"/>
          <w:sz w:val="22"/>
          <w:szCs w:val="22"/>
          <w:highlight w:val="none"/>
          <w:lang w:val="zh-CN"/>
        </w:rPr>
      </w:r>
      <w:r/>
    </w:p>
    <w:p>
      <w:pPr>
        <w:pStyle w:val="708"/>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（1）供应商业绩和人员业绩：以提供的合同或</w:t>
      </w:r>
      <w:r>
        <w:rPr>
          <w:rFonts w:hint="eastAsia" w:ascii="宋体" w:hAnsi="宋体"/>
          <w:b/>
          <w:bCs/>
          <w:color w:val="000000"/>
          <w:sz w:val="22"/>
          <w:szCs w:val="22"/>
          <w:highlight w:val="none"/>
        </w:rPr>
        <w:t xml:space="preserve">相关业绩证明材料扫描件</w:t>
      </w:r>
      <w:r>
        <w:rPr>
          <w:rFonts w:hint="eastAsia" w:ascii="宋体" w:hAnsi="宋体"/>
          <w:b/>
          <w:bCs/>
          <w:color w:val="000000"/>
          <w:sz w:val="22"/>
          <w:szCs w:val="22"/>
          <w:highlight w:val="none"/>
          <w:lang w:val="zh-CN"/>
        </w:rPr>
        <w:t xml:space="preserve">为准。</w:t>
      </w:r>
      <w:r>
        <w:rPr>
          <w:rFonts w:hint="eastAsia" w:ascii="宋体" w:hAnsi="宋体"/>
          <w:b/>
          <w:bCs/>
          <w:color w:val="000000"/>
          <w:sz w:val="22"/>
          <w:szCs w:val="22"/>
          <w:highlight w:val="none"/>
          <w:lang w:val="zh-CN"/>
        </w:rPr>
      </w:r>
      <w:r/>
    </w:p>
    <w:p>
      <w:pPr>
        <w:pStyle w:val="708"/>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w:t>
      </w:r>
      <w:r>
        <w:rPr>
          <w:rFonts w:hint="eastAsia" w:ascii="宋体" w:hAnsi="宋体"/>
          <w:b/>
          <w:bCs/>
          <w:color w:val="000000"/>
          <w:sz w:val="22"/>
          <w:szCs w:val="22"/>
          <w:highlight w:val="none"/>
        </w:rPr>
        <w:t xml:space="preserve">2</w:t>
      </w:r>
      <w:r>
        <w:rPr>
          <w:rFonts w:hint="eastAsia" w:ascii="宋体" w:hAnsi="宋体"/>
          <w:b/>
          <w:bCs/>
          <w:color w:val="000000"/>
          <w:sz w:val="22"/>
          <w:szCs w:val="22"/>
          <w:highlight w:val="none"/>
          <w:lang w:val="zh-CN"/>
        </w:rPr>
        <w:t xml:space="preserve">）人员业绩和供应商业绩可重复计算（如有）。</w:t>
      </w:r>
      <w:r>
        <w:rPr>
          <w:rFonts w:hint="eastAsia" w:ascii="宋体" w:hAnsi="宋体"/>
          <w:b/>
          <w:bCs/>
          <w:color w:val="000000"/>
          <w:sz w:val="22"/>
          <w:szCs w:val="22"/>
          <w:highlight w:val="none"/>
          <w:lang w:val="zh-CN"/>
        </w:rPr>
      </w:r>
      <w:r/>
    </w:p>
    <w:p>
      <w:pPr>
        <w:pStyle w:val="708"/>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w:t>
      </w:r>
      <w:r>
        <w:rPr>
          <w:rFonts w:hint="eastAsia" w:ascii="宋体" w:hAnsi="宋体"/>
          <w:b/>
          <w:bCs/>
          <w:color w:val="000000"/>
          <w:sz w:val="22"/>
          <w:szCs w:val="22"/>
          <w:highlight w:val="none"/>
        </w:rPr>
        <w:t xml:space="preserve">3</w:t>
      </w:r>
      <w:r>
        <w:rPr>
          <w:rFonts w:hint="eastAsia" w:ascii="宋体" w:hAnsi="宋体"/>
          <w:b/>
          <w:bCs/>
          <w:color w:val="000000"/>
          <w:sz w:val="22"/>
          <w:szCs w:val="22"/>
          <w:highlight w:val="none"/>
          <w:lang w:val="zh-CN"/>
        </w:rPr>
        <w:t xml:space="preserve">）提供的合同、中标（成交）通知书或履约证明材料或咨询成果等材料均不能</w:t>
      </w:r>
      <w:r>
        <w:rPr>
          <w:rFonts w:hint="eastAsia" w:ascii="宋体" w:hAnsi="宋体"/>
          <w:b/>
          <w:bCs/>
          <w:color w:val="000000"/>
          <w:sz w:val="22"/>
          <w:szCs w:val="22"/>
          <w:highlight w:val="none"/>
        </w:rPr>
        <w:t xml:space="preserve">反映</w:t>
      </w:r>
      <w:r>
        <w:rPr>
          <w:rFonts w:hint="eastAsia" w:ascii="宋体" w:hAnsi="宋体"/>
          <w:b/>
          <w:bCs/>
          <w:color w:val="000000"/>
          <w:sz w:val="22"/>
          <w:szCs w:val="22"/>
          <w:highlight w:val="none"/>
          <w:lang w:val="zh-CN"/>
        </w:rPr>
        <w:t xml:space="preserve">出相关数据、内容的，视为未提供。</w:t>
      </w:r>
      <w:r>
        <w:rPr>
          <w:rFonts w:hint="eastAsia" w:ascii="宋体" w:hAnsi="宋体"/>
          <w:b/>
          <w:bCs/>
          <w:color w:val="000000"/>
          <w:sz w:val="22"/>
          <w:szCs w:val="22"/>
          <w:highlight w:val="none"/>
          <w:lang w:val="zh-CN"/>
        </w:rPr>
      </w:r>
      <w:r/>
    </w:p>
    <w:p>
      <w:pPr>
        <w:pStyle w:val="708"/>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（4）供应商提供的合同、检测报告等扫描件中的内容应该清晰，如因供应商提供的资料不清晰，导致评标委员会无法辨认，责任由供应商承担。</w:t>
      </w:r>
      <w:r>
        <w:rPr>
          <w:rFonts w:hint="eastAsia" w:ascii="宋体" w:hAnsi="宋体"/>
          <w:b/>
          <w:bCs/>
          <w:color w:val="000000"/>
          <w:sz w:val="22"/>
          <w:szCs w:val="22"/>
          <w:highlight w:val="none"/>
          <w:lang w:val="zh-CN"/>
        </w:rPr>
      </w:r>
      <w:r/>
    </w:p>
    <w:p>
      <w:pPr>
        <w:pStyle w:val="708"/>
        <w:ind w:firstLine="440"/>
        <w:spacing w:line="360" w:lineRule="auto"/>
        <w:rPr>
          <w:rFonts w:hint="eastAsia" w:ascii="宋体" w:hAnsi="宋体"/>
          <w:color w:val="000000"/>
          <w:sz w:val="22"/>
          <w:szCs w:val="22"/>
          <w:highlight w:val="none"/>
          <w:lang w:val="zh-CN"/>
        </w:rPr>
      </w:pPr>
      <w:r>
        <w:rPr>
          <w:rFonts w:hint="eastAsia" w:ascii="宋体" w:hAnsi="宋体"/>
          <w:bCs/>
          <w:color w:val="000000"/>
          <w:sz w:val="22"/>
          <w:szCs w:val="22"/>
          <w:highlight w:val="none"/>
          <w:lang w:val="zh-CN"/>
        </w:rPr>
        <w:t xml:space="preserve">9．</w:t>
      </w:r>
      <w:r>
        <w:rPr>
          <w:rFonts w:hint="eastAsia" w:ascii="宋体" w:hAnsi="宋体"/>
          <w:color w:val="000000"/>
          <w:sz w:val="22"/>
          <w:szCs w:val="22"/>
          <w:highlight w:val="none"/>
          <w:lang w:val="zh-CN"/>
        </w:rPr>
        <w:t xml:space="preserve">采购人根据评审小组提出的书面评审报告和推荐顺序，确定排名第一的成交候选人为成交供应商。成交供应商放弃成交资格、因不可抗力提出不能履行合同，或者评审文件规定应当提交履约保函而在规定的期限内未能提交的，采购人可以确定后备的成交候选人为成交供应商。</w:t>
      </w:r>
      <w:r>
        <w:rPr>
          <w:rFonts w:hint="eastAsia" w:ascii="宋体" w:hAnsi="宋体"/>
          <w:color w:val="000000"/>
          <w:sz w:val="22"/>
          <w:szCs w:val="22"/>
          <w:highlight w:val="none"/>
          <w:lang w:val="zh-CN"/>
        </w:rPr>
      </w:r>
      <w:r/>
    </w:p>
    <w:p>
      <w:pPr>
        <w:pStyle w:val="708"/>
        <w:ind w:firstLine="440"/>
        <w:spacing w:line="360" w:lineRule="auto"/>
        <w:rPr>
          <w:rFonts w:hint="eastAsia" w:ascii="宋体" w:hAnsi="宋体" w:eastAsia="宋体" w:cs="宋体"/>
          <w:b/>
          <w:bCs/>
          <w:color w:val="000000"/>
          <w:sz w:val="36"/>
          <w:szCs w:val="36"/>
          <w:highlight w:val="none"/>
          <w:lang w:val="zh-CN"/>
        </w:rPr>
      </w:pPr>
      <w:r>
        <w:rPr>
          <w:rFonts w:hint="eastAsia" w:ascii="宋体" w:hAnsi="宋体"/>
          <w:color w:val="000000"/>
          <w:sz w:val="22"/>
          <w:szCs w:val="22"/>
          <w:highlight w:val="none"/>
          <w:lang w:val="zh-CN"/>
        </w:rPr>
        <w:t xml:space="preserve">1</w:t>
      </w:r>
      <w:r>
        <w:rPr>
          <w:rFonts w:hint="eastAsia" w:ascii="宋体" w:hAnsi="宋体"/>
          <w:color w:val="000000"/>
          <w:sz w:val="22"/>
          <w:szCs w:val="22"/>
          <w:highlight w:val="none"/>
          <w:lang w:val="en-US" w:eastAsia="zh-CN"/>
        </w:rPr>
        <w:t xml:space="preserve">0</w:t>
      </w:r>
      <w:r>
        <w:rPr>
          <w:rFonts w:hint="eastAsia" w:ascii="宋体" w:hAnsi="宋体"/>
          <w:color w:val="000000"/>
          <w:sz w:val="22"/>
          <w:szCs w:val="22"/>
          <w:highlight w:val="none"/>
          <w:lang w:val="zh-CN"/>
        </w:rPr>
        <w:t xml:space="preserve">．评审报告由评审小组全体成员签字。对评审结论持有异议的评审小组成员应当在评审报告上签署不同意见并说明理由，评审小组成员拒绝在评审报告上签字又不书面说明其不同意见和理由的，视为同意评审结论。</w:t>
      </w:r>
      <w:bookmarkStart w:id="51" w:name="_Toc7936"/>
      <w:r>
        <w:rPr>
          <w:rFonts w:hint="eastAsia" w:ascii="宋体" w:hAnsi="宋体" w:eastAsia="宋体" w:cs="宋体"/>
          <w:b/>
          <w:bCs/>
          <w:color w:val="000000"/>
          <w:sz w:val="36"/>
          <w:szCs w:val="36"/>
          <w:highlight w:val="none"/>
          <w:lang w:val="zh-CN"/>
        </w:rPr>
        <w:br w:type="page" w:clear="all"/>
      </w:r>
      <w:r>
        <w:rPr>
          <w:rFonts w:hint="eastAsia" w:ascii="宋体" w:hAnsi="宋体" w:eastAsia="宋体" w:cs="宋体"/>
          <w:b/>
          <w:bCs/>
          <w:color w:val="000000"/>
          <w:sz w:val="36"/>
          <w:szCs w:val="36"/>
          <w:highlight w:val="none"/>
          <w:lang w:val="zh-CN"/>
        </w:rPr>
      </w:r>
      <w:r/>
    </w:p>
    <w:p>
      <w:pPr>
        <w:pStyle w:val="708"/>
        <w:jc w:val="center"/>
        <w:spacing w:line="360" w:lineRule="auto"/>
        <w:rPr>
          <w:rFonts w:hint="eastAsia" w:ascii="宋体" w:hAnsi="宋体" w:eastAsia="宋体" w:cs="宋体"/>
          <w:color w:val="000000"/>
          <w:spacing w:val="-10"/>
          <w:sz w:val="36"/>
          <w:szCs w:val="36"/>
          <w:highlight w:val="none"/>
        </w:rPr>
        <w:outlineLvl w:val="0"/>
      </w:pPr>
      <w:r/>
      <w:bookmarkStart w:id="52" w:name="_Toc24644"/>
      <w:r>
        <w:rPr>
          <w:rFonts w:hint="eastAsia" w:ascii="宋体" w:hAnsi="宋体" w:eastAsia="宋体" w:cs="宋体"/>
          <w:b/>
          <w:bCs/>
          <w:color w:val="000000"/>
          <w:sz w:val="36"/>
          <w:szCs w:val="36"/>
          <w:highlight w:val="none"/>
          <w:lang w:val="zh-CN"/>
        </w:rPr>
        <w:t xml:space="preserve">第四章  </w:t>
      </w:r>
      <w:bookmarkStart w:id="53" w:name="_Toc150538845"/>
      <w:r>
        <w:rPr>
          <w:rFonts w:hint="eastAsia" w:ascii="宋体" w:hAnsi="宋体" w:eastAsia="宋体" w:cs="宋体"/>
          <w:b/>
          <w:bCs/>
          <w:color w:val="000000"/>
          <w:spacing w:val="-10"/>
          <w:sz w:val="36"/>
          <w:szCs w:val="36"/>
          <w:highlight w:val="none"/>
        </w:rPr>
        <w:t xml:space="preserve">采购项目技术、规格和数量要求等</w:t>
      </w:r>
      <w:bookmarkEnd w:id="51"/>
      <w:r/>
      <w:bookmarkEnd w:id="52"/>
      <w:r/>
      <w:bookmarkEnd w:id="53"/>
      <w:r>
        <w:rPr>
          <w:rFonts w:hint="eastAsia" w:ascii="宋体" w:hAnsi="宋体" w:eastAsia="宋体" w:cs="宋体"/>
          <w:color w:val="000000"/>
          <w:spacing w:val="-10"/>
          <w:sz w:val="36"/>
          <w:szCs w:val="36"/>
          <w:highlight w:val="none"/>
        </w:rPr>
      </w:r>
      <w:r/>
    </w:p>
    <w:p>
      <w:pPr>
        <w:pStyle w:val="708"/>
        <w:ind w:firstLine="480"/>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一、项目属性：</w:t>
      </w:r>
      <w:r>
        <w:rPr>
          <w:rFonts w:hint="eastAsia" w:ascii="宋体" w:hAnsi="宋体" w:cs="宋体"/>
          <w:color w:val="000000"/>
          <w:sz w:val="24"/>
          <w:szCs w:val="24"/>
          <w:highlight w:val="none"/>
        </w:rPr>
        <w:t xml:space="preserve">货物类项目。</w:t>
      </w:r>
      <w:r>
        <w:rPr>
          <w:rFonts w:hint="eastAsia" w:ascii="黑体" w:hAnsi="黑体" w:eastAsia="黑体" w:cs="黑体"/>
          <w:color w:val="000000"/>
          <w:sz w:val="24"/>
          <w:szCs w:val="24"/>
          <w:highlight w:val="none"/>
        </w:rPr>
      </w:r>
      <w:r/>
    </w:p>
    <w:p>
      <w:pPr>
        <w:pStyle w:val="708"/>
        <w:ind w:firstLine="480"/>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二、项目概况</w:t>
      </w:r>
      <w:r>
        <w:rPr>
          <w:rFonts w:hint="eastAsia" w:ascii="黑体" w:hAnsi="黑体" w:eastAsia="黑体" w:cs="黑体"/>
          <w:color w:val="000000"/>
          <w:sz w:val="24"/>
          <w:szCs w:val="24"/>
          <w:highlight w:val="none"/>
        </w:rPr>
      </w:r>
      <w:r/>
    </w:p>
    <w:p>
      <w:pPr>
        <w:pStyle w:val="708"/>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（一）项目背景</w:t>
      </w:r>
      <w:r>
        <w:rPr>
          <w:rFonts w:hint="eastAsia" w:ascii="宋体" w:hAnsi="宋体" w:cs="宋体"/>
          <w:bCs/>
          <w:color w:val="000000"/>
          <w:sz w:val="24"/>
          <w:szCs w:val="24"/>
          <w:highlight w:val="none"/>
        </w:rPr>
      </w:r>
      <w:r/>
    </w:p>
    <w:p>
      <w:pPr>
        <w:pStyle w:val="708"/>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本项目为</w:t>
      </w:r>
      <w:r>
        <w:rPr>
          <w:rFonts w:hint="eastAsia" w:ascii="宋体" w:hAnsi="宋体" w:cs="宋体"/>
          <w:bCs/>
          <w:color w:val="000000"/>
          <w:sz w:val="24"/>
          <w:szCs w:val="24"/>
          <w:highlight w:val="none"/>
          <w:lang w:eastAsia="zh-CN"/>
        </w:rPr>
        <w:t xml:space="preserve">侨康路学校新建工程项目</w:t>
      </w:r>
      <w:r>
        <w:rPr>
          <w:rFonts w:hint="eastAsia" w:ascii="宋体" w:hAnsi="宋体" w:cs="宋体"/>
          <w:bCs/>
          <w:color w:val="000000"/>
          <w:sz w:val="24"/>
          <w:szCs w:val="24"/>
          <w:highlight w:val="none"/>
          <w:lang w:val="en-US" w:eastAsia="zh-CN"/>
        </w:rPr>
        <w:t xml:space="preserve">体育装备采购项目</w:t>
      </w:r>
      <w:r>
        <w:rPr>
          <w:rFonts w:hint="eastAsia" w:ascii="宋体" w:hAnsi="宋体" w:cs="宋体"/>
          <w:bCs/>
          <w:color w:val="000000"/>
          <w:sz w:val="24"/>
          <w:szCs w:val="24"/>
          <w:highlight w:val="none"/>
        </w:rPr>
        <w:t xml:space="preserve">，根据学校实际需求，配置相关设备，满足学校的教育教学需要。</w:t>
      </w:r>
      <w:r>
        <w:rPr>
          <w:rFonts w:hint="eastAsia" w:ascii="宋体" w:hAnsi="宋体" w:cs="宋体"/>
          <w:bCs/>
          <w:color w:val="000000"/>
          <w:sz w:val="24"/>
          <w:szCs w:val="24"/>
          <w:highlight w:val="none"/>
        </w:rPr>
      </w:r>
      <w:r/>
    </w:p>
    <w:p>
      <w:pPr>
        <w:pStyle w:val="708"/>
        <w:numPr>
          <w:ilvl w:val="0"/>
          <w:numId w:val="0"/>
        </w:numPr>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二</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项目建设遵循标准</w:t>
      </w:r>
      <w:r>
        <w:rPr>
          <w:rFonts w:hint="eastAsia" w:ascii="宋体" w:hAnsi="宋体" w:cs="宋体"/>
          <w:bCs/>
          <w:color w:val="000000"/>
          <w:sz w:val="24"/>
          <w:szCs w:val="24"/>
          <w:highlight w:val="none"/>
        </w:rPr>
      </w:r>
      <w:r/>
    </w:p>
    <w:p>
      <w:pPr>
        <w:pStyle w:val="708"/>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遵循国家、行业及地方现行的规范和标准。</w:t>
      </w:r>
      <w:r>
        <w:rPr>
          <w:rFonts w:hint="eastAsia" w:ascii="宋体" w:hAnsi="宋体" w:cs="宋体"/>
          <w:bCs/>
          <w:color w:val="000000"/>
          <w:sz w:val="24"/>
          <w:szCs w:val="24"/>
          <w:highlight w:val="none"/>
        </w:rPr>
      </w:r>
      <w:r/>
    </w:p>
    <w:p>
      <w:pPr>
        <w:pStyle w:val="708"/>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（三）资产配置标准</w:t>
      </w:r>
      <w:r>
        <w:rPr>
          <w:rFonts w:hint="eastAsia" w:ascii="宋体" w:hAnsi="宋体" w:cs="宋体"/>
          <w:bCs/>
          <w:color w:val="000000"/>
          <w:sz w:val="24"/>
          <w:szCs w:val="24"/>
          <w:highlight w:val="none"/>
        </w:rPr>
      </w:r>
      <w:r/>
    </w:p>
    <w:p>
      <w:pPr>
        <w:pStyle w:val="708"/>
        <w:ind w:firstLine="480"/>
        <w:rPr>
          <w:rFonts w:hint="eastAsia" w:ascii="宋体" w:hAnsi="宋体" w:cs="宋体"/>
          <w:bCs/>
          <w:color w:val="000000"/>
          <w:sz w:val="24"/>
          <w:szCs w:val="24"/>
          <w:highlight w:val="none"/>
        </w:rPr>
      </w:pPr>
      <w:r>
        <w:rPr>
          <w:rFonts w:hint="eastAsia" w:cs="宋体"/>
          <w:bCs/>
          <w:color w:val="000000"/>
          <w:sz w:val="24"/>
          <w:szCs w:val="24"/>
          <w:highlight w:val="none"/>
        </w:rPr>
        <w:t xml:space="preserve">符合</w:t>
      </w:r>
      <w:r>
        <w:rPr>
          <w:rFonts w:hint="eastAsia" w:ascii="宋体" w:hAnsi="宋体" w:cs="宋体"/>
          <w:bCs/>
          <w:color w:val="000000"/>
          <w:sz w:val="24"/>
          <w:szCs w:val="24"/>
          <w:highlight w:val="none"/>
        </w:rPr>
        <w:t xml:space="preserve">《南京市中小学通用资产配置标准》。</w:t>
      </w:r>
      <w:r>
        <w:rPr>
          <w:rFonts w:hint="eastAsia" w:ascii="宋体" w:hAnsi="宋体" w:cs="宋体"/>
          <w:bCs/>
          <w:color w:val="000000"/>
          <w:sz w:val="24"/>
          <w:szCs w:val="24"/>
          <w:highlight w:val="none"/>
        </w:rPr>
      </w:r>
      <w:r/>
    </w:p>
    <w:tbl>
      <w:tblPr>
        <w:tblpPr w:horzAnchor="page" w:tblpXSpec="center" w:vertAnchor="text" w:tblpY="291" w:leftFromText="180" w:topFromText="0" w:rightFromText="180" w:bottomFromText="0"/>
        <w:tblW w:w="499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833"/>
        <w:gridCol w:w="1026"/>
        <w:gridCol w:w="938"/>
        <w:gridCol w:w="1281"/>
        <w:gridCol w:w="1667"/>
        <w:gridCol w:w="2147"/>
      </w:tblGrid>
      <w:tr>
        <w:trPr>
          <w:trHeight w:val="479"/>
          <w:tblHeader/>
        </w:trPr>
        <w:tc>
          <w:tcPr>
            <w:tcW w:w="404" w:type="dxa"/>
            <w:vAlign w:val="center"/>
            <w:textDirection w:val="lrTb"/>
            <w:noWrap/>
          </w:tcPr>
          <w:p>
            <w:pPr>
              <w:pStyle w:val="708"/>
              <w:ind w:left="0" w:right="0" w:firstLine="0"/>
              <w:jc w:val="center"/>
              <w:widowControl/>
              <w:rPr>
                <w:rFonts w:hint="eastAsia" w:ascii="宋体" w:hAnsi="宋体" w:eastAsia="宋体" w:cs="宋体"/>
                <w:b/>
                <w:color w:val="000000"/>
                <w:sz w:val="21"/>
                <w:szCs w:val="21"/>
                <w:highlight w:val="none"/>
              </w:rPr>
              <w:framePr w:vAnchor="text" w:hAnchor="page" w:xAlign="center" w:y="291"/>
            </w:pPr>
            <w:r>
              <w:rPr>
                <w:rFonts w:hint="eastAsia" w:ascii="宋体" w:hAnsi="宋体" w:eastAsia="宋体" w:cs="宋体"/>
                <w:b/>
                <w:color w:val="000000"/>
                <w:sz w:val="21"/>
                <w:szCs w:val="21"/>
                <w:highlight w:val="none"/>
                <w:lang w:bidi="ar"/>
              </w:rPr>
              <w:t xml:space="preserve">序号</w:t>
            </w:r>
            <w:r>
              <w:rPr>
                <w:rFonts w:hint="eastAsia" w:ascii="宋体" w:hAnsi="宋体" w:eastAsia="宋体" w:cs="宋体"/>
                <w:b/>
                <w:color w:val="000000"/>
                <w:sz w:val="21"/>
                <w:szCs w:val="21"/>
                <w:highlight w:val="none"/>
              </w:rPr>
            </w:r>
            <w:r/>
          </w:p>
        </w:tc>
        <w:tc>
          <w:tcPr>
            <w:tcW w:w="947" w:type="dxa"/>
            <w:vAlign w:val="center"/>
            <w:textDirection w:val="lrTb"/>
            <w:noWrap/>
          </w:tcPr>
          <w:p>
            <w:pPr>
              <w:pStyle w:val="708"/>
              <w:ind w:left="0" w:right="0" w:firstLine="0"/>
              <w:jc w:val="center"/>
              <w:widowControl/>
              <w:rPr>
                <w:rFonts w:hint="eastAsia" w:ascii="宋体" w:hAnsi="宋体" w:eastAsia="宋体" w:cs="宋体"/>
                <w:b/>
                <w:color w:val="000000"/>
                <w:sz w:val="21"/>
                <w:szCs w:val="21"/>
                <w:highlight w:val="none"/>
              </w:rPr>
              <w:framePr w:vAnchor="text" w:hAnchor="page" w:xAlign="center" w:y="291"/>
            </w:pPr>
            <w:r>
              <w:rPr>
                <w:rFonts w:hint="eastAsia" w:ascii="宋体" w:hAnsi="宋体" w:eastAsia="宋体" w:cs="宋体"/>
                <w:b/>
                <w:color w:val="000000"/>
                <w:sz w:val="21"/>
                <w:szCs w:val="21"/>
                <w:highlight w:val="none"/>
                <w:lang w:bidi="ar"/>
              </w:rPr>
              <w:t xml:space="preserve">名称</w:t>
            </w:r>
            <w:r>
              <w:rPr>
                <w:rFonts w:hint="eastAsia" w:ascii="宋体" w:hAnsi="宋体" w:eastAsia="宋体" w:cs="宋体"/>
                <w:b/>
                <w:color w:val="000000"/>
                <w:sz w:val="21"/>
                <w:szCs w:val="21"/>
                <w:highlight w:val="none"/>
              </w:rPr>
            </w:r>
            <w:r/>
          </w:p>
        </w:tc>
        <w:tc>
          <w:tcPr>
            <w:tcW w:w="530" w:type="dxa"/>
            <w:vAlign w:val="center"/>
            <w:textDirection w:val="lrTb"/>
            <w:noWrap/>
          </w:tcPr>
          <w:p>
            <w:pPr>
              <w:pStyle w:val="708"/>
              <w:ind w:left="0" w:right="0" w:firstLine="0"/>
              <w:jc w:val="center"/>
              <w:widowControl/>
              <w:rPr>
                <w:rFonts w:hint="eastAsia" w:ascii="宋体" w:hAnsi="宋体" w:eastAsia="宋体" w:cs="宋体"/>
                <w:b/>
                <w:color w:val="000000"/>
                <w:sz w:val="21"/>
                <w:szCs w:val="21"/>
                <w:highlight w:val="none"/>
              </w:rPr>
              <w:framePr w:vAnchor="text" w:hAnchor="page" w:xAlign="center" w:y="291"/>
            </w:pPr>
            <w:r>
              <w:rPr>
                <w:rFonts w:hint="eastAsia" w:ascii="宋体" w:hAnsi="宋体" w:eastAsia="宋体" w:cs="宋体"/>
                <w:b/>
                <w:color w:val="000000"/>
                <w:sz w:val="21"/>
                <w:szCs w:val="21"/>
                <w:highlight w:val="none"/>
                <w:lang w:bidi="ar"/>
              </w:rPr>
              <w:t xml:space="preserve">数量</w:t>
            </w:r>
            <w:r>
              <w:rPr>
                <w:rFonts w:hint="eastAsia" w:ascii="宋体" w:hAnsi="宋体" w:eastAsia="宋体" w:cs="宋体"/>
                <w:b/>
                <w:color w:val="000000"/>
                <w:sz w:val="21"/>
                <w:szCs w:val="21"/>
                <w:highlight w:val="none"/>
              </w:rPr>
            </w:r>
            <w:r/>
          </w:p>
        </w:tc>
        <w:tc>
          <w:tcPr>
            <w:tcW w:w="484" w:type="dxa"/>
            <w:vAlign w:val="center"/>
            <w:textDirection w:val="lrTb"/>
            <w:noWrap/>
          </w:tcPr>
          <w:p>
            <w:pPr>
              <w:pStyle w:val="708"/>
              <w:ind w:left="0" w:right="0" w:firstLine="0"/>
              <w:jc w:val="center"/>
              <w:widowControl/>
              <w:rPr>
                <w:rFonts w:hint="eastAsia" w:ascii="宋体" w:hAnsi="宋体" w:eastAsia="宋体" w:cs="宋体"/>
                <w:b/>
                <w:color w:val="000000"/>
                <w:sz w:val="21"/>
                <w:szCs w:val="21"/>
                <w:highlight w:val="none"/>
              </w:rPr>
              <w:framePr w:vAnchor="text" w:hAnchor="page" w:xAlign="center" w:y="291"/>
            </w:pPr>
            <w:r>
              <w:rPr>
                <w:rFonts w:hint="eastAsia" w:ascii="宋体" w:hAnsi="宋体" w:eastAsia="宋体" w:cs="宋体"/>
                <w:b/>
                <w:color w:val="000000"/>
                <w:sz w:val="21"/>
                <w:szCs w:val="21"/>
                <w:highlight w:val="none"/>
                <w:lang w:bidi="ar"/>
              </w:rPr>
              <w:t xml:space="preserve">单位</w:t>
            </w:r>
            <w:r>
              <w:rPr>
                <w:rFonts w:hint="eastAsia" w:ascii="宋体" w:hAnsi="宋体" w:eastAsia="宋体" w:cs="宋体"/>
                <w:b/>
                <w:color w:val="000000"/>
                <w:sz w:val="21"/>
                <w:szCs w:val="21"/>
                <w:highlight w:val="none"/>
              </w:rPr>
            </w:r>
            <w:r/>
          </w:p>
        </w:tc>
        <w:tc>
          <w:tcPr>
            <w:tcW w:w="662" w:type="dxa"/>
            <w:vAlign w:val="center"/>
            <w:textDirection w:val="lrTb"/>
            <w:noWrap/>
          </w:tcPr>
          <w:p>
            <w:pPr>
              <w:pStyle w:val="708"/>
              <w:ind w:left="0" w:right="0" w:firstLine="0"/>
              <w:jc w:val="center"/>
              <w:rPr>
                <w:rFonts w:hint="eastAsia" w:ascii="宋体" w:hAnsi="宋体" w:eastAsia="宋体" w:cs="宋体"/>
                <w:b/>
                <w:bCs/>
                <w:color w:val="000000"/>
                <w:sz w:val="21"/>
                <w:szCs w:val="21"/>
                <w:highlight w:val="none"/>
              </w:rPr>
              <w:framePr w:vAnchor="text" w:hAnchor="page" w:xAlign="center" w:y="291"/>
            </w:pPr>
            <w:r>
              <w:rPr>
                <w:rFonts w:hint="eastAsia" w:ascii="宋体" w:hAnsi="宋体" w:eastAsia="宋体" w:cs="宋体"/>
                <w:b/>
                <w:bCs/>
                <w:color w:val="000000"/>
                <w:sz w:val="21"/>
                <w:szCs w:val="21"/>
                <w:highlight w:val="none"/>
              </w:rPr>
              <w:t xml:space="preserve">产品类型</w:t>
            </w:r>
            <w:r>
              <w:rPr>
                <w:rFonts w:hint="eastAsia" w:ascii="宋体" w:hAnsi="宋体" w:eastAsia="宋体" w:cs="宋体"/>
                <w:b/>
                <w:bCs/>
                <w:color w:val="000000"/>
                <w:sz w:val="21"/>
                <w:szCs w:val="21"/>
                <w:highlight w:val="none"/>
              </w:rPr>
            </w:r>
            <w:r/>
          </w:p>
        </w:tc>
        <w:tc>
          <w:tcPr>
            <w:tcW w:w="861" w:type="dxa"/>
            <w:vAlign w:val="center"/>
            <w:textDirection w:val="lrTb"/>
            <w:noWrap/>
          </w:tcPr>
          <w:p>
            <w:pPr>
              <w:pStyle w:val="708"/>
              <w:ind w:left="0" w:right="0" w:firstLine="0"/>
              <w:jc w:val="center"/>
              <w:rPr>
                <w:rFonts w:hint="eastAsia" w:ascii="宋体" w:hAnsi="宋体" w:eastAsia="宋体" w:cs="宋体"/>
                <w:b/>
                <w:bCs/>
                <w:color w:val="000000"/>
                <w:sz w:val="21"/>
                <w:szCs w:val="21"/>
                <w:highlight w:val="none"/>
              </w:rPr>
              <w:framePr w:vAnchor="text" w:hAnchor="page" w:xAlign="center" w:y="291"/>
            </w:pPr>
            <w:r>
              <w:rPr>
                <w:rFonts w:hint="eastAsia" w:ascii="宋体" w:hAnsi="宋体" w:eastAsia="宋体" w:cs="宋体"/>
                <w:b/>
                <w:bCs/>
                <w:color w:val="000000"/>
                <w:sz w:val="21"/>
                <w:szCs w:val="21"/>
                <w:highlight w:val="none"/>
              </w:rPr>
              <w:t xml:space="preserve">所属行业类型</w:t>
            </w:r>
            <w:r>
              <w:rPr>
                <w:rFonts w:hint="eastAsia" w:ascii="宋体" w:hAnsi="宋体" w:eastAsia="宋体" w:cs="宋体"/>
                <w:b/>
                <w:bCs/>
                <w:color w:val="000000"/>
                <w:sz w:val="21"/>
                <w:szCs w:val="21"/>
                <w:highlight w:val="none"/>
              </w:rPr>
            </w:r>
            <w:r/>
          </w:p>
        </w:tc>
        <w:tc>
          <w:tcPr>
            <w:tcW w:w="1109" w:type="dxa"/>
            <w:vAlign w:val="center"/>
            <w:textDirection w:val="lrTb"/>
            <w:noWrap/>
          </w:tcPr>
          <w:p>
            <w:pPr>
              <w:pStyle w:val="708"/>
              <w:ind w:left="0" w:right="0" w:firstLine="0"/>
              <w:jc w:val="center"/>
              <w:rPr>
                <w:rFonts w:hint="eastAsia" w:ascii="宋体" w:hAnsi="宋体" w:eastAsia="宋体" w:cs="宋体"/>
                <w:b/>
                <w:bCs/>
                <w:color w:val="000000"/>
                <w:sz w:val="21"/>
                <w:szCs w:val="21"/>
                <w:highlight w:val="none"/>
              </w:rPr>
              <w:framePr w:vAnchor="text" w:hAnchor="page" w:xAlign="center" w:y="291"/>
            </w:pPr>
            <w:r>
              <w:rPr>
                <w:rFonts w:hint="eastAsia" w:ascii="宋体" w:hAnsi="宋体" w:eastAsia="宋体" w:cs="宋体"/>
                <w:b/>
                <w:bCs/>
                <w:color w:val="000000"/>
                <w:sz w:val="21"/>
                <w:szCs w:val="21"/>
                <w:highlight w:val="none"/>
              </w:rPr>
              <w:t xml:space="preserve">备注（产品属性）</w:t>
            </w:r>
            <w:r>
              <w:rPr>
                <w:rFonts w:hint="eastAsia" w:ascii="宋体" w:hAnsi="宋体" w:eastAsia="宋体" w:cs="宋体"/>
                <w:b/>
                <w:bCs/>
                <w:color w:val="000000"/>
                <w:sz w:val="21"/>
                <w:szCs w:val="21"/>
                <w:highlight w:val="none"/>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器材柜</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rPr>
              <w:framePr w:vAnchor="text" w:hAnchor="page" w:xAlign="center" w:y="291"/>
            </w:pPr>
            <w:r>
              <w:rPr>
                <w:rFonts w:hint="eastAsia" w:ascii="宋体" w:hAnsi="宋体" w:eastAsia="宋体" w:cs="宋体"/>
                <w:color w:val="000000"/>
                <w:sz w:val="21"/>
                <w:szCs w:val="21"/>
                <w:highlight w:val="none"/>
                <w:lang w:val="en-US" w:eastAsia="zh-CN"/>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货架</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准备台</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计时器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发令枪</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发令台</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起跑器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接力棒</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小沙包</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340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钢卷米尺</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卷</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钢卷米尺</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卷</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跳高丈量尺</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垒球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跳高架</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跳高海绵包</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横竿</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摸高器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起跳板</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海绵垫</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20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信号旗</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面</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21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计时台与终点裁判台</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22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实心球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23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小篮球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160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24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篮球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25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小型篮球架</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26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篮球网</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27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篮球记录牌</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28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软式排球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29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小型排球架</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30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排球网</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31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标志杆</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32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标准足球门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33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小型足球门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34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小足球网</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35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小皮球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36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气筒</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37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气泵</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38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室内乒乓球台</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39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室外乒乓球台</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40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乒兵球拍</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41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乒兵球网</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42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乒乓球计分牌</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43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乒乓球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180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44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羽毛球拍</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45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羽毛球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打</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46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网球架</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47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羽毛球架</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48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球类推车</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辆</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49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体操棒</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50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体操凳</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51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小哑铃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52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短跳绳</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53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长跳绳</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54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拔河绳</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55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肋木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间</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56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平梯</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架</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57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小体操垫</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58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大体操垫</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59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身高测试仪</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60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体重测试仪</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61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肺活量测试仪</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62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立定跳远测试仪</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63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坐位体前屈测试仪</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64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联合训练器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65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呼啦圈</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66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毽子</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160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67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飞盘</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68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剑(刀)</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69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划线器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70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录音机</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71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扩音器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72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标志筒</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73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保健箱</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74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钢丝绳</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75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长绳4.2米</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76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长绳3.6米</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77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平衡木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78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分队服</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79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分道牌</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80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石灰粉</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袋</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81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石灰桶</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82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划线勺</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83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正规跨栏架</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84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标志桶小</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85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标志桶中</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86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标志盘</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87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敏捷圈</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88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小栏架</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89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发令旗</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90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足球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91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足球门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92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垒球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93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绳梯</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94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跳箱</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95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踏跳板</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96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空竹</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97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橄榄球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98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彩虹伞</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顶</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99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羊角球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100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排球扣球辅助器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101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哨子</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102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夹板（文件）</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103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杠铃杆</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104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杠铃片</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105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阻力带</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106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排球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107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泡沫滚筒</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108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弹力带</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109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波速球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110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分队服（4种颜色）</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111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标志桶小</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112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标志桶中</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113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标志桶大</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114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标志碟</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115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足球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116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足球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117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绳梯</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118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守门员手套</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119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护腿板</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120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双肩背包</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121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足球训练反弹网</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122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足球网袋</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123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移动器材储物室</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124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手动篮球架</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08"/>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rPr>
              <w:framePr w:vAnchor="text" w:hAnchor="page" w:xAlign="center" w:y="291"/>
            </w:pPr>
            <w:r>
              <w:rPr>
                <w:rFonts w:hint="eastAsia" w:ascii="宋体" w:hAnsi="宋体" w:eastAsia="宋体" w:cs="宋体"/>
                <w:color w:val="000000"/>
                <w:sz w:val="21"/>
                <w:szCs w:val="21"/>
                <w:highlight w:val="none"/>
                <w:lang w:val="en-US" w:eastAsia="zh-CN"/>
              </w:rPr>
              <w:t xml:space="preserve">核心产品</w:t>
            </w:r>
            <w:r>
              <w:rPr>
                <w:rFonts w:hint="eastAsia" w:ascii="宋体" w:hAnsi="宋体" w:eastAsia="宋体" w:cs="宋体"/>
                <w:color w:val="000000"/>
                <w:sz w:val="21"/>
                <w:szCs w:val="21"/>
                <w:highlight w:val="none"/>
                <w:lang w:val="en-US" w:eastAsia="zh-CN"/>
              </w:rPr>
            </w:r>
            <w:r/>
          </w:p>
        </w:tc>
        <w:tc>
          <w:tcPr>
            <w:tcW w:w="861" w:type="dxa"/>
            <w:vAlign w:val="center"/>
            <w:textDirection w:val="lrTb"/>
            <w:noWrap/>
          </w:tcPr>
          <w:p>
            <w:pPr>
              <w:pStyle w:val="708"/>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08"/>
              <w:ind w:left="0" w:right="0" w:firstLine="0"/>
              <w:jc w:val="center"/>
              <w:widowControl/>
              <w:rPr>
                <w:rFonts w:hint="eastAsia" w:ascii="宋体" w:hAnsi="宋体" w:eastAsia="宋体" w:cs="宋体"/>
                <w:bCs/>
                <w:color w:val="000000"/>
                <w:sz w:val="21"/>
                <w:szCs w:val="21"/>
                <w:highlight w:val="none"/>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r>
    </w:tbl>
    <w:p>
      <w:pPr>
        <w:pStyle w:val="708"/>
        <w:ind w:firstLine="480"/>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三、项目清单</w:t>
      </w:r>
      <w:r>
        <w:rPr>
          <w:rFonts w:hint="eastAsia" w:ascii="黑体" w:hAnsi="黑体" w:eastAsia="黑体" w:cs="黑体"/>
          <w:color w:val="000000"/>
          <w:sz w:val="24"/>
          <w:szCs w:val="24"/>
          <w:highlight w:val="none"/>
        </w:rPr>
      </w:r>
      <w:r/>
    </w:p>
    <w:p>
      <w:pPr>
        <w:pStyle w:val="708"/>
        <w:ind w:firstLine="480"/>
        <w:rPr>
          <w:rFonts w:hint="eastAsia" w:ascii="宋体" w:hAnsi="宋体" w:cs="宋体"/>
          <w:b/>
          <w:color w:val="000000"/>
          <w:sz w:val="24"/>
          <w:szCs w:val="24"/>
          <w:highlight w:val="none"/>
        </w:rPr>
      </w:pPr>
      <w:r>
        <w:rPr>
          <w:rFonts w:hint="eastAsia" w:ascii="黑体" w:hAnsi="黑体" w:eastAsia="黑体" w:cs="黑体"/>
          <w:color w:val="000000"/>
          <w:sz w:val="24"/>
          <w:szCs w:val="24"/>
          <w:highlight w:val="none"/>
        </w:rPr>
        <w:t xml:space="preserve">四、拟采购标的需要满足的技术、商务要求</w:t>
      </w:r>
      <w:r>
        <w:rPr>
          <w:rFonts w:hint="eastAsia" w:ascii="宋体" w:hAnsi="宋体" w:cs="宋体"/>
          <w:b/>
          <w:color w:val="000000"/>
          <w:sz w:val="24"/>
          <w:szCs w:val="24"/>
          <w:highlight w:val="none"/>
        </w:rPr>
      </w:r>
      <w:r/>
    </w:p>
    <w:p>
      <w:pPr>
        <w:pStyle w:val="708"/>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（一）技术要求</w:t>
      </w:r>
      <w:r>
        <w:rPr>
          <w:rFonts w:hint="eastAsia" w:ascii="宋体" w:hAnsi="宋体" w:cs="宋体"/>
          <w:bCs/>
          <w:color w:val="000000"/>
          <w:sz w:val="24"/>
          <w:szCs w:val="24"/>
          <w:highlight w:val="none"/>
        </w:rPr>
      </w:r>
      <w:r/>
    </w:p>
    <w:p>
      <w:pPr>
        <w:pStyle w:val="708"/>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1.产品技术指标</w:t>
      </w:r>
      <w:r>
        <w:rPr>
          <w:rFonts w:hint="eastAsia" w:ascii="宋体" w:hAnsi="宋体" w:cs="宋体"/>
          <w:bCs/>
          <w:color w:val="000000"/>
          <w:sz w:val="24"/>
          <w:szCs w:val="24"/>
          <w:highlight w:val="none"/>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38"/>
        <w:gridCol w:w="1700"/>
        <w:gridCol w:w="890"/>
        <w:gridCol w:w="793"/>
        <w:gridCol w:w="5659"/>
      </w:tblGrid>
      <w:tr>
        <w:trPr>
          <w:trHeight w:val="402"/>
        </w:trPr>
        <w:tc>
          <w:tcPr>
            <w:tcW w:w="255" w:type="dxa"/>
            <w:vAlign w:val="center"/>
            <w:textDirection w:val="lrTb"/>
            <w:noWrap/>
          </w:tcPr>
          <w:p>
            <w:pPr>
              <w:pStyle w:val="708"/>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rPr>
            </w:r>
            <w:r/>
          </w:p>
        </w:tc>
        <w:tc>
          <w:tcPr>
            <w:tcW w:w="896" w:type="dxa"/>
            <w:vAlign w:val="center"/>
            <w:textDirection w:val="lrTb"/>
            <w:noWrap/>
          </w:tcPr>
          <w:p>
            <w:pPr>
              <w:pStyle w:val="708"/>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rPr>
                <w:rFonts w:hint="eastAsia" w:ascii="宋体" w:hAnsi="宋体" w:eastAsia="宋体" w:cs="宋体"/>
                <w:b/>
                <w:bCs/>
                <w:i w:val="0"/>
                <w:iCs w:val="0"/>
                <w:color w:val="000000"/>
                <w:sz w:val="21"/>
                <w:szCs w:val="21"/>
                <w:u w:val="none"/>
              </w:rPr>
            </w:r>
            <w:r/>
          </w:p>
        </w:tc>
        <w:tc>
          <w:tcPr>
            <w:tcW w:w="478" w:type="dxa"/>
            <w:vAlign w:val="center"/>
            <w:textDirection w:val="lrTb"/>
            <w:noWrap/>
          </w:tcPr>
          <w:p>
            <w:pPr>
              <w:pStyle w:val="708"/>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rPr>
                <w:rFonts w:hint="eastAsia" w:ascii="宋体" w:hAnsi="宋体" w:eastAsia="宋体" w:cs="宋体"/>
                <w:b/>
                <w:bCs/>
                <w:i w:val="0"/>
                <w:iCs w:val="0"/>
                <w:color w:val="000000"/>
                <w:sz w:val="21"/>
                <w:szCs w:val="21"/>
                <w:u w:val="none"/>
              </w:rPr>
            </w:r>
            <w:r/>
          </w:p>
        </w:tc>
        <w:tc>
          <w:tcPr>
            <w:tcW w:w="428" w:type="dxa"/>
            <w:vAlign w:val="center"/>
            <w:textDirection w:val="lrTb"/>
            <w:noWrap/>
          </w:tcPr>
          <w:p>
            <w:pPr>
              <w:pStyle w:val="708"/>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rPr>
                <w:rFonts w:hint="eastAsia" w:ascii="宋体" w:hAnsi="宋体" w:eastAsia="宋体" w:cs="宋体"/>
                <w:b/>
                <w:bCs/>
                <w:i w:val="0"/>
                <w:iCs w:val="0"/>
                <w:color w:val="000000"/>
                <w:sz w:val="21"/>
                <w:szCs w:val="21"/>
                <w:u w:val="none"/>
              </w:rPr>
            </w:r>
            <w:r/>
          </w:p>
        </w:tc>
        <w:tc>
          <w:tcPr>
            <w:tcW w:w="2940" w:type="dxa"/>
            <w:vAlign w:val="center"/>
            <w:textDirection w:val="lrTb"/>
            <w:noWrap/>
          </w:tcPr>
          <w:p>
            <w:pPr>
              <w:pStyle w:val="708"/>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w:t>
            </w:r>
            <w:r>
              <w:rPr>
                <w:rFonts w:hint="eastAsia" w:ascii="宋体" w:hAnsi="宋体" w:eastAsia="宋体" w:cs="宋体"/>
                <w:b/>
                <w:bCs/>
                <w:i w:val="0"/>
                <w:iCs w:val="0"/>
                <w:color w:val="000000"/>
                <w:sz w:val="21"/>
                <w:szCs w:val="21"/>
                <w:u w:val="none"/>
              </w:rPr>
            </w:r>
            <w:r/>
          </w:p>
        </w:tc>
      </w:tr>
      <w:tr>
        <w:trPr>
          <w:trHeight w:val="16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8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器材柜</w:t>
            </w:r>
            <w:r>
              <w:rPr>
                <w:rFonts w:hint="eastAsia" w:ascii="宋体" w:hAnsi="宋体" w:eastAsia="宋体" w:cs="宋体"/>
                <w:i w:val="0"/>
                <w:iCs w:val="0"/>
                <w:color w:val="000000"/>
                <w:sz w:val="21"/>
                <w:szCs w:val="21"/>
                <w:u w:val="none"/>
              </w:rPr>
            </w:r>
            <w:r/>
          </w:p>
        </w:tc>
        <w:tc>
          <w:tcPr>
            <w:tcW w:w="478"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1、参考尺寸：1000*500*2000mm±10mm±10mm；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2、材质：实木多层板材；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3、工艺：主体板材厚度≥18mm、背板厚度≥9mm，封边采用厚度≥2mm塑制封边条机械封边收边，采用锌合三合一连接件，镀锌阻尼缓冲铰链，不锈钢螺丝，镀锌锁2把；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4、功能：上部玻璃双门三层置物空间，下部双门两层柜体，层板均采用活动可自由调节形式，上下柜门采用免拉手设计。</w:t>
            </w:r>
            <w:r>
              <w:rPr>
                <w:rFonts w:hint="eastAsia" w:ascii="宋体" w:hAnsi="宋体" w:eastAsia="宋体" w:cs="宋体"/>
                <w:i w:val="0"/>
                <w:iCs w:val="0"/>
                <w:color w:val="000000"/>
                <w:sz w:val="21"/>
                <w:szCs w:val="21"/>
                <w:u w:val="none"/>
              </w:rPr>
            </w:r>
            <w:r/>
          </w:p>
        </w:tc>
      </w:tr>
      <w:tr>
        <w:trPr>
          <w:trHeight w:val="14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8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货架</w:t>
            </w:r>
            <w:r>
              <w:rPr>
                <w:rFonts w:hint="eastAsia" w:ascii="宋体" w:hAnsi="宋体" w:eastAsia="宋体" w:cs="宋体"/>
                <w:i w:val="0"/>
                <w:iCs w:val="0"/>
                <w:color w:val="000000"/>
                <w:sz w:val="21"/>
                <w:szCs w:val="21"/>
                <w:u w:val="none"/>
              </w:rPr>
            </w:r>
            <w:r/>
          </w:p>
        </w:tc>
        <w:tc>
          <w:tcPr>
            <w:tcW w:w="478"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428"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1、参考尺寸：1000*500*2000mm；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2、材质：304不锈钢：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3、工艺：板材工艺采用钢材固化层、氧化固化层、金属拉丝工艺，数控激光切割、折弯、氩弧焊焊接而成，防锈耐腐蚀处理。立柱板材厚度≥1.0mm，每层可承重≥200公斤：</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4、配件：立柱*2横梁*8层板*4。</w:t>
            </w:r>
            <w:r>
              <w:rPr>
                <w:rFonts w:hint="eastAsia" w:ascii="宋体" w:hAnsi="宋体" w:eastAsia="宋体" w:cs="宋体"/>
                <w:i w:val="0"/>
                <w:iCs w:val="0"/>
                <w:color w:val="000000"/>
                <w:sz w:val="21"/>
                <w:szCs w:val="21"/>
                <w:u w:val="none"/>
              </w:rPr>
            </w:r>
            <w:r/>
          </w:p>
        </w:tc>
      </w:tr>
      <w:tr>
        <w:trPr>
          <w:trHeight w:val="96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896"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准备台</w:t>
            </w:r>
            <w:r>
              <w:rPr>
                <w:rFonts w:hint="eastAsia" w:ascii="宋体" w:hAnsi="宋体" w:eastAsia="宋体" w:cs="宋体"/>
                <w:i w:val="0"/>
                <w:iCs w:val="0"/>
                <w:color w:val="000000"/>
                <w:sz w:val="21"/>
                <w:szCs w:val="21"/>
                <w:u w:val="none"/>
              </w:rPr>
            </w:r>
            <w:r/>
          </w:p>
        </w:tc>
        <w:tc>
          <w:tcPr>
            <w:tcW w:w="478"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1、参考尺寸：2400*750*850mm±10mm；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2、材质：橡胶木+钢架；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3、工艺：桌面采用外沿厚度40mm橡胶木，中间横撑支撑，横撑规格60*30mm.桌面喷涂环保漆，桌腿喷塑，；拆分式结构，配螺丝配件。</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计时器</w:t>
            </w:r>
            <w:r>
              <w:rPr>
                <w:rFonts w:hint="eastAsia" w:ascii="宋体" w:hAnsi="宋体" w:eastAsia="宋体" w:cs="宋体"/>
                <w:i w:val="0"/>
                <w:iCs w:val="0"/>
                <w:color w:val="000000"/>
                <w:sz w:val="21"/>
                <w:szCs w:val="21"/>
                <w:u w:val="none"/>
              </w:rPr>
            </w:r>
            <w:r/>
          </w:p>
        </w:tc>
        <w:tc>
          <w:tcPr>
            <w:tcW w:w="478"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1、8道，电子式。</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发令枪</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1、双发式含发令弹。</w:t>
            </w:r>
            <w:r>
              <w:rPr>
                <w:rFonts w:hint="eastAsia" w:ascii="宋体" w:hAnsi="宋体" w:eastAsia="宋体" w:cs="宋体"/>
                <w:i w:val="0"/>
                <w:iCs w:val="0"/>
                <w:color w:val="000000"/>
                <w:sz w:val="21"/>
                <w:szCs w:val="21"/>
                <w:u w:val="none"/>
              </w:rPr>
            </w:r>
            <w:r/>
          </w:p>
        </w:tc>
      </w:tr>
      <w:tr>
        <w:trPr>
          <w:trHeight w:val="513"/>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发令台</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1、发令台基本外形尺寸：长*宽*高=700*610*1500（㎜）；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2、发令台主要由底架和推手柄组成，底架主要采用方管拼焊而成，底架踏脚板采用花纹板制作，起防滑作用，便于站人；推手柄采用圆管制作；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3、发令台设置有插管，可放置配套设施（发令烟屏），其底架内部设有货物柜，配有钥匙，可放置发令枪等其它设备，作小推车用；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4、发令台底部设置有滚轮，移动方便；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5、发令烟屏由烟屏支架和烟屏两部分组成；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6、烟屏支架采用□25*25*2方管制作，高度可调；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7、烟屏规格尺寸：外径φ660㎜，采用δ1.2㎜铁板冲压成型，烟屏内设预埋螺母，通过螺栓与支架紧固。</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起跑器</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1、铝合金链接式，塑胶跑道专用；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2、总长不小于70cm，卡档宽约2.3cm，卡档高约2.8cm。</w:t>
            </w:r>
            <w:r>
              <w:rPr>
                <w:rFonts w:hint="eastAsia" w:ascii="宋体" w:hAnsi="宋体" w:eastAsia="宋体" w:cs="宋体"/>
                <w:i w:val="0"/>
                <w:iCs w:val="0"/>
                <w:color w:val="000000"/>
                <w:sz w:val="21"/>
                <w:szCs w:val="21"/>
                <w:u w:val="none"/>
              </w:rPr>
            </w:r>
            <w:r/>
          </w:p>
        </w:tc>
      </w:tr>
      <w:tr>
        <w:trPr>
          <w:trHeight w:val="96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接力棒</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1、长300mm，直径Φ30mm；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2、接力棒采用铝合金制作，棒的两端倒角卷边处理；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3、接力棒的重量55±3g；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4、棒的表面经氧化处理。</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小沙包</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1、布制品，不低于200克。</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钢卷米尺</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1、长50m，宽10-16mm，厚0.14mm；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2、线纹均匀清晰，垂直到边，毫米、5毫米、厘米、分米的线纹长度应有明显区别，线纹宽度可以不等宽，数字和标记明显、正确。</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钢卷米尺</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1、长20m，宽10-16mm，厚0.14mm；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2、线纹均匀清晰，垂直到边，毫米、5毫米、厘米、分米的线纹长度应有明显区别，线纹宽度可以不等宽，数字和标记明显、正确。</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跳高丈量尺</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1、铝合金方管，长2.5米，管口直径为3cm（高度）*5cm（宽度），刻度清晰均匀。</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垒球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1、10寸垒球。</w:t>
            </w:r>
            <w:r>
              <w:rPr>
                <w:rFonts w:hint="eastAsia" w:ascii="宋体" w:hAnsi="宋体" w:eastAsia="宋体" w:cs="宋体"/>
                <w:i w:val="0"/>
                <w:iCs w:val="0"/>
                <w:color w:val="000000"/>
                <w:sz w:val="21"/>
                <w:szCs w:val="21"/>
                <w:u w:val="none"/>
              </w:rPr>
            </w:r>
            <w:r/>
          </w:p>
        </w:tc>
      </w:tr>
      <w:tr>
        <w:trPr>
          <w:trHeight w:val="120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跳高架</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1、内外管均采用优质钢管制成，壁厚不小于2.5mm，两内管上端各有一用于放置横杆的钢制横杆托；</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2、高度应能自由调节，1800mm≥可调节高度≥800mm。立柱高度1600mm～2000mm，横杆长度3000mm～4000mm，内外管壁刻度清晰，以厘米为单位，最小刻度为5mm，分度线均匀，不得有重线，漏线，断线现象。</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跳高海绵包</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1、背越式跳高海绵包,5*3*0.6（0.5+0.1）m,外罩PU皮质，海绵软硬适中。</w:t>
            </w:r>
            <w:r>
              <w:rPr>
                <w:rFonts w:hint="eastAsia" w:ascii="宋体" w:hAnsi="宋体" w:eastAsia="宋体" w:cs="宋体"/>
                <w:i w:val="0"/>
                <w:iCs w:val="0"/>
                <w:color w:val="000000"/>
                <w:sz w:val="21"/>
                <w:szCs w:val="21"/>
                <w:u w:val="none"/>
              </w:rPr>
            </w:r>
            <w:r/>
          </w:p>
        </w:tc>
      </w:tr>
      <w:tr>
        <w:trPr>
          <w:trHeight w:val="14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横竿</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1、采用玻璃钢或碳素纤维等其他适宜材料制成；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2、除两端外，横杆的横截面为圆形，直径30±1mm；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3、横杠两端管塞有平面能放置在跳高架的横托上，管塞长度15-20cm，管塞高度30-35mm，横杆整体长度400±2cm, 最大重量2KG；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4、横杆上不能包裹橡胶或任何能增大摩擦力的物质。横杆放置在跳高架上时最多下垂2厘米。</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摸高器</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1、可移动带底座。</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起跳板</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1、起跳板为长方形，用木料制作而成，运动员的鞋钉可以抓住且不易打滑，长1.22m（±0.01m），宽0.20m（±0.02m），厚度最大为0.10m。涂成白色。</w:t>
            </w:r>
            <w:r>
              <w:rPr>
                <w:rFonts w:hint="eastAsia" w:ascii="宋体" w:hAnsi="宋体" w:eastAsia="宋体" w:cs="宋体"/>
                <w:i w:val="0"/>
                <w:iCs w:val="0"/>
                <w:color w:val="000000"/>
                <w:sz w:val="21"/>
                <w:szCs w:val="21"/>
                <w:u w:val="none"/>
              </w:rPr>
            </w:r>
            <w:r/>
          </w:p>
        </w:tc>
      </w:tr>
      <w:tr>
        <w:trPr>
          <w:trHeight w:val="96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海绵垫</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1、跳高海绵垫主体由三层重磅发泡海绵（聚氨酯）（20Kg/m³）组成，弹力均衡，柔软适中。表面有机硅帆布；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2、海绵垫基本尺寸：长*宽*厚=3000*2000*300（㎜）。可折叠，折叠后尺寸为长1500*2000*600（mm)。外层侧面装有手攀，且四周设有排气孔。</w:t>
            </w:r>
            <w:r>
              <w:rPr>
                <w:rFonts w:hint="eastAsia" w:ascii="宋体" w:hAnsi="宋体" w:eastAsia="宋体" w:cs="宋体"/>
                <w:i w:val="0"/>
                <w:iCs w:val="0"/>
                <w:color w:val="000000"/>
                <w:sz w:val="21"/>
                <w:szCs w:val="21"/>
                <w:u w:val="none"/>
              </w:rPr>
            </w:r>
            <w:r/>
          </w:p>
        </w:tc>
      </w:tr>
      <w:tr>
        <w:trPr>
          <w:trHeight w:val="96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信号旗</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1、由旗杆和旗面组成；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2、旗杆为Φ22*1.5mm的铝合金或不锈管，旗面尺寸约为350*320㎜的涤纶布料；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3、旗面多种颜色可选，手柄部分配有或海绵套。</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计时台与终点裁判台</w:t>
            </w:r>
            <w:r>
              <w:rPr>
                <w:rFonts w:hint="eastAsia" w:ascii="宋体" w:hAnsi="宋体" w:eastAsia="宋体" w:cs="宋体"/>
                <w:i w:val="0"/>
                <w:iCs w:val="0"/>
                <w:color w:val="000000"/>
                <w:sz w:val="21"/>
                <w:szCs w:val="21"/>
                <w:u w:val="none"/>
              </w:rPr>
            </w:r>
            <w:r/>
          </w:p>
        </w:tc>
        <w:tc>
          <w:tcPr>
            <w:tcW w:w="478"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1、展开长不低于3米，宽1.85米，高2.8米；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2、缩完长度不低于1.5米，宽1.85米，高2.8米，18座。</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实心球</w:t>
            </w:r>
            <w:r>
              <w:rPr>
                <w:rFonts w:hint="eastAsia" w:ascii="宋体" w:hAnsi="宋体" w:eastAsia="宋体" w:cs="宋体"/>
                <w:i w:val="0"/>
                <w:iCs w:val="0"/>
                <w:color w:val="000000"/>
                <w:sz w:val="21"/>
                <w:szCs w:val="21"/>
                <w:u w:val="none"/>
              </w:rPr>
            </w:r>
            <w:r/>
          </w:p>
        </w:tc>
        <w:tc>
          <w:tcPr>
            <w:tcW w:w="478"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1、标准1公斤，橙色或者蓝色，橡胶材质，内部填充细沙，可充气，球体柔软完全。</w:t>
            </w:r>
            <w:r>
              <w:rPr>
                <w:rFonts w:hint="eastAsia" w:ascii="宋体" w:hAnsi="宋体" w:eastAsia="宋体" w:cs="宋体"/>
                <w:i w:val="0"/>
                <w:iCs w:val="0"/>
                <w:color w:val="000000"/>
                <w:sz w:val="21"/>
                <w:szCs w:val="21"/>
                <w:u w:val="none"/>
              </w:rPr>
            </w:r>
            <w:r/>
          </w:p>
        </w:tc>
      </w:tr>
      <w:tr>
        <w:trPr>
          <w:trHeight w:val="16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小篮球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1、5号篮球，球体圆周为645~670mm，圆周差≤4mm；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2、球体质量420~480g，气压0.06MPa；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3、球体反弹高度1200－1400mm；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4、材料为牛皮革；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5、球体表面装有气阀，充气至规定气压后，球体饱满平展无折皱，保证密封性良好，球体气压24h内下降允差≤12%。</w:t>
            </w:r>
            <w:r>
              <w:rPr>
                <w:rFonts w:hint="eastAsia" w:ascii="宋体" w:hAnsi="宋体" w:eastAsia="宋体" w:cs="宋体"/>
                <w:i w:val="0"/>
                <w:iCs w:val="0"/>
                <w:color w:val="000000"/>
                <w:sz w:val="21"/>
                <w:szCs w:val="21"/>
                <w:u w:val="none"/>
              </w:rPr>
            </w:r>
            <w:r/>
          </w:p>
        </w:tc>
      </w:tr>
      <w:tr>
        <w:trPr>
          <w:trHeight w:val="240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篮球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2940" w:type="dxa"/>
            <w:vAlign w:val="top"/>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1、标准7号；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2、适合场地：室外和室内；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3、材质：橡胶内胆，尼龙加强层，合成PU革外皮。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所投篮球产品满足并符合GBT22868-2008《篮球》规定要求，其中，球整体质量≥600g,反弹高度≥1200mm，气压下降允差≤4%，耐冲击性能（15000次）后，膨胀率≤1.03，变形值≤3mm，球内压下降率≤4%，球形外观应无破裂、内爆、脱皮、脱胶、断线和变形等现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highlight w:val="yellow"/>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所投球类产品原材料接技氯丁胶胶粘剂中有害物质双酚A未检出，须提供生产厂家关于原材料使用该产品的承诺函及相关检测报告复印件并加盖原材料厂商及生产厂家的鲜章。</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小型篮球架</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1、移动式小篮球架，钢化玻璃栏板，适合中小学学生训练使用，带配重块。</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篮球网</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1、2个为一副，由细绳结成，网绳直径2.5-4mm，网眼45-50mm；网高400-500mm，网口直径450±2mm，网底直径350±5mm。</w:t>
            </w:r>
            <w:r>
              <w:rPr>
                <w:rFonts w:hint="eastAsia" w:ascii="宋体" w:hAnsi="宋体" w:eastAsia="宋体" w:cs="宋体"/>
                <w:i w:val="0"/>
                <w:iCs w:val="0"/>
                <w:color w:val="000000"/>
                <w:sz w:val="21"/>
                <w:szCs w:val="21"/>
                <w:u w:val="none"/>
              </w:rPr>
            </w:r>
            <w:r/>
          </w:p>
        </w:tc>
      </w:tr>
      <w:tr>
        <w:trPr>
          <w:trHeight w:val="458"/>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篮球记录牌</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1、可移动式，铁制。</w:t>
            </w:r>
            <w:r>
              <w:rPr>
                <w:rFonts w:hint="eastAsia" w:ascii="宋体" w:hAnsi="宋体" w:eastAsia="宋体" w:cs="宋体"/>
                <w:i w:val="0"/>
                <w:iCs w:val="0"/>
                <w:color w:val="000000"/>
                <w:sz w:val="21"/>
                <w:szCs w:val="21"/>
                <w:u w:val="none"/>
              </w:rPr>
            </w:r>
            <w:r/>
          </w:p>
        </w:tc>
      </w:tr>
      <w:tr>
        <w:trPr>
          <w:trHeight w:val="622"/>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软式排球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1、5号球，球内材料使用软质聚氨酯泡沫塑料。</w:t>
            </w:r>
            <w:r>
              <w:rPr>
                <w:rFonts w:hint="eastAsia" w:ascii="宋体" w:hAnsi="宋体" w:eastAsia="宋体" w:cs="宋体"/>
                <w:i w:val="0"/>
                <w:iCs w:val="0"/>
                <w:color w:val="000000"/>
                <w:sz w:val="21"/>
                <w:szCs w:val="21"/>
                <w:u w:val="none"/>
              </w:rPr>
            </w:r>
            <w:r/>
          </w:p>
        </w:tc>
      </w:tr>
      <w:tr>
        <w:trPr>
          <w:trHeight w:val="14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小型排球架</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1、排球柱由内外立柱，高度调节销和紧线机构组成；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2、排球柱外立柱选用φ89*8.5的铝合金型材，内立柱选用φ70异型铝型材制作，通过高度调节销使内立柱上下移动，实现网高调节高度：2.15m、2.24m、2.35m、2.43m；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3、二外立柱中，一立柱上置有网钩，另一立柱上置有棘爪紧线锁紧机构，通过调节锁紧手柄，调节钢丝绳的松紧，实现网的高度要求。</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排球网</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1、浅色，长9500mm，宽1000mm，网绳直径4-5mm，网眼直径100mm。</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标志杆</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1、长1800mm，直径10mm，木质材料，顶端800mm上，每100mm应涂有红白相间的油漆。</w:t>
            </w:r>
            <w:r>
              <w:rPr>
                <w:rFonts w:hint="eastAsia" w:ascii="宋体" w:hAnsi="宋体" w:eastAsia="宋体" w:cs="宋体"/>
                <w:i w:val="0"/>
                <w:iCs w:val="0"/>
                <w:color w:val="000000"/>
                <w:sz w:val="21"/>
                <w:szCs w:val="21"/>
                <w:u w:val="none"/>
              </w:rPr>
            </w:r>
            <w:r/>
          </w:p>
        </w:tc>
      </w:tr>
      <w:tr>
        <w:trPr>
          <w:trHeight w:val="699"/>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标准足球门</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11人制</w:t>
            </w:r>
            <w:r>
              <w:rPr>
                <w:rFonts w:hint="eastAsia" w:ascii="宋体" w:hAnsi="宋体" w:eastAsia="宋体" w:cs="宋体"/>
                <w:i w:val="0"/>
                <w:iCs w:val="0"/>
                <w:color w:val="000000"/>
                <w:sz w:val="21"/>
                <w:szCs w:val="21"/>
                <w:u w:val="none"/>
              </w:rPr>
            </w:r>
            <w:r/>
          </w:p>
        </w:tc>
      </w:tr>
      <w:tr>
        <w:trPr>
          <w:trHeight w:val="216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小型足球门</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1、球门内口高度2000±10mm、球门内口宽度3000±10mm、球门下方深度1500mm、球门上方深度900mm；门柱及横梁为Φ76mm*3.0mm钢管，材质为Q235。横压杆及后压杆为 50*30*3.0mm                                                                                                               矩形管，材质为Q235。斜支撑为Φ48mm*3.0mm钢管，材质为Q235；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2、螺栓均防盗、防锈，安装方式为移动式。所有零部件表面光滑、平整，所有棱边和尖角均半径不小于2.5mm；涂饰件色泽均匀，结合牢固，无起皮脱落、漏涂等缺陷；在足球门横梁中部约100mm 宽度的承载面上，施加2700N的静负载，横梁无出现断裂和明显的永久变形等现象；足球门承受水平拉力为1000N，无出现任何方面的倾斜、翻倒或明显的永久变形。</w:t>
            </w:r>
            <w:r>
              <w:rPr>
                <w:rFonts w:hint="eastAsia" w:ascii="宋体" w:hAnsi="宋体" w:eastAsia="宋体" w:cs="宋体"/>
                <w:i w:val="0"/>
                <w:iCs w:val="0"/>
                <w:color w:val="000000"/>
                <w:sz w:val="21"/>
                <w:szCs w:val="21"/>
                <w:u w:val="none"/>
              </w:rPr>
            </w:r>
            <w:r/>
          </w:p>
        </w:tc>
      </w:tr>
      <w:tr>
        <w:trPr>
          <w:trHeight w:val="676"/>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小足球网</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1、与足球门配套。</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小皮球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1、标准5号；适合室外和室内场地；橡胶内胆，尼龙加强层，超耐磨PU合成革外皮。</w:t>
            </w:r>
            <w:r>
              <w:rPr>
                <w:rFonts w:hint="eastAsia" w:ascii="宋体" w:hAnsi="宋体" w:eastAsia="宋体" w:cs="宋体"/>
                <w:i w:val="0"/>
                <w:iCs w:val="0"/>
                <w:color w:val="000000"/>
                <w:sz w:val="21"/>
                <w:szCs w:val="21"/>
                <w:u w:val="none"/>
              </w:rPr>
            </w:r>
            <w:r/>
          </w:p>
        </w:tc>
      </w:tr>
      <w:tr>
        <w:trPr>
          <w:trHeight w:val="873"/>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气筒</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1、铝合金材质，附球类充气针1根。</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气泵</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1、功率1.1kw，频率50kz，额定转速2850r/min，容积流量0.08m3/min，工作压力0.8Mpa，并配充气嘴。</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室内乒乓球台</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1、台面尺寸长2740±3mm,宽1525±2mm，台高760±2mm，弹性230-260mm、弹性均匀度≤5mm、台面摩擦系数≤0.6、球台稳定性＜10mm，外脚方管直径不小于50mm，半副可竖放，移动方便。</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室外乒乓球台</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1、台面尺寸长2740±3mm,宽1525±2mm，台高760±2mm，弹性230-260mm、弹性均匀度≤5mm、台面摩擦系数≤0.6、球台稳定性＜10mm。</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乒兵球拍</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1、直握拍，双面胶皮，鲜红色或黑色，拍面平整；拍柄、拍面、拍身边缘光滑无光泽，拍身边缘不呈白色；胶粒分布均匀，高度应不低于0.5mm；胶合部位牢固，不开裂。</w:t>
            </w:r>
            <w:r>
              <w:rPr>
                <w:rFonts w:hint="eastAsia" w:ascii="宋体" w:hAnsi="宋体" w:eastAsia="宋体" w:cs="宋体"/>
                <w:i w:val="0"/>
                <w:iCs w:val="0"/>
                <w:color w:val="000000"/>
                <w:sz w:val="21"/>
                <w:szCs w:val="21"/>
                <w:u w:val="none"/>
              </w:rPr>
            </w:r>
            <w:r/>
          </w:p>
        </w:tc>
      </w:tr>
      <w:tr>
        <w:trPr>
          <w:trHeight w:val="949"/>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乒兵球网</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1、标准网架，配合球台使用。</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乒乓球计分牌</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1、尺寸388*190*200（mm)，折叠式，工程塑料外壳，特制纸板芯页。</w:t>
            </w:r>
            <w:r>
              <w:rPr>
                <w:rFonts w:hint="eastAsia" w:ascii="宋体" w:hAnsi="宋体" w:eastAsia="宋体" w:cs="宋体"/>
                <w:i w:val="0"/>
                <w:iCs w:val="0"/>
                <w:color w:val="000000"/>
                <w:sz w:val="21"/>
                <w:szCs w:val="21"/>
                <w:u w:val="none"/>
              </w:rPr>
            </w:r>
            <w:r/>
          </w:p>
        </w:tc>
      </w:tr>
      <w:tr>
        <w:trPr>
          <w:trHeight w:val="763"/>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乒乓球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1、白色ABS材质，一星，符合最新ITTF规则。</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羽毛球拍</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1、球拍总长度≤630mm，球拍宽度≤230mm，球拍拍弦面长度≤280mm，球拍重量≤100g，握柄直径23~25mm，拍弦直径 ≤0.90mm，轴线直线度≤4mm，平直度≤4mm。</w:t>
            </w:r>
            <w:r>
              <w:rPr>
                <w:rFonts w:hint="eastAsia" w:ascii="宋体" w:hAnsi="宋体" w:eastAsia="宋体" w:cs="宋体"/>
                <w:i w:val="0"/>
                <w:iCs w:val="0"/>
                <w:color w:val="000000"/>
                <w:sz w:val="21"/>
                <w:szCs w:val="21"/>
                <w:u w:val="none"/>
              </w:rPr>
            </w:r>
            <w:r/>
          </w:p>
        </w:tc>
      </w:tr>
      <w:tr>
        <w:trPr>
          <w:trHeight w:val="688"/>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羽毛球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1、球头合成材料，16根毛片。</w:t>
            </w:r>
            <w:r>
              <w:rPr>
                <w:rFonts w:hint="eastAsia" w:ascii="宋体" w:hAnsi="宋体" w:eastAsia="宋体" w:cs="宋体"/>
                <w:i w:val="0"/>
                <w:iCs w:val="0"/>
                <w:color w:val="000000"/>
                <w:sz w:val="21"/>
                <w:szCs w:val="21"/>
                <w:u w:val="none"/>
              </w:rPr>
            </w:r>
            <w:r/>
          </w:p>
        </w:tc>
      </w:tr>
      <w:tr>
        <w:trPr>
          <w:trHeight w:val="120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网球架</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1、网球柱由内外立柱，高度调节销和紧线机构组成；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2、立柱底部设有40㎜厚特制缓冲垫，与底座柱套相配时起缓冲作用；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3、底座配重箱均采用模具冲压成形，单只配置水泥配重不低于100kg，上罩装饰盖；</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4、底座设有拉手，方便提起球柱底座。</w:t>
            </w:r>
            <w:r>
              <w:rPr>
                <w:rFonts w:hint="eastAsia" w:ascii="宋体" w:hAnsi="宋体" w:eastAsia="宋体" w:cs="宋体"/>
                <w:i w:val="0"/>
                <w:iCs w:val="0"/>
                <w:color w:val="000000"/>
                <w:sz w:val="21"/>
                <w:szCs w:val="21"/>
                <w:u w:val="none"/>
              </w:rPr>
            </w:r>
            <w:r/>
          </w:p>
        </w:tc>
      </w:tr>
      <w:tr>
        <w:trPr>
          <w:trHeight w:val="816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羽毛球架</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1、全铸铁底座，设计有滚路可移动，网柱高度155厘米；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2、移动式羽毛球柱由移动式底座、立柱、锁紧装置组成；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3、两立柱管采用Φ48*3mm优质钢管制作，其中一根立柱置有一系绳柱，另一立柱置有棘轮、紧线机构装置，通过手柄转动，实现球网的中央高度1550mm；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4、羽毛球底座采用铸铁底座；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5、羽毛球柱底座装有PU滚轮。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6、所投羽毛球架配备专业羽毛球地垫一片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规格尺寸：产品总厚度：≥ 4.5 mm。所提供产品符合以下要求，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1、外观质量：厚度≥4.5mm，幅宽≥1.8m；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2、所投地胶产品耐磨性实验经GB/T 11982.1-2015 6.7标准10000转检测10000转后耐磨层未磨穿；满足并符合GB36246-2018《中小学合成材料面层运动场地》要求，所投地胶产品重金属可溶性铅、镉、铬、汞≤2mg/kg，游离甲苯二异氰酸酯（TDI)和游离六亚甲基二异氰酸酯（HDI)总和，苯并〔a〕芘未检出，甲醛释放量≤0.05mg/</w:t>
            </w:r>
            <w:r>
              <w:rPr>
                <w:rFonts w:ascii="Arial Unicode MS" w:hAnsi="Arial Unicode MS" w:eastAsia="Arial Unicode MS" w:cs="Arial Unicode MS"/>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所投地胶产品外观和耐用性要求：耐老化检测1000h，拉伸强度≥3MPa，拉断伸长率≥120%；外观质量：色泽均匀，无明显色差，无裂痕、分层等缺陷；回弹值：≥5%；球反弹率：≥90%；摩擦系数≥1.5；拉伸强度：≥6Mpa；拉断伸长率：≥220%；地胶在高温试验（100℃，24h），低温试验（-40℃，24h）：试验后无脆化，无明显色差，</w:t>
            </w:r>
            <w:r>
              <w:rPr>
                <w:rFonts w:hint="eastAsia" w:ascii="宋体" w:hAnsi="宋体" w:cs="宋体"/>
                <w:i w:val="0"/>
                <w:iCs w:val="0"/>
                <w:color w:val="ff0000"/>
                <w:sz w:val="21"/>
                <w:szCs w:val="21"/>
                <w:u w:val="none"/>
                <w:lang w:val="en-US" w:eastAsia="zh-CN" w:bidi="ar"/>
              </w:rPr>
              <w:t xml:space="preserve">投标人需提供具备资质的第三方检测机构出具的检测结果符合相应要求和标准的检测报告原件扫描件。（检测标准若有更新，按照最新规定执行）</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4、所投地胶产品通过滚动载荷测试速度1m/s，测试载荷1500N，恢复时间20min，最大压痕≤0.4mm，通过氙灯光源暴露或抗紫外线强度检测50h，外观无明显变化，残余凹陷保留率100%。</w:t>
            </w:r>
            <w:r>
              <w:rPr>
                <w:rFonts w:hint="eastAsia" w:ascii="宋体" w:hAnsi="宋体" w:cs="宋体"/>
                <w:i w:val="0"/>
                <w:iCs w:val="0"/>
                <w:color w:val="ff0000"/>
                <w:sz w:val="21"/>
                <w:szCs w:val="21"/>
                <w:u w:val="none"/>
                <w:lang w:val="en-US" w:eastAsia="zh-CN" w:bidi="ar"/>
              </w:rPr>
              <w:t xml:space="preserve">投标人需提供具备资质的第三方检测机构出具的检测结果符合相应要求和标准的检测报告原件扫描件。（检测标准若有更新，按照最新规定执行）</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5、所投地胶产品在环境温度23±2℃和相对湿度50±5%的条件下养护24小时后：邵氏硬度平均值达到46以上，须提供符合GB/T 2411-2008检测依据的第三方检测报告；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6、所投地胶产品在光老化实验-紫外辐射暴露符合GB/T 16422.3-2022循环50h，（23±2）℃,（50±5）℃%RH环境中无可视变化，依据GB/T24128-2018《塑料防霉剂的防霉效果评估》 采用培养皿法，培养时间21d，黑曲霉CGMCC3.5487宛氏拟青霉CGMCC3.4253球毛壳霉CGMCC3.0963长枝木霉CGMCC3.4291绳状青霉CGMCC3.3875可达到0级；</w:t>
            </w:r>
            <w:r>
              <w:rPr>
                <w:rFonts w:hint="eastAsia" w:ascii="宋体" w:hAnsi="宋体" w:cs="宋体"/>
                <w:i w:val="0"/>
                <w:iCs w:val="0"/>
                <w:color w:val="ff0000"/>
                <w:sz w:val="21"/>
                <w:szCs w:val="21"/>
                <w:u w:val="none"/>
                <w:lang w:val="en-US" w:eastAsia="zh-CN" w:bidi="ar"/>
              </w:rPr>
              <w:t xml:space="preserve">投标人需提供具备资质的第三方检测机构出具的检测结果符合相应要求和标准的检测报告原件扫描件。（检测标准若有更新，按照最新规定执行）</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球类推车</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辆</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1、规格：0.9*0.8*0.8m；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2、不锈钢材质。</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体操棒</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1、长1000mm，截面25/30mm。</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体操凳</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1、规格：3000*300*300mm；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2、板面厚50～70mm，以木质为主，表面平整，棱角光滑，无毛刺、缺损、木疥。</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小哑铃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1、规格：2.5KG；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2、材质：橡胶。</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短跳绳</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1、长2.8m，竹节绳，绳直径≥0.5cm。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长跳绳</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1、竹节绳450—500cm，绳直径≥0.5cm。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拔河绳</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1、15米麻绳。</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肋木</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1、器材主要承载立柱采用Φ114x3.0mm钢管，杠面采用Ø32x3.0圆管制作，外表静电喷涂，共7隔；</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2、规格不低于1314*114*2130mm。</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平梯</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架</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1、主要承载立柱采用Φ114x3.0mm钢管，杠面采用Ø32x3.0圆管制作；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2、规格不低于3000*750*2250mm。</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小体操垫</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1、规格：可折叠，展开尺寸1.2*0.6*0.05mm，折叠后0.6*0.6*0.1；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2、四角为直角，表面平整、无皱折、色泽一致，表面层不得有对视觉有干扰的图像或标志，内胆材质为珍珠棉材质，两侧（长边）有2个提手。</w:t>
            </w:r>
            <w:r>
              <w:rPr>
                <w:rFonts w:hint="eastAsia" w:ascii="宋体" w:hAnsi="宋体" w:eastAsia="宋体" w:cs="宋体"/>
                <w:i w:val="0"/>
                <w:iCs w:val="0"/>
                <w:color w:val="000000"/>
                <w:sz w:val="21"/>
                <w:szCs w:val="21"/>
                <w:u w:val="none"/>
              </w:rPr>
            </w:r>
            <w:r/>
          </w:p>
        </w:tc>
      </w:tr>
      <w:tr>
        <w:trPr>
          <w:trHeight w:val="14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大体操垫</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1、规格长2000mm，宽1000mm，厚不小于100mm；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2、四角为直角，表面平整、无皱折、色泽一致。表面层不得有对视觉有干扰的图像或标志；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3、内胆材质为珍珠棉材质；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4、在跳垫两侧（长边）有4个提手，且提手在跳垫合并使用时，不会造成空隙。</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身高测试仪</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1、身高量程：90～200cm，分度值：0.1cm，误差：±0.2%。</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体重测试仪</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1、体重量程：5～100kg，分度值：0.1kg，误差：±0.3%。</w:t>
            </w:r>
            <w:r>
              <w:rPr>
                <w:rFonts w:hint="eastAsia" w:ascii="宋体" w:hAnsi="宋体" w:eastAsia="宋体" w:cs="宋体"/>
                <w:i w:val="0"/>
                <w:iCs w:val="0"/>
                <w:color w:val="000000"/>
                <w:sz w:val="21"/>
                <w:szCs w:val="21"/>
                <w:u w:val="none"/>
              </w:rPr>
            </w:r>
            <w:r/>
          </w:p>
        </w:tc>
      </w:tr>
      <w:tr>
        <w:trPr>
          <w:trHeight w:val="14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肺活量测试仪</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1、测定人体呼吸的最大通气能力，测试数值反映肺的容积和肺的扩展能力；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2、使用高精密传感器，精度高，吹管优化设计与处理，不易产生积水，防补气（防作弊）功能，补气时自动锁定数据；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3、测试仪采用一体化设计，液晶显示，具有锁定功能，读数方便。一键式操作，使用简便，同时具有清零功能。采用单节5号电池供电，低功耗设计，3分钟未使用自动关机，带低电量提示功能。</w:t>
            </w:r>
            <w:r>
              <w:rPr>
                <w:rFonts w:hint="eastAsia" w:ascii="宋体" w:hAnsi="宋体" w:eastAsia="宋体" w:cs="宋体"/>
                <w:i w:val="0"/>
                <w:iCs w:val="0"/>
                <w:color w:val="000000"/>
                <w:sz w:val="21"/>
                <w:szCs w:val="21"/>
                <w:u w:val="none"/>
              </w:rPr>
            </w:r>
            <w:r/>
          </w:p>
        </w:tc>
      </w:tr>
      <w:tr>
        <w:trPr>
          <w:trHeight w:val="819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立定跳远测试仪</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外设:</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1.用于考生立定跳远考试，设备铺在平整的地面上。考生在带有红外线感应杆的防滑垫上进行测试，考生落在测量区域后自动出成绩，多次测试自动保存最好成绩。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2.设备具备无盲区测量、智能判断踩线犯规功能。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3.测试检测杆之间无线连接，内置锂电池。（投标文件需提供其中一项证明材料：包括但不限于功能截图、产品彩页、检测报告、技术白皮书等）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4.配有无线 LED点阵大显示屏内置锂电池，阳光下清晰可见，可与测试杆无线连接显示，同时与主机也是无线连接，无任何冗长线束干扰磕绊，配有红外遥控器，操作距离可达3～5米。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主机: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1.采用原生Android7.0及以上系统，屏幕采用≥7寸1024×600高清触摸电容屏；主机≥1GB以上运行内存，≥4GB FLASH存储空间。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2.采用硅胶按键，经久耐用，适用于大规模测试。</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3.内置二维码扫描仪（非外接型），自动识别测试者二维码或条形码身份信息。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4.具备≥2个USB标准接口（非外接扩展），可直接插入U盘导入≥100000条测试名单信息，也可直接导出测试成绩至U盘自动生成Excel表格。同时支持学生名单的无线同步和离线导入功能。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具多种身份识别功能：可通过触摸屏输入、机械键盘输入、非接触式IC卡（兼容校园一卡通）、条码扫描仪等识别方法；输入学号具备自动递增功能；菜单具备单项查询，集体查询，分组查询，具有年级班级组别日期等多种筛选数据方式，查询便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6.支持U盘直接导入国标和自定义评分标准，内嵌国标可以根据年级性别项目进行实时评分，适用于体测；也可以自定义导入评分标准对测试结果进行评分。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7.支持头像管理，可以通过U盘批量导入学生头像10000条以上，也可以通过云平台从网络实时无线下载学生头像。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8.具有数据备份和恢复功能，可以备份任意时间段体测程序里面的所有数据，可以备份多次保存在存储芯片里面。支持一键恢复，根据日期选择要恢复的备份，自动恢复测试数据。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9.查询结果能一屏同时显示测试学校、年级、班级、学生姓名、性别、测试成绩、测试日期及时间，方便后期督查。具有日志管理，记录操作人员在主机上的所有操作，便于异常情况的追溯。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10.技术参数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量程：0～320cm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分度值：1cm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误差：0cm </w:t>
            </w:r>
            <w:r>
              <w:rPr>
                <w:rFonts w:hint="eastAsia" w:ascii="宋体" w:hAnsi="宋体" w:eastAsia="宋体" w:cs="宋体"/>
                <w:i w:val="0"/>
                <w:iCs w:val="0"/>
                <w:color w:val="000000"/>
                <w:sz w:val="21"/>
                <w:szCs w:val="21"/>
                <w:u w:val="none"/>
              </w:rPr>
            </w:r>
            <w:r/>
          </w:p>
        </w:tc>
      </w:tr>
      <w:tr>
        <w:trPr>
          <w:trHeight w:val="819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坐位体前屈测试仪</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单机：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1、单机采用≥3.5寸320*240分辨率TFT真彩屏，内置电容式触摸按键；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2、单机采用双向光电开关，自动识别手推板前推和回退，手推板可自动回弹归位，具有防作弊成绩自动锁定功能；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3、单机采用锂电池供电，内置1100mAh锂电池，可持续工作15个小时以上；采用microusb接口充电；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4、单机主控显示部分和测试杆间顶针式连接；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5、带辅助测试折叠海绵垫，含海绵座垫及硬质蹬脚板；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主机：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1、主机采用原生Android7.0及以上系统，能够安装APK程序以拓展使用功能及产品升级，屏幕采用≥7寸1024*600高清触摸电容屏；主机≥1.0GB以上运行内存，≥4GB FLASH存储空间。可直插U盘播放测试视频录像；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2、主机采用硅胶按键；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3、主机内置二维码扫描仪（非外接型），自动识别测试者二维码或条形码身份信息；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4、主机可选配AI语音智能识别功能，可通过</w:t>
            </w:r>
            <w:r>
              <w:rPr>
                <w:rFonts w:hint="eastAsia" w:ascii="宋体" w:hAnsi="宋体" w:eastAsia="宋体" w:cs="宋体"/>
                <w:i w:val="0"/>
                <w:iCs w:val="0"/>
                <w:color w:val="000000"/>
                <w:sz w:val="21"/>
                <w:szCs w:val="21"/>
                <w:u w:val="none"/>
                <w:lang w:val="en-US" w:eastAsia="zh-CN" w:bidi="ar"/>
              </w:rPr>
              <w:t xml:space="preserve">语音智能调节屏幕亮度，音量大小，关闭程序等功能；                                                                                                                                         5、主机具备≥2个USB标准接口（非外接扩展），可直接插入U盘导入≥100000条测试名单信息，也可直接导出测试成绩至U盘自动生成Excel表格。同时支持学生名单的无线同步和离线导入功能；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主机具多种身份识别功能：可通过触摸屏输入、机械键盘输入、非接触式IC卡（兼容校园一卡通）、条码扫描仪等识别方法；输入学号具备自动递增功能；菜单具备单项查询，集体查询，分组查询，具有年级班级组别日期等多种筛选数据方式，查询便捷；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7、主机支持U盘直接导入国标和自定义评分标准，内嵌国标可以根据年级性别项目进行实时评分，适用于体测；也可以自定义导入评分标准对测试结果进行评分；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8、主机支持头像管理，可以通过</w:t>
            </w:r>
            <w:r>
              <w:rPr>
                <w:rFonts w:hint="eastAsia" w:ascii="宋体" w:hAnsi="宋体" w:eastAsia="宋体" w:cs="宋体"/>
                <w:i w:val="0"/>
                <w:iCs w:val="0"/>
                <w:color w:val="000000"/>
                <w:sz w:val="21"/>
                <w:szCs w:val="21"/>
                <w:u w:val="none"/>
                <w:lang w:val="en-US" w:eastAsia="zh-CN" w:bidi="ar"/>
              </w:rPr>
              <w:t xml:space="preserve">U盘批量导入学生头像10000条以上，也可以通过云平台从网络实时无线下载学生头像；                                                                                                                                         9、主机查询结果能一屏同时显示测试学校、年级、班级、学生姓名、性别、测试成绩、测试日期及时间，方便后期督查。具有日志管理，记录操作人员在主机上的所有操作；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10、主机具有数据备份和恢复功能，可以备份任意时间段体测程序里面的所有数据，可以备份多次保存在存储芯片里面。支持一键恢复，根据日期选择要恢复的备份，自动恢复测试数据；                                                                                                                                         11.</w:t>
            </w:r>
            <w:r>
              <w:rPr>
                <w:rFonts w:hint="eastAsia" w:ascii="宋体" w:hAnsi="宋体" w:cs="宋体"/>
                <w:i w:val="0"/>
                <w:iCs w:val="0"/>
                <w:color w:val="ff0000"/>
                <w:sz w:val="21"/>
                <w:szCs w:val="21"/>
                <w:u w:val="none"/>
                <w:lang w:val="en-US" w:eastAsia="zh-CN" w:bidi="ar"/>
              </w:rPr>
              <w:t xml:space="preserve">投标人需出具符合以下技术参数要求的具备资质的第三方检测机构出具的检测结果符合相应要求和标准的检测报告原件扫描件。（检测标准若有更新，按照最新规定执行）</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测量范围：－20cm～40cm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分度值：0.1cm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误差： 0cm    </w:t>
            </w:r>
            <w:r>
              <w:rPr>
                <w:rFonts w:hint="eastAsia" w:ascii="宋体" w:hAnsi="宋体" w:eastAsia="宋体" w:cs="宋体"/>
                <w:i w:val="0"/>
                <w:iCs w:val="0"/>
                <w:color w:val="000000"/>
                <w:sz w:val="21"/>
                <w:szCs w:val="21"/>
                <w:u w:val="none"/>
              </w:rPr>
            </w:r>
            <w:r/>
          </w:p>
        </w:tc>
      </w:tr>
      <w:tr>
        <w:trPr>
          <w:trHeight w:val="120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联合训练器</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1、器材主要承载立柱采用Φ114x3.0mm优质钢管，杠面采用Ø32x3.0圆管制作，规格不低于2347*2237*2350cm；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2、产品安全要求：器材各支撑棱边和尖角半径≤3.0mm，易接触的零部件的其他所有棱边进行圆滑过渡；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3、紧固件器材所使用紧固件均为防盗、防松304不锈钢材质。</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呼啦圈</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1、直径不小于65cm。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毽子</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1、毽盘≥20mm，毽毛≥100mm。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飞盘</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1、软式飞盘。</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剑(刀)</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1、剑总长900mm，剑柄长150mm。</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划线器</w:t>
            </w:r>
            <w:r>
              <w:rPr>
                <w:rFonts w:hint="eastAsia" w:ascii="宋体" w:hAnsi="宋体" w:eastAsia="宋体" w:cs="宋体"/>
                <w:i w:val="0"/>
                <w:iCs w:val="0"/>
                <w:color w:val="000000"/>
                <w:sz w:val="21"/>
                <w:szCs w:val="21"/>
                <w:u w:val="none"/>
              </w:rPr>
            </w:r>
            <w:r/>
          </w:p>
        </w:tc>
        <w:tc>
          <w:tcPr>
            <w:tcW w:w="478"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1、车身采用钢板一次折弯成斗型；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2、有直径为25mm的副手；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3、有与地面接触的三个橡胶轮，轮子滚动带动粉末撒落。</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录音机</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1、可移动播放器，内置电池，可外接电源，带USB、SD卡播放功能，一键蓝牙连接，带一只无线话筒，高低音双发声单元。</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扩音器</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1、手提式，功率25W。</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标志筒</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1、规格：高度约30厘米，底部直径约22厘米；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2、材质：环保新塑料（无臭）。</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保健箱</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1、绿药膏1瓶；烧伤药膏1瓶；苏打粉100g；硼酸100g；创可贴10条；紫药水50ml；红药水50ml；碘酒50ml；3％双氧水100ml；胶布1卷；绷带1卷；药棉1包；手术剪1把；镊子1把。</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钢丝绳</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绳长2.8米，手柄为钢制，内带360°旋转，整体钢丝绳结构</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长绳4.2米</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竹节长绳4.2m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长绳3.6米</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竹节长绳3.6m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平衡木</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优质木，长度3米，面宽20cm，高度30cm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分队服</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材质：涤纶，多色可选</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分道牌</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道次墩，40cm*20cm 塑料</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石灰粉</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划线专用石灰粉，10kg重</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石灰桶</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高度18cm，直径28cm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划线勺</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划线专用划线勺，手柄50cm,80cm长度各2个</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正规跨栏架</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参考尺寸：栏面长宽≥120cm，底座长度≥95cm，高度可调节范围为76~106.7cm</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标志桶小</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高密度PE材质（黄、绿、红、蓝）规格：高度约23±2厘米，底部直径约22厘米，重量约410克.材质：环保新塑料（无臭）</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标志桶中</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高密度PE材质（黄、绿、红、蓝）规格：高度约38±2厘米，底部直径约22厘米，重量约410克.材质：环保新塑料（无臭）</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标志盘</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敏捷圈</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ABS材质，40cm/50cm/70cm（ 各50个 ）</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小栏架</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60CM 10个、30CM  20个、40CM 20个</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发令旗</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由旗杆和旗面组成。旗杆为Φ22×1.5mm的铝合金或不锈管，旗面尺寸约为350×320㎜的涤纶布料。旗面多种颜色可选，手柄部分配有或海绵套。红白各10个</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ff0000"/>
                <w:sz w:val="21"/>
                <w:szCs w:val="21"/>
                <w:u w:val="none"/>
                <w:shd w:val="clear" w:color="auto" w:fill="auto"/>
                <w:lang w:val="en-US" w:eastAsia="zh-CN" w:bidi="ar"/>
              </w:rPr>
              <w:t xml:space="preserve">5号球</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足球门</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7人制足球门</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垒球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10寸垒球</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绳梯</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6米12栏，防滑横格+高密度尼龙织带，训练身体灵活性，平衡性，以及协调性</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跳箱</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加厚防滑PVC、填充珍珠棉，四种不同高度15cm,30cm,45cm,60cm。</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踏跳板</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材质：ABS工程塑料，尺寸：不低于105*40*20cm配件：面板1块 踏板托4个，重量：约9kg</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空竹</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PU环保材质，无毒无害，3轴，直径10.5cm，高度12.5cm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橄榄球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PU材质表面防滑颗粒，4层内胆，</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彩虹伞</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顶</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加厚牛津布材质，直径4m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羊角球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优质PVC材质,抗压防爆，磨砂表面,加厚60cm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排球扣球辅助器</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排球扣球辅助器，高度可调节，泡沫手柄</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哨子</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ff0000"/>
                <w:sz w:val="21"/>
                <w:szCs w:val="21"/>
                <w:u w:val="none"/>
                <w:shd w:val="clear" w:color="auto" w:fill="auto"/>
                <w:lang w:val="en-US" w:eastAsia="zh-CN" w:bidi="ar"/>
              </w:rPr>
              <w:t xml:space="preserve">专业口哨</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夹板（文件）</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文件夹板</w:t>
            </w:r>
            <w:r>
              <w:rPr>
                <w:rFonts w:hint="eastAsia" w:ascii="宋体" w:hAnsi="宋体" w:eastAsia="宋体" w:cs="宋体"/>
                <w:i w:val="0"/>
                <w:iCs w:val="0"/>
                <w:color w:val="000000"/>
                <w:sz w:val="21"/>
                <w:szCs w:val="21"/>
                <w:u w:val="none"/>
              </w:rPr>
            </w:r>
            <w:r/>
          </w:p>
        </w:tc>
      </w:tr>
      <w:tr>
        <w:trPr>
          <w:trHeight w:val="14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杠铃杆</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1、标准杠铃杆，2米2长，杆子直径28mm，训练专用，20公斤重，承重≥1000磅；                                                                                                                                                     2、合金钢制成，镀硬铬，4个滚针轴承。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▲3、配3m²力量区专用橡胶地垫，所投橡胶地垫要求：橡胶地垫5000h老化测试，外观检测结果颜色无变化、灰度3-4级、外观无结块、无断裂橡胶地垫防火等级B2级，拉升强度≥1.65MPa，断裂拉长率150%</w:t>
            </w:r>
            <w:r>
              <w:rPr>
                <w:rFonts w:hint="eastAsia" w:ascii="宋体" w:hAnsi="宋体" w:cs="宋体"/>
                <w:i w:val="0"/>
                <w:iCs w:val="0"/>
                <w:color w:val="000000"/>
                <w:sz w:val="21"/>
                <w:szCs w:val="21"/>
                <w:u w:val="none"/>
                <w:lang w:val="en-US" w:eastAsia="zh-CN" w:bidi="ar"/>
              </w:rPr>
              <w:t xml:space="preserve">。</w:t>
            </w:r>
            <w:r>
              <w:rPr>
                <w:rFonts w:hint="eastAsia" w:ascii="宋体" w:hAnsi="宋体" w:cs="宋体"/>
                <w:i w:val="0"/>
                <w:iCs w:val="0"/>
                <w:color w:val="ff0000"/>
                <w:sz w:val="21"/>
                <w:szCs w:val="21"/>
                <w:u w:val="none"/>
                <w:lang w:val="en-US" w:eastAsia="zh-CN" w:bidi="ar"/>
              </w:rPr>
              <w:t xml:space="preserve">投标人需提供具备资质的第三方检测机构出具的检测结果符合相应要求和标准的检测报告原件扫描件。（检测标准若有更新，按照最新规定执行）</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杠铃片</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1、2.5KG-25KG（6个规格）2.5KG；5KG；10KG；15KG；20KG；25KG；                                                                                                                                                     2、外表包裹层为PU（环保浇筑型聚氨酯弹性体）；中孔不锈钢套为304不锈钢材质；内部配重铸铁材质为20#铸铁；</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阻力带</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高弹力乳胶材质，2080*4.5*32mm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ff0000"/>
                <w:sz w:val="21"/>
                <w:szCs w:val="21"/>
                <w:u w:val="none"/>
                <w:lang w:val="en-US" w:eastAsia="zh-CN" w:bidi="ar"/>
              </w:rPr>
              <w:t xml:space="preserve">比赛用排球</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泡沫滚筒</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60cm*15cm采用进口EPE材料制成，具有无毒、无味、无臭的特点,主要用于练习平衡训练，作用运动前后对身体各部分肌肉的放松，按摩具有良好功效</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弹力带</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纯天然乳胶，5米长度，3厘米宽，外边6毫米厚，具有很好的延展性。</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波速球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优质PVC加ABS工程塑料材质，配弹力绳两条气筒一个，承重200kg</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分队服（4种颜色）</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带号码的</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标志桶小</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高密度PE材质（黄、绿、红、蓝）规格：高度约23±2厘米，底部直径约22厘米，重量约410克.材质：环保新塑料（无臭）</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标志桶中</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高密度PE材质（黄、绿、红、蓝）规格：高度约38±2厘米，底部直径约22厘米，重量约410克.材质：环保新塑料（无臭）</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标志桶大</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高密度PE材质（黄、绿、红、蓝）规格：高度约50±2厘米，底部直径约22厘米，重量约410克.材质：环保新塑料（无臭）</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标志碟</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lang w:val="en-US" w:eastAsia="zh-CN" w:bidi="ar"/>
              </w:rPr>
              <w:t xml:space="preserve">5号球</w:t>
            </w:r>
            <w:r>
              <w:rPr>
                <w:rFonts w:hint="eastAsia" w:ascii="宋体" w:hAnsi="宋体" w:eastAsia="宋体" w:cs="宋体"/>
                <w:i w:val="0"/>
                <w:iCs w:val="0"/>
                <w:color w:val="ff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lang w:val="en-US" w:eastAsia="zh-CN" w:bidi="ar"/>
              </w:rPr>
              <w:t xml:space="preserve">4号球</w:t>
            </w:r>
            <w:r>
              <w:rPr>
                <w:rFonts w:hint="eastAsia" w:ascii="宋体" w:hAnsi="宋体" w:eastAsia="宋体" w:cs="宋体"/>
                <w:i w:val="0"/>
                <w:iCs w:val="0"/>
                <w:color w:val="ff0000"/>
                <w:sz w:val="21"/>
                <w:szCs w:val="21"/>
                <w:u w:val="none"/>
              </w:rPr>
            </w:r>
            <w:r/>
          </w:p>
        </w:tc>
      </w:tr>
      <w:tr>
        <w:trPr>
          <w:trHeight w:val="48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绳梯</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蝴蝶敏捷梯3.2米，8格，防滑横格+高密度尼龙织带，训练身体灵活性，平衡性，以及协调性</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守门员手套</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足球守门员手套，大3副、中3副、小4副(手掌面采用天然乳胶增强防滑）</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护腿板</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训练用足球护腿板，S、L码</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双肩背包</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ff0000"/>
                <w:sz w:val="21"/>
                <w:szCs w:val="21"/>
                <w:u w:val="none"/>
                <w:lang w:val="en-US" w:eastAsia="zh-CN" w:bidi="ar"/>
              </w:rPr>
              <w:t xml:space="preserve">学生足球双肩背包</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足球训练反弹网</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尺寸不低于100*100cm的尼龙反弹网</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足球网袋</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可装不低于15个球</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移动器材储物室</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尺寸不低于195*215*210cm，优质钢板材料，斜屋顶设计</w:t>
            </w:r>
            <w:r>
              <w:rPr>
                <w:rFonts w:hint="eastAsia" w:ascii="宋体" w:hAnsi="宋体" w:eastAsia="宋体" w:cs="宋体"/>
                <w:i w:val="0"/>
                <w:iCs w:val="0"/>
                <w:color w:val="000000"/>
                <w:sz w:val="21"/>
                <w:szCs w:val="21"/>
                <w:u w:val="none"/>
              </w:rPr>
            </w:r>
            <w:r/>
          </w:p>
        </w:tc>
      </w:tr>
      <w:tr>
        <w:trPr>
          <w:trHeight w:val="90"/>
        </w:trPr>
        <w:tc>
          <w:tcPr>
            <w:tcW w:w="255"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手动篮球架</w:t>
            </w:r>
            <w:r>
              <w:rPr>
                <w:rFonts w:hint="eastAsia" w:ascii="宋体" w:hAnsi="宋体" w:eastAsia="宋体" w:cs="宋体"/>
                <w:i w:val="0"/>
                <w:iCs w:val="0"/>
                <w:color w:val="000000"/>
                <w:sz w:val="21"/>
                <w:szCs w:val="21"/>
                <w:u w:val="none"/>
              </w:rPr>
            </w:r>
            <w:r/>
          </w:p>
        </w:tc>
        <w:tc>
          <w:tcPr>
            <w:tcW w:w="478"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08"/>
              <w:numPr>
                <w:ilvl w:val="0"/>
                <w:numId w:val="7"/>
              </w:numPr>
              <w:jc w:val="both"/>
              <w:keepLines w:val="0"/>
              <w:keepNext w:val="0"/>
              <w:widowControl/>
              <w:tabs>
                <w:tab w:val="left" w:pos="312" w:leader="none"/>
              </w:tabs>
              <w:rPr>
                <w:rFonts w:hint="eastAsia" w:ascii="宋体" w:hAnsi="宋体" w:cs="宋体"/>
                <w:i w:val="0"/>
                <w:iCs w:val="0"/>
                <w:color w:val="ff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篮球架箱体尺寸：箱体尺寸：长X宽X前高X后高=2.1X1.1X0.65X0.35（m），篮球架伸臂为2.55m，篮圈离地面3.05米。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2.箱体底座采用 采用3mm的铁板在专用折边机上折边焊接而成。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3.篮球架立臂采用120X60X3.0、120x120x3.0mm优质管材焊接成型，后立臂采用60X60X3.0方管，篮球架伸臂采用120X120X3.0、120X60X3.0、60X60X3.0优质管材焊接成型。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4.篮架前立柱、底座、伸臂配备有专用护套，能有效保护运动员免收撞击。</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产品结构原理：手动液压篮球架，设有液压升降系统，走轮伸缩机构。篮球架主体升降采用手动液压带动油泵，油缸随即产生伸缩运动，从而使球架立柱升降。篮板规格：1800x1050（mm），配用国际通用的高强度安全玻璃篮板（12mm厚），具有透明度高、耐候性好、抗老化、耐腐蚀、不易模糊等特点，篮球板玻璃达到3C认证标准，并在篮板下沿侧面覆盖有高档聚氨酯保护胶条，能有效保护运动员扣篮时不受伤害。新国标篮筐，篮筐采用φ20实心圆钢制作,篮筐抗弯性能好。弹簧采用加厚高级弹簧钢制成，达国际比赛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一、篮球架要求：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篮球架符合GB/T 23176-2008 《篮球架》标准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结构尺寸：篮板高1050~1070mm，篮板宽1800~ 1830mm，篮板内小框高450~458mm, 篮板内小框宽590~610mm，边框线宽50mm，面底沿至内边框线底线上沿间距148~150mm，篮圈上沿距地间距3050±6mm，篮板正平面距立柱距离mm≥1800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篮板：篮板正表面应平整、光滑,无裂纹、缺角、掉块，两对角线之差≤6mm。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篮圈：抗弯性能好，在篮圈最远点的圈顶上施加静载荷未到105kg时，篮圈无转动，当静载荷≥105kg时，篮圈向下转动，角度不超过30度，能有效解决投篮时篮圈的稳定性和运动员扣篮时的安全性问题</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表面质量：涂饰层表面光滑平整、色泽均匀，无起皮脱落涂饰层表面、漏涂、锈蚀、裂痕以及较明显的流痕、花斑、结点等缺陷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焊接件的外露焊缝表面及相关表面应光滑、规整，无漏焊、虚焊、烧穿及明显的焊瘤、咬边、凸起、凹陷、气孔、溅渣等缺陷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▲提供篮板胶条生产厂家具有第三方检测机构依据IEC62321检测rohs有害物质含量检测报告；</w:t>
            </w:r>
            <w:r>
              <w:rPr>
                <w:rFonts w:hint="eastAsia" w:ascii="宋体" w:hAnsi="宋体" w:cs="宋体"/>
                <w:i w:val="0"/>
                <w:iCs w:val="0"/>
                <w:color w:val="ff0000"/>
                <w:sz w:val="21"/>
                <w:szCs w:val="21"/>
                <w:u w:val="none"/>
                <w:lang w:val="en-US" w:eastAsia="zh-CN" w:bidi="ar"/>
              </w:rPr>
              <w:t xml:space="preserve">投标人需提供具备资质的第三方检测机构出具的检测结果符合相应要求和标准的检测报告原件扫描件。（检测标准若有更新，按照最新规定执行）</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提供篮球网生产厂家具有测试：使用50N的力篮网打结点进行测试，无断线，松散现象；单根篮网绳，使用＞150N，未拉断，依据:GB/T9345.1-2008方法A进行灰分试验，采用650℃煅烧30min，灰分≤15%，</w:t>
            </w:r>
            <w:r>
              <w:rPr>
                <w:rFonts w:hint="eastAsia" w:ascii="宋体" w:hAnsi="宋体" w:cs="宋体"/>
                <w:i w:val="0"/>
                <w:iCs w:val="0"/>
                <w:color w:val="ff0000"/>
                <w:sz w:val="21"/>
                <w:szCs w:val="21"/>
                <w:u w:val="none"/>
                <w:lang w:val="en-US" w:eastAsia="zh-CN" w:bidi="ar"/>
              </w:rPr>
              <w:t xml:space="preserve">投标人需提供具备资质的第三方检测机构出具的检测结果符合相应要求和标准的检测报告原件扫描件。（检测标准若有更新，按照最新规定执行）</w:t>
            </w:r>
            <w:r>
              <w:rPr>
                <w:rFonts w:hint="eastAsia" w:ascii="宋体" w:hAnsi="宋体" w:cs="宋体"/>
                <w:i w:val="0"/>
                <w:iCs w:val="0"/>
                <w:color w:val="ff0000"/>
                <w:sz w:val="21"/>
                <w:szCs w:val="21"/>
                <w:u w:val="none"/>
                <w:lang w:val="en-US" w:eastAsia="zh-CN" w:bidi="ar"/>
              </w:rPr>
            </w:r>
            <w:r/>
          </w:p>
          <w:p>
            <w:pPr>
              <w:pStyle w:val="708"/>
              <w:numPr>
                <w:ilvl w:val="0"/>
                <w:numId w:val="0"/>
              </w:num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篮球架管材通过耐酸碱检验并获得国家级检测报告：（1）耐酸性（PH=3.0溶液）侵蚀300h未出现起泡、开裂、剥落、掉粉、明显色变、明显失光等现象，篮球架管材耐碱性（饱和Ca（OH）2 溶液）侵蚀72小时未出现变色、起泡、剥落、粉化等现象，</w:t>
            </w:r>
            <w:r>
              <w:rPr>
                <w:rFonts w:hint="eastAsia" w:ascii="宋体" w:hAnsi="宋体" w:cs="宋体"/>
                <w:i w:val="0"/>
                <w:iCs w:val="0"/>
                <w:color w:val="ff0000"/>
                <w:sz w:val="21"/>
                <w:szCs w:val="21"/>
                <w:u w:val="none"/>
                <w:lang w:val="en-US" w:eastAsia="zh-CN" w:bidi="ar"/>
              </w:rPr>
              <w:t xml:space="preserve">投标人需提供具备资质的第三方检测机构出具的检测结果符合相应要求和标准的检测报告原件扫描件。（检测标准若有更新，按照最新规定执行）</w:t>
            </w:r>
            <w:r>
              <w:rPr>
                <w:rFonts w:hint="eastAsia" w:ascii="宋体" w:hAnsi="宋体" w:eastAsia="宋体" w:cs="宋体"/>
                <w:i w:val="0"/>
                <w:iCs w:val="0"/>
                <w:color w:val="000000"/>
                <w:sz w:val="21"/>
                <w:szCs w:val="21"/>
                <w:u w:val="none"/>
              </w:rPr>
            </w:r>
            <w:r/>
          </w:p>
        </w:tc>
      </w:tr>
    </w:tbl>
    <w:p>
      <w:pPr>
        <w:pStyle w:val="708"/>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08"/>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08"/>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★2.原材料环保要求</w:t>
      </w:r>
      <w:r>
        <w:rPr>
          <w:rFonts w:hint="eastAsia" w:ascii="宋体" w:hAnsi="宋体" w:cs="宋体"/>
          <w:b/>
          <w:bCs/>
          <w:color w:val="000000"/>
          <w:sz w:val="24"/>
          <w:szCs w:val="24"/>
          <w:highlight w:val="none"/>
        </w:rPr>
      </w:r>
      <w:r/>
    </w:p>
    <w:p>
      <w:pPr>
        <w:pStyle w:val="708"/>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（1）供应商中标后，应提供</w:t>
      </w:r>
      <w:r>
        <w:rPr>
          <w:rFonts w:hint="eastAsia" w:ascii="宋体" w:hAnsi="宋体" w:cs="宋体"/>
          <w:bCs/>
          <w:color w:val="000000"/>
          <w:sz w:val="24"/>
          <w:szCs w:val="24"/>
          <w:highlight w:val="none"/>
          <w:lang w:eastAsia="zh-CN"/>
        </w:rPr>
        <w:t xml:space="preserve">货物</w:t>
      </w:r>
      <w:r>
        <w:rPr>
          <w:rFonts w:hint="eastAsia" w:ascii="宋体" w:hAnsi="宋体" w:cs="宋体"/>
          <w:bCs/>
          <w:color w:val="000000"/>
          <w:sz w:val="24"/>
          <w:szCs w:val="24"/>
          <w:highlight w:val="none"/>
        </w:rPr>
        <w:t xml:space="preserve">材质清单、原材料产地证明，需就拟投入本项目生产的原材料和主要辅材进行送检，送检内容和受检机构需经采购人认可。</w:t>
      </w:r>
      <w:r>
        <w:rPr>
          <w:rFonts w:hint="eastAsia" w:ascii="宋体" w:hAnsi="宋体" w:cs="宋体"/>
          <w:bCs/>
          <w:color w:val="000000"/>
          <w:sz w:val="24"/>
          <w:szCs w:val="24"/>
          <w:highlight w:val="none"/>
        </w:rPr>
      </w:r>
      <w:r/>
    </w:p>
    <w:p>
      <w:pPr>
        <w:pStyle w:val="708"/>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（2）原材料及辅材应符合国家规定的强制性环保指标。</w:t>
      </w:r>
      <w:r>
        <w:rPr>
          <w:rFonts w:hint="eastAsia" w:ascii="宋体" w:hAnsi="宋体" w:cs="宋体"/>
          <w:bCs/>
          <w:color w:val="000000"/>
          <w:sz w:val="24"/>
          <w:szCs w:val="24"/>
          <w:highlight w:val="none"/>
        </w:rPr>
      </w:r>
      <w:r/>
    </w:p>
    <w:p>
      <w:pPr>
        <w:pStyle w:val="708"/>
        <w:rPr>
          <w:rFonts w:hint="eastAsia" w:ascii="宋体" w:hAnsi="宋体" w:cs="宋体"/>
          <w:bCs/>
          <w:color w:val="000000"/>
          <w:sz w:val="24"/>
          <w:szCs w:val="24"/>
          <w:highlight w:val="none"/>
        </w:rPr>
      </w:pPr>
      <w:r>
        <w:rPr>
          <w:rFonts w:hint="eastAsia" w:ascii="宋体" w:hAnsi="宋体"/>
          <w:color w:val="000000"/>
          <w:sz w:val="24"/>
          <w:highlight w:val="none"/>
        </w:rPr>
        <w:t xml:space="preserve">★</w:t>
      </w:r>
      <w:r>
        <w:rPr>
          <w:rFonts w:hint="eastAsia" w:ascii="宋体" w:hAnsi="宋体" w:cs="宋体"/>
          <w:bCs/>
          <w:color w:val="000000"/>
          <w:sz w:val="24"/>
          <w:szCs w:val="24"/>
          <w:highlight w:val="none"/>
        </w:rPr>
        <w:t xml:space="preserve">（二）商务要求</w:t>
      </w:r>
      <w:r>
        <w:rPr>
          <w:rFonts w:hint="eastAsia" w:ascii="宋体" w:hAnsi="宋体" w:cs="宋体"/>
          <w:bCs/>
          <w:color w:val="000000"/>
          <w:sz w:val="24"/>
          <w:szCs w:val="24"/>
          <w:highlight w:val="none"/>
        </w:rPr>
      </w:r>
      <w:r/>
    </w:p>
    <w:p>
      <w:pPr>
        <w:pStyle w:val="708"/>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报价要求</w:t>
      </w:r>
      <w:r>
        <w:rPr>
          <w:rFonts w:ascii="宋体" w:hAnsi="宋体" w:cs="宋体"/>
          <w:color w:val="000000"/>
          <w:sz w:val="24"/>
          <w:szCs w:val="24"/>
          <w:highlight w:val="none"/>
        </w:rPr>
      </w:r>
      <w:r/>
    </w:p>
    <w:p>
      <w:pPr>
        <w:pStyle w:val="70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highlight w:val="none"/>
        </w:rPr>
      </w:r>
      <w:r/>
    </w:p>
    <w:p>
      <w:pPr>
        <w:pStyle w:val="70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（2）供应商的任何错漏、优惠、竞争性报价不得作为减轻责任、减少服务、增加收费、降低服务质量的理由。</w:t>
      </w:r>
      <w:r>
        <w:rPr>
          <w:rFonts w:hint="eastAsia" w:ascii="宋体" w:hAnsi="宋体" w:cs="宋体"/>
          <w:color w:val="000000"/>
          <w:sz w:val="24"/>
          <w:szCs w:val="24"/>
          <w:highlight w:val="none"/>
        </w:rPr>
      </w:r>
      <w:r/>
    </w:p>
    <w:p>
      <w:pPr>
        <w:pStyle w:val="70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cs="宋体"/>
          <w:color w:val="000000"/>
          <w:sz w:val="24"/>
          <w:szCs w:val="24"/>
          <w:highlight w:val="none"/>
        </w:rPr>
      </w:r>
      <w:r/>
    </w:p>
    <w:p>
      <w:pPr>
        <w:pStyle w:val="708"/>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2.实施要求</w:t>
      </w:r>
      <w:r>
        <w:rPr>
          <w:rFonts w:hint="eastAsia" w:ascii="宋体" w:hAnsi="宋体" w:cs="宋体"/>
          <w:bCs/>
          <w:color w:val="000000"/>
          <w:sz w:val="24"/>
          <w:szCs w:val="24"/>
          <w:highlight w:val="none"/>
        </w:rPr>
      </w:r>
      <w:r/>
    </w:p>
    <w:p>
      <w:pPr>
        <w:pStyle w:val="708"/>
        <w:ind w:firstLine="480"/>
        <w:rPr>
          <w:rFonts w:ascii="宋体" w:hAnsi="宋体" w:cs="宋体"/>
          <w:color w:val="000000"/>
          <w:sz w:val="24"/>
          <w:szCs w:val="24"/>
          <w:highlight w:val="none"/>
        </w:rPr>
      </w:pPr>
      <w:r>
        <w:rPr>
          <w:rFonts w:ascii="宋体" w:hAnsi="宋体" w:cs="宋体"/>
          <w:color w:val="000000"/>
          <w:sz w:val="24"/>
          <w:szCs w:val="24"/>
          <w:highlight w:val="none"/>
        </w:rPr>
        <w:t xml:space="preserve">（1）总体要求</w:t>
      </w:r>
      <w:r>
        <w:rPr>
          <w:rFonts w:ascii="宋体" w:hAnsi="宋体" w:cs="宋体"/>
          <w:color w:val="000000"/>
          <w:sz w:val="24"/>
          <w:szCs w:val="24"/>
          <w:highlight w:val="none"/>
        </w:rPr>
      </w:r>
      <w:r/>
    </w:p>
    <w:p>
      <w:pPr>
        <w:pStyle w:val="70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1 \* GB3 \* MERGEFORMAT </w:instrText>
      </w:r>
      <w:r>
        <w:rPr>
          <w:rFonts w:hint="eastAsia" w:ascii="宋体" w:hAnsi="宋体" w:cs="宋体"/>
          <w:color w:val="000000"/>
          <w:sz w:val="24"/>
          <w:szCs w:val="24"/>
          <w:highlight w:val="none"/>
        </w:rPr>
        <w:fldChar w:fldCharType="separate"/>
      </w:r>
      <w:r>
        <w:rPr>
          <w:color w:val="000000"/>
          <w:sz w:val="24"/>
          <w:szCs w:val="24"/>
          <w:highlight w:val="none"/>
        </w:rPr>
        <w:t xml:space="preserve">①</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供应商提供设备安装日程计划。 </w:t>
      </w:r>
      <w:r>
        <w:rPr>
          <w:rFonts w:hint="eastAsia" w:ascii="宋体" w:hAnsi="宋体" w:cs="宋体"/>
          <w:color w:val="000000"/>
          <w:sz w:val="24"/>
          <w:szCs w:val="24"/>
          <w:highlight w:val="none"/>
        </w:rPr>
      </w:r>
      <w:r/>
    </w:p>
    <w:p>
      <w:pPr>
        <w:pStyle w:val="70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2 \* GB3 \* MERGEFORMAT </w:instrText>
      </w:r>
      <w:r>
        <w:rPr>
          <w:rFonts w:hint="eastAsia" w:ascii="宋体" w:hAnsi="宋体" w:cs="宋体"/>
          <w:color w:val="000000"/>
          <w:sz w:val="24"/>
          <w:szCs w:val="24"/>
          <w:highlight w:val="none"/>
        </w:rPr>
        <w:fldChar w:fldCharType="separate"/>
      </w:r>
      <w:r>
        <w:rPr>
          <w:color w:val="000000"/>
          <w:sz w:val="24"/>
          <w:szCs w:val="24"/>
          <w:highlight w:val="none"/>
        </w:rPr>
        <w:t xml:space="preserve">②</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供应商应及时与采购人联系，对本项目所有产品的规格尺寸、款式、颜色等要求进一步确认，得到采购人的签字盖章认可后方可生产，并确保产品质量。</w:t>
      </w:r>
      <w:r>
        <w:rPr>
          <w:rFonts w:hint="eastAsia" w:ascii="宋体" w:hAnsi="宋体" w:cs="宋体"/>
          <w:color w:val="000000"/>
          <w:sz w:val="24"/>
          <w:szCs w:val="24"/>
          <w:highlight w:val="none"/>
        </w:rPr>
      </w:r>
      <w:r/>
    </w:p>
    <w:p>
      <w:pPr>
        <w:pStyle w:val="708"/>
        <w:ind w:firstLine="480"/>
        <w:rPr>
          <w:rFonts w:hint="eastAsia" w:ascii="宋体" w:hAnsi="宋体" w:cs="宋体"/>
          <w:color w:val="000000"/>
          <w:sz w:val="24"/>
          <w:szCs w:val="24"/>
          <w:highlight w:val="none"/>
        </w:rPr>
      </w:pP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质量要求</w:t>
      </w:r>
      <w:r>
        <w:rPr>
          <w:rFonts w:hint="eastAsia" w:ascii="宋体" w:hAnsi="宋体" w:cs="宋体"/>
          <w:color w:val="000000"/>
          <w:sz w:val="24"/>
          <w:szCs w:val="24"/>
          <w:highlight w:val="none"/>
        </w:rPr>
      </w:r>
      <w:r/>
    </w:p>
    <w:p>
      <w:pPr>
        <w:pStyle w:val="70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所供产品必须是全新的原装正品，符合国家规定的质量标准，不得私自添加或更改，保证所有产品原材料及部件均是全新的纯正部件，不得以废、旧材料制作，产品必须符合</w:t>
      </w:r>
      <w:r>
        <w:rPr>
          <w:rFonts w:hint="eastAsia" w:ascii="宋体" w:hAnsi="宋体" w:cs="宋体"/>
          <w:color w:val="000000"/>
          <w:sz w:val="24"/>
          <w:szCs w:val="24"/>
          <w:highlight w:val="none"/>
          <w:lang w:val="en-US" w:eastAsia="zh-CN"/>
        </w:rPr>
        <w:t xml:space="preserve">产品</w:t>
      </w:r>
      <w:r>
        <w:rPr>
          <w:rFonts w:hint="eastAsia" w:ascii="宋体" w:hAnsi="宋体" w:cs="宋体"/>
          <w:color w:val="000000"/>
          <w:sz w:val="24"/>
          <w:szCs w:val="24"/>
          <w:highlight w:val="none"/>
        </w:rPr>
        <w:t xml:space="preserve">行业设计及采购人的品质、环保要求。交货时所有</w:t>
      </w:r>
      <w:r>
        <w:rPr>
          <w:rFonts w:hint="eastAsia" w:ascii="宋体" w:hAnsi="宋体" w:cs="宋体"/>
          <w:color w:val="000000"/>
          <w:sz w:val="24"/>
          <w:szCs w:val="24"/>
          <w:highlight w:val="none"/>
          <w:lang w:eastAsia="zh-CN"/>
        </w:rPr>
        <w:t xml:space="preserve">货物</w:t>
      </w:r>
      <w:r>
        <w:rPr>
          <w:rFonts w:hint="eastAsia" w:ascii="宋体" w:hAnsi="宋体" w:cs="宋体"/>
          <w:color w:val="000000"/>
          <w:sz w:val="24"/>
          <w:szCs w:val="24"/>
          <w:highlight w:val="none"/>
        </w:rPr>
        <w:t xml:space="preserve">应完好，物品配件齐全，否则视为不合格产品。</w:t>
      </w:r>
      <w:r>
        <w:rPr>
          <w:rFonts w:hint="eastAsia" w:ascii="宋体" w:hAnsi="宋体" w:cs="宋体"/>
          <w:color w:val="000000"/>
          <w:sz w:val="24"/>
          <w:szCs w:val="24"/>
          <w:highlight w:val="none"/>
        </w:rPr>
      </w:r>
      <w:r/>
    </w:p>
    <w:p>
      <w:pPr>
        <w:pStyle w:val="708"/>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（3）安全施工要求</w:t>
      </w:r>
      <w:r>
        <w:rPr>
          <w:rFonts w:hint="eastAsia" w:ascii="宋体" w:hAnsi="宋体" w:cs="宋体"/>
          <w:bCs/>
          <w:color w:val="000000"/>
          <w:sz w:val="24"/>
          <w:szCs w:val="24"/>
          <w:highlight w:val="none"/>
        </w:rPr>
      </w:r>
      <w:r/>
    </w:p>
    <w:p>
      <w:pPr>
        <w:pStyle w:val="708"/>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供应商应采取安全措施，确保施工安全。因本项目施工产生的施工人员和学校师生人身安全问题由供应商承担全部责任。 </w:t>
      </w:r>
      <w:r>
        <w:rPr>
          <w:rFonts w:hint="eastAsia" w:ascii="宋体" w:hAnsi="宋体" w:cs="宋体"/>
          <w:bCs/>
          <w:color w:val="000000"/>
          <w:sz w:val="24"/>
          <w:szCs w:val="24"/>
          <w:highlight w:val="none"/>
        </w:rPr>
      </w:r>
      <w:r/>
    </w:p>
    <w:p>
      <w:pPr>
        <w:pStyle w:val="708"/>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（4）验收要求</w:t>
      </w:r>
      <w:r>
        <w:rPr>
          <w:rFonts w:hint="eastAsia" w:ascii="宋体" w:hAnsi="宋体" w:cs="宋体"/>
          <w:bCs/>
          <w:color w:val="000000"/>
          <w:sz w:val="24"/>
          <w:szCs w:val="24"/>
          <w:highlight w:val="none"/>
        </w:rPr>
      </w:r>
      <w:r/>
    </w:p>
    <w:p>
      <w:pPr>
        <w:pStyle w:val="70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①供应商提交的货物由采购人（或委托第三方专业机构）负责检测、验收。 不合格的，供应商必须免费整改直至合格为止。</w:t>
      </w:r>
      <w:r>
        <w:rPr>
          <w:rFonts w:hint="eastAsia" w:ascii="宋体" w:hAnsi="宋体" w:cs="宋体"/>
          <w:color w:val="000000"/>
          <w:sz w:val="24"/>
          <w:szCs w:val="24"/>
          <w:highlight w:val="none"/>
        </w:rPr>
      </w:r>
      <w:r/>
    </w:p>
    <w:p>
      <w:pPr>
        <w:pStyle w:val="70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w:t>
      </w:r>
      <w:r>
        <w:rPr>
          <w:rFonts w:hint="eastAsia" w:ascii="宋体" w:hAnsi="宋体" w:cs="宋体"/>
          <w:color w:val="000000"/>
          <w:sz w:val="24"/>
          <w:szCs w:val="24"/>
          <w:highlight w:val="none"/>
          <w:lang w:eastAsia="zh-CN"/>
        </w:rPr>
        <w:t xml:space="preserve">货物</w:t>
      </w:r>
      <w:r>
        <w:rPr>
          <w:rFonts w:hint="eastAsia" w:ascii="宋体" w:hAnsi="宋体" w:cs="宋体"/>
          <w:color w:val="000000"/>
          <w:sz w:val="24"/>
          <w:szCs w:val="24"/>
          <w:highlight w:val="none"/>
        </w:rPr>
        <w:t xml:space="preserve">安装完毕后，供应商主动配合采购人组织的验收小组进行验收，采购人在接收时对货物的品种、规格、性能、质量、数量、外观以及配件等进行验收。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cs="宋体"/>
          <w:color w:val="000000"/>
          <w:sz w:val="24"/>
          <w:szCs w:val="24"/>
          <w:highlight w:val="none"/>
        </w:rPr>
      </w:r>
      <w:r/>
    </w:p>
    <w:p>
      <w:pPr>
        <w:pStyle w:val="70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③对交付质量有异议的货物，采购人可对供应商正式供货</w:t>
      </w:r>
      <w:r>
        <w:rPr>
          <w:rFonts w:hint="eastAsia" w:ascii="宋体" w:hAnsi="宋体" w:cs="宋体"/>
          <w:color w:val="000000"/>
          <w:sz w:val="24"/>
          <w:szCs w:val="24"/>
          <w:highlight w:val="none"/>
          <w:lang w:eastAsia="zh-CN"/>
        </w:rPr>
        <w:t xml:space="preserve">货物</w:t>
      </w:r>
      <w:r>
        <w:rPr>
          <w:rFonts w:hint="eastAsia" w:ascii="宋体" w:hAnsi="宋体" w:cs="宋体"/>
          <w:color w:val="000000"/>
          <w:sz w:val="24"/>
          <w:szCs w:val="24"/>
          <w:highlight w:val="none"/>
        </w:rPr>
        <w:t xml:space="preserve">随机抽取一件进行破坏性检测，被抽样检测</w:t>
      </w:r>
      <w:r>
        <w:rPr>
          <w:rFonts w:hint="eastAsia" w:ascii="宋体" w:hAnsi="宋体" w:cs="宋体"/>
          <w:color w:val="000000"/>
          <w:sz w:val="24"/>
          <w:szCs w:val="24"/>
          <w:highlight w:val="none"/>
          <w:lang w:eastAsia="zh-CN"/>
        </w:rPr>
        <w:t xml:space="preserve">货物</w:t>
      </w:r>
      <w:r>
        <w:rPr>
          <w:rFonts w:hint="eastAsia" w:ascii="宋体" w:hAnsi="宋体" w:cs="宋体"/>
          <w:color w:val="000000"/>
          <w:sz w:val="24"/>
          <w:szCs w:val="24"/>
          <w:highlight w:val="none"/>
        </w:rPr>
        <w:t xml:space="preserve">中甲醛和苯等有害物质含量不符合招标文件要求或国家标准的、参数和材质不符合招标文件要求的，视为不合格产品，采购人有权拒绝接收所有</w:t>
      </w:r>
      <w:r>
        <w:rPr>
          <w:rFonts w:hint="eastAsia" w:ascii="宋体" w:hAnsi="宋体" w:cs="宋体"/>
          <w:color w:val="000000"/>
          <w:sz w:val="24"/>
          <w:szCs w:val="24"/>
          <w:highlight w:val="none"/>
          <w:lang w:eastAsia="zh-CN"/>
        </w:rPr>
        <w:t xml:space="preserve">货物</w:t>
      </w:r>
      <w:r>
        <w:rPr>
          <w:rFonts w:hint="eastAsia" w:ascii="宋体" w:hAnsi="宋体" w:cs="宋体"/>
          <w:color w:val="000000"/>
          <w:sz w:val="24"/>
          <w:szCs w:val="24"/>
          <w:highlight w:val="none"/>
        </w:rPr>
        <w:t xml:space="preserve">，并要求供应商按合同规定赔偿采购人损失（破坏性检测的货物，检测费用以及重新安装费用由中标供应商支付）。抽取样品时，供应商代表、检测中心专业人员、采购人代表三方同时在场的情况下方可进行，否则进行的检测视为无效；检测数据由具有相应资质的第三方检测机构出具；如检测不合格，供应商对相关的项目无条件进行整改，若二次验收不合格，采购人有权退货，由此造成一切损失均由供应商承担。采购人在此期间保留对供应商的索赔权利。</w:t>
      </w:r>
      <w:r>
        <w:rPr>
          <w:rFonts w:hint="eastAsia" w:ascii="宋体" w:hAnsi="宋体" w:cs="宋体"/>
          <w:color w:val="000000"/>
          <w:sz w:val="24"/>
          <w:szCs w:val="24"/>
          <w:highlight w:val="none"/>
        </w:rPr>
      </w:r>
      <w:r/>
    </w:p>
    <w:p>
      <w:pPr>
        <w:pStyle w:val="708"/>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（5）质保（维保）及售后要求</w:t>
      </w:r>
      <w:r>
        <w:rPr>
          <w:rFonts w:hint="eastAsia" w:ascii="宋体" w:hAnsi="宋体" w:cs="宋体"/>
          <w:bCs/>
          <w:color w:val="000000"/>
          <w:sz w:val="24"/>
          <w:szCs w:val="24"/>
          <w:highlight w:val="none"/>
        </w:rPr>
      </w:r>
      <w:r/>
    </w:p>
    <w:p>
      <w:pPr>
        <w:pStyle w:val="708"/>
        <w:ind w:firstLine="480"/>
        <w:rPr>
          <w:color w:val="000000"/>
          <w:sz w:val="24"/>
          <w:szCs w:val="24"/>
          <w:highlight w:val="none"/>
        </w:rPr>
      </w:pPr>
      <w:r>
        <w:rPr>
          <w:color w:val="000000"/>
          <w:sz w:val="24"/>
          <w:szCs w:val="24"/>
          <w:highlight w:val="none"/>
        </w:rPr>
        <w:t xml:space="preserve">①</w:t>
      </w:r>
      <w:r>
        <w:rPr>
          <w:rFonts w:hint="eastAsia"/>
          <w:color w:val="000000"/>
          <w:sz w:val="24"/>
          <w:szCs w:val="24"/>
          <w:highlight w:val="none"/>
        </w:rPr>
        <w:t xml:space="preserve">本项目整体质保</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w:t>
      </w:r>
      <w:r>
        <w:rPr>
          <w:rFonts w:hint="eastAsia"/>
          <w:color w:val="000000"/>
          <w:sz w:val="24"/>
          <w:szCs w:val="24"/>
          <w:highlight w:val="none"/>
          <w:lang w:eastAsia="zh-CN"/>
        </w:rPr>
        <w:t xml:space="preserve">自验收报告签字确认日起，进入质保期</w:t>
      </w:r>
      <w:r>
        <w:rPr>
          <w:rFonts w:hint="eastAsia"/>
          <w:color w:val="000000"/>
          <w:sz w:val="24"/>
          <w:szCs w:val="24"/>
          <w:highlight w:val="none"/>
        </w:rPr>
        <w:t xml:space="preserve">），</w:t>
      </w:r>
      <w:r>
        <w:rPr>
          <w:color w:val="000000"/>
          <w:sz w:val="24"/>
          <w:szCs w:val="24"/>
          <w:highlight w:val="none"/>
        </w:rPr>
        <w:t xml:space="preserve">质保期内，每年维护保养1次，维护保养及更换损坏件的费用包含在投标总价中。</w:t>
      </w:r>
      <w:r>
        <w:rPr>
          <w:color w:val="000000"/>
          <w:sz w:val="24"/>
          <w:szCs w:val="24"/>
          <w:highlight w:val="none"/>
        </w:rPr>
      </w:r>
      <w:r/>
    </w:p>
    <w:p>
      <w:pPr>
        <w:pStyle w:val="708"/>
        <w:ind w:firstLine="480"/>
        <w:rPr>
          <w:color w:val="000000"/>
          <w:sz w:val="24"/>
          <w:szCs w:val="24"/>
          <w:highlight w:val="none"/>
        </w:rPr>
      </w:pPr>
      <w:r>
        <w:rPr>
          <w:color w:val="000000"/>
          <w:sz w:val="24"/>
          <w:szCs w:val="24"/>
          <w:highlight w:val="none"/>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w:t>
      </w:r>
      <w:r>
        <w:rPr>
          <w:rFonts w:hint="eastAsia"/>
          <w:color w:val="000000"/>
          <w:sz w:val="24"/>
          <w:szCs w:val="24"/>
          <w:highlight w:val="none"/>
          <w:lang w:eastAsia="zh-CN"/>
        </w:rPr>
        <w:t xml:space="preserve">货物</w:t>
      </w:r>
      <w:r>
        <w:rPr>
          <w:color w:val="000000"/>
          <w:sz w:val="24"/>
          <w:szCs w:val="24"/>
          <w:highlight w:val="none"/>
        </w:rPr>
        <w:t xml:space="preserve">的一切质量问题，更换部件及</w:t>
      </w:r>
      <w:r>
        <w:rPr>
          <w:rFonts w:hint="eastAsia"/>
          <w:color w:val="000000"/>
          <w:sz w:val="24"/>
          <w:szCs w:val="24"/>
          <w:highlight w:val="none"/>
          <w:lang w:eastAsia="zh-CN"/>
        </w:rPr>
        <w:t xml:space="preserve">货物</w:t>
      </w:r>
      <w:r>
        <w:rPr>
          <w:color w:val="000000"/>
          <w:sz w:val="24"/>
          <w:szCs w:val="24"/>
          <w:highlight w:val="none"/>
        </w:rPr>
        <w:t xml:space="preserve">本身质量原因造成的直接经济损失全部由供应商负责。无法短时间完成维修的，应向采购人提供应急备用产品。 </w:t>
      </w:r>
      <w:r>
        <w:rPr>
          <w:color w:val="000000"/>
          <w:sz w:val="24"/>
          <w:szCs w:val="24"/>
          <w:highlight w:val="none"/>
        </w:rPr>
      </w:r>
      <w:r/>
    </w:p>
    <w:p>
      <w:pPr>
        <w:pStyle w:val="708"/>
        <w:ind w:firstLine="480"/>
        <w:rPr>
          <w:rFonts w:hint="eastAsia"/>
          <w:color w:val="000000"/>
          <w:sz w:val="24"/>
          <w:szCs w:val="24"/>
          <w:highlight w:val="none"/>
        </w:rPr>
      </w:pPr>
      <w:r>
        <w:rPr>
          <w:color w:val="000000"/>
          <w:sz w:val="24"/>
          <w:szCs w:val="24"/>
          <w:highlight w:val="none"/>
        </w:rPr>
        <w:fldChar w:fldCharType="begin"/>
      </w:r>
      <w:r>
        <w:rPr>
          <w:color w:val="000000"/>
          <w:sz w:val="24"/>
          <w:szCs w:val="24"/>
          <w:highlight w:val="none"/>
        </w:rPr>
        <w:instrText xml:space="preserve"> = 3 \* GB3 \* MERGEFORMAT </w:instrText>
      </w:r>
      <w:r>
        <w:rPr>
          <w:color w:val="000000"/>
          <w:sz w:val="24"/>
          <w:szCs w:val="24"/>
          <w:highlight w:val="none"/>
        </w:rPr>
        <w:fldChar w:fldCharType="separate"/>
      </w:r>
      <w:r>
        <w:rPr>
          <w:color w:val="000000"/>
          <w:sz w:val="24"/>
          <w:szCs w:val="24"/>
          <w:highlight w:val="none"/>
        </w:rPr>
        <w:t xml:space="preserve">③</w:t>
      </w:r>
      <w:r>
        <w:rPr>
          <w:color w:val="000000"/>
          <w:sz w:val="24"/>
          <w:szCs w:val="24"/>
          <w:highlight w:val="none"/>
        </w:rPr>
        <w:fldChar w:fldCharType="end"/>
      </w:r>
      <w:r>
        <w:rPr>
          <w:color w:val="000000"/>
          <w:sz w:val="24"/>
          <w:szCs w:val="24"/>
          <w:highlight w:val="none"/>
        </w:rPr>
        <w:t xml:space="preserve">质保期外，供应商提供</w:t>
      </w:r>
      <w:r>
        <w:rPr>
          <w:rFonts w:hint="eastAsia"/>
          <w:color w:val="000000"/>
          <w:sz w:val="24"/>
          <w:szCs w:val="24"/>
          <w:highlight w:val="none"/>
          <w:lang w:eastAsia="zh-CN"/>
        </w:rPr>
        <w:t xml:space="preserve">终身</w:t>
      </w:r>
      <w:r>
        <w:rPr>
          <w:color w:val="000000"/>
          <w:sz w:val="24"/>
          <w:szCs w:val="24"/>
          <w:highlight w:val="none"/>
        </w:rPr>
        <w:t xml:space="preserve">服务，在货物的设计使用寿命周期内，供应商能保证采购人更换到原厂正宗的备件材料，确保产品的正常使用。</w:t>
      </w:r>
      <w:r>
        <w:rPr>
          <w:rFonts w:hint="eastAsia"/>
          <w:color w:val="000000"/>
          <w:sz w:val="24"/>
          <w:szCs w:val="24"/>
          <w:highlight w:val="none"/>
        </w:rPr>
      </w:r>
      <w:r/>
    </w:p>
    <w:p>
      <w:pPr>
        <w:pStyle w:val="708"/>
        <w:ind w:firstLine="480"/>
        <w:rPr>
          <w:color w:val="000000"/>
          <w:sz w:val="24"/>
          <w:szCs w:val="24"/>
          <w:highlight w:val="none"/>
        </w:rPr>
      </w:pPr>
      <w:r>
        <w:rPr>
          <w:rFonts w:hint="eastAsia" w:ascii="宋体" w:hAnsi="宋体"/>
          <w:color w:val="000000"/>
          <w:sz w:val="24"/>
          <w:szCs w:val="24"/>
          <w:highlight w:val="none"/>
        </w:rPr>
        <w:t xml:space="preserve">（</w:t>
      </w:r>
      <w:r>
        <w:rPr>
          <w:rFonts w:hint="eastAsia"/>
          <w:color w:val="000000"/>
          <w:sz w:val="24"/>
          <w:szCs w:val="24"/>
          <w:highlight w:val="none"/>
        </w:rPr>
        <w:t xml:space="preserve">6</w:t>
      </w:r>
      <w:r>
        <w:rPr>
          <w:rFonts w:hint="eastAsia" w:ascii="宋体" w:hAnsi="宋体"/>
          <w:color w:val="000000"/>
          <w:sz w:val="24"/>
          <w:szCs w:val="24"/>
          <w:highlight w:val="none"/>
        </w:rPr>
        <w:t xml:space="preserve">）项目管理</w:t>
      </w:r>
      <w:r>
        <w:rPr>
          <w:color w:val="000000"/>
          <w:sz w:val="24"/>
          <w:szCs w:val="24"/>
          <w:highlight w:val="none"/>
        </w:rPr>
      </w:r>
      <w:r/>
    </w:p>
    <w:p>
      <w:pPr>
        <w:pStyle w:val="708"/>
        <w:ind w:firstLine="480"/>
        <w:rPr>
          <w:rFonts w:hint="eastAsia"/>
          <w:color w:val="000000"/>
          <w:sz w:val="24"/>
          <w:szCs w:val="24"/>
          <w:highlight w:val="none"/>
        </w:rPr>
      </w:pPr>
      <w:r>
        <w:rPr>
          <w:rFonts w:hint="eastAsia" w:ascii="宋体" w:hAnsi="宋体"/>
          <w:color w:val="000000"/>
          <w:sz w:val="24"/>
          <w:szCs w:val="24"/>
          <w:highlight w:val="none"/>
        </w:rPr>
        <w:t xml:space="preserve">①投标人必须承诺接受“南京市教育装备项目管理平台”的信息化过程管理，在“南京市教育装备云服务平台”中公开投标文件、合同与合同清单，接受南京市教育、财政、审计等行政部门的网络在线监督。</w:t>
      </w:r>
      <w:r>
        <w:rPr>
          <w:rFonts w:hint="eastAsia"/>
          <w:color w:val="000000"/>
          <w:sz w:val="24"/>
          <w:szCs w:val="24"/>
          <w:highlight w:val="none"/>
        </w:rPr>
      </w:r>
      <w:r/>
    </w:p>
    <w:p>
      <w:pPr>
        <w:pStyle w:val="708"/>
        <w:ind w:firstLine="480"/>
        <w:rPr>
          <w:rFonts w:hint="eastAsia"/>
          <w:color w:val="000000"/>
          <w:sz w:val="24"/>
          <w:szCs w:val="24"/>
          <w:highlight w:val="none"/>
        </w:rPr>
      </w:pPr>
      <w:r>
        <w:rPr>
          <w:rFonts w:hint="eastAsia" w:ascii="宋体" w:hAnsi="宋体"/>
          <w:color w:val="000000"/>
          <w:sz w:val="24"/>
          <w:szCs w:val="24"/>
          <w:highlight w:val="none"/>
        </w:rPr>
        <w:t xml:space="preserve">②投标人必须承诺在履约过程中，严格按照“南京市教育装备项目管理平台”的技术与管理规范，在规定的时间节点，提供相应的合同履约资料，包括照片。</w:t>
      </w:r>
      <w:r>
        <w:rPr>
          <w:rFonts w:hint="eastAsia"/>
          <w:color w:val="000000"/>
          <w:sz w:val="24"/>
          <w:szCs w:val="24"/>
          <w:highlight w:val="none"/>
        </w:rPr>
      </w:r>
      <w:r/>
    </w:p>
    <w:p>
      <w:pPr>
        <w:pStyle w:val="708"/>
        <w:ind w:firstLine="480"/>
        <w:rPr>
          <w:color w:val="000000"/>
          <w:sz w:val="24"/>
          <w:szCs w:val="24"/>
          <w:highlight w:val="none"/>
        </w:rPr>
      </w:pPr>
      <w:r>
        <w:rPr>
          <w:rFonts w:hint="eastAsia" w:ascii="宋体" w:hAnsi="宋体"/>
          <w:color w:val="000000"/>
          <w:sz w:val="24"/>
          <w:szCs w:val="24"/>
          <w:highlight w:val="none"/>
        </w:rPr>
        <w:t xml:space="preserve">③投标人必须承诺对所有进入固定资产的设备，按南京市的统一要求，通过“南京市教育装备项目管理平台”</w:t>
      </w:r>
      <w:r>
        <w:rPr>
          <w:rFonts w:hint="eastAsia"/>
          <w:color w:val="000000"/>
          <w:sz w:val="24"/>
          <w:szCs w:val="24"/>
          <w:highlight w:val="none"/>
        </w:rPr>
        <w:t xml:space="preserve">(</w:t>
      </w:r>
      <w:r>
        <w:rPr>
          <w:rFonts w:hint="eastAsia" w:ascii="宋体" w:hAnsi="宋体"/>
          <w:color w:val="000000"/>
          <w:sz w:val="24"/>
          <w:szCs w:val="24"/>
          <w:highlight w:val="none"/>
        </w:rPr>
        <w:t xml:space="preserve">南京市教育装备项目管理平台网址</w:t>
      </w:r>
      <w:r>
        <w:rPr>
          <w:rFonts w:hint="eastAsia"/>
          <w:color w:val="000000"/>
          <w:sz w:val="24"/>
          <w:szCs w:val="24"/>
          <w:highlight w:val="none"/>
        </w:rPr>
        <w:t xml:space="preserve">http://nj.cneefix.com)</w:t>
      </w:r>
      <w:r>
        <w:rPr>
          <w:rFonts w:hint="eastAsia" w:ascii="宋体" w:hAnsi="宋体"/>
          <w:color w:val="000000"/>
          <w:sz w:val="24"/>
          <w:szCs w:val="24"/>
          <w:highlight w:val="none"/>
        </w:rPr>
        <w:t xml:space="preserve">制作二维码标签，并张贴到设备上。</w:t>
      </w:r>
      <w:r>
        <w:rPr>
          <w:color w:val="000000"/>
          <w:sz w:val="24"/>
          <w:szCs w:val="24"/>
          <w:highlight w:val="none"/>
        </w:rPr>
      </w:r>
      <w:r/>
    </w:p>
    <w:p>
      <w:pPr>
        <w:pStyle w:val="708"/>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3.付款条件</w:t>
      </w:r>
      <w:r>
        <w:rPr>
          <w:rFonts w:hint="eastAsia" w:ascii="宋体" w:hAnsi="宋体" w:cs="宋体"/>
          <w:bCs/>
          <w:color w:val="000000"/>
          <w:sz w:val="24"/>
          <w:szCs w:val="24"/>
          <w:highlight w:val="none"/>
        </w:rPr>
      </w:r>
      <w:r/>
    </w:p>
    <w:p>
      <w:pPr>
        <w:pStyle w:val="708"/>
        <w:ind w:firstLine="480"/>
        <w:rPr>
          <w:rFonts w:ascii="宋体" w:hAnsi="宋体" w:cs="宋体"/>
          <w:color w:val="000000"/>
          <w:sz w:val="24"/>
          <w:szCs w:val="24"/>
          <w:highlight w:val="none"/>
        </w:rPr>
      </w:pP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rPr>
          <w:rFonts w:ascii="宋体" w:hAnsi="宋体" w:cs="宋体"/>
          <w:color w:val="000000"/>
          <w:sz w:val="24"/>
          <w:szCs w:val="24"/>
          <w:highlight w:val="none"/>
        </w:rPr>
      </w:r>
      <w:r/>
    </w:p>
    <w:p>
      <w:pPr>
        <w:pStyle w:val="708"/>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t xml:space="preserve">交付时间及地点</w:t>
      </w:r>
      <w:r>
        <w:rPr>
          <w:rFonts w:ascii="宋体" w:hAnsi="宋体" w:cs="宋体"/>
          <w:color w:val="000000"/>
          <w:sz w:val="24"/>
          <w:szCs w:val="24"/>
          <w:highlight w:val="none"/>
        </w:rPr>
      </w:r>
      <w:r/>
    </w:p>
    <w:p>
      <w:pPr>
        <w:pStyle w:val="708"/>
        <w:ind w:firstLine="480"/>
        <w:rPr>
          <w:rFonts w:hint="eastAsia" w:ascii="宋体" w:hAnsi="宋体" w:eastAsia="宋体" w:cs="宋体"/>
          <w:color w:val="000000"/>
          <w:sz w:val="24"/>
          <w:szCs w:val="24"/>
          <w:highlight w:val="none"/>
          <w:lang w:eastAsia="zh-CN"/>
        </w:rPr>
      </w:pPr>
      <w:r>
        <w:rPr>
          <w:rFonts w:ascii="宋体" w:hAnsi="宋体" w:cs="宋体"/>
          <w:color w:val="000000"/>
          <w:sz w:val="24"/>
          <w:szCs w:val="24"/>
          <w:highlight w:val="none"/>
        </w:rPr>
        <w:t xml:space="preserve">（1）交付时间：</w:t>
      </w:r>
      <w:r>
        <w:rPr>
          <w:rFonts w:hint="eastAsia" w:ascii="宋体" w:hAnsi="宋体" w:cs="宋体"/>
          <w:color w:val="000000"/>
          <w:sz w:val="24"/>
          <w:szCs w:val="24"/>
          <w:highlight w:val="none"/>
          <w:lang w:eastAsia="zh-CN"/>
        </w:rPr>
        <w:t xml:space="preserve">合同签订后30日历天内交付并完成安装调试及验收等相关工作。</w:t>
      </w:r>
      <w:r>
        <w:rPr>
          <w:rFonts w:hint="eastAsia" w:ascii="宋体" w:hAnsi="宋体" w:eastAsia="宋体" w:cs="宋体"/>
          <w:color w:val="000000"/>
          <w:sz w:val="24"/>
          <w:szCs w:val="24"/>
          <w:highlight w:val="none"/>
          <w:lang w:eastAsia="zh-CN"/>
        </w:rPr>
      </w:r>
      <w:r/>
    </w:p>
    <w:p>
      <w:pPr>
        <w:pStyle w:val="708"/>
        <w:ind w:firstLine="480"/>
        <w:rPr>
          <w:rFonts w:hint="eastAsia" w:ascii="宋体" w:hAnsi="宋体" w:cs="宋体"/>
          <w:color w:val="000000"/>
          <w:sz w:val="24"/>
          <w:szCs w:val="24"/>
          <w:highlight w:val="none"/>
        </w:rPr>
      </w:pPr>
      <w:r>
        <w:rPr>
          <w:rFonts w:ascii="宋体" w:hAnsi="宋体" w:cs="宋体"/>
          <w:color w:val="000000"/>
          <w:sz w:val="24"/>
          <w:szCs w:val="24"/>
          <w:highlight w:val="none"/>
        </w:rPr>
        <w:t xml:space="preserve">（2）交付地点：采购人指定地点</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90"/>
        <w:rPr>
          <w:rFonts w:hint="eastAsia"/>
          <w:color w:val="000000"/>
          <w:highlight w:val="none"/>
        </w:rPr>
      </w:pPr>
      <w:r>
        <w:rPr>
          <w:rFonts w:hint="eastAsia"/>
          <w:color w:val="000000"/>
          <w:highlight w:val="none"/>
        </w:rPr>
      </w:r>
      <w:r/>
    </w:p>
    <w:p>
      <w:pPr>
        <w:pStyle w:val="813"/>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813"/>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08"/>
        <w:rPr>
          <w:rFonts w:hint="eastAsia" w:ascii="宋体" w:hAnsi="宋体" w:eastAsia="宋体" w:cs="宋体"/>
          <w:b/>
          <w:bCs/>
          <w:color w:val="000000"/>
          <w:spacing w:val="-10"/>
          <w:sz w:val="36"/>
          <w:szCs w:val="36"/>
          <w:highlight w:val="none"/>
          <w:lang w:val="zh-CN"/>
        </w:rPr>
      </w:pPr>
      <w:r/>
      <w:bookmarkStart w:id="54" w:name="_Toc2129"/>
      <w:r/>
      <w:bookmarkStart w:id="55" w:name="_Toc29312"/>
      <w:r>
        <w:rPr>
          <w:rFonts w:hint="eastAsia" w:ascii="宋体" w:hAnsi="宋体" w:eastAsia="宋体" w:cs="宋体"/>
          <w:b/>
          <w:bCs/>
          <w:color w:val="000000"/>
          <w:spacing w:val="-10"/>
          <w:sz w:val="36"/>
          <w:szCs w:val="36"/>
          <w:highlight w:val="none"/>
          <w:lang w:val="zh-CN"/>
        </w:rPr>
        <w:br w:type="page" w:clear="all"/>
      </w:r>
      <w:r>
        <w:rPr>
          <w:rFonts w:hint="eastAsia" w:ascii="宋体" w:hAnsi="宋体" w:eastAsia="宋体" w:cs="宋体"/>
          <w:b/>
          <w:bCs/>
          <w:color w:val="000000"/>
          <w:spacing w:val="-10"/>
          <w:sz w:val="36"/>
          <w:szCs w:val="36"/>
          <w:highlight w:val="none"/>
          <w:lang w:val="zh-CN"/>
        </w:rPr>
      </w:r>
      <w:r/>
    </w:p>
    <w:p>
      <w:pPr>
        <w:pStyle w:val="743"/>
        <w:jc w:val="center"/>
        <w:rPr>
          <w:rFonts w:hint="eastAsia" w:ascii="宋体" w:hAnsi="宋体" w:eastAsia="宋体" w:cs="宋体"/>
          <w:color w:val="000000"/>
          <w:szCs w:val="21"/>
          <w:highlight w:val="none"/>
          <w:lang w:val="zh-CN"/>
        </w:rPr>
        <w:outlineLvl w:val="0"/>
      </w:pPr>
      <w:r>
        <w:rPr>
          <w:rFonts w:hint="eastAsia" w:ascii="宋体" w:hAnsi="宋体" w:eastAsia="宋体" w:cs="宋体"/>
          <w:b/>
          <w:bCs/>
          <w:color w:val="000000"/>
          <w:spacing w:val="-10"/>
          <w:sz w:val="36"/>
          <w:szCs w:val="36"/>
          <w:highlight w:val="none"/>
          <w:lang w:val="zh-CN"/>
        </w:rPr>
        <w:t xml:space="preserve">第五章  合同主要条款及格式</w:t>
      </w:r>
      <w:bookmarkEnd w:id="54"/>
      <w:r/>
      <w:bookmarkEnd w:id="55"/>
      <w:r>
        <w:rPr>
          <w:rFonts w:hint="eastAsia" w:ascii="宋体" w:hAnsi="宋体" w:eastAsia="宋体" w:cs="宋体"/>
          <w:color w:val="000000"/>
          <w:szCs w:val="21"/>
          <w:highlight w:val="none"/>
          <w:lang w:val="zh-CN"/>
        </w:rPr>
      </w:r>
      <w:r/>
    </w:p>
    <w:p>
      <w:pPr>
        <w:pStyle w:val="708"/>
        <w:jc w:val="center"/>
        <w:spacing w:before="145" w:after="145" w:line="264" w:lineRule="auto"/>
        <w:rPr>
          <w:rFonts w:hint="eastAsia" w:ascii="宋体" w:hAnsi="宋体"/>
          <w:b/>
          <w:color w:val="000000"/>
          <w:sz w:val="30"/>
          <w:szCs w:val="21"/>
          <w:highlight w:val="none"/>
        </w:rPr>
        <w:outlineLvl w:val="0"/>
      </w:pPr>
      <w:r/>
      <w:bookmarkEnd w:id="27"/>
      <w:r>
        <w:rPr>
          <w:rFonts w:hint="eastAsia" w:ascii="宋体" w:hAnsi="宋体"/>
          <w:b/>
          <w:color w:val="000000"/>
          <w:sz w:val="30"/>
          <w:szCs w:val="21"/>
          <w:highlight w:val="none"/>
        </w:rPr>
      </w:r>
      <w:r/>
    </w:p>
    <w:p>
      <w:pPr>
        <w:pStyle w:val="708"/>
        <w:jc w:val="center"/>
        <w:spacing w:before="145" w:after="145" w:line="264" w:lineRule="auto"/>
        <w:rPr>
          <w:rFonts w:hint="eastAsia" w:ascii="方正小标宋简体" w:hAnsi="方正小标宋简体" w:eastAsia="方正小标宋简体" w:cs="方正小标宋简体"/>
          <w:bCs/>
          <w:color w:val="000000"/>
          <w:sz w:val="32"/>
          <w:szCs w:val="32"/>
          <w:highlight w:val="none"/>
        </w:rPr>
        <w:outlineLvl w:val="0"/>
      </w:pPr>
      <w:r/>
      <w:bookmarkStart w:id="56" w:name="_Toc25070"/>
      <w:r>
        <w:rPr>
          <w:rFonts w:hint="eastAsia" w:ascii="方正小标宋简体" w:hAnsi="方正小标宋简体" w:eastAsia="方正小标宋简体" w:cs="方正小标宋简体"/>
          <w:bCs/>
          <w:color w:val="000000"/>
          <w:sz w:val="32"/>
          <w:szCs w:val="32"/>
          <w:highlight w:val="none"/>
        </w:rPr>
        <w:t xml:space="preserve">政府采购合同（货物）</w:t>
      </w:r>
      <w:bookmarkEnd w:id="56"/>
      <w:r>
        <w:rPr>
          <w:rFonts w:hint="eastAsia" w:ascii="方正小标宋简体" w:hAnsi="方正小标宋简体" w:eastAsia="方正小标宋简体" w:cs="方正小标宋简体"/>
          <w:bCs/>
          <w:color w:val="000000"/>
          <w:sz w:val="32"/>
          <w:szCs w:val="32"/>
          <w:highlight w:val="none"/>
        </w:rPr>
      </w:r>
      <w:r/>
    </w:p>
    <w:p>
      <w:pPr>
        <w:pStyle w:val="708"/>
        <w:ind w:firstLine="480"/>
        <w:jc w:val="left"/>
        <w:keepLines w:val="0"/>
        <w:keepNext w:val="0"/>
        <w:pageBreakBefore w:val="0"/>
        <w:spacing w:line="360" w:lineRule="auto"/>
        <w:widowControl w:val="off"/>
        <w:rPr>
          <w:rFonts w:ascii="宋体" w:hAnsi="宋体" w:cs="Courier New"/>
          <w:color w:val="000000"/>
          <w:sz w:val="24"/>
          <w:szCs w:val="24"/>
          <w:highlight w:val="none"/>
        </w:rPr>
        <w:outlineLvl w:val="0"/>
      </w:pPr>
      <w:r/>
      <w:bookmarkStart w:id="57" w:name="_Toc31279"/>
      <w:r>
        <w:rPr>
          <w:rFonts w:ascii="宋体" w:hAnsi="宋体" w:cs="Courier New"/>
          <w:color w:val="000000"/>
          <w:sz w:val="24"/>
          <w:szCs w:val="24"/>
          <w:highlight w:val="none"/>
        </w:rPr>
        <w:t xml:space="preserve">合同编号：</w:t>
      </w:r>
      <w:bookmarkEnd w:id="57"/>
      <w:r>
        <w:rPr>
          <w:rFonts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ascii="宋体" w:hAnsi="宋体" w:cs="Courier New"/>
          <w:color w:val="000000"/>
          <w:sz w:val="24"/>
          <w:szCs w:val="24"/>
          <w:highlight w:val="none"/>
        </w:rPr>
        <w:outlineLvl w:val="0"/>
      </w:pPr>
      <w:r/>
      <w:bookmarkStart w:id="58" w:name="_Toc13050"/>
      <w:r>
        <w:rPr>
          <w:rFonts w:ascii="宋体" w:hAnsi="宋体" w:cs="Courier New"/>
          <w:color w:val="000000"/>
          <w:sz w:val="24"/>
          <w:szCs w:val="24"/>
          <w:highlight w:val="none"/>
        </w:rPr>
        <w:t xml:space="preserve">项目名称：                                       项目编号：</w:t>
      </w:r>
      <w:bookmarkEnd w:id="58"/>
      <w:r>
        <w:rPr>
          <w:rFonts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ascii="宋体" w:hAnsi="宋体" w:cs="Courier New"/>
          <w:color w:val="000000"/>
          <w:sz w:val="24"/>
          <w:szCs w:val="24"/>
          <w:highlight w:val="none"/>
        </w:rPr>
        <w:outlineLvl w:val="0"/>
      </w:pPr>
      <w:r/>
      <w:bookmarkStart w:id="59" w:name="_Toc9314"/>
      <w:r>
        <w:rPr>
          <w:rFonts w:ascii="宋体" w:hAnsi="宋体" w:cs="Courier New"/>
          <w:color w:val="000000"/>
          <w:sz w:val="24"/>
          <w:szCs w:val="24"/>
          <w:highlight w:val="none"/>
        </w:rPr>
        <w:t xml:space="preserve">甲方（买方）：</w:t>
      </w:r>
      <w:r>
        <w:rPr>
          <w:rFonts w:hint="eastAsia" w:ascii="宋体" w:hAnsi="宋体" w:cs="宋体"/>
          <w:color w:val="000000"/>
          <w:sz w:val="24"/>
          <w:szCs w:val="24"/>
          <w:highlight w:val="none"/>
        </w:rPr>
        <w:t xml:space="preserve">南京江北新区管理委员会教育局</w:t>
      </w:r>
      <w:bookmarkEnd w:id="59"/>
      <w:r>
        <w:rPr>
          <w:rFonts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ascii="宋体" w:hAnsi="宋体" w:cs="Courier New"/>
          <w:color w:val="000000"/>
          <w:sz w:val="24"/>
          <w:szCs w:val="24"/>
          <w:highlight w:val="none"/>
        </w:rPr>
        <w:outlineLvl w:val="0"/>
      </w:pPr>
      <w:r/>
      <w:bookmarkStart w:id="60" w:name="_Toc23426"/>
      <w:r>
        <w:rPr>
          <w:rFonts w:ascii="宋体" w:hAnsi="宋体" w:cs="Courier New"/>
          <w:color w:val="000000"/>
          <w:sz w:val="24"/>
          <w:szCs w:val="24"/>
          <w:highlight w:val="none"/>
        </w:rPr>
        <w:t xml:space="preserve">乙方（卖方）：</w:t>
      </w:r>
      <w:bookmarkEnd w:id="60"/>
      <w:r>
        <w:rPr>
          <w:rFonts w:ascii="宋体" w:hAnsi="宋体" w:cs="Courier New"/>
          <w:color w:val="000000"/>
          <w:sz w:val="24"/>
          <w:szCs w:val="24"/>
          <w:highlight w:val="none"/>
        </w:rPr>
      </w:r>
      <w:r/>
    </w:p>
    <w:p>
      <w:pPr>
        <w:pStyle w:val="708"/>
        <w:ind w:firstLine="480"/>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丙方（受托代建单位）：</w:t>
      </w:r>
      <w:bookmarkStart w:id="61" w:name="OLE_LINK58"/>
      <w:r/>
      <w:bookmarkStart w:id="62" w:name="OLE_LINK59"/>
      <w:r>
        <w:rPr>
          <w:rFonts w:hint="eastAsia" w:ascii="宋体" w:hAnsi="宋体" w:cs="宋体"/>
          <w:color w:val="000000"/>
          <w:sz w:val="24"/>
          <w:szCs w:val="24"/>
          <w:highlight w:val="none"/>
        </w:rPr>
        <w:t xml:space="preserve">南京市江北新区公共工程建设中心</w:t>
      </w:r>
      <w:bookmarkEnd w:id="61"/>
      <w:r/>
      <w:bookmarkEnd w:id="62"/>
      <w:r>
        <w:rPr>
          <w:rFonts w:hint="eastAsia" w:ascii="宋体" w:hAnsi="宋体" w:cs="宋体"/>
          <w:color w:val="000000"/>
          <w:sz w:val="24"/>
          <w:szCs w:val="24"/>
          <w:highlight w:val="none"/>
        </w:rPr>
      </w:r>
      <w:r/>
    </w:p>
    <w:p>
      <w:pPr>
        <w:pStyle w:val="708"/>
        <w:ind w:firstLine="482"/>
        <w:jc w:val="left"/>
        <w:keepLines w:val="0"/>
        <w:keepNext w:val="0"/>
        <w:pageBreakBefore w:val="0"/>
        <w:spacing w:line="36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rPr>
        <w:t xml:space="preserve"> </w:t>
      </w:r>
      <w:r>
        <w:rPr>
          <w:rFonts w:hint="eastAsia" w:ascii="宋体" w:hAnsi="宋体" w:cs="宋体"/>
          <w:color w:val="000000"/>
          <w:sz w:val="24"/>
          <w:szCs w:val="24"/>
          <w:highlight w:val="none"/>
        </w:rPr>
        <w:t xml:space="preserve">鉴于受托代建单位</w:t>
      </w:r>
      <w:bookmarkStart w:id="63" w:name="OLE_LINK72"/>
      <w:r/>
      <w:bookmarkStart w:id="64" w:name="OLE_LINK73"/>
      <w:r>
        <w:rPr>
          <w:rFonts w:hint="eastAsia" w:ascii="宋体" w:hAnsi="宋体" w:cs="宋体"/>
          <w:color w:val="000000"/>
          <w:sz w:val="24"/>
          <w:szCs w:val="24"/>
          <w:highlight w:val="none"/>
        </w:rPr>
        <w:t xml:space="preserve">南京市江北新区公共工程建设中心</w:t>
      </w:r>
      <w:bookmarkEnd w:id="63"/>
      <w:r/>
      <w:bookmarkEnd w:id="64"/>
      <w:r>
        <w:rPr>
          <w:rFonts w:hint="eastAsia" w:ascii="宋体" w:hAnsi="宋体" w:cs="宋体"/>
          <w:color w:val="000000"/>
          <w:sz w:val="24"/>
          <w:szCs w:val="24"/>
          <w:highlight w:val="none"/>
        </w:rPr>
        <w:t xml:space="preserve">（丙方）与建设单位南京江北新区管理委员会教育局（甲方）签订了《委托代建合同》，本项目建设单位系南京江北新区管理委员会教育局，南京市江北新区公共工程建设中心是受托方。本合同中卖方对该委托关系知晓且认可，南京江北新区管理委员会教育局按照《委托代建合同》约定，履行落实资金的职责，南京市江北新区公共工程建设中心作为受托代建单位在委托人的授权范围内履行监督管理职责。南京江北新区管理委员会教育局作为建设单位负责履行本合同关于发包人资金支付的职责。南京市江北新区公共工程建设中心作为受托代建单位在</w:t>
      </w:r>
      <w:r>
        <w:rPr>
          <w:rFonts w:hint="eastAsia" w:ascii="宋体" w:hAnsi="宋体" w:cs="宋体"/>
          <w:color w:val="000000"/>
          <w:sz w:val="24"/>
          <w:szCs w:val="24"/>
          <w:highlight w:val="none"/>
          <w:lang w:val="en-US" w:eastAsia="zh-CN"/>
        </w:rPr>
        <w:t xml:space="preserve">甲方</w:t>
      </w:r>
      <w:r>
        <w:rPr>
          <w:rFonts w:hint="eastAsia" w:ascii="宋体" w:hAnsi="宋体" w:cs="宋体"/>
          <w:color w:val="000000"/>
          <w:sz w:val="24"/>
          <w:szCs w:val="24"/>
          <w:highlight w:val="none"/>
        </w:rPr>
        <w:t xml:space="preserve">授权范围内履行除资金支付外的其他项目管理方面的职责。根据《中华人民共和国民法典》《中华人民共和国建筑法》及有关法律规定，遵循平等、自愿、公平和诚实信用的原则，三方就</w:t>
      </w:r>
      <w:r>
        <w:rPr>
          <w:rFonts w:hint="eastAsia" w:ascii="宋体" w:hAnsi="宋体" w:cs="宋体"/>
          <w:b w:val="0"/>
          <w:bCs w:val="0"/>
          <w:color w:val="000000"/>
          <w:sz w:val="24"/>
          <w:szCs w:val="24"/>
          <w:highlight w:val="none"/>
          <w:lang w:val="zh-CN"/>
        </w:rPr>
        <w:t xml:space="preserve">侨康路学校新建工程项目体育装备采购项目</w:t>
      </w:r>
      <w:r>
        <w:rPr>
          <w:rFonts w:hint="eastAsia" w:ascii="宋体" w:hAnsi="宋体" w:cs="宋体"/>
          <w:color w:val="000000"/>
          <w:sz w:val="24"/>
          <w:szCs w:val="24"/>
          <w:highlight w:val="none"/>
        </w:rPr>
        <w:t xml:space="preserve">及有关事项协商一致，共同达成如下协议：</w:t>
      </w:r>
      <w:r>
        <w:rPr>
          <w:rFonts w:ascii="宋体" w:hAnsi="宋体" w:cs="Courier New"/>
          <w:b/>
          <w:color w:val="000000"/>
          <w:sz w:val="24"/>
          <w:szCs w:val="24"/>
          <w:highlight w:val="none"/>
        </w:rPr>
      </w:r>
      <w:r/>
    </w:p>
    <w:p>
      <w:pPr>
        <w:pStyle w:val="708"/>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一、合同内容</w:t>
      </w:r>
      <w:r>
        <w:rPr>
          <w:rFonts w:hint="eastAsia" w:ascii="方正黑体_GBK" w:hAnsi="方正黑体_GBK" w:eastAsia="方正黑体_GBK" w:cs="方正黑体_GBK"/>
          <w:bCs/>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 标的名称：</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 标的质量：按招标文件及投标文件执行。</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 标的数量（规模）：</w:t>
      </w:r>
      <w:r>
        <w:rPr>
          <w:rFonts w:hint="eastAsia" w:ascii="宋体" w:hAnsi="宋体" w:cs="Courier New"/>
          <w:color w:val="000000"/>
          <w:sz w:val="24"/>
          <w:szCs w:val="24"/>
          <w:highlight w:val="none"/>
        </w:rPr>
      </w:r>
      <w:r/>
    </w:p>
    <w:tbl>
      <w:tblPr>
        <w:tblW w:w="89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45"/>
        <w:gridCol w:w="1819"/>
        <w:gridCol w:w="720"/>
        <w:gridCol w:w="1260"/>
        <w:gridCol w:w="1080"/>
        <w:gridCol w:w="900"/>
        <w:gridCol w:w="872"/>
      </w:tblGrid>
      <w:tr>
        <w:trPr/>
        <w:tc>
          <w:tcPr>
            <w:tcW w:w="704"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序号</w:t>
            </w:r>
            <w:r>
              <w:rPr>
                <w:rFonts w:hint="eastAsia" w:ascii="宋体" w:hAnsi="宋体" w:cs="宋体"/>
                <w:color w:val="000000"/>
                <w:sz w:val="24"/>
                <w:szCs w:val="24"/>
                <w:highlight w:val="none"/>
                <w:lang w:eastAsia="en-US"/>
              </w:rPr>
            </w:r>
            <w:r/>
          </w:p>
        </w:tc>
        <w:tc>
          <w:tcPr>
            <w:tcW w:w="1545"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名称</w:t>
            </w:r>
            <w:r>
              <w:rPr>
                <w:rFonts w:hint="eastAsia" w:ascii="宋体" w:hAnsi="宋体" w:cs="宋体"/>
                <w:color w:val="000000"/>
                <w:sz w:val="24"/>
                <w:szCs w:val="24"/>
                <w:highlight w:val="none"/>
                <w:lang w:eastAsia="en-US"/>
              </w:rPr>
            </w:r>
            <w:r/>
          </w:p>
        </w:tc>
        <w:tc>
          <w:tcPr>
            <w:tcW w:w="1819"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型号、规格</w:t>
            </w: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数量</w:t>
            </w: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单价</w:t>
            </w: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总价</w:t>
            </w: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品牌</w:t>
            </w: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产地</w:t>
            </w:r>
            <w:r>
              <w:rPr>
                <w:rFonts w:hint="eastAsia" w:ascii="宋体" w:hAnsi="宋体" w:cs="宋体"/>
                <w:color w:val="000000"/>
                <w:sz w:val="24"/>
                <w:szCs w:val="24"/>
                <w:highlight w:val="none"/>
                <w:lang w:eastAsia="en-US"/>
              </w:rPr>
            </w:r>
            <w:r/>
          </w:p>
        </w:tc>
      </w:tr>
      <w:tr>
        <w:trPr>
          <w:trHeight w:val="90"/>
        </w:trPr>
        <w:tc>
          <w:tcPr>
            <w:tcW w:w="704"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545" w:type="dxa"/>
            <w:vAlign w:val="center"/>
            <w:textDirection w:val="lrTb"/>
            <w:noWrap w:val="false"/>
          </w:tcPr>
          <w:p>
            <w:pPr>
              <w:pStyle w:val="708"/>
              <w:jc w:val="left"/>
              <w:keepLines w:val="0"/>
              <w:keepNext w:val="0"/>
              <w:spacing w:line="400" w:lineRule="exact"/>
              <w:widowControl/>
              <w:rPr>
                <w:rFonts w:hint="eastAsia" w:ascii="宋体" w:hAnsi="宋体" w:eastAsia="宋体" w:cs="宋体"/>
                <w:bCs w:val="0"/>
                <w:color w:val="000000"/>
                <w:sz w:val="24"/>
                <w:szCs w:val="24"/>
                <w:highlight w:val="none"/>
                <w:lang w:eastAsia="en-US"/>
              </w:rPr>
              <w:suppressLineNumbers w:val="0"/>
            </w:pPr>
            <w:r>
              <w:rPr>
                <w:rFonts w:hint="eastAsia" w:ascii="宋体" w:hAnsi="宋体" w:eastAsia="宋体" w:cs="宋体"/>
                <w:bCs w:val="0"/>
                <w:color w:val="000000"/>
                <w:sz w:val="24"/>
                <w:szCs w:val="24"/>
                <w:highlight w:val="none"/>
                <w:lang w:eastAsia="en-US"/>
              </w:rPr>
            </w:r>
            <w:r/>
          </w:p>
        </w:tc>
        <w:tc>
          <w:tcPr>
            <w:tcW w:w="1819"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r>
        <w:trPr>
          <w:trHeight w:val="90"/>
        </w:trPr>
        <w:tc>
          <w:tcPr>
            <w:tcW w:w="704"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45" w:type="dxa"/>
            <w:vAlign w:val="center"/>
            <w:textDirection w:val="lrTb"/>
            <w:noWrap w:val="false"/>
          </w:tcPr>
          <w:p>
            <w:pPr>
              <w:pStyle w:val="708"/>
              <w:jc w:val="left"/>
              <w:keepLines w:val="0"/>
              <w:keepNext w:val="0"/>
              <w:spacing w:line="400" w:lineRule="exact"/>
              <w:widowControl/>
              <w:rPr>
                <w:rFonts w:hint="eastAsia" w:ascii="宋体" w:hAnsi="宋体" w:eastAsia="宋体" w:cs="宋体"/>
                <w:bCs w:val="0"/>
                <w:color w:val="000000"/>
                <w:sz w:val="24"/>
                <w:szCs w:val="24"/>
                <w:highlight w:val="none"/>
                <w:lang w:eastAsia="en-US"/>
              </w:rPr>
              <w:suppressLineNumbers w:val="0"/>
            </w:pPr>
            <w:r>
              <w:rPr>
                <w:rFonts w:hint="eastAsia" w:ascii="宋体" w:hAnsi="宋体" w:eastAsia="宋体" w:cs="宋体"/>
                <w:bCs w:val="0"/>
                <w:color w:val="000000"/>
                <w:sz w:val="24"/>
                <w:szCs w:val="24"/>
                <w:highlight w:val="none"/>
                <w:lang w:eastAsia="en-US"/>
              </w:rPr>
            </w:r>
            <w:r/>
          </w:p>
        </w:tc>
        <w:tc>
          <w:tcPr>
            <w:tcW w:w="1819"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r>
        <w:trPr>
          <w:trHeight w:val="90"/>
        </w:trPr>
        <w:tc>
          <w:tcPr>
            <w:tcW w:w="704"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45" w:type="dxa"/>
            <w:vAlign w:val="center"/>
            <w:textDirection w:val="lrTb"/>
            <w:noWrap w:val="false"/>
          </w:tcPr>
          <w:p>
            <w:pPr>
              <w:pStyle w:val="708"/>
              <w:jc w:val="left"/>
              <w:keepLines w:val="0"/>
              <w:keepNext w:val="0"/>
              <w:spacing w:line="400" w:lineRule="exact"/>
              <w:widowControl/>
              <w:rPr>
                <w:rFonts w:hint="eastAsia" w:ascii="宋体" w:hAnsi="宋体" w:eastAsia="宋体" w:cs="宋体"/>
                <w:bCs w:val="0"/>
                <w:color w:val="000000"/>
                <w:sz w:val="24"/>
                <w:szCs w:val="24"/>
                <w:highlight w:val="none"/>
                <w:lang w:eastAsia="en-US"/>
              </w:rPr>
              <w:suppressLineNumbers w:val="0"/>
            </w:pPr>
            <w:r>
              <w:rPr>
                <w:rFonts w:hint="eastAsia" w:ascii="宋体" w:hAnsi="宋体" w:eastAsia="宋体" w:cs="宋体"/>
                <w:bCs w:val="0"/>
                <w:color w:val="000000"/>
                <w:sz w:val="24"/>
                <w:szCs w:val="24"/>
                <w:highlight w:val="none"/>
                <w:lang w:eastAsia="en-US"/>
              </w:rPr>
            </w:r>
            <w:r/>
          </w:p>
        </w:tc>
        <w:tc>
          <w:tcPr>
            <w:tcW w:w="1819"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r>
        <w:trPr>
          <w:trHeight w:val="90"/>
        </w:trPr>
        <w:tc>
          <w:tcPr>
            <w:tcW w:w="704"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45" w:type="dxa"/>
            <w:vAlign w:val="center"/>
            <w:textDirection w:val="lrTb"/>
            <w:noWrap w:val="false"/>
          </w:tcPr>
          <w:p>
            <w:pPr>
              <w:pStyle w:val="708"/>
              <w:jc w:val="left"/>
              <w:keepLines w:val="0"/>
              <w:keepNext w:val="0"/>
              <w:spacing w:line="400" w:lineRule="exact"/>
              <w:widowControl/>
              <w:rPr>
                <w:rFonts w:hint="eastAsia" w:ascii="宋体" w:hAnsi="宋体" w:eastAsia="宋体" w:cs="宋体"/>
                <w:bCs w:val="0"/>
                <w:color w:val="000000"/>
                <w:sz w:val="24"/>
                <w:szCs w:val="24"/>
                <w:highlight w:val="none"/>
                <w:lang w:eastAsia="en-US"/>
              </w:rPr>
              <w:suppressLineNumbers w:val="0"/>
            </w:pPr>
            <w:r>
              <w:rPr>
                <w:rFonts w:hint="eastAsia" w:ascii="宋体" w:hAnsi="宋体" w:eastAsia="宋体" w:cs="宋体"/>
                <w:bCs w:val="0"/>
                <w:color w:val="000000"/>
                <w:sz w:val="24"/>
                <w:szCs w:val="24"/>
                <w:highlight w:val="none"/>
                <w:lang w:eastAsia="en-US"/>
              </w:rPr>
            </w:r>
            <w:r/>
          </w:p>
        </w:tc>
        <w:tc>
          <w:tcPr>
            <w:tcW w:w="1819"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708"/>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bl>
    <w:p>
      <w:pPr>
        <w:pStyle w:val="790"/>
        <w:rPr>
          <w:rFonts w:hint="eastAsia"/>
          <w:color w:val="000000"/>
          <w:highlight w:val="none"/>
        </w:rPr>
      </w:pPr>
      <w:r>
        <w:rPr>
          <w:rFonts w:hint="eastAsia"/>
          <w:color w:val="000000"/>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 履行时间（期限）：按招标文件及投标文件执行。</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 履行地点：采购人指定地点。</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履行方式：按招标文件及投标文件执行。</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.7 包装方式：按招标文件及投标文件执行。</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二、合同金额</w:t>
      </w:r>
      <w:r>
        <w:rPr>
          <w:rFonts w:hint="eastAsia" w:ascii="方正黑体_GBK" w:hAnsi="方正黑体_GBK" w:eastAsia="方正黑体_GBK" w:cs="方正黑体_GBK"/>
          <w:bCs/>
          <w:color w:val="000000"/>
          <w:sz w:val="24"/>
          <w:szCs w:val="24"/>
          <w:highlight w:val="none"/>
        </w:rPr>
      </w:r>
      <w:r/>
    </w:p>
    <w:p>
      <w:pPr>
        <w:pStyle w:val="1286"/>
        <w:ind w:firstLine="480"/>
        <w:jc w:val="left"/>
        <w:keepLines w:val="0"/>
        <w:keepNext w:val="0"/>
        <w:pageBreakBefore w:val="0"/>
        <w:spacing w:line="360" w:lineRule="auto"/>
        <w:widowControl w:val="off"/>
        <w:rPr>
          <w:rFonts w:hAnsi="宋体" w:cs="Courier New"/>
          <w:color w:val="000000"/>
          <w:sz w:val="24"/>
          <w:szCs w:val="24"/>
          <w:highlight w:val="none"/>
        </w:rPr>
      </w:pPr>
      <w:r>
        <w:rPr>
          <w:rFonts w:hAnsi="宋体" w:cs="Courier New"/>
          <w:color w:val="000000"/>
          <w:sz w:val="24"/>
          <w:szCs w:val="24"/>
          <w:highlight w:val="none"/>
        </w:rPr>
        <w:t xml:space="preserve">2.1 </w:t>
      </w:r>
      <w:r>
        <w:rPr>
          <w:rFonts w:hint="eastAsia" w:hAnsi="宋体" w:cs="Courier New"/>
          <w:color w:val="000000"/>
          <w:sz w:val="24"/>
          <w:szCs w:val="24"/>
          <w:highlight w:val="none"/>
        </w:rPr>
        <w:t xml:space="preserve">本合同金额为（大写）：____________________圆（____________________元）人民币。</w:t>
      </w:r>
      <w:r>
        <w:rPr>
          <w:rFonts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三、技术资料</w:t>
      </w:r>
      <w:r>
        <w:rPr>
          <w:rFonts w:hint="eastAsia" w:ascii="方正黑体_GBK" w:hAnsi="方正黑体_GBK" w:eastAsia="方正黑体_GBK" w:cs="方正黑体_GBK"/>
          <w:bCs/>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w:t>
      </w:r>
      <w:r>
        <w:rPr>
          <w:rFonts w:hint="eastAsia" w:ascii="宋体" w:hAnsi="宋体" w:cs="Courier New"/>
          <w:color w:val="000000"/>
          <w:sz w:val="24"/>
          <w:szCs w:val="24"/>
          <w:highlight w:val="none"/>
        </w:rPr>
        <w:t xml:space="preserve">.1 乙方应按招标文件规定的时间向甲方提供货物(包含与货物相关的服务)的有关技术资料。</w:t>
      </w:r>
      <w:r>
        <w:rPr>
          <w:rFonts w:hint="eastAsia" w:ascii="宋体" w:hAnsi="宋体" w:cs="Courier New"/>
          <w:color w:val="000000"/>
          <w:sz w:val="24"/>
          <w:szCs w:val="24"/>
          <w:highlight w:val="none"/>
        </w:rPr>
      </w:r>
      <w:r/>
    </w:p>
    <w:p>
      <w:pPr>
        <w:pStyle w:val="708"/>
        <w:ind w:firstLine="480"/>
        <w:spacing w:line="360" w:lineRule="auto"/>
        <w:widowControl/>
        <w:rPr>
          <w:rFonts w:hint="eastAsia" w:ascii="宋体" w:hAnsi="宋体" w:cs="宋体"/>
          <w:sz w:val="24"/>
          <w:szCs w:val="24"/>
        </w:rPr>
      </w:pPr>
      <w:r>
        <w:rPr>
          <w:rFonts w:ascii="宋体" w:hAnsi="宋体" w:cs="Courier New"/>
          <w:color w:val="000000"/>
          <w:sz w:val="24"/>
          <w:szCs w:val="24"/>
          <w:highlight w:val="none"/>
        </w:rPr>
        <w:t xml:space="preserve">3</w:t>
      </w:r>
      <w:r>
        <w:rPr>
          <w:rFonts w:hint="eastAsia" w:ascii="宋体" w:hAnsi="宋体" w:cs="Courier New"/>
          <w:color w:val="000000"/>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宋体"/>
          <w:sz w:val="24"/>
          <w:szCs w:val="24"/>
        </w:rPr>
        <w:t xml:space="preserve">乙方对甲方（或丙方）提供的有关资料负有保密义务的期限为永久，不受本合同解除的限制，不得将甲方（或丙方）提供的相关资料用于本合同范围外的所有其他场合。直至保密信息已进入公共渠道或甲方（或丙方）以书面形式明确表示无须再负保密义务为止。</w:t>
      </w:r>
      <w:r>
        <w:rPr>
          <w:rFonts w:hint="eastAsia" w:ascii="宋体" w:hAnsi="宋体" w:cs="宋体"/>
          <w:sz w:val="24"/>
          <w:szCs w:val="24"/>
        </w:rPr>
      </w:r>
      <w:r/>
    </w:p>
    <w:p>
      <w:pPr>
        <w:pStyle w:val="708"/>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四、知识产权</w:t>
      </w:r>
      <w:r>
        <w:rPr>
          <w:rFonts w:hint="eastAsia" w:ascii="方正黑体_GBK" w:hAnsi="方正黑体_GBK" w:eastAsia="方正黑体_GBK" w:cs="方正黑体_GBK"/>
          <w:bCs/>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5.1 乙方保证所交付的货物（包含与货物相关的服务）的所有权完全属于乙方且无任何抵押、查封等产权瑕疵。</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六、履约保证金</w:t>
      </w:r>
      <w:r>
        <w:rPr>
          <w:rFonts w:hint="eastAsia" w:ascii="方正黑体_GBK" w:hAnsi="方正黑体_GBK" w:eastAsia="方正黑体_GBK" w:cs="方正黑体_GBK"/>
          <w:bCs/>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 本项目乙方无需缴纳履约保证金。</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七、合同转包或分包</w:t>
      </w:r>
      <w:r>
        <w:rPr>
          <w:rFonts w:hint="eastAsia" w:ascii="方正黑体_GBK" w:hAnsi="方正黑体_GBK" w:eastAsia="方正黑体_GBK" w:cs="方正黑体_GBK"/>
          <w:bCs/>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7.1 乙方不得将合同标的转包给他人履行。</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7.2 除招标文件接受分包并经甲方同意，乙方可按分包意向协议分包情况外，乙方不得将合同标的分包给他人履行。</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7.3 乙方如有转包或未经甲方同意的分包行为，甲方有权终止合同。</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八、合同款项支付</w:t>
      </w:r>
      <w:r>
        <w:rPr>
          <w:rFonts w:hint="eastAsia" w:ascii="方正黑体_GBK" w:hAnsi="方正黑体_GBK" w:eastAsia="方正黑体_GBK" w:cs="方正黑体_GBK"/>
          <w:bCs/>
          <w:color w:val="000000"/>
          <w:sz w:val="24"/>
          <w:szCs w:val="24"/>
          <w:highlight w:val="none"/>
        </w:rPr>
      </w:r>
      <w:r/>
    </w:p>
    <w:p>
      <w:pPr>
        <w:pStyle w:val="708"/>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8.1合同签订后支付合同总额10%的预付款。</w:t>
      </w:r>
      <w:r>
        <w:rPr>
          <w:rFonts w:hint="eastAsia" w:ascii="宋体" w:hAnsi="宋体" w:cs="宋体"/>
          <w:b w:val="0"/>
          <w:bCs w:val="0"/>
          <w:color w:val="000000"/>
          <w:sz w:val="24"/>
          <w:szCs w:val="24"/>
          <w:highlight w:val="none"/>
          <w:lang w:val="en-US" w:eastAsia="zh-CN"/>
        </w:rPr>
      </w:r>
      <w:r/>
    </w:p>
    <w:p>
      <w:pPr>
        <w:pStyle w:val="708"/>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8.2施工、安装、调试完毕，由甲方组织相关学校进行验收，验收合格并由乙方协助学校完成资产入库登记，六个月内支付合同总额的50%。</w:t>
      </w:r>
      <w:r>
        <w:rPr>
          <w:rFonts w:hint="eastAsia" w:ascii="宋体" w:hAnsi="宋体" w:cs="宋体"/>
          <w:b w:val="0"/>
          <w:bCs w:val="0"/>
          <w:color w:val="000000"/>
          <w:sz w:val="24"/>
          <w:szCs w:val="24"/>
          <w:highlight w:val="none"/>
          <w:lang w:val="en-US" w:eastAsia="zh-CN"/>
        </w:rPr>
      </w:r>
      <w:r/>
    </w:p>
    <w:p>
      <w:pPr>
        <w:pStyle w:val="708"/>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8.3在本工程项目竣工验收合格，一年内支付合同总额的35%，剩余5%为质保金。</w:t>
      </w:r>
      <w:r>
        <w:rPr>
          <w:rFonts w:hint="eastAsia" w:ascii="宋体" w:hAnsi="宋体" w:cs="宋体"/>
          <w:b w:val="0"/>
          <w:bCs w:val="0"/>
          <w:color w:val="000000"/>
          <w:sz w:val="24"/>
          <w:szCs w:val="24"/>
          <w:highlight w:val="none"/>
          <w:lang w:val="en-US" w:eastAsia="zh-CN"/>
        </w:rPr>
      </w:r>
      <w:r/>
    </w:p>
    <w:p>
      <w:pPr>
        <w:pStyle w:val="708"/>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8.4质保金在质保期满后一次性付清。</w:t>
      </w:r>
      <w:r>
        <w:rPr>
          <w:rFonts w:hint="eastAsia" w:ascii="宋体" w:hAnsi="宋体" w:cs="宋体"/>
          <w:b w:val="0"/>
          <w:bCs w:val="0"/>
          <w:color w:val="000000"/>
          <w:sz w:val="24"/>
          <w:szCs w:val="24"/>
          <w:highlight w:val="none"/>
          <w:lang w:val="en-US" w:eastAsia="zh-CN"/>
        </w:rPr>
      </w:r>
      <w:r/>
    </w:p>
    <w:p>
      <w:pPr>
        <w:pStyle w:val="708"/>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8.5具体支付依据当年新区财政资金状况而定。</w:t>
      </w:r>
      <w:r>
        <w:rPr>
          <w:rFonts w:hint="eastAsia" w:ascii="宋体" w:hAnsi="宋体" w:cs="宋体"/>
          <w:b w:val="0"/>
          <w:bCs w:val="0"/>
          <w:color w:val="000000"/>
          <w:sz w:val="24"/>
          <w:szCs w:val="24"/>
          <w:highlight w:val="none"/>
          <w:lang w:val="en-US" w:eastAsia="zh-CN"/>
        </w:rPr>
      </w:r>
      <w:r/>
    </w:p>
    <w:p>
      <w:pPr>
        <w:pStyle w:val="708"/>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8.6发票及付款流程</w:t>
      </w:r>
      <w:r>
        <w:rPr>
          <w:rFonts w:hint="eastAsia" w:ascii="宋体" w:hAnsi="宋体" w:cs="宋体"/>
          <w:b w:val="0"/>
          <w:bCs w:val="0"/>
          <w:color w:val="000000"/>
          <w:sz w:val="24"/>
          <w:szCs w:val="24"/>
          <w:highlight w:val="none"/>
          <w:lang w:val="en-US" w:eastAsia="zh-CN"/>
        </w:rPr>
      </w:r>
      <w:r/>
    </w:p>
    <w:p>
      <w:pPr>
        <w:pStyle w:val="708"/>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8.6.1乙方所开发票名称为“南京江北新区管理委员会教育局”，依据付款要求，提供相应材料。</w:t>
      </w:r>
      <w:r>
        <w:rPr>
          <w:rFonts w:hint="eastAsia" w:ascii="宋体" w:hAnsi="宋体" w:cs="宋体"/>
          <w:b w:val="0"/>
          <w:bCs w:val="0"/>
          <w:color w:val="000000"/>
          <w:sz w:val="24"/>
          <w:szCs w:val="24"/>
          <w:highlight w:val="none"/>
          <w:lang w:val="en-US" w:eastAsia="zh-CN"/>
        </w:rPr>
      </w:r>
      <w:r/>
    </w:p>
    <w:p>
      <w:pPr>
        <w:pStyle w:val="708"/>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其他：合同款由甲方直接支付到乙方账户，付款前乙方需提供付款资料上报至丙方(受托代建单位)审核，审核通过后由丙方提交给甲方付款，并提供等额的增值税发票(发票抬头：南京江北新区管理委员会教育局)，否则甲方有权绝付款并不承担违约责任。无论发生何种情况，丙方无支付或垫付合同款义务。</w:t>
      </w:r>
      <w:r>
        <w:rPr>
          <w:rFonts w:hint="eastAsia" w:ascii="宋体" w:hAnsi="宋体" w:cs="宋体"/>
          <w:b w:val="0"/>
          <w:bCs w:val="0"/>
          <w:color w:val="000000"/>
          <w:sz w:val="24"/>
          <w:szCs w:val="24"/>
          <w:highlight w:val="none"/>
          <w:lang w:val="en-US" w:eastAsia="zh-CN"/>
        </w:rPr>
      </w:r>
      <w:r/>
    </w:p>
    <w:p>
      <w:pPr>
        <w:pStyle w:val="708"/>
        <w:ind w:firstLine="480"/>
        <w:spacing w:line="360" w:lineRule="auto"/>
        <w:widowControl/>
        <w:rPr>
          <w:rFonts w:hint="eastAsia" w:ascii="宋体" w:hAnsi="宋体" w:cs="宋体"/>
          <w:color w:val="000000"/>
          <w:sz w:val="24"/>
          <w:szCs w:val="24"/>
          <w:highlight w:val="none"/>
        </w:rPr>
      </w:pPr>
      <w:r>
        <w:rPr>
          <w:rFonts w:hint="eastAsia" w:hAnsi="宋体" w:cs="Courier New"/>
          <w:color w:val="000000"/>
          <w:sz w:val="24"/>
          <w:szCs w:val="24"/>
          <w:highlight w:val="none"/>
          <w:lang w:val="en-US" w:eastAsia="zh-CN"/>
        </w:rPr>
        <w:t xml:space="preserve">8.6.2 </w:t>
      </w:r>
      <w:r>
        <w:rPr>
          <w:rFonts w:hint="eastAsia" w:ascii="宋体" w:hAnsi="宋体" w:cs="宋体"/>
          <w:color w:val="000000"/>
          <w:sz w:val="24"/>
          <w:szCs w:val="24"/>
          <w:highlight w:val="none"/>
        </w:rPr>
        <w:t xml:space="preserve">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r>
        <w:rPr>
          <w:rFonts w:hint="eastAsia" w:ascii="宋体" w:hAnsi="宋体" w:cs="宋体"/>
          <w:color w:val="000000"/>
          <w:sz w:val="24"/>
          <w:szCs w:val="24"/>
          <w:highlight w:val="none"/>
        </w:rPr>
      </w:r>
      <w:r/>
    </w:p>
    <w:p>
      <w:pPr>
        <w:pStyle w:val="1286"/>
        <w:ind w:firstLine="480"/>
        <w:jc w:val="left"/>
        <w:keepLines w:val="0"/>
        <w:keepNext w:val="0"/>
        <w:pageBreakBefore w:val="0"/>
        <w:spacing w:line="360" w:lineRule="auto"/>
        <w:widowControl w:val="off"/>
        <w:rPr>
          <w:rFonts w:hint="eastAsia" w:hAnsi="宋体" w:cs="Courier New"/>
          <w:color w:val="000000"/>
          <w:sz w:val="24"/>
          <w:szCs w:val="24"/>
          <w:highlight w:val="none"/>
        </w:rPr>
      </w:pPr>
      <w:r>
        <w:rPr>
          <w:rFonts w:hint="eastAsia" w:hAnsi="宋体" w:cs="Courier New"/>
          <w:color w:val="000000"/>
          <w:sz w:val="24"/>
          <w:szCs w:val="24"/>
          <w:highlight w:val="none"/>
        </w:rPr>
        <w:t xml:space="preserve">8.</w:t>
      </w:r>
      <w:r>
        <w:rPr>
          <w:rFonts w:hint="eastAsia" w:hAnsi="宋体" w:cs="Courier New"/>
          <w:color w:val="000000"/>
          <w:sz w:val="24"/>
          <w:szCs w:val="24"/>
          <w:highlight w:val="none"/>
          <w:lang w:val="en-US" w:eastAsia="zh-CN"/>
        </w:rPr>
        <w:t xml:space="preserve">7 </w:t>
      </w:r>
      <w:r>
        <w:rPr>
          <w:rFonts w:hint="eastAsia" w:hAnsi="宋体" w:cs="Courier New"/>
          <w:color w:val="000000"/>
          <w:sz w:val="24"/>
          <w:szCs w:val="24"/>
          <w:highlight w:val="none"/>
        </w:rPr>
        <w:t xml:space="preserve">当采购数量与实际使用数量不一致时，乙方应根据实际使用量供货，合同的最终结算金额按实际使用量乘以成交单价进行计算。</w:t>
      </w:r>
      <w:r>
        <w:rPr>
          <w:rFonts w:hint="eastAsia"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九、税费</w:t>
      </w:r>
      <w:r>
        <w:rPr>
          <w:rFonts w:hint="eastAsia" w:ascii="方正黑体_GBK" w:hAnsi="方正黑体_GBK" w:eastAsia="方正黑体_GBK" w:cs="方正黑体_GBK"/>
          <w:bCs/>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9.1 本合同执行中的相关税费均由乙方负担。</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10.1 乙方应按招标文件规定的货物性能、技术要求、质量标准向甲方提供未经使用的全新产品。</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 乙方提供的货物在质保期内因货物本身的质量问题发生故障，乙方应负责免费更换。对达不到技术要求者，根据实际情况，经双方协商可按以下方式处理：</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10.2.1 更换：由乙方承担所发生的全部费用。</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10.2.2 贬值处理：由甲乙双方合议定价。</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10.2.3 退货处理：乙方应退还甲方支付的合同款，同时应承担该货物的直接费用（运输、保险、检验、货款利息及银行手续费等）。</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10.3 如在使用过程中发生质量问题，乙方应在接到甲方通知后</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2</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小时内到达甲方现场。</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10.4 质保期内，乙方应对货物出现的质量及安全问题负责处理解决并承担一切费用。</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10.5 质保期为自交货验收合格之日起</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五</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年，因人为因素出现的故障不在质保范围内。超过质保期的乙方负责</w:t>
      </w:r>
      <w:r>
        <w:rPr>
          <w:rFonts w:hint="eastAsia" w:ascii="宋体" w:hAnsi="宋体" w:cs="Courier New"/>
          <w:color w:val="000000"/>
          <w:sz w:val="24"/>
          <w:szCs w:val="24"/>
          <w:highlight w:val="none"/>
          <w:lang w:eastAsia="zh-CN"/>
        </w:rPr>
        <w:t xml:space="preserve">终身</w:t>
      </w:r>
      <w:r>
        <w:rPr>
          <w:rFonts w:hint="eastAsia" w:ascii="宋体" w:hAnsi="宋体" w:cs="Courier New"/>
          <w:color w:val="000000"/>
          <w:sz w:val="24"/>
          <w:szCs w:val="24"/>
          <w:highlight w:val="none"/>
        </w:rPr>
        <w:t xml:space="preserve">维修，维修时只收取部件成本费。</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十一、项目验收</w:t>
      </w:r>
      <w:r>
        <w:rPr>
          <w:rFonts w:hint="eastAsia" w:ascii="方正黑体_GBK" w:hAnsi="方正黑体_GBK" w:eastAsia="方正黑体_GBK" w:cs="方正黑体_GBK"/>
          <w:bCs/>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Courier New"/>
          <w:color w:val="000000"/>
          <w:sz w:val="24"/>
          <w:szCs w:val="24"/>
          <w:highlight w:val="none"/>
        </w:rPr>
        <w:t xml:space="preserve">11.1 甲方依法组织履约验收工作</w:t>
      </w:r>
      <w:r>
        <w:rPr>
          <w:rFonts w:hint="eastAsia" w:ascii="宋体" w:hAnsi="宋体" w:cs="Courier New"/>
          <w:color w:val="000000"/>
          <w:sz w:val="24"/>
          <w:szCs w:val="24"/>
          <w:highlight w:val="none"/>
          <w:lang w:eastAsia="zh-CN"/>
        </w:rPr>
        <w:t xml:space="preserve">，</w:t>
      </w:r>
      <w:r>
        <w:rPr>
          <w:rFonts w:hint="eastAsia" w:ascii="宋体" w:hAnsi="宋体" w:cs="宋体"/>
          <w:color w:val="000000"/>
          <w:sz w:val="24"/>
          <w:szCs w:val="24"/>
          <w:highlight w:val="none"/>
        </w:rPr>
        <w:t xml:space="preserve">具体工作由甲方委托丙方组织进行，乙方必须服从丙方安排。</w:t>
      </w:r>
      <w:r>
        <w:rPr>
          <w:rFonts w:hint="eastAsia" w:ascii="宋体" w:hAnsi="宋体" w:cs="宋体"/>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 对于实际使用人和甲方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分离的项目，甲方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邀请实际使用人参与验收。</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如有必要，甲方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可邀请参加本项目投标的其他供应商或第三方专业机构及专家参与验收，相关意见将作为验收结论的参考。</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11.5 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成立验收小组，按照采购合同约定对乙方履约情况进行验收。验收时间、验收标准见招标文件。验收时甲方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十二、货物的包装、发运及运输</w:t>
      </w:r>
      <w:r>
        <w:rPr>
          <w:rFonts w:hint="eastAsia" w:ascii="方正黑体_GBK" w:hAnsi="方正黑体_GBK" w:eastAsia="方正黑体_GBK" w:cs="方正黑体_GBK"/>
          <w:bCs/>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1 乙方应在货物发运前对其进行满足运输距离、防潮、防震、防锈和防破损装卸等要求包装，以保证货物安全运达甲方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指定地点。货物的包装应符合《商品包装政府采购需求标准（试行）》《快递包装政府采购需求标准（试行）》的规定。</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12.2 使用说明书、质量检验证明书、随配附件和工具以及清单一并附于货物内。</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12.3 乙方在货物发运手续办理完毕后24小时内或货到甲方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48小时前通知甲方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，以准备接货。</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12.4 货物在交付甲方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前发生的风险均由乙方负责。</w:t>
      </w:r>
      <w:r>
        <w:rPr>
          <w:rFonts w:hint="eastAsia" w:ascii="宋体" w:hAnsi="宋体" w:cs="Courier New"/>
          <w:color w:val="00000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12.5 货物在规定的交付期限内由乙方送达甲方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指定的地点视为交付，乙方同时需通知甲方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货物已送达。</w:t>
      </w:r>
      <w:r>
        <w:rPr>
          <w:rFonts w:hint="eastAsia" w:ascii="宋体" w:hAnsi="宋体" w:cs="Courier New"/>
          <w:color w:val="000000"/>
          <w:sz w:val="24"/>
          <w:szCs w:val="24"/>
          <w:highlight w:val="none"/>
        </w:rPr>
      </w:r>
      <w:r/>
    </w:p>
    <w:p>
      <w:pPr>
        <w:pStyle w:val="708"/>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十三、交货</w:t>
      </w:r>
      <w:r>
        <w:rPr>
          <w:rFonts w:hint="eastAsia" w:ascii="宋体" w:hAnsi="宋体" w:cs="宋体"/>
          <w:b/>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13.1乙方应在本合同生效后【】天内向甲方交付货物。</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交货地点（甲方或丙方指定）：【】</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收货人及其联系方式：【】</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13.2乙方交付的货物应当完全符合本合同所规定的货物、数量和规格要求。乙方提供的货物不符合本合同规定的，甲方（或丙方）有权拒收货物，由此引起的风险，由乙方承担。</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13.3货物的到货验收包括：型号、规格、数量、外观质量及货物包装是否完好。</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13.4乙方应将所提供货物的装箱清单、用户手册、原厂保修卡、随机资料及配件、随机工具等交付给甲方（或丙方）；乙方不能完整交付货物及本款规定的单证和工具的，视为未按合同约定交货，乙方负责补齐，因此导致逾期交付的，由乙方承担相关的违约责任。</w:t>
      </w:r>
      <w:r>
        <w:rPr>
          <w:rFonts w:hint="eastAsia" w:ascii="宋体" w:hAnsi="宋体" w:cs="宋体"/>
          <w:color w:val="000000"/>
          <w:sz w:val="24"/>
          <w:szCs w:val="24"/>
          <w:highlight w:val="none"/>
        </w:rPr>
      </w:r>
      <w:r/>
    </w:p>
    <w:p>
      <w:pPr>
        <w:pStyle w:val="708"/>
        <w:ind w:firstLine="482"/>
        <w:spacing w:line="360" w:lineRule="auto"/>
        <w:shd w:val="solid" w:color="ffffff" w:fill="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十四、安装调试、培训和验收</w:t>
      </w:r>
      <w:r>
        <w:rPr>
          <w:rFonts w:hint="eastAsia" w:ascii="宋体" w:hAnsi="宋体" w:cs="宋体"/>
          <w:b/>
          <w:color w:val="000000"/>
          <w:sz w:val="24"/>
          <w:szCs w:val="24"/>
          <w:highlight w:val="none"/>
        </w:rPr>
      </w:r>
      <w:r/>
    </w:p>
    <w:p>
      <w:pPr>
        <w:pStyle w:val="708"/>
        <w:ind w:firstLine="480"/>
        <w:spacing w:line="360" w:lineRule="auto"/>
        <w:shd w:val="solid" w:color="ffffff"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14.1甲方（或丙方）应当在乙方交货后的【3】个工作日内对货物进行验收，验收合格的，由甲方（或丙方）签署验收单并加盖单位章。特殊情况，甲乙双方协商解决。</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14.2货物和系统调试验收标准：按本合同相关规定；本合同未规定的按行业通行标准、厂方出厂标准和国家相关标准。</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14.3甲方（或丙方）自行组织或视情邀请相关专家或国家认可的质量检测机构参加验收，乙方提供的货物不符合采购文件和合同规定的，甲方（或丙方）有权拒收，并由乙方承担验收费用等。</w:t>
      </w:r>
      <w:r>
        <w:rPr>
          <w:rFonts w:hint="eastAsia" w:ascii="宋体" w:hAnsi="宋体" w:cs="宋体"/>
          <w:color w:val="000000"/>
          <w:sz w:val="24"/>
          <w:szCs w:val="24"/>
          <w:highlight w:val="none"/>
        </w:rPr>
      </w:r>
      <w:r/>
    </w:p>
    <w:p>
      <w:pPr>
        <w:pStyle w:val="708"/>
        <w:ind w:firstLine="480"/>
        <w:spacing w:line="360" w:lineRule="auto"/>
        <w:shd w:val="solid" w:color="ffffff"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14.4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r>
        <w:rPr>
          <w:rFonts w:hint="eastAsia" w:ascii="宋体" w:hAnsi="宋体" w:cs="宋体"/>
          <w:color w:val="000000"/>
          <w:sz w:val="24"/>
          <w:szCs w:val="24"/>
          <w:highlight w:val="none"/>
        </w:rPr>
      </w:r>
      <w:r/>
    </w:p>
    <w:p>
      <w:pPr>
        <w:pStyle w:val="708"/>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十五、违约责任</w:t>
      </w:r>
      <w:r>
        <w:rPr>
          <w:rFonts w:hint="eastAsia" w:ascii="宋体" w:hAnsi="宋体" w:cs="宋体"/>
          <w:b/>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15.1甲方的违约</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（3）甲方无正当理由拒收货物的，应向乙方偿付拒收货物总价款【1%】的违约金。</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15.2乙方的违约</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所交付的货物品种、型号、规格、技术参数、质量不符合合同规定及采购文件规定标准的，甲方有权拒收该货物，乙方愿意更换货物但逾期交货的，按乙方逾期交货处理。乙方拒绝更换货物的，甲方可单方面解除合同。</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（3）乙方虚假承诺（含人员资质造假），或提供的货物和服务不能满足采购文件要求，或是由于乙方的过错造成合同无法继续履行的，乙方应向甲方支付不少于合同总价30%的赔偿金。</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（4）如果乙方将项目全部或部分转包或者未经甲方同意分包，除由有关部门给予处罚外，乙方应支付合同总费用的10%作为违约金，甲方可从应付款项中直接扣除或要求乙方直接支付。</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（5）乙方未按照国家现行的标准或规范开展工作，或未根据甲方的指令开展工作，除由有关部门给予处罚外，乙方应支付合同总费用的10%作为违约金，甲方可从应付款项中直接扣除或要求乙方直接支付。</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（6）乙方</w:t>
      </w:r>
      <w:r>
        <w:rPr>
          <w:rFonts w:hint="eastAsia" w:ascii="宋体" w:hAnsi="宋体" w:cs="宋体"/>
          <w:color w:val="000000"/>
          <w:sz w:val="24"/>
          <w:szCs w:val="24"/>
          <w:highlight w:val="none"/>
        </w:rPr>
        <w:t xml:space="preserve">指定【】为项目负责人，全权负责本合同的履行，包括但不限于负责定期向甲方（或丙方）报告工作进展情况、来往函件的确认。并向甲方（或丙方）提交本项目的项目组成员名单，合同生效后，乙方不得擅自变更本项目负责人。如果乙方更换投标文件中承诺的项目负责人和各专业负责人、主要技术人员，必须征得甲方（或丙方）的书面同意，并且更换人员的水平不得低于原有的水平，不得因更换人员耽误项目期限。未经甲方（或丙方）同意擅自更换的，甲方（或丙方）有权要求乙方支付违约金：其中擅自更换项目负责人：2万元/人次，更换各专业负责人：1万元/人次。</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（7）合同生效后，如乙方提出终止合同，应承担由此给甲方造成的一切损失。</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发生上述（1）—（5）情况中任意一种情形的，甲方（或丙方）除要求乙方承担约定违约责任外，还有权可以单方解除本合同约定的全部或部分服务内容，并在单方解除合同的情况下有权要求乙方承担后述（8）－（15）情况中约定的合同义务和违约责任。</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（8）乙方违反本合同约定的知识产权条款，乙方应按合同总金额的10%支付违约金，由此造成损失或纠纷时，乙方将对此承担全部责任。</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（9）乙方在承担违约责任后，仍应继续履行合同规定的义务（甲方解除合同的除外）。甲方未能及时追究乙方的任何一项违约责任并不表明甲方放弃追究乙方该项或其他违约责任。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①未经甲方书面同意，将本合同约定的权利义务转让给第三人的；</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②在本合同履行过程中出现侵犯第三人合法权益的事项，包括但不限于知识产权、人身财产权益等；</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③未履行信息保密和使用约定的；</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④未履行双方约定的其他义务的，经甲方催告后7日内，仍未整改的。</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（11）甲方依法律规定或本合同约定单方解除本合同全部或部分服务内容的，乙方承诺无条件接受和配合，保证在甲方通知的时间内与接收单位办理有关文件的交接工作。</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（13）乙方侵犯第三人合法权利，除按合同约定承担违约责任外，还应承担相应的赔偿责任。如甲方先行垫付的，乙方应在收到委托方通知后的3日内返还。</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（14）如未按照甲方通知时间办理交接工作的，乙方将按照合同总费用的10%向甲方承担惩罚性违约金。</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（15）甲方有权从应支付给乙方的费用中直接扣除违约金、赔偿金等所有上述费用，不足以扣除的，乙方应在收到甲方通知后的7日内予以补足。</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cs="宋体"/>
          <w:color w:val="000000"/>
          <w:sz w:val="24"/>
          <w:szCs w:val="24"/>
          <w:highlight w:val="none"/>
        </w:rPr>
      </w:r>
      <w:r/>
    </w:p>
    <w:p>
      <w:pPr>
        <w:pStyle w:val="708"/>
        <w:ind w:firstLine="482"/>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十六、不可抗力事件处理</w:t>
      </w:r>
      <w:r>
        <w:rPr>
          <w:rFonts w:hint="eastAsia" w:ascii="宋体" w:hAnsi="宋体" w:cs="宋体"/>
          <w:b/>
          <w:bCs/>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16.1在合同有效期内，任何一方因不可抗力事件导致不能履行合同，则合同履行期可延长，其延长期与不可抗力影响期相同。</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16.3不可抗力事件延续120天以上，双方应通过友好协商，确定是否继续履行合同。</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16.4本合同所称不可抗力指不能预见、不能避免并不能克服的客观情况，不可抗力包括战争、地震、动乱、空中飞行物体坠落或其他非甲方或乙方责任造成的爆炸、火灾。</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16.6因发生不可抗力致使部分不能履行本合同的（包括导致延期履行），根据不可抗力的影响，免除相应的责任，但本合同另有规定的除外。</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16.7因合同一方延迟履行合同后发生不可抗力的，不能免除延迟履行方的相应责任。</w:t>
      </w:r>
      <w:r>
        <w:rPr>
          <w:rFonts w:hint="eastAsia" w:ascii="宋体" w:hAnsi="宋体" w:cs="宋体"/>
          <w:color w:val="000000"/>
          <w:sz w:val="24"/>
          <w:szCs w:val="24"/>
          <w:highlight w:val="none"/>
        </w:rPr>
      </w:r>
      <w:r/>
    </w:p>
    <w:p>
      <w:pPr>
        <w:pStyle w:val="708"/>
        <w:ind w:firstLine="482"/>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十七、解决争议的方法</w:t>
      </w:r>
      <w:r>
        <w:rPr>
          <w:rFonts w:hint="eastAsia" w:ascii="宋体" w:hAnsi="宋体" w:cs="宋体"/>
          <w:b/>
          <w:bCs/>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17.1甲乙双方因合同签订、履行而发生的一切争议，应通过友好协商解决。协商不成的由甲方住所地人民法院管辖。</w:t>
      </w:r>
      <w:r>
        <w:rPr>
          <w:rFonts w:hint="eastAsia" w:ascii="宋体" w:hAnsi="宋体" w:cs="宋体"/>
          <w:color w:val="000000"/>
          <w:sz w:val="24"/>
          <w:szCs w:val="24"/>
          <w:highlight w:val="none"/>
        </w:rPr>
      </w:r>
      <w:r/>
    </w:p>
    <w:p>
      <w:pPr>
        <w:pStyle w:val="708"/>
        <w:ind w:firstLine="482"/>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十八、合同的生效、变更与终止</w:t>
      </w:r>
      <w:r>
        <w:rPr>
          <w:rFonts w:hint="eastAsia" w:ascii="宋体" w:hAnsi="宋体" w:cs="宋体"/>
          <w:b/>
          <w:bCs/>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18.1本合同经双方加盖单位印章后生效。</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18.2周期延长</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18.2.1由于甲方或不可预见的自然或社会因素，导致服务内容增加和时间延长，则：</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（1）甲方应将此情况与可能产生的影响尽快通知乙方，并采取合理措施使影响减少到最小；</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（2）乙方应保持详细原始记录作为甲方支付费用的依据。</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甲方在与乙方协商后应相应地延长乙方的工作期限及是否增付服务内容增加对应的费用。双方应签订补充协议予以确认。</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18.2.2由于乙方的原因，导致服务时间延长，则：</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（1）乙方应将此情况与可能产生的影响尽快通知甲方，并采取合理措施使损失减少到最小；</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（2）甲方不支付乙方延长服务时间产生的费用，乙方应该按照本合同承担相应责任。</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18.3变更与终止</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（1）除《中华人民共和国政府采购法》第五十条第二款规定的情形外，本合同一经签订，甲乙双方不得擅自变更、中止或终止合同。</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（2）除发生法律规定的不能预见、不能避免并不能克服的客观情况外，甲乙双方不得放弃或拒绝履行合同。</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（3）变更</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在履约期内，经双方协商一致，可就合同约定内容、合同时间等以补充合同的方式进行变更。由于政策性因素等调整而影响工作方案、投资规模、工作进度等、对成果修改完善等工作，不属于变更，甲方不另行支付费用。</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（4）终止</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甲方可以在至少7天以前以书面形式通知乙方暂停全部或部分工作或终止本合同，一旦收到此类通知，乙方应立即安排停止计划并将开支减到最小，已投入生产的制作的部分，经双方协商确认后据实结算。</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截至甲方终止通知发出之日完成的实际工作量产生的合同费用结清后，本合同自动终止。</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不论何种原因，本合同的终止，不损害和影响各方应有权利、索赔要求和应负的责任。</w:t>
      </w:r>
      <w:r>
        <w:rPr>
          <w:rFonts w:hint="eastAsia" w:ascii="宋体" w:hAnsi="宋体" w:cs="宋体"/>
          <w:color w:val="000000"/>
          <w:sz w:val="24"/>
          <w:szCs w:val="24"/>
          <w:highlight w:val="none"/>
        </w:rPr>
      </w:r>
      <w:r/>
    </w:p>
    <w:p>
      <w:pPr>
        <w:pStyle w:val="708"/>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十九、其他</w:t>
      </w:r>
      <w:r>
        <w:rPr>
          <w:rFonts w:hint="eastAsia" w:ascii="宋体" w:hAnsi="宋体" w:cs="宋体"/>
          <w:b/>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19.1通知</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一方若需变更通讯地址，应当及时通知对方。因接受方或其签收人原因导致接受方没有收到送达文件的，视为已送达。</w:t>
      </w:r>
      <w:r>
        <w:rPr>
          <w:rFonts w:hint="eastAsia" w:ascii="宋体" w:hAnsi="宋体" w:cs="宋体"/>
          <w:color w:val="000000"/>
          <w:sz w:val="24"/>
          <w:szCs w:val="24"/>
          <w:highlight w:val="none"/>
        </w:rPr>
      </w:r>
      <w:r/>
    </w:p>
    <w:p>
      <w:pPr>
        <w:pStyle w:val="708"/>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19.2本合同正本一式叁份副本一式肆份，具有同等法律效力，甲方、乙方、丙各执正本1份，副本1份，1份副本交采购机构存档。</w:t>
      </w:r>
      <w:r>
        <w:rPr>
          <w:rFonts w:hint="eastAsia" w:ascii="宋体" w:hAnsi="宋体" w:cs="宋体"/>
          <w:color w:val="000000"/>
          <w:sz w:val="24"/>
          <w:szCs w:val="24"/>
          <w:highlight w:val="none"/>
        </w:rPr>
      </w:r>
      <w:r/>
    </w:p>
    <w:p>
      <w:pPr>
        <w:pStyle w:val="708"/>
        <w:ind w:firstLine="480"/>
        <w:spacing w:before="120" w:after="120" w:line="400" w:lineRule="exact"/>
        <w:widowControl/>
        <w:rPr>
          <w:rFonts w:hint="eastAsia" w:ascii="Calibri" w:hAnsi="Calibri"/>
          <w:color w:val="000000"/>
          <w:sz w:val="24"/>
          <w:szCs w:val="22"/>
          <w:highlight w:val="none"/>
          <w:lang w:bidi="ar"/>
        </w:rPr>
      </w:pPr>
      <w:r/>
      <w:bookmarkStart w:id="65" w:name="OLE_LINK53"/>
      <w:r>
        <w:rPr>
          <w:rFonts w:hint="eastAsia" w:ascii="Calibri" w:hAnsi="Calibri"/>
          <w:color w:val="000000"/>
          <w:sz w:val="24"/>
          <w:szCs w:val="22"/>
          <w:highlight w:val="none"/>
          <w:lang w:bidi="ar"/>
        </w:rPr>
        <w:t xml:space="preserve">甲</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方：（盖章）</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乙</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方：（盖章）</w:t>
      </w:r>
      <w:r>
        <w:rPr>
          <w:rFonts w:hint="eastAsia" w:ascii="Calibri" w:hAnsi="Calibri"/>
          <w:color w:val="000000"/>
          <w:sz w:val="24"/>
          <w:szCs w:val="22"/>
          <w:highlight w:val="none"/>
          <w:lang w:bidi="ar"/>
        </w:rPr>
      </w:r>
      <w:r/>
    </w:p>
    <w:p>
      <w:pPr>
        <w:pStyle w:val="708"/>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地</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址：</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地</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址： </w:t>
      </w:r>
      <w:r>
        <w:rPr>
          <w:rFonts w:hint="eastAsia" w:ascii="Calibri" w:hAnsi="Calibri"/>
          <w:color w:val="000000"/>
          <w:sz w:val="24"/>
          <w:szCs w:val="22"/>
          <w:highlight w:val="none"/>
          <w:lang w:bidi="ar"/>
        </w:rPr>
      </w:r>
      <w:r/>
    </w:p>
    <w:p>
      <w:pPr>
        <w:pStyle w:val="708"/>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法定代表人或授权代表：</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法定代表人或授权代表：</w:t>
      </w:r>
      <w:r>
        <w:rPr>
          <w:rFonts w:hint="eastAsia" w:ascii="Calibri" w:hAnsi="Calibri"/>
          <w:color w:val="000000"/>
          <w:sz w:val="24"/>
          <w:szCs w:val="22"/>
          <w:highlight w:val="none"/>
          <w:lang w:bidi="ar"/>
        </w:rPr>
      </w:r>
      <w:r/>
    </w:p>
    <w:p>
      <w:pPr>
        <w:pStyle w:val="708"/>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联系电话：</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联系电话：</w:t>
      </w:r>
      <w:r>
        <w:rPr>
          <w:rFonts w:hint="eastAsia" w:ascii="Calibri" w:hAnsi="Calibri"/>
          <w:color w:val="000000"/>
          <w:sz w:val="24"/>
          <w:szCs w:val="22"/>
          <w:highlight w:val="none"/>
          <w:lang w:bidi="ar"/>
        </w:rPr>
      </w:r>
      <w:r/>
    </w:p>
    <w:p>
      <w:pPr>
        <w:pStyle w:val="708"/>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签订日期：</w:t>
      </w:r>
      <w:r>
        <w:rPr>
          <w:rFonts w:hint="eastAsia" w:ascii="Calibri" w:hAnsi="Calibri"/>
          <w:color w:val="000000"/>
          <w:sz w:val="24"/>
          <w:szCs w:val="22"/>
          <w:highlight w:val="none"/>
          <w:lang w:bidi="ar"/>
        </w:rPr>
      </w:r>
      <w:r/>
    </w:p>
    <w:p>
      <w:pPr>
        <w:pStyle w:val="708"/>
        <w:jc w:val="left"/>
        <w:rPr>
          <w:rFonts w:hint="eastAsia" w:ascii="宋体" w:hAnsi="宋体"/>
          <w:color w:val="000000"/>
          <w:sz w:val="24"/>
          <w:szCs w:val="24"/>
          <w:highlight w:val="none"/>
        </w:rPr>
      </w:pPr>
      <w:r/>
      <w:bookmarkEnd w:id="65"/>
      <w:r>
        <w:rPr>
          <w:rFonts w:hint="eastAsia" w:ascii="宋体" w:hAnsi="宋体"/>
          <w:color w:val="000000"/>
          <w:sz w:val="24"/>
          <w:szCs w:val="24"/>
          <w:highlight w:val="none"/>
        </w:rPr>
      </w:r>
      <w:r/>
    </w:p>
    <w:p>
      <w:pPr>
        <w:pStyle w:val="708"/>
        <w:ind w:firstLine="480"/>
        <w:spacing w:before="120" w:after="120" w:line="400" w:lineRule="exact"/>
        <w:widowControl/>
        <w:rPr>
          <w:rFonts w:hint="eastAsia" w:ascii="Calibri" w:hAnsi="Calibri"/>
          <w:color w:val="000000"/>
          <w:sz w:val="24"/>
          <w:szCs w:val="22"/>
          <w:highlight w:val="none"/>
          <w:lang w:bidi="ar"/>
        </w:rPr>
      </w:pPr>
      <w:r>
        <w:rPr>
          <w:rFonts w:hint="eastAsia" w:ascii="宋体" w:hAnsi="宋体" w:cs="宋体"/>
          <w:color w:val="000000"/>
          <w:sz w:val="24"/>
          <w:szCs w:val="24"/>
          <w:highlight w:val="none"/>
          <w:lang w:bidi="ar"/>
        </w:rPr>
        <w:t xml:space="preserve">丙   </w:t>
      </w:r>
      <w:r>
        <w:rPr>
          <w:rFonts w:hint="eastAsia" w:ascii="Calibri" w:hAnsi="Calibri"/>
          <w:color w:val="000000"/>
          <w:sz w:val="24"/>
          <w:szCs w:val="22"/>
          <w:highlight w:val="none"/>
          <w:lang w:bidi="ar"/>
        </w:rPr>
        <w:t xml:space="preserve">方：（盖章）</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708"/>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地</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址：</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708"/>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法定代表人或授权代表：</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708"/>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联系电话：</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708"/>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签订日期：</w:t>
      </w:r>
      <w:r>
        <w:rPr>
          <w:rFonts w:hint="eastAsia" w:ascii="Calibri" w:hAnsi="Calibri"/>
          <w:color w:val="000000"/>
          <w:sz w:val="24"/>
          <w:szCs w:val="22"/>
          <w:highlight w:val="none"/>
          <w:lang w:bidi="ar"/>
        </w:rPr>
      </w:r>
      <w:r/>
    </w:p>
    <w:p>
      <w:pPr>
        <w:pStyle w:val="808"/>
        <w:rPr>
          <w:rFonts w:hint="eastAsia" w:ascii="宋体" w:hAnsi="宋体"/>
          <w:b/>
          <w:color w:val="000000"/>
          <w:sz w:val="30"/>
          <w:szCs w:val="21"/>
          <w:highlight w:val="none"/>
        </w:rPr>
      </w:pPr>
      <w:r>
        <w:rPr>
          <w:rFonts w:hint="eastAsia" w:ascii="宋体" w:hAnsi="宋体"/>
          <w:b/>
          <w:color w:val="000000"/>
          <w:sz w:val="30"/>
          <w:szCs w:val="21"/>
          <w:highlight w:val="none"/>
        </w:rPr>
      </w:r>
      <w:r/>
    </w:p>
    <w:p>
      <w:pPr>
        <w:pStyle w:val="813"/>
        <w:rPr>
          <w:rFonts w:hint="eastAsia"/>
          <w:color w:val="000000"/>
          <w:highlight w:val="none"/>
        </w:rPr>
      </w:pPr>
      <w:r>
        <w:rPr>
          <w:rFonts w:hint="eastAsia"/>
          <w:color w:val="000000"/>
          <w:highlight w:val="none"/>
        </w:rPr>
      </w:r>
      <w:r/>
    </w:p>
    <w:p>
      <w:pPr>
        <w:pStyle w:val="708"/>
        <w:spacing w:before="145" w:after="145" w:line="264" w:lineRule="auto"/>
        <w:rPr>
          <w:rFonts w:hint="eastAsia" w:ascii="方正小标宋简体" w:hAnsi="方正小标宋简体" w:eastAsia="方正小标宋简体" w:cs="方正小标宋简体"/>
          <w:bCs/>
          <w:color w:val="000000"/>
          <w:sz w:val="32"/>
          <w:szCs w:val="32"/>
          <w:highlight w:val="none"/>
        </w:rPr>
        <w:outlineLvl w:val="0"/>
      </w:pPr>
      <w:r>
        <w:rPr>
          <w:rFonts w:hint="eastAsia" w:ascii="方正小标宋简体" w:hAnsi="方正小标宋简体" w:eastAsia="方正小标宋简体" w:cs="方正小标宋简体"/>
          <w:bCs/>
          <w:color w:val="000000"/>
          <w:sz w:val="32"/>
          <w:szCs w:val="32"/>
          <w:highlight w:val="none"/>
        </w:rPr>
      </w:r>
      <w:r/>
    </w:p>
    <w:p>
      <w:pPr>
        <w:pStyle w:val="708"/>
        <w:jc w:val="center"/>
        <w:spacing w:before="145" w:after="145" w:line="264" w:lineRule="auto"/>
        <w:rPr>
          <w:rFonts w:hint="eastAsia" w:ascii="方正小标宋简体" w:hAnsi="方正小标宋简体" w:eastAsia="方正小标宋简体" w:cs="方正小标宋简体"/>
          <w:bCs/>
          <w:color w:val="000000"/>
          <w:sz w:val="32"/>
          <w:szCs w:val="32"/>
          <w:highlight w:val="none"/>
        </w:rPr>
        <w:outlineLvl w:val="0"/>
      </w:pPr>
      <w:r/>
      <w:bookmarkStart w:id="66" w:name="_Toc14346"/>
      <w:r>
        <w:rPr>
          <w:rFonts w:hint="eastAsia" w:ascii="方正小标宋简体" w:hAnsi="方正小标宋简体" w:eastAsia="方正小标宋简体" w:cs="方正小标宋简体"/>
          <w:bCs/>
          <w:color w:val="000000"/>
          <w:sz w:val="32"/>
          <w:szCs w:val="32"/>
          <w:highlight w:val="none"/>
        </w:rPr>
        <w:t xml:space="preserve">《*******合同》补充协议（合同附件）</w:t>
      </w:r>
      <w:bookmarkEnd w:id="66"/>
      <w:r>
        <w:rPr>
          <w:rFonts w:hint="eastAsia" w:ascii="方正小标宋简体" w:hAnsi="方正小标宋简体" w:eastAsia="方正小标宋简体" w:cs="方正小标宋简体"/>
          <w:bCs/>
          <w:color w:val="000000"/>
          <w:sz w:val="32"/>
          <w:szCs w:val="32"/>
          <w:highlight w:val="none"/>
        </w:rPr>
      </w:r>
      <w:r/>
    </w:p>
    <w:p>
      <w:pPr>
        <w:pStyle w:val="708"/>
        <w:ind w:left="560" w:firstLine="960"/>
        <w:spacing w:line="360" w:lineRule="auto"/>
        <w:rPr>
          <w:rFonts w:hint="eastAsia" w:ascii="宋体" w:hAnsi="宋体" w:eastAsia="宋体" w:cs="宋体"/>
          <w:color w:val="000000"/>
          <w:sz w:val="24"/>
          <w:szCs w:val="24"/>
          <w:highlight w:val="none"/>
          <w:lang w:val="zh-CN"/>
        </w:rPr>
        <w:outlineLvl w:val="9"/>
      </w:pPr>
      <w:r>
        <w:rPr>
          <w:rFonts w:hint="eastAsia" w:hAnsi="宋体"/>
          <w:color w:val="000000"/>
          <w:sz w:val="24"/>
          <w:szCs w:val="24"/>
          <w:highlight w:val="none"/>
        </w:rPr>
        <w:t xml:space="preserve">招标文件及合同未约定事项，双方可友好协商签订补充协议。</w:t>
      </w:r>
      <w:r>
        <w:rPr>
          <w:rFonts w:hint="eastAsia" w:ascii="宋体" w:hAnsi="宋体" w:eastAsia="宋体" w:cs="宋体"/>
          <w:color w:val="000000"/>
          <w:sz w:val="24"/>
          <w:szCs w:val="24"/>
          <w:highlight w:val="none"/>
          <w:lang w:val="zh-CN"/>
        </w:rPr>
      </w:r>
      <w:r/>
    </w:p>
    <w:p>
      <w:pPr>
        <w:pStyle w:val="708"/>
        <w:ind w:left="560"/>
        <w:jc w:val="center"/>
        <w:spacing w:line="360" w:lineRule="auto"/>
        <w:rPr>
          <w:rFonts w:hint="eastAsia" w:ascii="宋体" w:hAnsi="宋体" w:eastAsia="宋体" w:cs="宋体"/>
          <w:color w:val="000000"/>
          <w:szCs w:val="21"/>
          <w:highlight w:val="none"/>
          <w:lang w:val="zh-CN"/>
        </w:rPr>
        <w:outlineLvl w:val="9"/>
      </w:pPr>
      <w:r/>
      <w:bookmarkStart w:id="67" w:name="_Toc16496"/>
      <w:r>
        <w:rPr>
          <w:rFonts w:hint="eastAsia" w:ascii="宋体" w:hAnsi="宋体" w:eastAsia="宋体" w:cs="宋体"/>
          <w:color w:val="000000"/>
          <w:szCs w:val="21"/>
          <w:highlight w:val="none"/>
          <w:lang w:val="zh-CN"/>
        </w:rPr>
      </w:r>
      <w:r/>
    </w:p>
    <w:p>
      <w:pPr>
        <w:pStyle w:val="708"/>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08"/>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13"/>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13"/>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13"/>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13"/>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708"/>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08"/>
        <w:ind w:left="0"/>
        <w:jc w:val="left"/>
        <w:spacing w:line="240" w:lineRule="auto"/>
        <w:rPr>
          <w:rFonts w:hint="eastAsia" w:ascii="宋体" w:hAnsi="宋体" w:eastAsia="宋体" w:cs="宋体"/>
          <w:b/>
          <w:bCs/>
          <w:color w:val="000000"/>
          <w:sz w:val="36"/>
          <w:szCs w:val="36"/>
          <w:highlight w:val="none"/>
          <w:lang w:val="zh-CN"/>
        </w:rPr>
        <w:outlineLvl w:val="9"/>
      </w:pPr>
      <w:r/>
      <w:bookmarkStart w:id="68" w:name="_Toc29650"/>
      <w:r>
        <w:rPr>
          <w:rFonts w:hint="eastAsia" w:ascii="宋体" w:hAnsi="宋体" w:eastAsia="宋体" w:cs="宋体"/>
          <w:b/>
          <w:bCs/>
          <w:color w:val="000000"/>
          <w:sz w:val="36"/>
          <w:szCs w:val="36"/>
          <w:highlight w:val="none"/>
          <w:lang w:val="zh-CN"/>
        </w:rPr>
        <w:br w:type="page" w:clear="all"/>
      </w:r>
      <w:r>
        <w:rPr>
          <w:rFonts w:hint="eastAsia" w:ascii="宋体" w:hAnsi="宋体" w:eastAsia="宋体" w:cs="宋体"/>
          <w:b/>
          <w:bCs/>
          <w:color w:val="000000"/>
          <w:sz w:val="36"/>
          <w:szCs w:val="36"/>
          <w:highlight w:val="none"/>
          <w:lang w:val="zh-CN"/>
        </w:rPr>
      </w:r>
      <w:r/>
    </w:p>
    <w:p>
      <w:pPr>
        <w:pStyle w:val="708"/>
        <w:ind w:left="560"/>
        <w:jc w:val="center"/>
        <w:spacing w:line="360" w:lineRule="auto"/>
        <w:rPr>
          <w:rFonts w:hint="eastAsia" w:ascii="宋体" w:hAnsi="宋体" w:eastAsia="宋体" w:cs="宋体"/>
          <w:b/>
          <w:bCs/>
          <w:color w:val="000000"/>
          <w:sz w:val="36"/>
          <w:szCs w:val="36"/>
          <w:highlight w:val="none"/>
          <w:lang w:val="zh-CN"/>
        </w:rPr>
        <w:outlineLvl w:val="0"/>
      </w:pPr>
      <w:r/>
      <w:bookmarkStart w:id="69" w:name="_Toc28908"/>
      <w:r>
        <w:rPr>
          <w:rFonts w:hint="eastAsia" w:ascii="宋体" w:hAnsi="宋体" w:eastAsia="宋体" w:cs="宋体"/>
          <w:b/>
          <w:bCs/>
          <w:color w:val="000000"/>
          <w:sz w:val="36"/>
          <w:szCs w:val="36"/>
          <w:highlight w:val="none"/>
          <w:lang w:val="zh-CN"/>
        </w:rPr>
        <w:t xml:space="preserve">第六章 </w:t>
      </w:r>
      <w:r>
        <w:rPr>
          <w:rFonts w:hint="eastAsia" w:ascii="宋体" w:hAnsi="宋体" w:eastAsia="宋体" w:cs="宋体"/>
          <w:b/>
          <w:bCs/>
          <w:color w:val="000000"/>
          <w:sz w:val="36"/>
          <w:szCs w:val="36"/>
          <w:highlight w:val="none"/>
        </w:rPr>
        <w:t xml:space="preserve">投标文件</w:t>
      </w:r>
      <w:r>
        <w:rPr>
          <w:rFonts w:hint="eastAsia" w:ascii="宋体" w:hAnsi="宋体" w:eastAsia="宋体" w:cs="宋体"/>
          <w:b/>
          <w:bCs/>
          <w:color w:val="000000"/>
          <w:sz w:val="36"/>
          <w:szCs w:val="36"/>
          <w:highlight w:val="none"/>
          <w:lang w:val="zh-CN"/>
        </w:rPr>
        <w:t xml:space="preserve">格式及附件</w:t>
      </w:r>
      <w:bookmarkEnd w:id="67"/>
      <w:r/>
      <w:bookmarkEnd w:id="68"/>
      <w:r/>
      <w:bookmarkEnd w:id="69"/>
      <w:r>
        <w:rPr>
          <w:rFonts w:hint="eastAsia" w:ascii="宋体" w:hAnsi="宋体" w:eastAsia="宋体" w:cs="宋体"/>
          <w:b/>
          <w:bCs/>
          <w:color w:val="000000"/>
          <w:sz w:val="36"/>
          <w:szCs w:val="36"/>
          <w:highlight w:val="none"/>
          <w:lang w:val="zh-CN"/>
        </w:rPr>
      </w:r>
      <w:r/>
    </w:p>
    <w:p>
      <w:pPr>
        <w:pStyle w:val="708"/>
        <w:ind w:left="560"/>
        <w:jc w:val="center"/>
        <w:spacing w:line="360" w:lineRule="auto"/>
        <w:rPr>
          <w:rFonts w:hint="eastAsia" w:ascii="宋体" w:hAnsi="宋体" w:eastAsia="宋体" w:cs="宋体"/>
          <w:b/>
          <w:bCs/>
          <w:color w:val="000000"/>
          <w:sz w:val="36"/>
          <w:szCs w:val="36"/>
          <w:highlight w:val="none"/>
          <w:lang w:val="zh-CN"/>
        </w:rPr>
        <w:outlineLvl w:val="9"/>
      </w:pPr>
      <w:r>
        <w:rPr>
          <w:rFonts w:hint="eastAsia" w:ascii="宋体" w:hAnsi="宋体" w:eastAsia="宋体" w:cs="宋体"/>
          <w:b/>
          <w:bCs/>
          <w:color w:val="000000"/>
          <w:sz w:val="36"/>
          <w:szCs w:val="36"/>
          <w:highlight w:val="none"/>
          <w:lang w:val="zh-CN"/>
        </w:rPr>
      </w:r>
      <w:r/>
    </w:p>
    <w:p>
      <w:pPr>
        <w:pStyle w:val="708"/>
        <w:jc w:val="center"/>
        <w:spacing w:line="360" w:lineRule="auto"/>
        <w:rPr>
          <w:rFonts w:hint="eastAsia" w:ascii="宋体" w:hAnsi="宋体" w:eastAsia="宋体" w:cs="宋体"/>
          <w:b/>
          <w:color w:val="000000"/>
          <w:sz w:val="72"/>
          <w:highlight w:val="none"/>
        </w:rPr>
        <w:outlineLvl w:val="9"/>
      </w:pPr>
      <w:r>
        <w:rPr>
          <w:rFonts w:hint="eastAsia" w:ascii="宋体" w:hAnsi="宋体" w:eastAsia="宋体" w:cs="宋体"/>
          <w:b/>
          <w:color w:val="000000"/>
          <w:sz w:val="72"/>
          <w:highlight w:val="none"/>
        </w:rPr>
      </w:r>
      <w:r/>
    </w:p>
    <w:p>
      <w:pPr>
        <w:pStyle w:val="708"/>
        <w:jc w:val="center"/>
        <w:spacing w:line="360" w:lineRule="auto"/>
        <w:rPr>
          <w:rFonts w:hint="eastAsia" w:ascii="宋体" w:hAnsi="宋体" w:eastAsia="宋体" w:cs="宋体"/>
          <w:b/>
          <w:color w:val="000000"/>
          <w:sz w:val="72"/>
          <w:highlight w:val="none"/>
        </w:rPr>
        <w:outlineLvl w:val="9"/>
      </w:pPr>
      <w:r>
        <w:rPr>
          <w:rFonts w:hint="eastAsia" w:ascii="宋体" w:hAnsi="宋体" w:eastAsia="宋体" w:cs="宋体"/>
          <w:b/>
          <w:color w:val="000000"/>
          <w:sz w:val="72"/>
          <w:highlight w:val="none"/>
        </w:rPr>
        <w:t xml:space="preserve">投标文件</w:t>
      </w:r>
      <w:r>
        <w:rPr>
          <w:rFonts w:hint="eastAsia" w:ascii="宋体" w:hAnsi="宋体" w:eastAsia="宋体" w:cs="宋体"/>
          <w:b/>
          <w:color w:val="000000"/>
          <w:sz w:val="72"/>
          <w:highlight w:val="none"/>
        </w:rPr>
      </w:r>
      <w:r/>
    </w:p>
    <w:p>
      <w:pPr>
        <w:pStyle w:val="708"/>
        <w:ind w:firstLine="3708"/>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pStyle w:val="708"/>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pStyle w:val="708"/>
        <w:jc w:val="center"/>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pStyle w:val="708"/>
        <w:jc w:val="center"/>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pStyle w:val="708"/>
        <w:ind w:firstLine="1084"/>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t xml:space="preserve">项 目 编 号：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708"/>
        <w:ind w:firstLine="1084"/>
        <w:spacing w:line="360" w:lineRule="auto"/>
        <w:rPr>
          <w:rFonts w:hint="eastAsia" w:ascii="宋体" w:hAnsi="宋体" w:eastAsia="宋体" w:cs="宋体"/>
          <w:b/>
          <w:color w:val="000000"/>
          <w:sz w:val="36"/>
          <w:highlight w:val="none"/>
          <w:u w:val="single"/>
        </w:rPr>
        <w:outlineLvl w:val="9"/>
      </w:pPr>
      <w:r>
        <w:rPr>
          <w:rFonts w:hint="eastAsia" w:ascii="宋体" w:hAnsi="宋体" w:eastAsia="宋体" w:cs="宋体"/>
          <w:b/>
          <w:color w:val="000000"/>
          <w:sz w:val="36"/>
          <w:highlight w:val="none"/>
        </w:rPr>
        <w:t xml:space="preserve">项 目 名 称：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708"/>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pStyle w:val="708"/>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pStyle w:val="708"/>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pStyle w:val="708"/>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pStyle w:val="708"/>
        <w:spacing w:line="360" w:lineRule="auto"/>
        <w:rPr>
          <w:rFonts w:hint="eastAsia" w:ascii="宋体" w:hAnsi="宋体" w:eastAsia="宋体" w:cs="宋体"/>
          <w:b/>
          <w:color w:val="000000"/>
          <w:sz w:val="36"/>
          <w:highlight w:val="none"/>
          <w:u w:val="single"/>
        </w:rPr>
        <w:outlineLvl w:val="9"/>
      </w:pPr>
      <w:r>
        <w:rPr>
          <w:rFonts w:hint="eastAsia" w:ascii="宋体" w:hAnsi="宋体" w:eastAsia="宋体" w:cs="宋体"/>
          <w:b/>
          <w:color w:val="000000"/>
          <w:sz w:val="36"/>
          <w:highlight w:val="none"/>
        </w:rPr>
        <w:t xml:space="preserve">       供应商名称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708"/>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708"/>
        <w:jc w:val="center"/>
        <w:spacing w:line="360" w:lineRule="auto"/>
        <w:rPr>
          <w:rFonts w:hint="eastAsia" w:ascii="宋体" w:hAnsi="宋体" w:eastAsia="宋体" w:cs="宋体"/>
          <w:b/>
          <w:bCs/>
          <w:color w:val="000000"/>
          <w:sz w:val="44"/>
          <w:highlight w:val="none"/>
        </w:rPr>
        <w:outlineLvl w:val="9"/>
      </w:pPr>
      <w:r>
        <w:rPr>
          <w:rFonts w:hint="eastAsia" w:ascii="宋体" w:hAnsi="宋体" w:eastAsia="宋体" w:cs="宋体"/>
          <w:b/>
          <w:bCs/>
          <w:color w:val="000000"/>
          <w:sz w:val="44"/>
          <w:highlight w:val="none"/>
        </w:rPr>
      </w:r>
      <w:r/>
    </w:p>
    <w:p>
      <w:pPr>
        <w:pStyle w:val="708"/>
        <w:spacing w:line="360" w:lineRule="auto"/>
        <w:rPr>
          <w:rFonts w:hint="eastAsia" w:ascii="宋体" w:hAnsi="宋体" w:eastAsia="宋体" w:cs="宋体"/>
          <w:b/>
          <w:color w:val="000000"/>
          <w:szCs w:val="21"/>
          <w:highlight w:val="none"/>
          <w:lang w:val="zh-CN"/>
        </w:rPr>
        <w:outlineLvl w:val="9"/>
      </w:pPr>
      <w:r>
        <w:rPr>
          <w:rFonts w:hint="eastAsia" w:ascii="宋体" w:hAnsi="宋体" w:eastAsia="宋体" w:cs="宋体"/>
          <w:b/>
          <w:color w:val="000000"/>
          <w:szCs w:val="21"/>
          <w:highlight w:val="none"/>
          <w:lang w:val="zh-CN"/>
        </w:rPr>
      </w:r>
      <w:r/>
    </w:p>
    <w:p>
      <w:pPr>
        <w:pStyle w:val="708"/>
        <w:spacing w:line="360" w:lineRule="auto"/>
        <w:rPr>
          <w:rFonts w:hint="eastAsia" w:ascii="宋体" w:hAnsi="宋体" w:eastAsia="宋体" w:cs="宋体"/>
          <w:b/>
          <w:color w:val="000000"/>
          <w:sz w:val="24"/>
          <w:szCs w:val="24"/>
          <w:highlight w:val="none"/>
        </w:rPr>
        <w:outlineLvl w:val="1"/>
      </w:pPr>
      <w:r/>
      <w:bookmarkStart w:id="70" w:name="_Toc28254"/>
      <w:r/>
      <w:bookmarkStart w:id="71" w:name="_Toc7750"/>
      <w:r>
        <w:rPr>
          <w:rFonts w:hint="eastAsia" w:ascii="宋体" w:hAnsi="宋体" w:eastAsia="宋体" w:cs="宋体"/>
          <w:b/>
          <w:color w:val="000000"/>
          <w:sz w:val="24"/>
          <w:szCs w:val="24"/>
          <w:highlight w:val="none"/>
          <w:lang w:val="zh-CN"/>
        </w:rPr>
        <w:t xml:space="preserve">附件一、投标申请及声明格式</w:t>
      </w:r>
      <w:bookmarkEnd w:id="70"/>
      <w:r/>
      <w:bookmarkEnd w:id="71"/>
      <w:r>
        <w:rPr>
          <w:rFonts w:hint="eastAsia" w:ascii="宋体" w:hAnsi="宋体" w:eastAsia="宋体" w:cs="宋体"/>
          <w:b/>
          <w:color w:val="000000"/>
          <w:sz w:val="24"/>
          <w:szCs w:val="24"/>
          <w:highlight w:val="none"/>
        </w:rPr>
      </w:r>
      <w:r/>
    </w:p>
    <w:p>
      <w:pPr>
        <w:pStyle w:val="708"/>
        <w:jc w:val="center"/>
        <w:spacing w:line="360" w:lineRule="auto"/>
        <w:rPr>
          <w:rFonts w:hint="eastAsia" w:ascii="宋体" w:hAnsi="宋体" w:eastAsia="宋体" w:cs="宋体"/>
          <w:b/>
          <w:bCs/>
          <w:color w:val="000000"/>
          <w:sz w:val="24"/>
          <w:szCs w:val="24"/>
          <w:highlight w:val="none"/>
        </w:rPr>
        <w:outlineLvl w:val="9"/>
      </w:pPr>
      <w:r/>
      <w:bookmarkStart w:id="72" w:name="_Toc32604"/>
      <w:r/>
      <w:bookmarkStart w:id="73" w:name="_Toc4379"/>
      <w:r/>
      <w:bookmarkStart w:id="74" w:name="_Toc30921"/>
      <w:r>
        <w:rPr>
          <w:rFonts w:hint="eastAsia" w:ascii="宋体" w:hAnsi="宋体" w:eastAsia="宋体" w:cs="宋体"/>
          <w:b/>
          <w:bCs/>
          <w:color w:val="000000"/>
          <w:sz w:val="24"/>
          <w:szCs w:val="24"/>
          <w:highlight w:val="none"/>
          <w:lang w:val="zh-CN"/>
        </w:rPr>
        <w:t xml:space="preserve">投标申请及声明</w:t>
      </w:r>
      <w:bookmarkEnd w:id="72"/>
      <w:r/>
      <w:bookmarkEnd w:id="73"/>
      <w:r/>
      <w:bookmarkEnd w:id="74"/>
      <w:r>
        <w:rPr>
          <w:rFonts w:hint="eastAsia" w:ascii="宋体" w:hAnsi="宋体" w:eastAsia="宋体" w:cs="宋体"/>
          <w:b/>
          <w:bCs/>
          <w:color w:val="000000"/>
          <w:sz w:val="24"/>
          <w:szCs w:val="24"/>
          <w:highlight w:val="none"/>
        </w:rPr>
      </w:r>
      <w:r/>
    </w:p>
    <w:p>
      <w:pPr>
        <w:pStyle w:val="1286"/>
        <w:spacing w:line="360" w:lineRule="auto"/>
        <w:rPr>
          <w:rFonts w:hint="eastAsia" w:ascii="宋体" w:hAnsi="宋体" w:eastAsia="宋体" w:cs="宋体"/>
          <w:color w:val="000000"/>
          <w:sz w:val="24"/>
          <w:szCs w:val="24"/>
          <w:highlight w:val="none"/>
        </w:rPr>
        <w:outlineLvl w:val="9"/>
      </w:pPr>
      <w:r/>
      <w:bookmarkStart w:id="75" w:name="_Toc18647"/>
      <w:r/>
      <w:bookmarkStart w:id="76" w:name="_Toc27899"/>
      <w:r>
        <w:rPr>
          <w:rFonts w:hint="eastAsia" w:ascii="宋体" w:hAnsi="宋体" w:eastAsia="宋体" w:cs="宋体"/>
          <w:color w:val="000000"/>
          <w:sz w:val="24"/>
          <w:szCs w:val="24"/>
          <w:highlight w:val="none"/>
          <w:lang w:val="zh-CN"/>
        </w:rPr>
        <w:t xml:space="preserve">致：招标人：</w:t>
      </w:r>
      <w:bookmarkEnd w:id="75"/>
      <w:r/>
      <w:bookmarkEnd w:id="76"/>
      <w:r>
        <w:rPr>
          <w:rFonts w:hint="eastAsia" w:ascii="宋体" w:hAnsi="宋体" w:eastAsia="宋体" w:cs="宋体"/>
          <w:color w:val="000000"/>
          <w:sz w:val="24"/>
          <w:szCs w:val="24"/>
          <w:highlight w:val="none"/>
          <w:u w:val="single"/>
          <w:lang w:val="zh-CN"/>
        </w:rPr>
        <w:t xml:space="preserve"> </w:t>
      </w:r>
      <w:r>
        <w:rPr>
          <w:rFonts w:hint="eastAsia" w:hAnsi="宋体" w:cs="宋体"/>
          <w:color w:val="000000"/>
          <w:sz w:val="24"/>
          <w:szCs w:val="24"/>
          <w:highlight w:val="none"/>
          <w:u w:val="single"/>
          <w:lang w:val="zh-CN"/>
        </w:rPr>
        <w:t xml:space="preserve">南京江北新区管理委员会教育局</w:t>
      </w:r>
      <w:r>
        <w:rPr>
          <w:rFonts w:hint="eastAsia" w:ascii="宋体" w:hAnsi="宋体" w:eastAsia="宋体" w:cs="宋体"/>
          <w:color w:val="000000"/>
          <w:sz w:val="24"/>
          <w:szCs w:val="24"/>
          <w:highlight w:val="none"/>
        </w:rPr>
      </w:r>
      <w:r/>
    </w:p>
    <w:p>
      <w:pPr>
        <w:pStyle w:val="1286"/>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   </w:t>
      </w:r>
      <w:bookmarkStart w:id="77" w:name="_Toc4607"/>
      <w:r/>
      <w:bookmarkStart w:id="78" w:name="_Toc9373"/>
      <w:r>
        <w:rPr>
          <w:rFonts w:hint="eastAsia" w:ascii="宋体" w:hAnsi="宋体" w:eastAsia="宋体" w:cs="宋体"/>
          <w:color w:val="000000"/>
          <w:sz w:val="24"/>
          <w:szCs w:val="24"/>
          <w:highlight w:val="none"/>
          <w:lang w:val="zh-CN"/>
        </w:rPr>
        <w:t xml:space="preserve">根据贵方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zh-CN"/>
        </w:rPr>
        <w:t xml:space="preserve">（项目名称）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zh-CN"/>
        </w:rPr>
        <w:t xml:space="preserve">（项目编号）</w:t>
      </w:r>
      <w:r>
        <w:rPr>
          <w:rFonts w:hint="eastAsia" w:ascii="宋体" w:hAnsi="宋体" w:eastAsia="宋体" w:cs="宋体"/>
          <w:color w:val="000000"/>
          <w:sz w:val="24"/>
          <w:szCs w:val="24"/>
          <w:highlight w:val="none"/>
          <w:lang w:val="zh-CN"/>
        </w:rPr>
        <w:t xml:space="preserve">投标邀请，正式授权下述签字人</w:t>
      </w:r>
      <w:r>
        <w:rPr>
          <w:rFonts w:hint="eastAsia"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zh-CN"/>
        </w:rPr>
        <w:t xml:space="preserve">(姓名和职务)代表投标人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val="zh-CN"/>
        </w:rPr>
        <w:t xml:space="preserve">（投标人名称），提交投标文件。</w:t>
      </w:r>
      <w:bookmarkEnd w:id="77"/>
      <w:r/>
      <w:bookmarkEnd w:id="78"/>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据此函，签字人兹宣布声明和承诺如下：</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1、</w:t>
      </w:r>
      <w:r>
        <w:rPr>
          <w:rFonts w:hint="eastAsia" w:ascii="宋体" w:hAnsi="宋体" w:eastAsia="宋体" w:cs="宋体"/>
          <w:b/>
          <w:color w:val="000000"/>
          <w:sz w:val="24"/>
          <w:szCs w:val="24"/>
          <w:highlight w:val="none"/>
          <w:lang w:val="zh-CN"/>
        </w:rPr>
        <w:t xml:space="preserve">我们的资格条件完全符合政府采购法和本次招标要求</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我们</w:t>
      </w:r>
      <w:r>
        <w:rPr>
          <w:rFonts w:hint="eastAsia" w:ascii="宋体" w:hAnsi="宋体" w:eastAsia="宋体" w:cs="宋体"/>
          <w:color w:val="000000"/>
          <w:sz w:val="24"/>
          <w:szCs w:val="24"/>
          <w:highlight w:val="none"/>
          <w:lang w:val="zh-CN"/>
        </w:rPr>
        <w:t xml:space="preserve">同意并向贵方提供了与投标有关的所有证据和资料。</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按招标要求，我们的投标总报价为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（大写）元人民币。其中，小型企业的产品为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（大写）元人民币。</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3、我们已详细审核全部招标文件及其有效补充文件，我们放弃对招标文件任何误解的权利，提交投标文件后，</w:t>
      </w:r>
      <w:r>
        <w:rPr>
          <w:rFonts w:hint="eastAsia" w:ascii="宋体" w:hAnsi="宋体" w:eastAsia="宋体" w:cs="宋体"/>
          <w:b/>
          <w:color w:val="000000"/>
          <w:sz w:val="24"/>
          <w:szCs w:val="24"/>
          <w:highlight w:val="none"/>
          <w:lang w:val="zh-CN"/>
        </w:rPr>
        <w:t xml:space="preserve">不对招标文件本身提出质疑</w:t>
      </w:r>
      <w:r>
        <w:rPr>
          <w:rFonts w:hint="eastAsia" w:ascii="宋体" w:hAnsi="宋体" w:eastAsia="宋体" w:cs="宋体"/>
          <w:color w:val="000000"/>
          <w:sz w:val="24"/>
          <w:szCs w:val="24"/>
          <w:highlight w:val="none"/>
          <w:lang w:val="zh-CN"/>
        </w:rPr>
        <w:t xml:space="preserve">。否则，属于不诚信和故意扰乱政府采购活动行为，我们将无条件接受处罚。</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4、我们同意从规定的开标日期起遵循本投标文件，并在规定的投标有效期期满之前均具有约束力。</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5、一旦我方中标，我方将根据招标文件的规定严格履行合同，并保证于承诺的时间完成服务的启动/集成、调试等服务，交付采购人验收、使用。</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8、与本投标有关的正式联系方式为：</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lang w:val="zh-CN"/>
        </w:rPr>
        <w:t xml:space="preserve">地址：</w:t>
      </w:r>
      <w:r>
        <w:rPr>
          <w:rFonts w:hint="eastAsia" w:ascii="宋体" w:hAnsi="宋体" w:eastAsia="宋体" w:cs="宋体"/>
          <w:color w:val="000000"/>
          <w:sz w:val="24"/>
          <w:szCs w:val="24"/>
          <w:highlight w:val="none"/>
          <w:u w:val="single"/>
        </w:rPr>
      </w:r>
      <w:r/>
    </w:p>
    <w:p>
      <w:pPr>
        <w:pStyle w:val="708"/>
        <w:ind w:firstLine="42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lang w:val="zh-CN"/>
        </w:rPr>
        <w:t xml:space="preserve">电话：</w:t>
      </w:r>
      <w:r>
        <w:rPr>
          <w:rFonts w:hint="eastAsia" w:ascii="宋体" w:hAnsi="宋体" w:eastAsia="宋体" w:cs="宋体"/>
          <w:color w:val="000000"/>
          <w:sz w:val="24"/>
          <w:szCs w:val="24"/>
          <w:highlight w:val="none"/>
          <w:u w:val="single"/>
        </w:rPr>
      </w:r>
      <w:r/>
    </w:p>
    <w:p>
      <w:pPr>
        <w:pStyle w:val="708"/>
        <w:ind w:firstLine="42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lang w:val="zh-CN"/>
        </w:rPr>
        <w:t xml:space="preserve">传真：</w:t>
      </w:r>
      <w:r>
        <w:rPr>
          <w:rFonts w:hint="eastAsia" w:ascii="宋体" w:hAnsi="宋体" w:eastAsia="宋体" w:cs="宋体"/>
          <w:color w:val="000000"/>
          <w:sz w:val="24"/>
          <w:szCs w:val="24"/>
          <w:highlight w:val="none"/>
          <w:u w:val="singl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开户银行：</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银行账号：</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lang w:val="zh-CN"/>
        </w:rPr>
        <w:t xml:space="preserve">供应商授权代表姓名（签字）：</w:t>
      </w:r>
      <w:r>
        <w:rPr>
          <w:rFonts w:hint="eastAsia" w:ascii="宋体" w:hAnsi="宋体" w:eastAsia="宋体" w:cs="宋体"/>
          <w:color w:val="000000"/>
          <w:sz w:val="24"/>
          <w:szCs w:val="24"/>
          <w:highlight w:val="none"/>
          <w:u w:val="singl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供应商名称：（盖章）</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日期：</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708"/>
        <w:spacing w:line="360" w:lineRule="auto"/>
        <w:rPr>
          <w:rFonts w:hint="eastAsia" w:ascii="宋体" w:hAnsi="宋体" w:eastAsia="宋体" w:cs="宋体"/>
          <w:color w:val="000000"/>
          <w:sz w:val="24"/>
          <w:szCs w:val="24"/>
          <w:highlight w:val="none"/>
        </w:rPr>
        <w:outlineLvl w:val="1"/>
      </w:pPr>
      <w:r/>
      <w:bookmarkStart w:id="79" w:name="_Toc27970"/>
      <w:r/>
      <w:bookmarkStart w:id="80" w:name="_Toc997"/>
      <w:r>
        <w:rPr>
          <w:rFonts w:hint="eastAsia" w:ascii="宋体" w:hAnsi="宋体" w:eastAsia="宋体" w:cs="宋体"/>
          <w:b/>
          <w:color w:val="000000"/>
          <w:sz w:val="24"/>
          <w:szCs w:val="24"/>
          <w:highlight w:val="none"/>
          <w:lang w:val="zh-CN"/>
        </w:rPr>
        <w:t xml:space="preserve">附件二、法定代表人授权书格式</w:t>
      </w:r>
      <w:bookmarkEnd w:id="79"/>
      <w:r/>
      <w:bookmarkEnd w:id="80"/>
      <w:r>
        <w:rPr>
          <w:rFonts w:hint="eastAsia" w:ascii="宋体" w:hAnsi="宋体" w:eastAsia="宋体" w:cs="宋体"/>
          <w:color w:val="000000"/>
          <w:sz w:val="24"/>
          <w:szCs w:val="24"/>
          <w:highlight w:val="none"/>
        </w:rPr>
      </w:r>
      <w:r/>
    </w:p>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法定代表人授权委托书</w:t>
      </w:r>
      <w:r>
        <w:rPr>
          <w:rFonts w:hint="eastAsia" w:ascii="宋体" w:hAnsi="宋体" w:eastAsia="宋体" w:cs="宋体"/>
          <w:color w:val="000000"/>
          <w:sz w:val="24"/>
          <w:szCs w:val="24"/>
          <w:highlight w:val="none"/>
        </w:rPr>
      </w:r>
      <w:r/>
    </w:p>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 </w:t>
      </w:r>
      <w:r>
        <w:rPr>
          <w:rFonts w:hint="eastAsia" w:ascii="宋体" w:hAnsi="宋体" w:cs="宋体"/>
          <w:color w:val="000000"/>
          <w:sz w:val="24"/>
          <w:szCs w:val="24"/>
          <w:highlight w:val="none"/>
          <w:lang w:val="zh-CN"/>
        </w:rPr>
        <w:t xml:space="preserve">南京江北新区管理委员会教育局</w:t>
      </w:r>
      <w:r>
        <w:rPr>
          <w:rFonts w:hint="eastAsia" w:ascii="宋体" w:hAnsi="宋体" w:eastAsia="宋体" w:cs="宋体"/>
          <w:color w:val="000000"/>
          <w:sz w:val="24"/>
          <w:szCs w:val="24"/>
          <w:highlight w:val="none"/>
          <w:lang w:val="zh-CN"/>
        </w:rPr>
        <w:t xml:space="preserve">、</w:t>
      </w:r>
      <w:r>
        <w:rPr>
          <w:rFonts w:hint="eastAsia" w:ascii="宋体" w:hAnsi="宋体" w:cs="宋体"/>
          <w:color w:val="000000"/>
          <w:sz w:val="24"/>
          <w:szCs w:val="24"/>
          <w:highlight w:val="none"/>
          <w:lang w:val="zh-CN"/>
        </w:rPr>
        <w:t xml:space="preserve">南京建淳造价师事务所有限公司</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rPr>
      </w:r>
      <w:r/>
    </w:p>
    <w:p>
      <w:pPr>
        <w:pStyle w:val="708"/>
        <w:ind w:firstLine="420"/>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本授权书声明：注册于</w:t>
      </w:r>
      <w:r>
        <w:rPr>
          <w:rFonts w:hint="eastAsia" w:ascii="宋体" w:hAnsi="宋体" w:eastAsia="宋体" w:cs="宋体"/>
          <w:color w:val="000000"/>
          <w:sz w:val="24"/>
          <w:szCs w:val="24"/>
          <w:highlight w:val="none"/>
          <w:u w:val="single"/>
          <w:lang w:val="zh-CN"/>
        </w:rPr>
        <w:t xml:space="preserve">                         （投标人住址）</w:t>
      </w:r>
      <w:r>
        <w:rPr>
          <w:rFonts w:hint="eastAsia" w:ascii="宋体" w:hAnsi="宋体" w:eastAsia="宋体" w:cs="宋体"/>
          <w:color w:val="000000"/>
          <w:sz w:val="24"/>
          <w:szCs w:val="24"/>
          <w:highlight w:val="none"/>
          <w:lang w:val="zh-CN"/>
        </w:rPr>
        <w:t xml:space="preserve">的 </w:t>
      </w:r>
      <w:r>
        <w:rPr>
          <w:rFonts w:hint="eastAsia" w:ascii="宋体" w:hAnsi="宋体" w:eastAsia="宋体" w:cs="宋体"/>
          <w:color w:val="000000"/>
          <w:sz w:val="24"/>
          <w:szCs w:val="24"/>
          <w:highlight w:val="none"/>
          <w:u w:val="single"/>
          <w:lang w:val="zh-CN"/>
        </w:rPr>
        <w:t xml:space="preserve">  （投标人名称）</w:t>
      </w:r>
      <w:r>
        <w:rPr>
          <w:rFonts w:hint="eastAsia" w:ascii="宋体" w:hAnsi="宋体" w:eastAsia="宋体" w:cs="宋体"/>
          <w:color w:val="000000"/>
          <w:sz w:val="24"/>
          <w:szCs w:val="24"/>
          <w:highlight w:val="none"/>
          <w:lang w:val="zh-CN"/>
        </w:rPr>
        <w:t xml:space="preserve">法定代表人 </w:t>
      </w:r>
      <w:r>
        <w:rPr>
          <w:rFonts w:hint="eastAsia" w:ascii="宋体" w:hAnsi="宋体" w:eastAsia="宋体" w:cs="宋体"/>
          <w:color w:val="000000"/>
          <w:sz w:val="24"/>
          <w:szCs w:val="24"/>
          <w:highlight w:val="none"/>
          <w:u w:val="single"/>
          <w:lang w:val="zh-CN"/>
        </w:rPr>
        <w:t xml:space="preserve">                     （法定代表人姓名、职务）</w:t>
      </w:r>
      <w:r>
        <w:rPr>
          <w:rFonts w:hint="eastAsia" w:ascii="宋体" w:hAnsi="宋体" w:eastAsia="宋体" w:cs="宋体"/>
          <w:color w:val="000000"/>
          <w:sz w:val="24"/>
          <w:szCs w:val="24"/>
          <w:highlight w:val="none"/>
          <w:lang w:val="zh-CN"/>
        </w:rPr>
        <w:t xml:space="preserve">代表本公司授权在下面签字的 </w:t>
      </w:r>
      <w:r>
        <w:rPr>
          <w:rFonts w:hint="eastAsia" w:ascii="宋体" w:hAnsi="宋体" w:eastAsia="宋体" w:cs="宋体"/>
          <w:color w:val="000000"/>
          <w:sz w:val="24"/>
          <w:szCs w:val="24"/>
          <w:highlight w:val="none"/>
          <w:u w:val="single"/>
          <w:lang w:val="zh-CN"/>
        </w:rPr>
        <w:t xml:space="preserve">           （投标人代表姓名、职务）</w:t>
      </w:r>
      <w:r>
        <w:rPr>
          <w:rFonts w:hint="eastAsia" w:ascii="宋体" w:hAnsi="宋体" w:eastAsia="宋体" w:cs="宋体"/>
          <w:color w:val="000000"/>
          <w:sz w:val="24"/>
          <w:szCs w:val="24"/>
          <w:highlight w:val="none"/>
          <w:lang w:val="zh-CN"/>
        </w:rPr>
        <w:t xml:space="preserve">为本公司的合法代理人，就贵方组织的</w:t>
      </w:r>
      <w:r>
        <w:rPr>
          <w:rFonts w:hint="eastAsia" w:ascii="宋体" w:hAnsi="宋体" w:eastAsia="宋体" w:cs="宋体"/>
          <w:color w:val="000000"/>
          <w:sz w:val="24"/>
          <w:szCs w:val="24"/>
          <w:highlight w:val="none"/>
          <w:u w:val="single"/>
          <w:lang w:val="zh-CN"/>
        </w:rPr>
        <w:t xml:space="preserve">（项目名称）</w:t>
      </w:r>
      <w:r>
        <w:rPr>
          <w:rFonts w:hint="eastAsia" w:ascii="宋体" w:hAnsi="宋体" w:eastAsia="宋体" w:cs="宋体"/>
          <w:color w:val="000000"/>
          <w:sz w:val="24"/>
          <w:szCs w:val="24"/>
          <w:highlight w:val="none"/>
          <w:lang w:val="zh-CN"/>
        </w:rPr>
        <w:t xml:space="preserve">投标，以本公司名义处理一切与之有关的事务。</w:t>
      </w:r>
      <w:r>
        <w:rPr>
          <w:rFonts w:hint="eastAsia" w:ascii="宋体" w:hAnsi="宋体" w:eastAsia="宋体" w:cs="宋体"/>
          <w:color w:val="000000"/>
          <w:sz w:val="24"/>
          <w:szCs w:val="24"/>
          <w:highlight w:val="none"/>
        </w:rPr>
      </w:r>
      <w:r/>
    </w:p>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本授权书于    年  月  日签字生效，特此声明。</w:t>
      </w:r>
      <w:r>
        <w:rPr>
          <w:rFonts w:hint="eastAsia" w:ascii="宋体" w:hAnsi="宋体" w:eastAsia="宋体" w:cs="宋体"/>
          <w:color w:val="000000"/>
          <w:sz w:val="24"/>
          <w:szCs w:val="24"/>
          <w:highlight w:val="none"/>
        </w:rPr>
      </w:r>
      <w:r/>
    </w:p>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法定代表人签字：</w:t>
      </w:r>
      <w:r>
        <w:rPr>
          <w:rFonts w:hint="eastAsia" w:ascii="宋体" w:hAnsi="宋体" w:eastAsia="宋体" w:cs="宋体"/>
          <w:color w:val="000000"/>
          <w:sz w:val="24"/>
          <w:szCs w:val="24"/>
          <w:highlight w:val="none"/>
        </w:rPr>
      </w:r>
      <w:r/>
    </w:p>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授权委托人签字：        </w:t>
      </w:r>
      <w:r>
        <w:rPr>
          <w:rFonts w:hint="eastAsia" w:ascii="宋体" w:hAnsi="宋体" w:eastAsia="宋体" w:cs="宋体"/>
          <w:color w:val="000000"/>
          <w:sz w:val="24"/>
          <w:szCs w:val="24"/>
          <w:highlight w:val="none"/>
        </w:rPr>
      </w:r>
      <w:r/>
    </w:p>
    <w:p>
      <w:pPr>
        <w:pStyle w:val="1044"/>
        <w:spacing w:line="480" w:lineRule="exact"/>
        <w:tabs>
          <w:tab w:val="left" w:pos="36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单位名称：（加盖电子公章）   </w:t>
      </w:r>
      <w:r>
        <w:rPr>
          <w:rFonts w:hint="eastAsia" w:ascii="宋体" w:hAnsi="宋体" w:eastAsia="宋体" w:cs="宋体"/>
          <w:color w:val="000000"/>
          <w:sz w:val="24"/>
          <w:szCs w:val="24"/>
          <w:highlight w:val="none"/>
        </w:rPr>
      </w:r>
      <w:r/>
    </w:p>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日        期：        年    月    日</w:t>
      </w:r>
      <w:r>
        <w:rPr>
          <w:rFonts w:hint="eastAsia" w:ascii="宋体" w:hAnsi="宋体" w:eastAsia="宋体" w:cs="宋体"/>
          <w:color w:val="000000"/>
          <w:sz w:val="24"/>
          <w:szCs w:val="24"/>
          <w:highlight w:val="none"/>
        </w:rPr>
      </w:r>
      <w:r/>
    </w:p>
    <w:p>
      <w:pPr>
        <w:pStyle w:val="708"/>
        <w:jc w:val="left"/>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zh-CN"/>
        </w:rPr>
        <w:t xml:space="preserve">法定代表人</w:t>
      </w:r>
      <w:r>
        <w:rPr>
          <w:rFonts w:hint="eastAsia" w:ascii="宋体" w:hAnsi="宋体" w:eastAsia="宋体" w:cs="宋体"/>
          <w:b/>
          <w:bCs/>
          <w:color w:val="000000"/>
          <w:sz w:val="24"/>
          <w:szCs w:val="24"/>
          <w:highlight w:val="none"/>
        </w:rPr>
        <w:t xml:space="preserve">身份证原件复印件：</w:t>
      </w:r>
      <w:r>
        <w:rPr>
          <w:rFonts w:hint="eastAsia" w:ascii="宋体" w:hAnsi="宋体" w:eastAsia="宋体" w:cs="宋体"/>
          <w:b/>
          <w:bCs/>
          <w:color w:val="000000"/>
          <w:sz w:val="24"/>
          <w:szCs w:val="24"/>
          <w:highlight w:val="none"/>
        </w:rPr>
      </w:r>
      <w:r/>
    </w:p>
    <w:p>
      <w:pPr>
        <w:pStyle w:val="708"/>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被授权人</w:t>
      </w:r>
      <w:r>
        <w:rPr>
          <w:rFonts w:hint="eastAsia" w:ascii="宋体" w:hAnsi="宋体" w:eastAsia="宋体" w:cs="宋体"/>
          <w:b/>
          <w:bCs/>
          <w:color w:val="000000"/>
          <w:sz w:val="24"/>
          <w:szCs w:val="24"/>
          <w:highlight w:val="none"/>
          <w:lang w:val="zh-CN"/>
        </w:rPr>
        <w:t xml:space="preserve">的身份证明文件的复印件：</w:t>
      </w:r>
      <w:r>
        <w:rPr>
          <w:rFonts w:hint="eastAsia" w:ascii="宋体" w:hAnsi="宋体" w:eastAsia="宋体" w:cs="宋体"/>
          <w:b/>
          <w:bCs/>
          <w:color w:val="000000"/>
          <w:sz w:val="24"/>
          <w:szCs w:val="24"/>
          <w:highlight w:val="none"/>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rPr>
        <w:outlineLvl w:val="1"/>
      </w:pPr>
      <w:r/>
      <w:bookmarkStart w:id="81" w:name="_Toc26869"/>
      <w:r/>
      <w:bookmarkStart w:id="82" w:name="_Toc29681"/>
      <w:r>
        <w:rPr>
          <w:rFonts w:hint="eastAsia" w:ascii="宋体" w:hAnsi="宋体" w:eastAsia="宋体" w:cs="宋体"/>
          <w:b/>
          <w:color w:val="000000"/>
          <w:sz w:val="24"/>
          <w:szCs w:val="24"/>
          <w:highlight w:val="none"/>
          <w:lang w:val="zh-CN"/>
        </w:rPr>
        <w:t xml:space="preserve">附件三、开标一览表格式</w:t>
      </w:r>
      <w:bookmarkEnd w:id="81"/>
      <w:r/>
      <w:bookmarkEnd w:id="82"/>
      <w:r>
        <w:rPr>
          <w:rFonts w:hint="eastAsia" w:ascii="宋体" w:hAnsi="宋体" w:eastAsia="宋体" w:cs="宋体"/>
          <w:b/>
          <w:color w:val="000000"/>
          <w:sz w:val="24"/>
          <w:szCs w:val="24"/>
          <w:highlight w:val="none"/>
        </w:rPr>
      </w:r>
      <w:r/>
    </w:p>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开标一览表</w:t>
      </w:r>
      <w:r>
        <w:rPr>
          <w:rFonts w:hint="eastAsia" w:ascii="宋体" w:hAnsi="宋体" w:eastAsia="宋体" w:cs="宋体"/>
          <w:color w:val="000000"/>
          <w:sz w:val="24"/>
          <w:szCs w:val="24"/>
          <w:highlight w:val="none"/>
        </w:rPr>
      </w:r>
      <w:r/>
    </w:p>
    <w:tbl>
      <w:tblPr>
        <w:tblW w:w="0" w:type="auto"/>
        <w:tblInd w:w="-1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W w:w="6038" w:type="dxa"/>
            <w:vAlign w:val="center"/>
            <w:textDirection w:val="lrTb"/>
            <w:noWrap w:val="false"/>
          </w:tcPr>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项目名称： </w:t>
            </w:r>
            <w:r>
              <w:rPr>
                <w:rFonts w:hint="eastAsia" w:ascii="宋体" w:hAnsi="宋体" w:eastAsia="宋体" w:cs="宋体"/>
                <w:color w:val="000000"/>
                <w:sz w:val="24"/>
                <w:szCs w:val="24"/>
                <w:highlight w:val="none"/>
              </w:rPr>
            </w:r>
            <w:r/>
          </w:p>
        </w:tc>
        <w:tc>
          <w:tcPr>
            <w:gridSpan w:val="2"/>
            <w:tcW w:w="3347" w:type="dxa"/>
            <w:vAlign w:val="center"/>
            <w:textDirection w:val="lrTb"/>
            <w:noWrap w:val="false"/>
          </w:tcPr>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项目编号：</w:t>
            </w:r>
            <w:r>
              <w:rPr>
                <w:rFonts w:hint="eastAsia" w:ascii="宋体" w:hAnsi="宋体" w:eastAsia="宋体" w:cs="宋体"/>
                <w:color w:val="000000"/>
                <w:sz w:val="24"/>
                <w:szCs w:val="24"/>
                <w:highlight w:val="none"/>
              </w:rPr>
            </w:r>
            <w:r/>
          </w:p>
        </w:tc>
      </w:tr>
      <w:tr>
        <w:trPr>
          <w:trHeight w:val="284"/>
        </w:trPr>
        <w:tc>
          <w:tcPr>
            <w:tcW w:w="734" w:type="dxa"/>
            <w:vAlign w:val="center"/>
            <w:textDirection w:val="lrTb"/>
            <w:noWrap w:val="false"/>
          </w:tcPr>
          <w:p>
            <w:pPr>
              <w:pStyle w:val="70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序号</w:t>
            </w:r>
            <w:r>
              <w:rPr>
                <w:rFonts w:hint="eastAsia" w:ascii="宋体" w:hAnsi="宋体" w:eastAsia="宋体" w:cs="宋体"/>
                <w:color w:val="000000"/>
                <w:sz w:val="24"/>
                <w:szCs w:val="24"/>
                <w:highlight w:val="none"/>
              </w:rPr>
            </w:r>
            <w:r/>
          </w:p>
        </w:tc>
        <w:tc>
          <w:tcPr>
            <w:gridSpan w:val="2"/>
            <w:tcW w:w="3522" w:type="dxa"/>
            <w:vAlign w:val="center"/>
            <w:textDirection w:val="lrTb"/>
            <w:noWrap w:val="false"/>
          </w:tcPr>
          <w:p>
            <w:pPr>
              <w:pStyle w:val="70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名               称</w:t>
            </w:r>
            <w:r>
              <w:rPr>
                <w:rFonts w:hint="eastAsia" w:ascii="宋体" w:hAnsi="宋体" w:eastAsia="宋体" w:cs="宋体"/>
                <w:color w:val="000000"/>
                <w:sz w:val="24"/>
                <w:szCs w:val="24"/>
                <w:highlight w:val="none"/>
              </w:rPr>
            </w:r>
            <w:r/>
          </w:p>
        </w:tc>
        <w:tc>
          <w:tcPr>
            <w:tcW w:w="872" w:type="dxa"/>
            <w:vAlign w:val="center"/>
            <w:textDirection w:val="lrTb"/>
            <w:noWrap w:val="false"/>
          </w:tcPr>
          <w:p>
            <w:pPr>
              <w:pStyle w:val="70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单位</w:t>
            </w:r>
            <w:r>
              <w:rPr>
                <w:rFonts w:hint="eastAsia" w:ascii="宋体" w:hAnsi="宋体" w:eastAsia="宋体" w:cs="宋体"/>
                <w:color w:val="000000"/>
                <w:sz w:val="24"/>
                <w:szCs w:val="24"/>
                <w:highlight w:val="none"/>
              </w:rPr>
            </w:r>
            <w:r/>
          </w:p>
        </w:tc>
        <w:tc>
          <w:tcPr>
            <w:gridSpan w:val="2"/>
            <w:tcW w:w="1418" w:type="dxa"/>
            <w:vAlign w:val="center"/>
            <w:textDirection w:val="lrTb"/>
            <w:noWrap w:val="false"/>
          </w:tcPr>
          <w:p>
            <w:pPr>
              <w:pStyle w:val="70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报价（元）</w:t>
            </w:r>
            <w:r>
              <w:rPr>
                <w:rFonts w:hint="eastAsia" w:ascii="宋体" w:hAnsi="宋体" w:eastAsia="宋体" w:cs="宋体"/>
                <w:color w:val="000000"/>
                <w:sz w:val="24"/>
                <w:szCs w:val="24"/>
                <w:highlight w:val="none"/>
              </w:rPr>
            </w:r>
            <w:r/>
          </w:p>
        </w:tc>
        <w:tc>
          <w:tcPr>
            <w:tcW w:w="2839" w:type="dxa"/>
            <w:vAlign w:val="center"/>
            <w:textDirection w:val="lrTb"/>
            <w:noWrap w:val="false"/>
          </w:tcPr>
          <w:p>
            <w:pPr>
              <w:pStyle w:val="70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4"/>
        </w:trPr>
        <w:tc>
          <w:tcPr>
            <w:tcW w:w="734" w:type="dxa"/>
            <w:vAlign w:val="center"/>
            <w:textDirection w:val="lrTb"/>
            <w:noWrap w:val="false"/>
          </w:tcPr>
          <w:p>
            <w:pPr>
              <w:pStyle w:val="708"/>
              <w:jc w:val="center"/>
              <w:spacing w:line="360" w:lineRule="auto"/>
              <w:rPr>
                <w:rFonts w:hint="eastAsia" w:ascii="宋体" w:hAnsi="宋体" w:eastAsia="宋体" w:cs="宋体"/>
                <w:color w:val="000000"/>
                <w:spacing w:val="-2"/>
                <w:sz w:val="24"/>
                <w:szCs w:val="24"/>
                <w:highlight w:val="none"/>
                <w:lang w:val="en-US" w:eastAsia="zh-CN"/>
              </w:rPr>
              <w:outlineLvl w:val="9"/>
            </w:pPr>
            <w:r>
              <w:rPr>
                <w:rFonts w:hint="eastAsia" w:ascii="宋体" w:hAnsi="宋体" w:cs="宋体"/>
                <w:color w:val="000000"/>
                <w:spacing w:val="-2"/>
                <w:sz w:val="24"/>
                <w:szCs w:val="24"/>
                <w:highlight w:val="none"/>
                <w:lang w:val="en-US" w:eastAsia="zh-CN"/>
              </w:rPr>
              <w:t xml:space="preserve">1</w:t>
            </w:r>
            <w:r>
              <w:rPr>
                <w:rFonts w:hint="eastAsia" w:ascii="宋体" w:hAnsi="宋体" w:eastAsia="宋体" w:cs="宋体"/>
                <w:color w:val="000000"/>
                <w:spacing w:val="-2"/>
                <w:sz w:val="24"/>
                <w:szCs w:val="24"/>
                <w:highlight w:val="none"/>
                <w:lang w:val="en-US" w:eastAsia="zh-CN"/>
              </w:rPr>
            </w:r>
            <w:r/>
          </w:p>
        </w:tc>
        <w:tc>
          <w:tcPr>
            <w:gridSpan w:val="2"/>
            <w:tcW w:w="3522" w:type="dxa"/>
            <w:vAlign w:val="center"/>
            <w:textDirection w:val="lrTb"/>
            <w:noWrap w:val="false"/>
          </w:tcPr>
          <w:p>
            <w:pPr>
              <w:pStyle w:val="708"/>
              <w:spacing w:line="360" w:lineRule="auto"/>
              <w:rPr>
                <w:rFonts w:hint="eastAsia" w:ascii="宋体" w:hAnsi="宋体" w:eastAsia="宋体" w:cs="宋体"/>
                <w:color w:val="000000"/>
                <w:spacing w:val="-2"/>
                <w:sz w:val="24"/>
                <w:szCs w:val="24"/>
                <w:highlight w:val="none"/>
                <w:lang w:val="en-US" w:eastAsia="zh-CN"/>
              </w:rPr>
              <w:outlineLvl w:val="9"/>
            </w:pPr>
            <w:r>
              <w:rPr>
                <w:rFonts w:hint="eastAsia" w:ascii="宋体" w:hAnsi="宋体" w:cs="宋体"/>
                <w:color w:val="000000"/>
                <w:sz w:val="24"/>
                <w:szCs w:val="24"/>
                <w:highlight w:val="none"/>
                <w:lang w:eastAsia="zh-CN"/>
              </w:rPr>
              <w:t xml:space="preserve">侨康路学校新建工程项目体育装备采购项目</w:t>
            </w:r>
            <w:r>
              <w:rPr>
                <w:rFonts w:hint="eastAsia" w:ascii="宋体" w:hAnsi="宋体" w:eastAsia="宋体" w:cs="宋体"/>
                <w:color w:val="000000"/>
                <w:spacing w:val="-2"/>
                <w:sz w:val="24"/>
                <w:szCs w:val="24"/>
                <w:highlight w:val="none"/>
                <w:lang w:val="en-US" w:eastAsia="zh-CN"/>
              </w:rPr>
            </w:r>
            <w:r/>
          </w:p>
        </w:tc>
        <w:tc>
          <w:tcPr>
            <w:tcW w:w="872" w:type="dxa"/>
            <w:vAlign w:val="center"/>
            <w:textDirection w:val="lrTb"/>
            <w:noWrap w:val="false"/>
          </w:tcPr>
          <w:p>
            <w:pPr>
              <w:pStyle w:val="708"/>
              <w:jc w:val="cente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tc>
        <w:tc>
          <w:tcPr>
            <w:gridSpan w:val="2"/>
            <w:tcW w:w="1418" w:type="dxa"/>
            <w:vAlign w:val="center"/>
            <w:textDirection w:val="lrTb"/>
            <w:noWrap w:val="false"/>
          </w:tcPr>
          <w:p>
            <w:pPr>
              <w:pStyle w:val="70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839" w:type="dxa"/>
            <w:vAlign w:val="center"/>
            <w:textDirection w:val="lrTb"/>
            <w:noWrap w:val="false"/>
          </w:tcPr>
          <w:p>
            <w:pPr>
              <w:pStyle w:val="70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4"/>
        </w:trPr>
        <w:tc>
          <w:tcPr>
            <w:tcW w:w="734" w:type="dxa"/>
            <w:vAlign w:val="center"/>
            <w:textDirection w:val="lrTb"/>
            <w:noWrap w:val="false"/>
          </w:tcPr>
          <w:p>
            <w:pPr>
              <w:pStyle w:val="708"/>
              <w:jc w:val="center"/>
              <w:spacing w:line="360" w:lineRule="auto"/>
              <w:rPr>
                <w:rFonts w:hint="eastAsia" w:ascii="宋体" w:hAnsi="宋体" w:eastAsia="宋体" w:cs="宋体"/>
                <w:color w:val="000000"/>
                <w:spacing w:val="-2"/>
                <w:sz w:val="24"/>
                <w:szCs w:val="24"/>
                <w:highlight w:val="none"/>
              </w:rPr>
              <w:outlineLvl w:val="9"/>
            </w:pPr>
            <w:r>
              <w:rPr>
                <w:rFonts w:hint="eastAsia" w:ascii="宋体" w:hAnsi="宋体" w:eastAsia="宋体" w:cs="宋体"/>
                <w:color w:val="000000"/>
                <w:spacing w:val="-2"/>
                <w:sz w:val="24"/>
                <w:szCs w:val="24"/>
                <w:highlight w:val="none"/>
              </w:rPr>
            </w:r>
            <w:r/>
          </w:p>
        </w:tc>
        <w:tc>
          <w:tcPr>
            <w:gridSpan w:val="2"/>
            <w:tcW w:w="3522" w:type="dxa"/>
            <w:vAlign w:val="center"/>
            <w:textDirection w:val="lrTb"/>
            <w:noWrap w:val="false"/>
          </w:tcPr>
          <w:p>
            <w:pPr>
              <w:pStyle w:val="708"/>
              <w:spacing w:line="360" w:lineRule="auto"/>
              <w:rPr>
                <w:rFonts w:hint="eastAsia" w:ascii="宋体" w:hAnsi="宋体" w:eastAsia="宋体" w:cs="宋体"/>
                <w:color w:val="000000"/>
                <w:spacing w:val="-2"/>
                <w:sz w:val="24"/>
                <w:szCs w:val="24"/>
                <w:highlight w:val="none"/>
              </w:rPr>
              <w:outlineLvl w:val="9"/>
            </w:pPr>
            <w:r>
              <w:rPr>
                <w:rFonts w:hint="eastAsia" w:ascii="宋体" w:hAnsi="宋体" w:eastAsia="宋体" w:cs="宋体"/>
                <w:color w:val="000000"/>
                <w:spacing w:val="-2"/>
                <w:sz w:val="24"/>
                <w:szCs w:val="24"/>
                <w:highlight w:val="none"/>
              </w:rPr>
            </w:r>
            <w:r/>
          </w:p>
        </w:tc>
        <w:tc>
          <w:tcPr>
            <w:tcW w:w="872" w:type="dxa"/>
            <w:vAlign w:val="center"/>
            <w:textDirection w:val="lrTb"/>
            <w:noWrap w:val="false"/>
          </w:tcPr>
          <w:p>
            <w:pPr>
              <w:pStyle w:val="70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W w:w="1418" w:type="dxa"/>
            <w:vAlign w:val="center"/>
            <w:textDirection w:val="lrTb"/>
            <w:noWrap w:val="false"/>
          </w:tcPr>
          <w:p>
            <w:pPr>
              <w:pStyle w:val="70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839" w:type="dxa"/>
            <w:vAlign w:val="center"/>
            <w:textDirection w:val="lrTb"/>
            <w:noWrap w:val="false"/>
          </w:tcPr>
          <w:p>
            <w:pPr>
              <w:pStyle w:val="70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4"/>
        </w:trPr>
        <w:tc>
          <w:tcPr>
            <w:tcW w:w="734" w:type="dxa"/>
            <w:vAlign w:val="center"/>
            <w:textDirection w:val="lrTb"/>
            <w:noWrap w:val="false"/>
          </w:tcPr>
          <w:p>
            <w:pPr>
              <w:pStyle w:val="708"/>
              <w:jc w:val="center"/>
              <w:spacing w:line="360" w:lineRule="auto"/>
              <w:rPr>
                <w:rFonts w:hint="eastAsia" w:ascii="宋体" w:hAnsi="宋体" w:eastAsia="宋体" w:cs="宋体"/>
                <w:color w:val="000000"/>
                <w:spacing w:val="-2"/>
                <w:sz w:val="24"/>
                <w:szCs w:val="24"/>
                <w:highlight w:val="none"/>
              </w:rPr>
              <w:outlineLvl w:val="9"/>
            </w:pPr>
            <w:r>
              <w:rPr>
                <w:rFonts w:hint="eastAsia" w:ascii="宋体" w:hAnsi="宋体" w:eastAsia="宋体" w:cs="宋体"/>
                <w:color w:val="000000"/>
                <w:spacing w:val="-2"/>
                <w:sz w:val="24"/>
                <w:szCs w:val="24"/>
                <w:highlight w:val="none"/>
              </w:rPr>
            </w:r>
            <w:r/>
          </w:p>
        </w:tc>
        <w:tc>
          <w:tcPr>
            <w:gridSpan w:val="2"/>
            <w:tcW w:w="3522" w:type="dxa"/>
            <w:vAlign w:val="center"/>
            <w:textDirection w:val="lrTb"/>
            <w:noWrap w:val="false"/>
          </w:tcPr>
          <w:p>
            <w:pPr>
              <w:pStyle w:val="708"/>
              <w:spacing w:line="360" w:lineRule="auto"/>
              <w:rPr>
                <w:rFonts w:hint="eastAsia" w:ascii="宋体" w:hAnsi="宋体" w:eastAsia="宋体" w:cs="宋体"/>
                <w:color w:val="000000"/>
                <w:spacing w:val="-2"/>
                <w:sz w:val="24"/>
                <w:szCs w:val="24"/>
                <w:highlight w:val="none"/>
              </w:rPr>
              <w:outlineLvl w:val="9"/>
            </w:pPr>
            <w:r>
              <w:rPr>
                <w:rFonts w:hint="eastAsia" w:ascii="宋体" w:hAnsi="宋体" w:eastAsia="宋体" w:cs="宋体"/>
                <w:color w:val="000000"/>
                <w:spacing w:val="-2"/>
                <w:sz w:val="24"/>
                <w:szCs w:val="24"/>
                <w:highlight w:val="none"/>
              </w:rPr>
            </w:r>
            <w:r/>
          </w:p>
        </w:tc>
        <w:tc>
          <w:tcPr>
            <w:tcW w:w="872" w:type="dxa"/>
            <w:vAlign w:val="center"/>
            <w:textDirection w:val="lrTb"/>
            <w:noWrap w:val="false"/>
          </w:tcPr>
          <w:p>
            <w:pPr>
              <w:pStyle w:val="70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W w:w="1418" w:type="dxa"/>
            <w:vAlign w:val="center"/>
            <w:textDirection w:val="lrTb"/>
            <w:noWrap w:val="false"/>
          </w:tcPr>
          <w:p>
            <w:pPr>
              <w:pStyle w:val="70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839" w:type="dxa"/>
            <w:vAlign w:val="center"/>
            <w:textDirection w:val="lrTb"/>
            <w:noWrap w:val="false"/>
          </w:tcPr>
          <w:p>
            <w:pPr>
              <w:pStyle w:val="70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4"/>
        </w:trPr>
        <w:tc>
          <w:tcPr>
            <w:gridSpan w:val="2"/>
            <w:tcW w:w="326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投标总价（人民币，大写）</w:t>
            </w:r>
            <w:r>
              <w:rPr>
                <w:rFonts w:hint="eastAsia" w:ascii="宋体" w:hAnsi="宋体" w:eastAsia="宋体" w:cs="宋体"/>
                <w:color w:val="000000"/>
                <w:sz w:val="24"/>
                <w:szCs w:val="24"/>
                <w:highlight w:val="none"/>
              </w:rPr>
            </w:r>
            <w:r/>
          </w:p>
        </w:tc>
        <w:tc>
          <w:tcPr>
            <w:gridSpan w:val="5"/>
            <w:tcW w:w="6120" w:type="dxa"/>
            <w:vAlign w:val="center"/>
            <w:textDirection w:val="lrTb"/>
            <w:noWrap w:val="false"/>
          </w:tcPr>
          <w:p>
            <w:pPr>
              <w:pStyle w:val="708"/>
              <w:ind w:firstLine="3990"/>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元</w:t>
            </w:r>
            <w:r>
              <w:rPr>
                <w:rFonts w:hint="eastAsia" w:ascii="宋体" w:hAnsi="宋体" w:eastAsia="宋体" w:cs="宋体"/>
                <w:color w:val="000000"/>
                <w:sz w:val="24"/>
                <w:szCs w:val="24"/>
                <w:highlight w:val="none"/>
              </w:rPr>
            </w:r>
            <w:r/>
          </w:p>
        </w:tc>
      </w:tr>
      <w:tr>
        <w:trPr>
          <w:trHeight w:val="284"/>
        </w:trPr>
        <w:tc>
          <w:tcPr>
            <w:gridSpan w:val="2"/>
            <w:tcW w:w="326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投标货物中有无进口产品</w:t>
            </w:r>
            <w:r>
              <w:rPr>
                <w:rFonts w:hint="eastAsia" w:ascii="宋体" w:hAnsi="宋体" w:eastAsia="宋体" w:cs="宋体"/>
                <w:color w:val="000000"/>
                <w:sz w:val="24"/>
                <w:szCs w:val="24"/>
                <w:highlight w:val="none"/>
              </w:rPr>
            </w:r>
            <w:r/>
          </w:p>
        </w:tc>
        <w:tc>
          <w:tcPr>
            <w:gridSpan w:val="5"/>
            <w:tcW w:w="6120" w:type="dxa"/>
            <w:vAlign w:val="center"/>
            <w:textDirection w:val="lrTb"/>
            <w:noWrap w:val="false"/>
          </w:tcPr>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有       无</w:t>
            </w:r>
            <w:r>
              <w:rPr>
                <w:rFonts w:hint="eastAsia" w:ascii="宋体" w:hAnsi="宋体" w:eastAsia="宋体" w:cs="宋体"/>
                <w:color w:val="000000"/>
                <w:sz w:val="24"/>
                <w:szCs w:val="24"/>
                <w:highlight w:val="none"/>
              </w:rPr>
            </w:r>
            <w:r/>
          </w:p>
        </w:tc>
      </w:tr>
      <w:tr>
        <w:trPr>
          <w:trHeight w:val="284"/>
        </w:trPr>
        <w:tc>
          <w:tcPr>
            <w:gridSpan w:val="2"/>
            <w:tcW w:w="326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供应商是否属于小微型企业</w:t>
            </w:r>
            <w:r>
              <w:rPr>
                <w:rFonts w:hint="eastAsia" w:ascii="宋体" w:hAnsi="宋体" w:eastAsia="宋体" w:cs="宋体"/>
                <w:color w:val="000000"/>
                <w:sz w:val="24"/>
                <w:szCs w:val="24"/>
                <w:highlight w:val="none"/>
              </w:rPr>
            </w:r>
            <w:r/>
          </w:p>
        </w:tc>
        <w:tc>
          <w:tcPr>
            <w:gridSpan w:val="5"/>
            <w:tcW w:w="6120" w:type="dxa"/>
            <w:vAlign w:val="center"/>
            <w:textDirection w:val="lrTb"/>
            <w:noWrap w:val="false"/>
          </w:tcPr>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是       否</w:t>
            </w:r>
            <w:r>
              <w:rPr>
                <w:rFonts w:hint="eastAsia" w:ascii="宋体" w:hAnsi="宋体" w:eastAsia="宋体" w:cs="宋体"/>
                <w:color w:val="000000"/>
                <w:sz w:val="24"/>
                <w:szCs w:val="24"/>
                <w:highlight w:val="none"/>
              </w:rPr>
            </w:r>
            <w:r/>
          </w:p>
        </w:tc>
      </w:tr>
      <w:tr>
        <w:trPr>
          <w:trHeight w:val="284"/>
        </w:trPr>
        <w:tc>
          <w:tcPr>
            <w:gridSpan w:val="2"/>
            <w:tcW w:w="326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人民币与美元汇率</w:t>
            </w:r>
            <w:r>
              <w:rPr>
                <w:rFonts w:hint="eastAsia" w:ascii="宋体" w:hAnsi="宋体" w:eastAsia="宋体" w:cs="宋体"/>
                <w:color w:val="000000"/>
                <w:sz w:val="24"/>
                <w:szCs w:val="24"/>
                <w:highlight w:val="none"/>
              </w:rPr>
            </w:r>
            <w:r/>
          </w:p>
        </w:tc>
        <w:tc>
          <w:tcPr>
            <w:gridSpan w:val="5"/>
            <w:tcW w:w="6120" w:type="dxa"/>
            <w:vAlign w:val="center"/>
            <w:textDirection w:val="lrTb"/>
            <w:noWrap w:val="false"/>
          </w:tcPr>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10：X</w:t>
            </w:r>
            <w:r>
              <w:rPr>
                <w:rFonts w:hint="eastAsia" w:ascii="宋体" w:hAnsi="宋体" w:eastAsia="宋体" w:cs="宋体"/>
                <w:color w:val="000000"/>
                <w:sz w:val="24"/>
                <w:szCs w:val="24"/>
                <w:highlight w:val="none"/>
              </w:rPr>
            </w:r>
            <w:r/>
          </w:p>
        </w:tc>
      </w:tr>
    </w:tbl>
    <w:p>
      <w:pPr>
        <w:pStyle w:val="708"/>
        <w:jc w:val="left"/>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供应商名称:（加盖电子公章）</w:t>
      </w:r>
      <w:r>
        <w:rPr>
          <w:rFonts w:hint="eastAsia" w:ascii="宋体" w:hAnsi="宋体" w:eastAsia="宋体" w:cs="宋体"/>
          <w:color w:val="000000"/>
          <w:sz w:val="24"/>
          <w:szCs w:val="24"/>
          <w:highlight w:val="none"/>
        </w:rPr>
      </w:r>
      <w:r/>
    </w:p>
    <w:p>
      <w:pPr>
        <w:pStyle w:val="708"/>
        <w:jc w:val="left"/>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p>
      <w:pPr>
        <w:pStyle w:val="708"/>
        <w:jc w:val="left"/>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说明：</w:t>
      </w:r>
      <w:r>
        <w:rPr>
          <w:rFonts w:hint="eastAsia" w:ascii="宋体" w:hAnsi="宋体" w:eastAsia="宋体" w:cs="宋体"/>
          <w:color w:val="000000"/>
          <w:sz w:val="24"/>
          <w:szCs w:val="24"/>
          <w:highlight w:val="none"/>
        </w:rPr>
      </w:r>
      <w:r/>
    </w:p>
    <w:p>
      <w:pPr>
        <w:pStyle w:val="708"/>
        <w:ind w:firstLine="420"/>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在“投标货物中有无进口产品”栏后“有”或“无”上打“√”。</w:t>
      </w:r>
      <w:r>
        <w:rPr>
          <w:rFonts w:hint="eastAsia" w:ascii="宋体" w:hAnsi="宋体" w:eastAsia="宋体" w:cs="宋体"/>
          <w:color w:val="000000"/>
          <w:sz w:val="24"/>
          <w:szCs w:val="24"/>
          <w:highlight w:val="none"/>
        </w:rPr>
      </w:r>
      <w:r/>
    </w:p>
    <w:p>
      <w:pPr>
        <w:pStyle w:val="708"/>
        <w:ind w:firstLine="420"/>
        <w:jc w:val="left"/>
        <w:spacing w:line="360" w:lineRule="auto"/>
        <w:widowControl/>
        <w:rPr>
          <w:rFonts w:hint="eastAsia" w:ascii="宋体" w:hAnsi="宋体" w:eastAsia="宋体" w:cs="宋体"/>
          <w:color w:val="000000"/>
          <w:sz w:val="24"/>
          <w:szCs w:val="24"/>
          <w:highlight w:val="none"/>
        </w:rPr>
        <w:sectPr>
          <w:footerReference w:type="default" r:id="rId9"/>
          <w:footnotePr/>
          <w:endnotePr/>
          <w:type w:val="nextPage"/>
          <w:pgSz w:w="11906" w:h="16838" w:orient="portrait"/>
          <w:pgMar w:top="1417" w:right="1134" w:bottom="1247" w:left="1304" w:header="851" w:footer="992" w:gutter="0"/>
          <w:pgNumType w:start="1"/>
          <w:cols w:num="1" w:sep="0" w:space="1701" w:equalWidth="1"/>
          <w:docGrid w:linePitch="360"/>
        </w:sect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、在“供应商是否属于小和微型企业”栏后“是”或“否”上打“√”。</w:t>
      </w:r>
      <w:r>
        <w:rPr>
          <w:rFonts w:hint="eastAsia" w:ascii="宋体" w:hAnsi="宋体" w:eastAsia="宋体" w:cs="宋体"/>
          <w:color w:val="000000"/>
          <w:sz w:val="24"/>
          <w:szCs w:val="24"/>
          <w:highlight w:val="none"/>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zh-CN"/>
        </w:rPr>
        <w:t xml:space="preserve">分项报价表格式</w:t>
      </w:r>
      <w:r>
        <w:rPr>
          <w:rFonts w:hint="eastAsia" w:ascii="宋体" w:hAnsi="宋体" w:eastAsia="宋体" w:cs="宋体"/>
          <w:b/>
          <w:color w:val="000000"/>
          <w:sz w:val="24"/>
          <w:szCs w:val="24"/>
          <w:highlight w:val="none"/>
        </w:rPr>
      </w:r>
      <w:r/>
    </w:p>
    <w:p>
      <w:pPr>
        <w:pStyle w:val="708"/>
        <w:ind w:firstLine="3600"/>
        <w:jc w:val="left"/>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分项报价表</w:t>
      </w:r>
      <w:r>
        <w:rPr>
          <w:rFonts w:hint="eastAsia" w:ascii="宋体" w:hAnsi="宋体" w:eastAsia="宋体" w:cs="宋体"/>
          <w:color w:val="000000"/>
          <w:sz w:val="24"/>
          <w:szCs w:val="24"/>
          <w:highlight w:val="none"/>
          <w:lang w:val="zh-CN"/>
        </w:rPr>
      </w:r>
      <w:r/>
    </w:p>
    <w:tbl>
      <w:tblPr>
        <w:tblW w:w="10709" w:type="dxa"/>
        <w:jc w:val="center"/>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 w:type="dxa"/>
          <w:top w:w="-1" w:type="dxa"/>
          <w:right w:w="-1" w:type="dxa"/>
          <w:bottom w:w="-1" w:type="dxa"/>
        </w:tblCellMar>
        <w:tblLook w:val="04A0" w:firstRow="1" w:lastRow="0" w:firstColumn="1" w:lastColumn="0" w:noHBand="0" w:noVBand="1"/>
      </w:tblPr>
      <w:tblGrid>
        <w:gridCol w:w="834"/>
        <w:gridCol w:w="1841"/>
        <w:gridCol w:w="1336"/>
        <w:gridCol w:w="1543"/>
        <w:gridCol w:w="1196"/>
        <w:gridCol w:w="816"/>
        <w:gridCol w:w="879"/>
        <w:gridCol w:w="879"/>
        <w:gridCol w:w="1385"/>
      </w:tblGrid>
      <w:tr>
        <w:trPr>
          <w:trHeight w:val="482"/>
          <w:tblHeader/>
        </w:trPr>
        <w:tc>
          <w:tcPr>
            <w:tcMar>
              <w:left w:w="-1" w:type="dxa"/>
              <w:top w:w="-1" w:type="dxa"/>
              <w:right w:w="-1" w:type="dxa"/>
              <w:bottom w:w="-1" w:type="dxa"/>
            </w:tcMar>
            <w:tcW w:w="834" w:type="dxa"/>
            <w:vAlign w:val="center"/>
            <w:vMerge w:val="restart"/>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序号</w:t>
            </w:r>
            <w:r>
              <w:rPr>
                <w:rFonts w:hint="eastAsia" w:ascii="宋体" w:hAnsi="宋体"/>
                <w:b/>
                <w:color w:val="000000"/>
                <w:sz w:val="24"/>
                <w:szCs w:val="24"/>
                <w:highlight w:val="none"/>
              </w:rPr>
            </w:r>
            <w:r/>
          </w:p>
        </w:tc>
        <w:tc>
          <w:tcPr>
            <w:tcMar>
              <w:left w:w="-1" w:type="dxa"/>
              <w:top w:w="-1" w:type="dxa"/>
              <w:right w:w="-1" w:type="dxa"/>
              <w:bottom w:w="-1" w:type="dxa"/>
            </w:tcMar>
            <w:tcW w:w="1841" w:type="dxa"/>
            <w:vAlign w:val="center"/>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w:t>
            </w:r>
            <w:r>
              <w:rPr>
                <w:rFonts w:hint="eastAsia" w:ascii="宋体" w:hAnsi="宋体"/>
                <w:b/>
                <w:color w:val="000000"/>
                <w:sz w:val="24"/>
                <w:szCs w:val="24"/>
                <w:highlight w:val="none"/>
              </w:rPr>
            </w:r>
            <w:r/>
          </w:p>
        </w:tc>
        <w:tc>
          <w:tcPr>
            <w:tcMar>
              <w:left w:w="-1" w:type="dxa"/>
              <w:top w:w="-1" w:type="dxa"/>
              <w:right w:w="-1" w:type="dxa"/>
              <w:bottom w:w="-1" w:type="dxa"/>
            </w:tcMar>
            <w:tcW w:w="1336" w:type="dxa"/>
            <w:vAlign w:val="center"/>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w:t>
            </w:r>
            <w:r>
              <w:rPr>
                <w:rFonts w:hint="eastAsia" w:ascii="宋体" w:hAnsi="宋体"/>
                <w:b/>
                <w:color w:val="000000"/>
                <w:sz w:val="24"/>
                <w:szCs w:val="24"/>
                <w:highlight w:val="none"/>
              </w:rPr>
            </w:r>
            <w:r/>
          </w:p>
        </w:tc>
        <w:tc>
          <w:tcPr>
            <w:tcMar>
              <w:left w:w="-1" w:type="dxa"/>
              <w:top w:w="-1" w:type="dxa"/>
              <w:right w:w="-1" w:type="dxa"/>
              <w:bottom w:w="-1" w:type="dxa"/>
            </w:tcMar>
            <w:tcW w:w="1543" w:type="dxa"/>
            <w:vAlign w:val="center"/>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3</w:t>
            </w:r>
            <w:r>
              <w:rPr>
                <w:rFonts w:hint="eastAsia" w:ascii="宋体" w:hAnsi="宋体"/>
                <w:b/>
                <w:color w:val="000000"/>
                <w:sz w:val="24"/>
                <w:szCs w:val="24"/>
                <w:highlight w:val="none"/>
              </w:rPr>
            </w:r>
            <w:r/>
          </w:p>
        </w:tc>
        <w:tc>
          <w:tcPr>
            <w:tcMar>
              <w:left w:w="-1" w:type="dxa"/>
              <w:top w:w="-1" w:type="dxa"/>
              <w:right w:w="-1" w:type="dxa"/>
              <w:bottom w:w="-1" w:type="dxa"/>
            </w:tcMar>
            <w:tcW w:w="1196" w:type="dxa"/>
            <w:vAlign w:val="center"/>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4</w:t>
            </w:r>
            <w:r>
              <w:rPr>
                <w:rFonts w:hint="eastAsia" w:ascii="宋体" w:hAnsi="宋体"/>
                <w:b/>
                <w:color w:val="000000"/>
                <w:sz w:val="24"/>
                <w:szCs w:val="24"/>
                <w:highlight w:val="none"/>
              </w:rPr>
            </w:r>
            <w:r/>
          </w:p>
        </w:tc>
        <w:tc>
          <w:tcPr>
            <w:tcMar>
              <w:left w:w="-1" w:type="dxa"/>
              <w:top w:w="-1" w:type="dxa"/>
              <w:right w:w="-1" w:type="dxa"/>
              <w:bottom w:w="-1" w:type="dxa"/>
            </w:tcMar>
            <w:tcW w:w="816" w:type="dxa"/>
            <w:vAlign w:val="center"/>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5</w:t>
            </w:r>
            <w:r>
              <w:rPr>
                <w:rFonts w:hint="eastAsia" w:ascii="宋体" w:hAnsi="宋体"/>
                <w:b/>
                <w:color w:val="000000"/>
                <w:sz w:val="24"/>
                <w:szCs w:val="24"/>
                <w:highlight w:val="none"/>
              </w:rPr>
            </w:r>
            <w:r/>
          </w:p>
        </w:tc>
        <w:tc>
          <w:tcPr>
            <w:tcMar>
              <w:left w:w="-1" w:type="dxa"/>
              <w:top w:w="-1" w:type="dxa"/>
              <w:right w:w="-1" w:type="dxa"/>
              <w:bottom w:w="-1" w:type="dxa"/>
            </w:tcMar>
            <w:tcW w:w="879" w:type="dxa"/>
            <w:vAlign w:val="center"/>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6</w:t>
            </w:r>
            <w:r>
              <w:rPr>
                <w:rFonts w:hint="eastAsia" w:ascii="宋体" w:hAnsi="宋体"/>
                <w:b/>
                <w:color w:val="000000"/>
                <w:sz w:val="24"/>
                <w:szCs w:val="24"/>
                <w:highlight w:val="none"/>
              </w:rPr>
            </w:r>
            <w:r/>
          </w:p>
        </w:tc>
        <w:tc>
          <w:tcPr>
            <w:tcMar>
              <w:left w:w="-1" w:type="dxa"/>
              <w:top w:w="-1" w:type="dxa"/>
              <w:right w:w="-1" w:type="dxa"/>
              <w:bottom w:w="-1" w:type="dxa"/>
            </w:tcMar>
            <w:tcW w:w="879" w:type="dxa"/>
            <w:vAlign w:val="center"/>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7</w:t>
            </w:r>
            <w:r>
              <w:rPr>
                <w:rFonts w:hint="eastAsia" w:ascii="宋体" w:hAnsi="宋体"/>
                <w:b/>
                <w:color w:val="000000"/>
                <w:sz w:val="24"/>
                <w:szCs w:val="24"/>
                <w:highlight w:val="none"/>
              </w:rPr>
            </w:r>
            <w:r/>
          </w:p>
        </w:tc>
        <w:tc>
          <w:tcPr>
            <w:tcMar>
              <w:left w:w="-1" w:type="dxa"/>
              <w:top w:w="-1" w:type="dxa"/>
              <w:right w:w="-1" w:type="dxa"/>
              <w:bottom w:w="-1" w:type="dxa"/>
            </w:tcMar>
            <w:tcW w:w="1385" w:type="dxa"/>
            <w:vAlign w:val="center"/>
            <w:textDirection w:val="lrTb"/>
            <w:noWrap w:val="false"/>
          </w:tcPr>
          <w:p>
            <w:pPr>
              <w:pStyle w:val="708"/>
              <w:ind w:left="0" w:right="0" w:firstLine="0"/>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rPr>
              <w:t xml:space="preserve">8</w:t>
            </w:r>
            <w:r>
              <w:rPr>
                <w:rFonts w:ascii="宋体" w:hAnsi="宋体"/>
                <w:b/>
                <w:color w:val="000000"/>
                <w:sz w:val="24"/>
                <w:szCs w:val="24"/>
                <w:highlight w:val="none"/>
              </w:rPr>
            </w:r>
            <w:r/>
          </w:p>
        </w:tc>
      </w:tr>
      <w:tr>
        <w:trPr>
          <w:tblHeader/>
        </w:trPr>
        <w:tc>
          <w:tcPr>
            <w:tcMar>
              <w:left w:w="-1" w:type="dxa"/>
              <w:top w:w="-1" w:type="dxa"/>
              <w:right w:w="-1" w:type="dxa"/>
              <w:bottom w:w="-1" w:type="dxa"/>
            </w:tcMar>
            <w:tcW w:w="834" w:type="dxa"/>
            <w:vAlign w:val="center"/>
            <w:vMerge w:val="continue"/>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r>
            <w:r/>
          </w:p>
        </w:tc>
        <w:tc>
          <w:tcPr>
            <w:tcMar>
              <w:left w:w="-1" w:type="dxa"/>
              <w:top w:w="-1" w:type="dxa"/>
              <w:right w:w="-1" w:type="dxa"/>
              <w:bottom w:w="-1" w:type="dxa"/>
            </w:tcMar>
            <w:tcW w:w="1841" w:type="dxa"/>
            <w:vAlign w:val="center"/>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产品名称</w:t>
            </w:r>
            <w:r>
              <w:rPr>
                <w:rFonts w:hint="eastAsia" w:ascii="宋体" w:hAnsi="宋体"/>
                <w:b/>
                <w:color w:val="000000"/>
                <w:sz w:val="24"/>
                <w:szCs w:val="24"/>
                <w:highlight w:val="none"/>
              </w:rPr>
            </w:r>
            <w:r/>
          </w:p>
        </w:tc>
        <w:tc>
          <w:tcPr>
            <w:tcMar>
              <w:left w:w="-1" w:type="dxa"/>
              <w:top w:w="-1" w:type="dxa"/>
              <w:right w:w="-1" w:type="dxa"/>
              <w:bottom w:w="-1" w:type="dxa"/>
            </w:tcMar>
            <w:tcW w:w="1336" w:type="dxa"/>
            <w:vAlign w:val="center"/>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品牌</w:t>
            </w:r>
            <w:r>
              <w:rPr>
                <w:rFonts w:hint="eastAsia" w:ascii="宋体" w:hAnsi="宋体"/>
                <w:b/>
                <w:color w:val="000000"/>
                <w:sz w:val="24"/>
                <w:szCs w:val="24"/>
                <w:highlight w:val="none"/>
              </w:rPr>
            </w:r>
            <w:r/>
          </w:p>
        </w:tc>
        <w:tc>
          <w:tcPr>
            <w:tcMar>
              <w:left w:w="-1" w:type="dxa"/>
              <w:top w:w="-1" w:type="dxa"/>
              <w:right w:w="-1" w:type="dxa"/>
              <w:bottom w:w="-1" w:type="dxa"/>
            </w:tcMar>
            <w:tcW w:w="1543" w:type="dxa"/>
            <w:vAlign w:val="center"/>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规格或型号</w:t>
            </w:r>
            <w:r>
              <w:rPr>
                <w:rFonts w:hint="eastAsia" w:ascii="宋体" w:hAnsi="宋体"/>
                <w:b/>
                <w:color w:val="000000"/>
                <w:sz w:val="24"/>
                <w:szCs w:val="24"/>
                <w:highlight w:val="none"/>
              </w:rPr>
            </w:r>
            <w:r/>
          </w:p>
        </w:tc>
        <w:tc>
          <w:tcPr>
            <w:tcMar>
              <w:left w:w="-1" w:type="dxa"/>
              <w:top w:w="-1" w:type="dxa"/>
              <w:right w:w="-1" w:type="dxa"/>
              <w:bottom w:w="-1" w:type="dxa"/>
            </w:tcMar>
            <w:tcW w:w="1196" w:type="dxa"/>
            <w:vAlign w:val="center"/>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交付期</w:t>
            </w:r>
            <w:r>
              <w:rPr>
                <w:rFonts w:hint="eastAsia" w:ascii="宋体" w:hAnsi="宋体"/>
                <w:b/>
                <w:color w:val="000000"/>
                <w:sz w:val="24"/>
                <w:szCs w:val="24"/>
                <w:highlight w:val="none"/>
              </w:rPr>
            </w:r>
            <w:r/>
          </w:p>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（天）</w:t>
            </w:r>
            <w:r>
              <w:rPr>
                <w:rFonts w:hint="eastAsia" w:ascii="宋体" w:hAnsi="宋体"/>
                <w:b/>
                <w:color w:val="000000"/>
                <w:sz w:val="24"/>
                <w:szCs w:val="24"/>
                <w:highlight w:val="none"/>
              </w:rPr>
            </w:r>
            <w:r/>
          </w:p>
        </w:tc>
        <w:tc>
          <w:tcPr>
            <w:tcMar>
              <w:left w:w="-1" w:type="dxa"/>
              <w:top w:w="-1" w:type="dxa"/>
              <w:right w:w="-1" w:type="dxa"/>
              <w:bottom w:w="-1" w:type="dxa"/>
            </w:tcMar>
            <w:tcW w:w="816" w:type="dxa"/>
            <w:vAlign w:val="center"/>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数量</w:t>
            </w:r>
            <w:r>
              <w:rPr>
                <w:rFonts w:hint="eastAsia" w:ascii="宋体" w:hAnsi="宋体"/>
                <w:b/>
                <w:color w:val="000000"/>
                <w:sz w:val="24"/>
                <w:szCs w:val="24"/>
                <w:highlight w:val="none"/>
              </w:rPr>
            </w:r>
            <w:r/>
          </w:p>
        </w:tc>
        <w:tc>
          <w:tcPr>
            <w:tcMar>
              <w:left w:w="-1" w:type="dxa"/>
              <w:top w:w="-1" w:type="dxa"/>
              <w:right w:w="-1" w:type="dxa"/>
              <w:bottom w:w="-1" w:type="dxa"/>
            </w:tcMar>
            <w:tcW w:w="879" w:type="dxa"/>
            <w:vAlign w:val="center"/>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单位</w:t>
            </w:r>
            <w:r>
              <w:rPr>
                <w:rFonts w:hint="eastAsia" w:ascii="宋体" w:hAnsi="宋体"/>
                <w:b/>
                <w:color w:val="000000"/>
                <w:sz w:val="24"/>
                <w:szCs w:val="24"/>
                <w:highlight w:val="none"/>
              </w:rPr>
            </w:r>
            <w:r/>
          </w:p>
        </w:tc>
        <w:tc>
          <w:tcPr>
            <w:tcMar>
              <w:left w:w="-1" w:type="dxa"/>
              <w:top w:w="-1" w:type="dxa"/>
              <w:right w:w="-1" w:type="dxa"/>
              <w:bottom w:w="-1" w:type="dxa"/>
            </w:tcMar>
            <w:tcW w:w="879" w:type="dxa"/>
            <w:vAlign w:val="center"/>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单价</w:t>
            </w:r>
            <w:r>
              <w:rPr>
                <w:rFonts w:hint="eastAsia" w:ascii="宋体" w:hAnsi="宋体"/>
                <w:b/>
                <w:color w:val="000000"/>
                <w:sz w:val="24"/>
                <w:szCs w:val="24"/>
                <w:highlight w:val="none"/>
              </w:rPr>
            </w:r>
            <w:r/>
          </w:p>
        </w:tc>
        <w:tc>
          <w:tcPr>
            <w:tcMar>
              <w:left w:w="-1" w:type="dxa"/>
              <w:top w:w="-1" w:type="dxa"/>
              <w:right w:w="-1" w:type="dxa"/>
              <w:bottom w:w="-1" w:type="dxa"/>
            </w:tcMar>
            <w:tcW w:w="1385" w:type="dxa"/>
            <w:vAlign w:val="center"/>
            <w:textDirection w:val="lrTb"/>
            <w:noWrap w:val="false"/>
          </w:tcPr>
          <w:p>
            <w:pPr>
              <w:pStyle w:val="708"/>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总价</w:t>
            </w:r>
            <w:r>
              <w:rPr>
                <w:rFonts w:hint="eastAsia" w:ascii="宋体" w:hAnsi="宋体"/>
                <w:b/>
                <w:color w:val="000000"/>
                <w:sz w:val="24"/>
                <w:szCs w:val="24"/>
                <w:highlight w:val="none"/>
              </w:rPr>
            </w:r>
            <w:r/>
          </w:p>
        </w:tc>
      </w:tr>
      <w:tr>
        <w:trPr>
          <w:trHeight w:val="757"/>
        </w:trPr>
        <w:tc>
          <w:tcPr>
            <w:tcMar>
              <w:left w:w="-1" w:type="dxa"/>
              <w:top w:w="-1" w:type="dxa"/>
              <w:right w:w="-1" w:type="dxa"/>
              <w:bottom w:w="-1" w:type="dxa"/>
            </w:tcMar>
            <w:tcW w:w="834" w:type="dxa"/>
            <w:vAlign w:val="center"/>
            <w:textDirection w:val="lrTb"/>
            <w:noWrap w:val="false"/>
          </w:tcPr>
          <w:p>
            <w:pPr>
              <w:pStyle w:val="807"/>
              <w:rPr>
                <w:rFonts w:hint="eastAsia"/>
                <w:lang w:val="en-US" w:eastAsia="zh-CN"/>
              </w:rPr>
            </w:pPr>
            <w:r>
              <w:rPr>
                <w:rFonts w:hint="eastAsia"/>
                <w:lang w:val="en-US" w:eastAsia="zh-CN"/>
              </w:rPr>
            </w:r>
            <w:r/>
          </w:p>
        </w:tc>
        <w:tc>
          <w:tcPr>
            <w:tcMar>
              <w:left w:w="-1" w:type="dxa"/>
              <w:top w:w="-1" w:type="dxa"/>
              <w:right w:w="-1" w:type="dxa"/>
              <w:bottom w:w="-1" w:type="dxa"/>
            </w:tcMar>
            <w:tcW w:w="1841"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336"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pStyle w:val="708"/>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Mar>
              <w:left w:w="-1" w:type="dxa"/>
              <w:top w:w="-1" w:type="dxa"/>
              <w:right w:w="-1" w:type="dxa"/>
              <w:bottom w:w="-1" w:type="dxa"/>
            </w:tcMar>
            <w:tcW w:w="1385" w:type="dxa"/>
            <w:vAlign w:val="center"/>
            <w:textDirection w:val="lrTb"/>
            <w:noWrap w:val="false"/>
          </w:tcPr>
          <w:p>
            <w:pPr>
              <w:pStyle w:val="708"/>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1021"/>
        </w:trPr>
        <w:tc>
          <w:tcPr>
            <w:tcMar>
              <w:left w:w="-1" w:type="dxa"/>
              <w:top w:w="-1" w:type="dxa"/>
              <w:right w:w="-1" w:type="dxa"/>
              <w:bottom w:w="-1" w:type="dxa"/>
            </w:tcMar>
            <w:tcW w:w="834"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841"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336"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pStyle w:val="708"/>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Mar>
              <w:left w:w="-1" w:type="dxa"/>
              <w:top w:w="-1" w:type="dxa"/>
              <w:right w:w="-1" w:type="dxa"/>
              <w:bottom w:w="-1" w:type="dxa"/>
            </w:tcMar>
            <w:tcW w:w="1385" w:type="dxa"/>
            <w:vAlign w:val="center"/>
            <w:textDirection w:val="lrTb"/>
            <w:noWrap w:val="false"/>
          </w:tcPr>
          <w:p>
            <w:pPr>
              <w:pStyle w:val="708"/>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1021"/>
        </w:trPr>
        <w:tc>
          <w:tcPr>
            <w:tcMar>
              <w:left w:w="-1" w:type="dxa"/>
              <w:top w:w="-1" w:type="dxa"/>
              <w:right w:w="-1" w:type="dxa"/>
              <w:bottom w:w="-1" w:type="dxa"/>
            </w:tcMar>
            <w:tcW w:w="834"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841"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336"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pStyle w:val="708"/>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Mar>
              <w:left w:w="-1" w:type="dxa"/>
              <w:top w:w="-1" w:type="dxa"/>
              <w:right w:w="-1" w:type="dxa"/>
              <w:bottom w:w="-1" w:type="dxa"/>
            </w:tcMar>
            <w:tcW w:w="1385" w:type="dxa"/>
            <w:vAlign w:val="center"/>
            <w:textDirection w:val="lrTb"/>
            <w:noWrap w:val="false"/>
          </w:tcPr>
          <w:p>
            <w:pPr>
              <w:pStyle w:val="708"/>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1021"/>
        </w:trPr>
        <w:tc>
          <w:tcPr>
            <w:tcMar>
              <w:left w:w="-1" w:type="dxa"/>
              <w:top w:w="-1" w:type="dxa"/>
              <w:right w:w="-1" w:type="dxa"/>
              <w:bottom w:w="-1" w:type="dxa"/>
            </w:tcMar>
            <w:tcW w:w="834"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841"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336"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pStyle w:val="708"/>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pStyle w:val="708"/>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Mar>
              <w:left w:w="-1" w:type="dxa"/>
              <w:top w:w="-1" w:type="dxa"/>
              <w:right w:w="-1" w:type="dxa"/>
              <w:bottom w:w="-1" w:type="dxa"/>
            </w:tcMar>
            <w:tcW w:w="1385" w:type="dxa"/>
            <w:vAlign w:val="center"/>
            <w:textDirection w:val="lrTb"/>
            <w:noWrap w:val="false"/>
          </w:tcPr>
          <w:p>
            <w:pPr>
              <w:pStyle w:val="708"/>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666"/>
        </w:trPr>
        <w:tc>
          <w:tcPr>
            <w:tcMar>
              <w:left w:w="-1" w:type="dxa"/>
              <w:top w:w="-1" w:type="dxa"/>
              <w:right w:w="-1" w:type="dxa"/>
              <w:bottom w:w="-1" w:type="dxa"/>
            </w:tcMar>
            <w:tcW w:w="834" w:type="dxa"/>
            <w:vAlign w:val="center"/>
            <w:textDirection w:val="lrTb"/>
            <w:noWrap w:val="false"/>
          </w:tcPr>
          <w:p>
            <w:pPr>
              <w:pStyle w:val="708"/>
              <w:ind w:left="0" w:right="0" w:firstLine="0"/>
              <w:jc w:val="center"/>
              <w:spacing w:line="24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rPr>
            </w:r>
            <w:r/>
          </w:p>
        </w:tc>
        <w:tc>
          <w:tcPr>
            <w:gridSpan w:val="8"/>
            <w:tcMar>
              <w:left w:w="-1" w:type="dxa"/>
              <w:top w:w="-1" w:type="dxa"/>
              <w:right w:w="-1" w:type="dxa"/>
              <w:bottom w:w="-1" w:type="dxa"/>
            </w:tcMar>
            <w:tcW w:w="9875" w:type="dxa"/>
            <w:vAlign w:val="center"/>
            <w:textDirection w:val="lrTb"/>
            <w:noWrap w:val="false"/>
          </w:tcPr>
          <w:p>
            <w:pPr>
              <w:pStyle w:val="708"/>
              <w:ind w:left="0" w:right="0" w:firstLine="0"/>
              <w:jc w:val="left"/>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投标总价（元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含税价，税率</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tc>
      </w:tr>
    </w:tbl>
    <w:p>
      <w:pPr>
        <w:pStyle w:val="708"/>
        <w:jc w:val="center"/>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708"/>
        <w:jc w:val="center"/>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供应商名称：（加盖电子公章）</w:t>
      </w:r>
      <w:r>
        <w:rPr>
          <w:rFonts w:hint="eastAsia" w:ascii="宋体" w:hAnsi="宋体" w:eastAsia="宋体" w:cs="宋体"/>
          <w:color w:val="000000"/>
          <w:sz w:val="24"/>
          <w:szCs w:val="24"/>
          <w:highlight w:val="none"/>
        </w:rPr>
      </w:r>
      <w:r/>
    </w:p>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日    期：        年    月   日</w:t>
      </w:r>
      <w:r>
        <w:rPr>
          <w:rFonts w:hint="eastAsia" w:ascii="宋体" w:hAnsi="宋体" w:eastAsia="宋体" w:cs="宋体"/>
          <w:color w:val="000000"/>
          <w:sz w:val="24"/>
          <w:szCs w:val="24"/>
          <w:highlight w:val="none"/>
        </w:rPr>
      </w:r>
      <w:r/>
    </w:p>
    <w:p>
      <w:pPr>
        <w:pStyle w:val="811"/>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jc w:val="left"/>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808"/>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813"/>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813"/>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rPr>
        <w:outlineLvl w:val="1"/>
      </w:pPr>
      <w:r/>
      <w:bookmarkStart w:id="83" w:name="_Toc6952"/>
      <w:r/>
      <w:bookmarkStart w:id="84" w:name="_Toc10499"/>
      <w:r>
        <w:rPr>
          <w:rFonts w:hint="eastAsia" w:ascii="宋体" w:hAnsi="宋体" w:eastAsia="宋体" w:cs="宋体"/>
          <w:b/>
          <w:color w:val="000000"/>
          <w:sz w:val="24"/>
          <w:szCs w:val="24"/>
          <w:highlight w:val="none"/>
          <w:lang w:val="zh-CN"/>
        </w:rPr>
        <w:t xml:space="preserve">附件四、投标项目供货一览表格式</w:t>
      </w:r>
      <w:bookmarkEnd w:id="83"/>
      <w:r/>
      <w:bookmarkEnd w:id="84"/>
      <w:r>
        <w:rPr>
          <w:rFonts w:hint="eastAsia" w:ascii="宋体" w:hAnsi="宋体" w:eastAsia="宋体" w:cs="宋体"/>
          <w:b/>
          <w:color w:val="000000"/>
          <w:sz w:val="24"/>
          <w:szCs w:val="24"/>
          <w:highlight w:val="none"/>
        </w:rPr>
      </w:r>
      <w:r/>
    </w:p>
    <w:p>
      <w:pPr>
        <w:pStyle w:val="708"/>
        <w:jc w:val="center"/>
        <w:spacing w:line="360" w:lineRule="auto"/>
        <w:rPr>
          <w:rStyle w:val="1264"/>
          <w:rFonts w:hint="eastAsia" w:ascii="宋体" w:hAnsi="宋体" w:eastAsia="宋体" w:cs="宋体"/>
          <w:b/>
          <w:color w:val="000000"/>
          <w:sz w:val="24"/>
          <w:szCs w:val="22"/>
          <w:highlight w:val="none"/>
        </w:rPr>
        <w:outlineLvl w:val="9"/>
      </w:pPr>
      <w:r>
        <w:rPr>
          <w:rStyle w:val="1264"/>
          <w:rFonts w:hint="eastAsia" w:ascii="宋体" w:hAnsi="宋体" w:eastAsia="宋体" w:cs="宋体"/>
          <w:b/>
          <w:color w:val="000000"/>
          <w:sz w:val="24"/>
          <w:szCs w:val="22"/>
          <w:highlight w:val="none"/>
        </w:rPr>
        <w:t xml:space="preserve">供货一览表(格式供参考)</w:t>
      </w:r>
      <w:r>
        <w:rPr>
          <w:rStyle w:val="1264"/>
          <w:rFonts w:hint="eastAsia" w:ascii="宋体" w:hAnsi="宋体" w:eastAsia="宋体" w:cs="宋体"/>
          <w:b/>
          <w:color w:val="000000"/>
          <w:sz w:val="24"/>
          <w:szCs w:val="22"/>
          <w:highlight w:val="none"/>
        </w:rPr>
      </w:r>
      <w:r/>
    </w:p>
    <w:p>
      <w:pPr>
        <w:pStyle w:val="1287"/>
        <w:ind w:left="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rPr>
      </w:r>
      <w:r/>
    </w:p>
    <w:p>
      <w:pPr>
        <w:pStyle w:val="1287"/>
        <w:ind w:left="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rPr>
      </w:r>
      <w:r/>
    </w:p>
    <w:tbl>
      <w:tblPr>
        <w:tblStyle w:val="79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8"/>
        <w:gridCol w:w="1732"/>
        <w:gridCol w:w="1814"/>
        <w:gridCol w:w="2209"/>
        <w:gridCol w:w="1629"/>
        <w:gridCol w:w="1378"/>
      </w:tblGrid>
      <w:tr>
        <w:trPr/>
        <w:tc>
          <w:tcPr>
            <w:tcW w:w="978"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732"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货物品类</w:t>
            </w:r>
            <w:r>
              <w:rPr>
                <w:rFonts w:hint="eastAsia" w:ascii="宋体" w:hAnsi="宋体" w:eastAsia="宋体" w:cs="宋体"/>
                <w:color w:val="000000"/>
                <w:sz w:val="24"/>
                <w:highlight w:val="none"/>
              </w:rPr>
            </w:r>
            <w:r/>
          </w:p>
        </w:tc>
        <w:tc>
          <w:tcPr>
            <w:tcW w:w="1814"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货物名称</w:t>
            </w:r>
            <w:r>
              <w:rPr>
                <w:rFonts w:hint="eastAsia" w:ascii="宋体" w:hAnsi="宋体" w:eastAsia="宋体" w:cs="宋体"/>
                <w:color w:val="000000"/>
                <w:sz w:val="24"/>
                <w:highlight w:val="none"/>
              </w:rPr>
            </w:r>
            <w:r/>
          </w:p>
        </w:tc>
        <w:tc>
          <w:tcPr>
            <w:tcW w:w="2209"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品牌/规格</w:t>
            </w:r>
            <w:r>
              <w:rPr>
                <w:rFonts w:hint="eastAsia" w:ascii="宋体" w:hAnsi="宋体" w:eastAsia="宋体" w:cs="宋体"/>
                <w:color w:val="000000"/>
                <w:sz w:val="24"/>
                <w:highlight w:val="none"/>
              </w:rPr>
            </w:r>
            <w:r/>
          </w:p>
        </w:tc>
        <w:tc>
          <w:tcPr>
            <w:tcW w:w="1629"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数量</w:t>
            </w:r>
            <w:r>
              <w:rPr>
                <w:rFonts w:hint="eastAsia" w:ascii="宋体" w:hAnsi="宋体" w:eastAsia="宋体" w:cs="宋体"/>
                <w:color w:val="000000"/>
                <w:sz w:val="24"/>
                <w:highlight w:val="none"/>
              </w:rPr>
            </w:r>
            <w:r/>
          </w:p>
        </w:tc>
        <w:tc>
          <w:tcPr>
            <w:tcW w:w="1378"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备注</w:t>
            </w: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08"/>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bl>
    <w:p>
      <w:pPr>
        <w:pStyle w:val="708"/>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pStyle w:val="708"/>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zh-CN"/>
        </w:rPr>
        <w:t xml:space="preserve">供应商（</w:t>
      </w:r>
      <w:r>
        <w:rPr>
          <w:rFonts w:hint="eastAsia" w:ascii="宋体" w:hAnsi="宋体" w:eastAsia="宋体" w:cs="宋体"/>
          <w:color w:val="000000"/>
          <w:sz w:val="24"/>
          <w:highlight w:val="none"/>
        </w:rPr>
        <w:t xml:space="preserve">加盖电子公章</w:t>
      </w:r>
      <w:r>
        <w:rPr>
          <w:rFonts w:hint="eastAsia" w:ascii="宋体" w:hAnsi="宋体" w:eastAsia="宋体" w:cs="宋体"/>
          <w:color w:val="000000"/>
          <w:sz w:val="24"/>
          <w:highlight w:val="none"/>
          <w:lang w:val="zh-CN"/>
        </w:rPr>
        <w:t xml:space="preserve">）：   </w:t>
      </w:r>
      <w:r>
        <w:rPr>
          <w:rFonts w:hint="eastAsia" w:ascii="宋体" w:hAnsi="宋体" w:eastAsia="宋体" w:cs="宋体"/>
          <w:color w:val="000000"/>
          <w:sz w:val="24"/>
          <w:highlight w:val="none"/>
        </w:rPr>
      </w:r>
      <w:r/>
    </w:p>
    <w:p>
      <w:pPr>
        <w:pStyle w:val="708"/>
        <w:jc w:val="left"/>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zh-CN"/>
        </w:rPr>
        <w:t xml:space="preserve">日期：年  月 日</w:t>
      </w:r>
      <w:r>
        <w:rPr>
          <w:rFonts w:hint="eastAsia" w:ascii="宋体" w:hAnsi="宋体" w:eastAsia="宋体" w:cs="宋体"/>
          <w:color w:val="000000"/>
          <w:sz w:val="24"/>
          <w:highlight w:val="none"/>
        </w:rPr>
      </w:r>
      <w:r/>
    </w:p>
    <w:p>
      <w:pPr>
        <w:pStyle w:val="708"/>
        <w:jc w:val="left"/>
        <w:spacing w:line="360" w:lineRule="auto"/>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jc w:val="left"/>
        <w:spacing w:line="360" w:lineRule="auto"/>
        <w:widowControl/>
        <w:rPr>
          <w:rFonts w:hint="eastAsia" w:ascii="宋体" w:hAnsi="宋体" w:eastAsia="宋体" w:cs="宋体"/>
          <w:b/>
          <w:color w:val="000000"/>
          <w:sz w:val="24"/>
          <w:szCs w:val="24"/>
          <w:highlight w:val="none"/>
        </w:rPr>
        <w:outlineLvl w:val="1"/>
      </w:pPr>
      <w:r/>
      <w:bookmarkStart w:id="85" w:name="_Toc14038"/>
      <w:r/>
      <w:bookmarkStart w:id="86" w:name="_Toc29918"/>
      <w:r>
        <w:rPr>
          <w:rFonts w:hint="eastAsia" w:ascii="宋体" w:hAnsi="宋体" w:eastAsia="宋体" w:cs="宋体"/>
          <w:b/>
          <w:color w:val="000000"/>
          <w:sz w:val="24"/>
          <w:szCs w:val="24"/>
          <w:highlight w:val="none"/>
          <w:lang w:val="zh-CN"/>
        </w:rPr>
        <w:t xml:space="preserve">附件五、技术条款偏离表格式</w:t>
      </w:r>
      <w:bookmarkEnd w:id="85"/>
      <w:r/>
      <w:bookmarkEnd w:id="86"/>
      <w:r>
        <w:rPr>
          <w:rFonts w:hint="eastAsia" w:ascii="宋体" w:hAnsi="宋体" w:eastAsia="宋体" w:cs="宋体"/>
          <w:b/>
          <w:color w:val="000000"/>
          <w:sz w:val="24"/>
          <w:szCs w:val="24"/>
          <w:highlight w:val="none"/>
        </w:rPr>
      </w:r>
      <w:r/>
    </w:p>
    <w:p>
      <w:pPr>
        <w:pStyle w:val="708"/>
        <w:ind w:left="420"/>
        <w:jc w:val="center"/>
        <w:spacing w:line="360" w:lineRule="auto"/>
        <w:widowControl/>
        <w:rPr>
          <w:rFonts w:hint="eastAsia" w:ascii="宋体" w:hAnsi="宋体" w:eastAsia="宋体" w:cs="宋体"/>
          <w:color w:val="000000"/>
          <w:sz w:val="24"/>
          <w:szCs w:val="24"/>
          <w:highlight w:val="none"/>
        </w:rPr>
        <w:outlineLvl w:val="9"/>
      </w:pPr>
      <w:r/>
      <w:bookmarkStart w:id="87" w:name="_Toc32603"/>
      <w:r/>
      <w:bookmarkStart w:id="88" w:name="_Toc14329"/>
      <w:r/>
      <w:bookmarkStart w:id="89" w:name="_Toc15356"/>
      <w:r>
        <w:rPr>
          <w:rFonts w:hint="eastAsia" w:ascii="宋体" w:hAnsi="宋体" w:eastAsia="宋体" w:cs="宋体"/>
          <w:color w:val="000000"/>
          <w:sz w:val="24"/>
          <w:szCs w:val="24"/>
          <w:highlight w:val="none"/>
          <w:lang w:val="zh-CN"/>
        </w:rPr>
        <w:t xml:space="preserve">技术条款偏离表</w:t>
      </w:r>
      <w:bookmarkEnd w:id="87"/>
      <w:r/>
      <w:bookmarkEnd w:id="88"/>
      <w:r/>
      <w:bookmarkEnd w:id="89"/>
      <w:r>
        <w:rPr>
          <w:rFonts w:hint="eastAsia" w:ascii="宋体" w:hAnsi="宋体" w:eastAsia="宋体" w:cs="宋体"/>
          <w:color w:val="000000"/>
          <w:sz w:val="24"/>
          <w:szCs w:val="24"/>
          <w:highlight w:val="none"/>
        </w:rPr>
      </w:r>
      <w:r/>
    </w:p>
    <w:tbl>
      <w:tblPr>
        <w:tblW w:w="974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302"/>
        <w:gridCol w:w="659"/>
        <w:gridCol w:w="1417"/>
        <w:gridCol w:w="1668"/>
      </w:tblGrid>
      <w:tr>
        <w:trPr>
          <w:trHeight w:val="285"/>
        </w:trPr>
        <w:tc>
          <w:tcPr>
            <w:gridSpan w:val="4"/>
            <w:tcBorders>
              <w:top w:val="none" w:color="000000" w:sz="4" w:space="0"/>
              <w:left w:val="none" w:color="000000" w:sz="4" w:space="0"/>
              <w:bottom w:val="single" w:color="000000" w:sz="6" w:space="0"/>
              <w:right w:val="none" w:color="000000" w:sz="4" w:space="0"/>
            </w:tcBorders>
            <w:tcW w:w="6001" w:type="dxa"/>
            <w:vAlign w:val="center"/>
            <w:textDirection w:val="lrTb"/>
            <w:noWrap w:val="false"/>
          </w:tcPr>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项目名称：</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6" w:space="0"/>
              <w:right w:val="none" w:color="000000" w:sz="4" w:space="0"/>
            </w:tcBorders>
            <w:tcW w:w="2076" w:type="dxa"/>
            <w:vAlign w:val="center"/>
            <w:textDirection w:val="lrTb"/>
            <w:noWrap w:val="false"/>
          </w:tcPr>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项目编号：</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6" w:space="0"/>
              <w:right w:val="none" w:color="000000" w:sz="4" w:space="0"/>
            </w:tcBorders>
            <w:tcW w:w="1668" w:type="dxa"/>
            <w:vAlign w:val="top"/>
            <w:textDirection w:val="lrTb"/>
            <w:noWrap w:val="false"/>
          </w:tcPr>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序号</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公开招标文件条目号</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公开招标文件要求的规格型号</w:t>
            </w: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参与投标的技术响应</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是否偏离</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偏离内容及原因</w:t>
            </w: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bl>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供应商名称：（加盖电子公章）</w:t>
      </w:r>
      <w:r>
        <w:rPr>
          <w:rFonts w:hint="eastAsia" w:ascii="宋体" w:hAnsi="宋体" w:eastAsia="宋体" w:cs="宋体"/>
          <w:color w:val="000000"/>
          <w:sz w:val="24"/>
          <w:szCs w:val="24"/>
          <w:highlight w:val="none"/>
        </w:rPr>
      </w:r>
      <w:r/>
    </w:p>
    <w:p>
      <w:pPr>
        <w:pStyle w:val="1292"/>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1292"/>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1.供应商须对招标文件技术要求中的实质性要求（斜体下划线内容或打“★</w:t>
      </w:r>
      <w:r>
        <w:rPr>
          <w:rFonts w:hint="eastAsia"/>
          <w:color w:val="000000"/>
          <w:highlight w:val="none"/>
          <w:lang w:val="en-US" w:eastAsia="zh-CN"/>
        </w:rPr>
        <w:t xml:space="preserve">/</w:t>
      </w:r>
      <w:r>
        <w:rPr>
          <w:rFonts w:hint="eastAsia" w:ascii="宋体" w:hAnsi="宋体" w:eastAsia="宋体" w:cs="宋体"/>
          <w:color w:val="000000"/>
          <w:highlight w:val="none"/>
          <w:lang w:val="en-US" w:eastAsia="zh-CN"/>
        </w:rPr>
        <w:t xml:space="preserve">▲</w:t>
      </w:r>
      <w:r>
        <w:rPr>
          <w:rFonts w:hint="eastAsia"/>
          <w:color w:val="000000"/>
          <w:highlight w:val="none"/>
        </w:rPr>
        <w:t xml:space="preserve">”内容）及其他要求做出明确响应，否则视为无效投标。</w:t>
      </w:r>
      <w:r>
        <w:rPr>
          <w:rFonts w:hint="eastAsia"/>
          <w:color w:val="000000"/>
          <w:highlight w:val="none"/>
        </w:rPr>
      </w:r>
      <w:r/>
    </w:p>
    <w:p>
      <w:pPr>
        <w:pStyle w:val="1292"/>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2.技术要求中的实质性要求或打“★</w:t>
      </w:r>
      <w:r>
        <w:rPr>
          <w:rFonts w:hint="eastAsia"/>
          <w:color w:val="000000"/>
          <w:highlight w:val="none"/>
          <w:lang w:val="en-US" w:eastAsia="zh-CN"/>
        </w:rPr>
        <w:t xml:space="preserve">/</w:t>
      </w:r>
      <w:r>
        <w:rPr>
          <w:rFonts w:hint="eastAsia" w:ascii="宋体" w:hAnsi="宋体" w:eastAsia="宋体" w:cs="宋体"/>
          <w:color w:val="000000"/>
          <w:highlight w:val="none"/>
          <w:lang w:val="en-US" w:eastAsia="zh-CN"/>
        </w:rPr>
        <w:t xml:space="preserve">▲</w:t>
      </w:r>
      <w:r>
        <w:rPr>
          <w:rFonts w:hint="eastAsia"/>
          <w:color w:val="000000"/>
          <w:highlight w:val="none"/>
        </w:rPr>
        <w:t xml:space="preserve">”要求，中标供应商签订合同时应按招标文件要求和投标文件响应内容向采购人提供相应证明材料核验（如：白皮书、彩页、手册、网站截图、检测报告等）。中标供应商未按招标文件要求和投标文件响应内容提供相应证明材料或者提供的证明材料不符合招标文件要求的，视为提供虚假材料谋取中标，采购人将取消其中标资格。</w:t>
      </w:r>
      <w:r>
        <w:rPr>
          <w:rFonts w:hint="eastAsia"/>
          <w:color w:val="000000"/>
          <w:highlight w:val="none"/>
        </w:rPr>
      </w:r>
      <w:r/>
    </w:p>
    <w:p>
      <w:pPr>
        <w:pStyle w:val="1292"/>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3.行数不够，可自行添加。</w:t>
      </w:r>
      <w:r>
        <w:rPr>
          <w:rFonts w:hint="eastAsia"/>
          <w:color w:val="000000"/>
          <w:highlight w:val="none"/>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08"/>
        <w:jc w:val="left"/>
        <w:spacing w:line="360" w:lineRule="auto"/>
        <w:widowControl/>
        <w:rPr>
          <w:rFonts w:hint="eastAsia" w:ascii="宋体" w:hAnsi="宋体" w:eastAsia="宋体" w:cs="宋体"/>
          <w:b/>
          <w:color w:val="000000"/>
          <w:sz w:val="24"/>
          <w:szCs w:val="24"/>
          <w:highlight w:val="none"/>
        </w:rPr>
        <w:outlineLvl w:val="1"/>
      </w:pPr>
      <w:r/>
      <w:bookmarkStart w:id="90" w:name="_Toc15556"/>
      <w:r/>
      <w:bookmarkStart w:id="91" w:name="_Toc2470"/>
      <w:r>
        <w:rPr>
          <w:rFonts w:hint="eastAsia" w:ascii="宋体" w:hAnsi="宋体" w:eastAsia="宋体" w:cs="宋体"/>
          <w:b/>
          <w:color w:val="000000"/>
          <w:sz w:val="24"/>
          <w:szCs w:val="24"/>
          <w:highlight w:val="none"/>
          <w:lang w:val="zh-CN"/>
        </w:rPr>
        <w:t xml:space="preserve">附件六、商务条款偏离表格式</w:t>
      </w:r>
      <w:bookmarkEnd w:id="90"/>
      <w:r/>
      <w:bookmarkEnd w:id="91"/>
      <w:r>
        <w:rPr>
          <w:rFonts w:hint="eastAsia" w:ascii="宋体" w:hAnsi="宋体" w:eastAsia="宋体" w:cs="宋体"/>
          <w:b/>
          <w:color w:val="000000"/>
          <w:sz w:val="24"/>
          <w:szCs w:val="24"/>
          <w:highlight w:val="none"/>
        </w:rPr>
      </w:r>
      <w:r/>
    </w:p>
    <w:p>
      <w:pPr>
        <w:pStyle w:val="708"/>
        <w:ind w:left="420"/>
        <w:jc w:val="center"/>
        <w:spacing w:line="360" w:lineRule="auto"/>
        <w:widowControl/>
        <w:rPr>
          <w:rFonts w:hint="eastAsia" w:ascii="宋体" w:hAnsi="宋体" w:eastAsia="宋体" w:cs="宋体"/>
          <w:color w:val="000000"/>
          <w:sz w:val="24"/>
          <w:szCs w:val="24"/>
          <w:highlight w:val="none"/>
        </w:rPr>
        <w:outlineLvl w:val="9"/>
      </w:pPr>
      <w:r/>
      <w:bookmarkStart w:id="92" w:name="_Toc11726"/>
      <w:r/>
      <w:bookmarkStart w:id="93" w:name="_Toc2600"/>
      <w:r/>
      <w:bookmarkStart w:id="94" w:name="_Toc8421"/>
      <w:r>
        <w:rPr>
          <w:rFonts w:hint="eastAsia" w:ascii="宋体" w:hAnsi="宋体" w:eastAsia="宋体" w:cs="宋体"/>
          <w:color w:val="000000"/>
          <w:sz w:val="24"/>
          <w:szCs w:val="24"/>
          <w:highlight w:val="none"/>
          <w:lang w:val="zh-CN"/>
        </w:rPr>
        <w:t xml:space="preserve">商务条款偏离表</w:t>
      </w:r>
      <w:bookmarkEnd w:id="92"/>
      <w:r/>
      <w:bookmarkEnd w:id="93"/>
      <w:r/>
      <w:bookmarkEnd w:id="94"/>
      <w:r>
        <w:rPr>
          <w:rFonts w:hint="eastAsia" w:ascii="宋体" w:hAnsi="宋体" w:eastAsia="宋体" w:cs="宋体"/>
          <w:color w:val="000000"/>
          <w:sz w:val="24"/>
          <w:szCs w:val="24"/>
          <w:highlight w:val="none"/>
        </w:rPr>
      </w:r>
      <w:r/>
    </w:p>
    <w:tbl>
      <w:tblPr>
        <w:tblW w:w="974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302"/>
        <w:gridCol w:w="659"/>
        <w:gridCol w:w="1417"/>
        <w:gridCol w:w="1668"/>
      </w:tblGrid>
      <w:tr>
        <w:trPr>
          <w:trHeight w:val="285"/>
        </w:trPr>
        <w:tc>
          <w:tcPr>
            <w:gridSpan w:val="4"/>
            <w:tcBorders>
              <w:top w:val="none" w:color="000000" w:sz="4" w:space="0"/>
              <w:left w:val="none" w:color="000000" w:sz="4" w:space="0"/>
              <w:bottom w:val="single" w:color="000000" w:sz="6" w:space="0"/>
              <w:right w:val="none" w:color="000000" w:sz="4" w:space="0"/>
            </w:tcBorders>
            <w:tcW w:w="6001" w:type="dxa"/>
            <w:vAlign w:val="center"/>
            <w:textDirection w:val="lrTb"/>
            <w:noWrap w:val="false"/>
          </w:tcPr>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项目名称：</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6" w:space="0"/>
              <w:right w:val="none" w:color="000000" w:sz="4" w:space="0"/>
            </w:tcBorders>
            <w:tcW w:w="2076" w:type="dxa"/>
            <w:vAlign w:val="center"/>
            <w:textDirection w:val="lrTb"/>
            <w:noWrap w:val="false"/>
          </w:tcPr>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项目编号：</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6" w:space="0"/>
              <w:right w:val="none" w:color="000000" w:sz="4" w:space="0"/>
            </w:tcBorders>
            <w:tcW w:w="1668" w:type="dxa"/>
            <w:vAlign w:val="top"/>
            <w:textDirection w:val="lrTb"/>
            <w:noWrap w:val="false"/>
          </w:tcPr>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序号</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公开招标文件条目号</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公开招标文件要求的商务条款</w:t>
            </w: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参与投标的商务响应</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是否偏离</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供应商的承诺或说明</w:t>
            </w: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08"/>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bl>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供应商名称：（加盖电子公章）</w:t>
      </w:r>
      <w:r>
        <w:rPr>
          <w:rFonts w:hint="eastAsia" w:ascii="宋体" w:hAnsi="宋体" w:eastAsia="宋体" w:cs="宋体"/>
          <w:color w:val="000000"/>
          <w:sz w:val="24"/>
          <w:szCs w:val="24"/>
          <w:highlight w:val="none"/>
        </w:rPr>
      </w:r>
      <w:r/>
    </w:p>
    <w:p>
      <w:pPr>
        <w:pStyle w:val="708"/>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说明：如果行数不够，请自行增加。</w:t>
      </w: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jc w:val="left"/>
        <w:spacing w:line="240" w:lineRule="auto"/>
        <w:widowControl/>
        <w:rPr>
          <w:rFonts w:hint="eastAsia" w:ascii="宋体" w:hAnsi="宋体" w:cs="宋体"/>
          <w:b/>
          <w:color w:val="000000"/>
          <w:sz w:val="24"/>
          <w:szCs w:val="24"/>
          <w:highlight w:val="none"/>
          <w:lang w:val="zh-CN"/>
        </w:rPr>
        <w:outlineLvl w:val="9"/>
      </w:pPr>
      <w:r/>
      <w:bookmarkStart w:id="95" w:name="_Toc228350082"/>
      <w:r/>
      <w:bookmarkStart w:id="96" w:name="_Toc23713"/>
      <w:r>
        <w:rPr>
          <w:rFonts w:hint="eastAsia" w:ascii="宋体" w:hAnsi="宋体" w:cs="宋体"/>
          <w:b/>
          <w:color w:val="000000"/>
          <w:sz w:val="24"/>
          <w:szCs w:val="24"/>
          <w:highlight w:val="none"/>
          <w:lang w:val="zh-CN"/>
        </w:rPr>
        <w:br w:type="page" w:clear="all"/>
      </w:r>
      <w:r>
        <w:rPr>
          <w:rFonts w:hint="eastAsia" w:ascii="宋体" w:hAnsi="宋体" w:cs="宋体"/>
          <w:b/>
          <w:color w:val="000000"/>
          <w:sz w:val="24"/>
          <w:szCs w:val="24"/>
          <w:highlight w:val="none"/>
          <w:lang w:val="zh-CN"/>
        </w:rPr>
      </w:r>
      <w:r/>
    </w:p>
    <w:p>
      <w:pPr>
        <w:pStyle w:val="708"/>
        <w:jc w:val="left"/>
        <w:spacing w:line="360" w:lineRule="auto"/>
        <w:widowControl/>
        <w:rPr>
          <w:rFonts w:hint="eastAsia" w:ascii="宋体" w:hAnsi="宋体" w:cs="宋体"/>
          <w:b/>
          <w:color w:val="000000"/>
          <w:sz w:val="24"/>
          <w:szCs w:val="24"/>
          <w:highlight w:val="none"/>
          <w:lang w:val="zh-CN"/>
        </w:rPr>
        <w:outlineLvl w:val="1"/>
      </w:pPr>
      <w:r/>
      <w:bookmarkStart w:id="97" w:name="_Toc10648"/>
      <w:r>
        <w:rPr>
          <w:rFonts w:hint="eastAsia" w:ascii="宋体" w:hAnsi="宋体" w:cs="宋体"/>
          <w:b/>
          <w:color w:val="000000"/>
          <w:sz w:val="24"/>
          <w:szCs w:val="24"/>
          <w:highlight w:val="none"/>
          <w:lang w:val="zh-CN"/>
        </w:rPr>
        <w:t xml:space="preserve">附件七、核心产品品牌一览表（实质性格式）</w:t>
      </w:r>
      <w:bookmarkEnd w:id="95"/>
      <w:r/>
      <w:bookmarkEnd w:id="97"/>
      <w:r>
        <w:rPr>
          <w:rFonts w:hint="eastAsia" w:ascii="宋体" w:hAnsi="宋体" w:cs="宋体"/>
          <w:b/>
          <w:color w:val="000000"/>
          <w:sz w:val="24"/>
          <w:szCs w:val="24"/>
          <w:highlight w:val="none"/>
          <w:lang w:val="zh-CN"/>
        </w:rPr>
      </w:r>
      <w:r/>
    </w:p>
    <w:p>
      <w:pPr>
        <w:pStyle w:val="708"/>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核心产品品牌一览表</w:t>
      </w:r>
      <w:r>
        <w:rPr>
          <w:rFonts w:hint="eastAsia" w:ascii="宋体" w:hAnsi="宋体" w:cs="宋体"/>
          <w:b/>
          <w:bCs/>
          <w:color w:val="000000"/>
          <w:sz w:val="28"/>
          <w:szCs w:val="28"/>
          <w:highlight w:val="none"/>
          <w:lang w:val="zh-CN"/>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708"/>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t xml:space="preserve">序号</w:t>
            </w:r>
            <w:r>
              <w:rPr>
                <w:rFonts w:hint="eastAsia" w:ascii="宋体" w:hAnsi="宋体" w:cs="宋体"/>
                <w:color w:val="000000"/>
                <w:sz w:val="22"/>
                <w:szCs w:val="22"/>
                <w:highlight w:val="none"/>
                <w:lang w:val="zh-CN" w:eastAsia="en-US"/>
              </w:rPr>
            </w:r>
            <w:r/>
          </w:p>
        </w:tc>
        <w:tc>
          <w:tcPr>
            <w:tcW w:w="3753" w:type="dxa"/>
            <w:vAlign w:val="center"/>
            <w:textDirection w:val="lrTb"/>
            <w:noWrap w:val="false"/>
          </w:tcPr>
          <w:p>
            <w:pPr>
              <w:pStyle w:val="708"/>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eastAsia="en-US"/>
              </w:rPr>
              <w:t xml:space="preserve">产品</w:t>
            </w:r>
            <w:r>
              <w:rPr>
                <w:rFonts w:hint="eastAsia" w:ascii="宋体" w:hAnsi="宋体" w:cs="宋体"/>
                <w:color w:val="000000"/>
                <w:sz w:val="22"/>
                <w:szCs w:val="22"/>
                <w:highlight w:val="none"/>
                <w:lang w:val="zh-CN" w:eastAsia="en-US"/>
              </w:rPr>
              <w:t xml:space="preserve">名称</w:t>
            </w:r>
            <w:r>
              <w:rPr>
                <w:rFonts w:hint="eastAsia" w:ascii="宋体" w:hAnsi="宋体" w:cs="宋体"/>
                <w:color w:val="000000"/>
                <w:sz w:val="22"/>
                <w:szCs w:val="22"/>
                <w:highlight w:val="none"/>
                <w:lang w:val="zh-CN" w:eastAsia="en-US"/>
              </w:rPr>
            </w:r>
            <w:r/>
          </w:p>
        </w:tc>
        <w:tc>
          <w:tcPr>
            <w:tcW w:w="2158" w:type="dxa"/>
            <w:vAlign w:val="center"/>
            <w:textDirection w:val="lrTb"/>
            <w:noWrap w:val="false"/>
          </w:tcPr>
          <w:p>
            <w:pPr>
              <w:pStyle w:val="708"/>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eastAsia="en-US"/>
              </w:rPr>
              <w:t xml:space="preserve">产品</w:t>
            </w:r>
            <w:r>
              <w:rPr>
                <w:rFonts w:hint="eastAsia" w:ascii="宋体" w:hAnsi="宋体" w:cs="宋体"/>
                <w:color w:val="000000"/>
                <w:sz w:val="22"/>
                <w:szCs w:val="22"/>
                <w:highlight w:val="none"/>
                <w:lang w:val="zh-CN" w:eastAsia="en-US"/>
              </w:rPr>
              <w:t xml:space="preserve">品牌</w:t>
            </w:r>
            <w:r>
              <w:rPr>
                <w:rFonts w:hint="eastAsia" w:ascii="宋体" w:hAnsi="宋体" w:cs="宋体"/>
                <w:color w:val="000000"/>
                <w:sz w:val="22"/>
                <w:szCs w:val="22"/>
                <w:highlight w:val="none"/>
                <w:lang w:val="zh-CN" w:eastAsia="en-US"/>
              </w:rPr>
            </w:r>
            <w:r/>
          </w:p>
        </w:tc>
        <w:tc>
          <w:tcPr>
            <w:tcW w:w="2391" w:type="dxa"/>
            <w:vAlign w:val="center"/>
            <w:textDirection w:val="lrTb"/>
            <w:noWrap w:val="false"/>
          </w:tcPr>
          <w:p>
            <w:pPr>
              <w:pStyle w:val="708"/>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t xml:space="preserve">规格或型号</w:t>
            </w:r>
            <w:r>
              <w:rPr>
                <w:rFonts w:hint="eastAsia" w:ascii="宋体" w:hAnsi="宋体" w:cs="宋体"/>
                <w:color w:val="000000"/>
                <w:sz w:val="22"/>
                <w:szCs w:val="22"/>
                <w:highlight w:val="none"/>
                <w:lang w:val="zh-CN" w:eastAsia="en-US"/>
              </w:rPr>
            </w:r>
            <w:r/>
          </w:p>
        </w:tc>
      </w:tr>
      <w:tr>
        <w:trPr>
          <w:trHeight w:val="963"/>
        </w:trPr>
        <w:tc>
          <w:tcPr>
            <w:tcW w:w="1044" w:type="dxa"/>
            <w:vAlign w:val="center"/>
            <w:textDirection w:val="lrTb"/>
            <w:noWrap w:val="false"/>
          </w:tcPr>
          <w:p>
            <w:pPr>
              <w:pStyle w:val="708"/>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t xml:space="preserve">1</w:t>
            </w:r>
            <w:r>
              <w:rPr>
                <w:rFonts w:hint="eastAsia" w:ascii="宋体" w:hAnsi="宋体" w:cs="宋体"/>
                <w:color w:val="000000"/>
                <w:sz w:val="22"/>
                <w:szCs w:val="22"/>
                <w:highlight w:val="none"/>
                <w:lang w:val="zh-CN" w:eastAsia="en-US"/>
              </w:rPr>
            </w:r>
            <w:r/>
          </w:p>
        </w:tc>
        <w:tc>
          <w:tcPr>
            <w:tcW w:w="3753" w:type="dxa"/>
            <w:vAlign w:val="center"/>
            <w:textDirection w:val="lrTb"/>
            <w:noWrap w:val="false"/>
          </w:tcPr>
          <w:p>
            <w:pPr>
              <w:pStyle w:val="708"/>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r>
            <w:r/>
          </w:p>
        </w:tc>
        <w:tc>
          <w:tcPr>
            <w:tcW w:w="2158" w:type="dxa"/>
            <w:vAlign w:val="top"/>
            <w:textDirection w:val="lrTb"/>
            <w:noWrap w:val="false"/>
          </w:tcPr>
          <w:p>
            <w:pPr>
              <w:pStyle w:val="708"/>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r>
            <w:r/>
          </w:p>
        </w:tc>
        <w:tc>
          <w:tcPr>
            <w:tcW w:w="2391" w:type="dxa"/>
            <w:vAlign w:val="top"/>
            <w:textDirection w:val="lrTb"/>
            <w:noWrap w:val="false"/>
          </w:tcPr>
          <w:p>
            <w:pPr>
              <w:pStyle w:val="708"/>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r>
            <w:r/>
          </w:p>
        </w:tc>
      </w:tr>
    </w:tbl>
    <w:p>
      <w:pPr>
        <w:pStyle w:val="708"/>
        <w:ind w:firstLine="440"/>
        <w:jc w:val="left"/>
        <w:spacing w:line="360" w:lineRule="auto"/>
        <w:rPr>
          <w:rFonts w:hint="eastAsia" w:ascii="Calibri" w:hAnsi="Calibri"/>
          <w:color w:val="000000"/>
          <w:sz w:val="22"/>
          <w:szCs w:val="22"/>
          <w:highlight w:val="none"/>
          <w:lang w:eastAsia="en-US"/>
        </w:rPr>
      </w:pPr>
      <w:r>
        <w:rPr>
          <w:rFonts w:hint="eastAsia" w:ascii="Calibri" w:hAnsi="Calibri"/>
          <w:color w:val="000000"/>
          <w:sz w:val="22"/>
          <w:szCs w:val="22"/>
          <w:highlight w:val="none"/>
          <w:lang w:eastAsia="en-US"/>
        </w:rPr>
      </w:r>
      <w:r/>
    </w:p>
    <w:p>
      <w:pPr>
        <w:pStyle w:val="708"/>
        <w:ind w:firstLine="480"/>
        <w:jc w:val="left"/>
        <w:rPr>
          <w:rFonts w:hint="eastAsia" w:ascii="Calibri" w:hAnsi="Calibri"/>
          <w:color w:val="000000"/>
          <w:sz w:val="24"/>
          <w:szCs w:val="24"/>
          <w:highlight w:val="none"/>
          <w:lang w:val="zh-CN"/>
        </w:rPr>
      </w:pPr>
      <w:r>
        <w:rPr>
          <w:rFonts w:hint="eastAsia" w:ascii="Calibri" w:hAnsi="Calibri"/>
          <w:color w:val="000000"/>
          <w:sz w:val="24"/>
          <w:szCs w:val="24"/>
          <w:highlight w:val="none"/>
        </w:rPr>
        <w:t xml:space="preserve">供应商名称</w:t>
      </w:r>
      <w:r>
        <w:rPr>
          <w:rFonts w:hint="eastAsia" w:ascii="Calibri" w:hAnsi="Calibri"/>
          <w:color w:val="000000"/>
          <w:sz w:val="24"/>
          <w:szCs w:val="24"/>
          <w:highlight w:val="none"/>
          <w:lang w:val="zh-CN"/>
        </w:rPr>
        <w:t xml:space="preserve">：（</w:t>
      </w:r>
      <w:r>
        <w:rPr>
          <w:rFonts w:hint="eastAsia" w:ascii="Calibri" w:hAnsi="Calibri"/>
          <w:color w:val="000000"/>
          <w:sz w:val="24"/>
          <w:szCs w:val="24"/>
          <w:highlight w:val="none"/>
        </w:rPr>
        <w:t xml:space="preserve">加盖公章</w:t>
      </w:r>
      <w:r>
        <w:rPr>
          <w:rFonts w:hint="eastAsia" w:ascii="Calibri" w:hAnsi="Calibri"/>
          <w:color w:val="000000"/>
          <w:sz w:val="24"/>
          <w:szCs w:val="24"/>
          <w:highlight w:val="none"/>
          <w:lang w:val="zh-CN"/>
        </w:rPr>
        <w:t xml:space="preserve">）</w:t>
      </w:r>
      <w:r>
        <w:rPr>
          <w:rFonts w:hint="eastAsia" w:ascii="Calibri" w:hAnsi="Calibri"/>
          <w:color w:val="000000"/>
          <w:sz w:val="24"/>
          <w:szCs w:val="24"/>
          <w:highlight w:val="none"/>
          <w:lang w:val="zh-CN"/>
        </w:rPr>
      </w:r>
      <w:r/>
    </w:p>
    <w:p>
      <w:pPr>
        <w:pStyle w:val="708"/>
        <w:ind w:firstLine="482"/>
        <w:jc w:val="left"/>
        <w:spacing w:line="480" w:lineRule="exact"/>
        <w:rPr>
          <w:rFonts w:hint="eastAsia" w:ascii="Calibri" w:hAnsi="Calibri"/>
          <w:b/>
          <w:bCs/>
          <w:color w:val="000000"/>
          <w:sz w:val="24"/>
          <w:szCs w:val="24"/>
          <w:highlight w:val="none"/>
        </w:rPr>
      </w:pPr>
      <w:r>
        <w:rPr>
          <w:rFonts w:hint="eastAsia" w:ascii="Calibri" w:hAnsi="Calibri"/>
          <w:b/>
          <w:bCs/>
          <w:color w:val="000000"/>
          <w:sz w:val="24"/>
          <w:szCs w:val="24"/>
          <w:highlight w:val="none"/>
        </w:rPr>
      </w:r>
      <w:r/>
    </w:p>
    <w:p>
      <w:pPr>
        <w:pStyle w:val="708"/>
        <w:ind w:firstLine="482"/>
        <w:jc w:val="left"/>
        <w:spacing w:line="480" w:lineRule="exact"/>
        <w:rPr>
          <w:rFonts w:hint="eastAsia" w:ascii="Calibri" w:hAnsi="Calibri"/>
          <w:b/>
          <w:bCs/>
          <w:color w:val="000000"/>
          <w:sz w:val="24"/>
          <w:szCs w:val="24"/>
          <w:highlight w:val="none"/>
        </w:rPr>
      </w:pPr>
      <w:r>
        <w:rPr>
          <w:rFonts w:hint="eastAsia" w:ascii="Calibri" w:hAnsi="Calibri"/>
          <w:b/>
          <w:bCs/>
          <w:color w:val="000000"/>
          <w:sz w:val="24"/>
          <w:szCs w:val="24"/>
          <w:highlight w:val="none"/>
        </w:rPr>
        <w:t xml:space="preserve">备注：供应商须按照表格要求明确填写所投“核心产品”的品牌，不得填报“/”“无”等内容，否则视为</w:t>
      </w:r>
      <w:r>
        <w:rPr>
          <w:rFonts w:hint="eastAsia" w:ascii="Calibri" w:hAnsi="Calibri"/>
          <w:b/>
          <w:bCs/>
          <w:color w:val="000000"/>
          <w:sz w:val="24"/>
          <w:szCs w:val="24"/>
          <w:highlight w:val="none"/>
          <w:u w:val="single"/>
        </w:rPr>
        <w:t xml:space="preserve">无效响应</w:t>
      </w:r>
      <w:r>
        <w:rPr>
          <w:rFonts w:hint="eastAsia" w:ascii="Calibri" w:hAnsi="Calibri"/>
          <w:b/>
          <w:bCs/>
          <w:color w:val="000000"/>
          <w:sz w:val="24"/>
          <w:szCs w:val="24"/>
          <w:highlight w:val="none"/>
        </w:rPr>
        <w:t xml:space="preserve">。</w:t>
      </w:r>
      <w:r>
        <w:rPr>
          <w:rFonts w:hint="eastAsia" w:ascii="Calibri" w:hAnsi="Calibri"/>
          <w:b/>
          <w:bCs/>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bookmarkEnd w:id="96"/>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spacing w:line="360" w:lineRule="auto"/>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spacing w:line="360" w:lineRule="auto"/>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spacing w:line="360" w:lineRule="auto"/>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spacing w:line="360" w:lineRule="auto"/>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spacing w:line="360" w:lineRule="auto"/>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08"/>
        <w:spacing w:line="240" w:lineRule="auto"/>
        <w:rPr>
          <w:rFonts w:hint="eastAsia" w:ascii="宋体" w:hAnsi="宋体" w:eastAsia="宋体" w:cs="宋体"/>
          <w:b/>
          <w:color w:val="000000"/>
          <w:sz w:val="24"/>
          <w:szCs w:val="24"/>
          <w:highlight w:val="none"/>
        </w:rPr>
        <w:outlineLvl w:val="9"/>
      </w:pPr>
      <w:r/>
      <w:bookmarkStart w:id="98" w:name="_Toc26767"/>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1"/>
      </w:pPr>
      <w:r/>
      <w:bookmarkStart w:id="99" w:name="_Toc8906"/>
      <w:r>
        <w:rPr>
          <w:rFonts w:hint="eastAsia" w:ascii="宋体" w:hAnsi="宋体" w:eastAsia="宋体" w:cs="宋体"/>
          <w:b/>
          <w:color w:val="000000"/>
          <w:sz w:val="24"/>
          <w:szCs w:val="24"/>
          <w:highlight w:val="none"/>
        </w:rPr>
        <w:t xml:space="preserve">附件八、中小企业声明函格式</w:t>
      </w:r>
      <w:bookmarkEnd w:id="98"/>
      <w:r/>
      <w:bookmarkEnd w:id="99"/>
      <w:r>
        <w:rPr>
          <w:rFonts w:hint="eastAsia" w:ascii="宋体" w:hAnsi="宋体" w:eastAsia="宋体" w:cs="宋体"/>
          <w:b/>
          <w:color w:val="000000"/>
          <w:sz w:val="24"/>
          <w:szCs w:val="24"/>
          <w:highlight w:val="none"/>
        </w:rPr>
      </w:r>
      <w:r/>
    </w:p>
    <w:p>
      <w:pPr>
        <w:pStyle w:val="708"/>
        <w:jc w:val="center"/>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中小企业声明函</w:t>
      </w:r>
      <w:r>
        <w:rPr>
          <w:rFonts w:hint="eastAsia" w:ascii="宋体" w:hAnsi="宋体" w:eastAsia="宋体" w:cs="宋体"/>
          <w:color w:val="000000"/>
          <w:spacing w:val="15"/>
          <w:sz w:val="24"/>
          <w:szCs w:val="24"/>
          <w:highlight w:val="none"/>
        </w:rPr>
      </w:r>
      <w:r/>
    </w:p>
    <w:p>
      <w:pPr>
        <w:pStyle w:val="708"/>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pacing w:val="15"/>
          <w:sz w:val="24"/>
          <w:szCs w:val="24"/>
          <w:highlight w:val="none"/>
          <w:u w:val="single"/>
        </w:rPr>
        <w:t xml:space="preserve">（单位名称）</w:t>
      </w:r>
      <w:r>
        <w:rPr>
          <w:rFonts w:hint="eastAsia" w:ascii="宋体" w:hAnsi="宋体" w:eastAsia="宋体" w:cs="宋体"/>
          <w:color w:val="000000"/>
          <w:spacing w:val="15"/>
          <w:sz w:val="24"/>
          <w:szCs w:val="24"/>
          <w:highlight w:val="none"/>
        </w:rPr>
        <w:t xml:space="preserve">的</w:t>
      </w:r>
      <w:r>
        <w:rPr>
          <w:rFonts w:hint="eastAsia" w:ascii="宋体" w:hAnsi="宋体" w:eastAsia="宋体" w:cs="宋体"/>
          <w:color w:val="000000"/>
          <w:spacing w:val="15"/>
          <w:sz w:val="24"/>
          <w:szCs w:val="24"/>
          <w:highlight w:val="none"/>
          <w:u w:val="single"/>
        </w:rPr>
        <w:t xml:space="preserve">（项目名称）</w:t>
      </w:r>
      <w:r>
        <w:rPr>
          <w:rFonts w:hint="eastAsia" w:ascii="宋体" w:hAnsi="宋体" w:eastAsia="宋体" w:cs="宋体"/>
          <w:color w:val="000000"/>
          <w:spacing w:val="15"/>
          <w:sz w:val="24"/>
          <w:szCs w:val="24"/>
          <w:highlight w:val="none"/>
        </w:rPr>
        <w:t xml:space="preserve">采购活动，提供的货物全部由符合政策要求的中小企业制造。相关企业（含联合体中的中小企业、签订分包意向协议的中小企业）的具体情况如下： </w:t>
      </w:r>
      <w:r>
        <w:rPr>
          <w:rFonts w:hint="eastAsia" w:ascii="宋体" w:hAnsi="宋体" w:eastAsia="宋体" w:cs="宋体"/>
          <w:color w:val="000000"/>
          <w:spacing w:val="15"/>
          <w:sz w:val="24"/>
          <w:szCs w:val="24"/>
          <w:highlight w:val="none"/>
        </w:rPr>
      </w:r>
      <w:r/>
    </w:p>
    <w:p>
      <w:pPr>
        <w:pStyle w:val="708"/>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1.</w:t>
      </w:r>
      <w:r>
        <w:rPr>
          <w:rFonts w:hint="eastAsia" w:ascii="宋体" w:hAnsi="宋体" w:eastAsia="宋体" w:cs="宋体"/>
          <w:color w:val="000000"/>
          <w:spacing w:val="15"/>
          <w:sz w:val="24"/>
          <w:szCs w:val="24"/>
          <w:highlight w:val="none"/>
          <w:u w:val="single"/>
        </w:rPr>
        <w:t xml:space="preserve"> （标的名称） </w:t>
      </w:r>
      <w:r>
        <w:rPr>
          <w:rFonts w:hint="eastAsia" w:ascii="宋体" w:hAnsi="宋体" w:eastAsia="宋体" w:cs="宋体"/>
          <w:color w:val="000000"/>
          <w:spacing w:val="15"/>
          <w:sz w:val="24"/>
          <w:szCs w:val="24"/>
          <w:highlight w:val="none"/>
        </w:rPr>
        <w:t xml:space="preserve">，属于</w:t>
      </w:r>
      <w:r>
        <w:rPr>
          <w:rFonts w:hint="eastAsia" w:ascii="宋体" w:hAnsi="宋体" w:eastAsia="宋体" w:cs="宋体"/>
          <w:color w:val="000000"/>
          <w:spacing w:val="15"/>
          <w:sz w:val="24"/>
          <w:szCs w:val="24"/>
          <w:highlight w:val="none"/>
          <w:u w:val="single"/>
        </w:rPr>
        <w:t xml:space="preserve">（采购文件中明确的所属行业）</w:t>
      </w:r>
      <w:r>
        <w:rPr>
          <w:rFonts w:hint="eastAsia" w:ascii="宋体" w:hAnsi="宋体" w:eastAsia="宋体" w:cs="宋体"/>
          <w:color w:val="000000"/>
          <w:spacing w:val="15"/>
          <w:sz w:val="24"/>
          <w:szCs w:val="24"/>
          <w:highlight w:val="none"/>
        </w:rPr>
        <w:t xml:space="preserve">；制造商为</w:t>
      </w:r>
      <w:r>
        <w:rPr>
          <w:rFonts w:hint="eastAsia" w:ascii="宋体" w:hAnsi="宋体" w:eastAsia="宋体" w:cs="宋体"/>
          <w:color w:val="000000"/>
          <w:spacing w:val="15"/>
          <w:sz w:val="24"/>
          <w:szCs w:val="24"/>
          <w:highlight w:val="none"/>
          <w:u w:val="single"/>
        </w:rPr>
        <w:t xml:space="preserve">（企业名称）</w:t>
      </w:r>
      <w:r>
        <w:rPr>
          <w:rFonts w:hint="eastAsia" w:ascii="宋体" w:hAnsi="宋体" w:eastAsia="宋体" w:cs="宋体"/>
          <w:color w:val="000000"/>
          <w:spacing w:val="15"/>
          <w:sz w:val="24"/>
          <w:szCs w:val="24"/>
          <w:highlight w:val="none"/>
        </w:rPr>
        <w:t xml:space="preserve">，从业人员</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人，营业收入为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万元，资产总额为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万元，属于</w:t>
      </w:r>
      <w:r>
        <w:rPr>
          <w:rFonts w:hint="eastAsia" w:ascii="宋体" w:hAnsi="宋体" w:eastAsia="宋体" w:cs="宋体"/>
          <w:color w:val="000000"/>
          <w:spacing w:val="15"/>
          <w:sz w:val="24"/>
          <w:szCs w:val="24"/>
          <w:highlight w:val="none"/>
          <w:u w:val="single"/>
        </w:rPr>
        <w:t xml:space="preserve">（中型企业、小型企业、微型企业）</w:t>
      </w:r>
      <w:r>
        <w:rPr>
          <w:rFonts w:hint="eastAsia" w:ascii="宋体" w:hAnsi="宋体" w:eastAsia="宋体" w:cs="宋体"/>
          <w:color w:val="000000"/>
          <w:spacing w:val="15"/>
          <w:sz w:val="24"/>
          <w:szCs w:val="24"/>
          <w:highlight w:val="none"/>
        </w:rPr>
        <w:t xml:space="preserve">； </w:t>
      </w:r>
      <w:r>
        <w:rPr>
          <w:rFonts w:hint="eastAsia" w:ascii="宋体" w:hAnsi="宋体" w:eastAsia="宋体" w:cs="宋体"/>
          <w:color w:val="000000"/>
          <w:spacing w:val="15"/>
          <w:sz w:val="24"/>
          <w:szCs w:val="24"/>
          <w:highlight w:val="none"/>
        </w:rPr>
      </w:r>
      <w:r/>
    </w:p>
    <w:p>
      <w:pPr>
        <w:pStyle w:val="708"/>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2.</w:t>
      </w:r>
      <w:r>
        <w:rPr>
          <w:rFonts w:hint="eastAsia" w:ascii="宋体" w:hAnsi="宋体" w:eastAsia="宋体" w:cs="宋体"/>
          <w:color w:val="000000"/>
          <w:spacing w:val="15"/>
          <w:sz w:val="24"/>
          <w:szCs w:val="24"/>
          <w:highlight w:val="none"/>
          <w:u w:val="single"/>
        </w:rPr>
        <w:t xml:space="preserve"> （标的名称） </w:t>
      </w:r>
      <w:r>
        <w:rPr>
          <w:rFonts w:hint="eastAsia" w:ascii="宋体" w:hAnsi="宋体" w:eastAsia="宋体" w:cs="宋体"/>
          <w:color w:val="000000"/>
          <w:spacing w:val="15"/>
          <w:sz w:val="24"/>
          <w:szCs w:val="24"/>
          <w:highlight w:val="none"/>
        </w:rPr>
        <w:t xml:space="preserve">，属于</w:t>
      </w:r>
      <w:r>
        <w:rPr>
          <w:rFonts w:hint="eastAsia" w:ascii="宋体" w:hAnsi="宋体" w:eastAsia="宋体" w:cs="宋体"/>
          <w:color w:val="000000"/>
          <w:spacing w:val="15"/>
          <w:sz w:val="24"/>
          <w:szCs w:val="24"/>
          <w:highlight w:val="none"/>
          <w:u w:val="single"/>
        </w:rPr>
        <w:t xml:space="preserve">（采购文件中明确的所属行业）</w:t>
      </w:r>
      <w:r>
        <w:rPr>
          <w:rFonts w:hint="eastAsia" w:ascii="宋体" w:hAnsi="宋体" w:eastAsia="宋体" w:cs="宋体"/>
          <w:color w:val="000000"/>
          <w:spacing w:val="15"/>
          <w:sz w:val="24"/>
          <w:szCs w:val="24"/>
          <w:highlight w:val="none"/>
        </w:rPr>
        <w:t xml:space="preserve">；制造商为</w:t>
      </w:r>
      <w:r>
        <w:rPr>
          <w:rFonts w:hint="eastAsia" w:ascii="宋体" w:hAnsi="宋体" w:eastAsia="宋体" w:cs="宋体"/>
          <w:color w:val="000000"/>
          <w:spacing w:val="15"/>
          <w:sz w:val="24"/>
          <w:szCs w:val="24"/>
          <w:highlight w:val="none"/>
          <w:u w:val="single"/>
        </w:rPr>
        <w:t xml:space="preserve">（企业名称）</w:t>
      </w:r>
      <w:r>
        <w:rPr>
          <w:rFonts w:hint="eastAsia" w:ascii="宋体" w:hAnsi="宋体" w:eastAsia="宋体" w:cs="宋体"/>
          <w:color w:val="000000"/>
          <w:spacing w:val="15"/>
          <w:sz w:val="24"/>
          <w:szCs w:val="24"/>
          <w:highlight w:val="none"/>
        </w:rPr>
        <w:t xml:space="preserve">，从业人员</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人，营业收入为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万元，资产总额为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万元，属于</w:t>
      </w:r>
      <w:r>
        <w:rPr>
          <w:rFonts w:hint="eastAsia" w:ascii="宋体" w:hAnsi="宋体" w:eastAsia="宋体" w:cs="宋体"/>
          <w:color w:val="000000"/>
          <w:spacing w:val="15"/>
          <w:sz w:val="24"/>
          <w:szCs w:val="24"/>
          <w:highlight w:val="none"/>
          <w:u w:val="single"/>
        </w:rPr>
        <w:t xml:space="preserve">（中型企业、小型企业、微型企业）</w:t>
      </w:r>
      <w:r>
        <w:rPr>
          <w:rFonts w:hint="eastAsia" w:ascii="宋体" w:hAnsi="宋体" w:eastAsia="宋体" w:cs="宋体"/>
          <w:color w:val="000000"/>
          <w:spacing w:val="15"/>
          <w:sz w:val="24"/>
          <w:szCs w:val="24"/>
          <w:highlight w:val="none"/>
        </w:rPr>
        <w:t xml:space="preserve">； </w:t>
      </w:r>
      <w:r>
        <w:rPr>
          <w:rFonts w:hint="eastAsia" w:ascii="宋体" w:hAnsi="宋体" w:eastAsia="宋体" w:cs="宋体"/>
          <w:color w:val="000000"/>
          <w:spacing w:val="15"/>
          <w:sz w:val="24"/>
          <w:szCs w:val="24"/>
          <w:highlight w:val="none"/>
        </w:rPr>
      </w:r>
      <w:r/>
    </w:p>
    <w:p>
      <w:pPr>
        <w:pStyle w:val="708"/>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 </w:t>
      </w:r>
      <w:r>
        <w:rPr>
          <w:rFonts w:hint="eastAsia" w:ascii="宋体" w:hAnsi="宋体" w:eastAsia="宋体" w:cs="宋体"/>
          <w:color w:val="000000"/>
          <w:spacing w:val="15"/>
          <w:sz w:val="24"/>
          <w:szCs w:val="24"/>
          <w:highlight w:val="none"/>
        </w:rPr>
      </w:r>
      <w:r/>
    </w:p>
    <w:p>
      <w:pPr>
        <w:pStyle w:val="708"/>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以上企业，不属于大企业的分支机构，不存在控股股东为大企业的情形，也不存在与大企业的负责人为同一人的情形。 </w:t>
      </w:r>
      <w:r>
        <w:rPr>
          <w:rFonts w:hint="eastAsia" w:ascii="宋体" w:hAnsi="宋体" w:eastAsia="宋体" w:cs="宋体"/>
          <w:color w:val="000000"/>
          <w:spacing w:val="15"/>
          <w:sz w:val="24"/>
          <w:szCs w:val="24"/>
          <w:highlight w:val="none"/>
        </w:rPr>
      </w:r>
      <w:r/>
    </w:p>
    <w:p>
      <w:pPr>
        <w:pStyle w:val="708"/>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本企业对上述声明内容的真实性负责。如有虚假，将依法承担相应责任。</w:t>
      </w:r>
      <w:r>
        <w:rPr>
          <w:rFonts w:hint="eastAsia" w:ascii="宋体" w:hAnsi="宋体" w:eastAsia="宋体" w:cs="宋体"/>
          <w:color w:val="000000"/>
          <w:spacing w:val="15"/>
          <w:sz w:val="24"/>
          <w:szCs w:val="24"/>
          <w:highlight w:val="none"/>
        </w:rPr>
      </w:r>
      <w:r/>
    </w:p>
    <w:p>
      <w:pPr>
        <w:pStyle w:val="708"/>
        <w:ind w:firstLine="480"/>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ind w:firstLine="480"/>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 </w:t>
      </w:r>
      <w:r>
        <w:rPr>
          <w:rFonts w:hint="eastAsia" w:ascii="宋体" w:hAnsi="宋体" w:eastAsia="宋体" w:cs="宋体"/>
          <w:color w:val="000000"/>
          <w:spacing w:val="15"/>
          <w:sz w:val="24"/>
          <w:szCs w:val="24"/>
          <w:highlight w:val="none"/>
        </w:rPr>
      </w:r>
      <w:r/>
    </w:p>
    <w:p>
      <w:pPr>
        <w:pStyle w:val="708"/>
        <w:jc w:val="right"/>
        <w:spacing w:line="360" w:lineRule="auto"/>
        <w:widowControl/>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企业名称（</w:t>
      </w:r>
      <w:r>
        <w:rPr>
          <w:rFonts w:hint="eastAsia" w:ascii="宋体" w:hAnsi="宋体" w:eastAsia="宋体" w:cs="宋体"/>
          <w:color w:val="000000"/>
          <w:sz w:val="24"/>
          <w:szCs w:val="24"/>
          <w:highlight w:val="none"/>
          <w:lang w:val="zh-CN"/>
        </w:rPr>
        <w:t xml:space="preserve">加盖电子公章</w:t>
      </w:r>
      <w:r>
        <w:rPr>
          <w:rFonts w:hint="eastAsia" w:ascii="宋体" w:hAnsi="宋体" w:eastAsia="宋体" w:cs="宋体"/>
          <w:color w:val="000000"/>
          <w:spacing w:val="15"/>
          <w:sz w:val="24"/>
          <w:szCs w:val="24"/>
          <w:highlight w:val="none"/>
        </w:rPr>
        <w:t xml:space="preserve">）：</w:t>
      </w:r>
      <w:r>
        <w:rPr>
          <w:rFonts w:hint="eastAsia" w:ascii="宋体" w:hAnsi="宋体" w:eastAsia="宋体" w:cs="宋体"/>
          <w:color w:val="000000"/>
          <w:spacing w:val="15"/>
          <w:sz w:val="24"/>
          <w:szCs w:val="24"/>
          <w:highlight w:val="none"/>
        </w:rPr>
      </w:r>
      <w:r/>
    </w:p>
    <w:p>
      <w:pPr>
        <w:pStyle w:val="708"/>
        <w:ind w:firstLine="4560"/>
        <w:jc w:val="righ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日 期：</w:t>
      </w:r>
      <w:r>
        <w:rPr>
          <w:rFonts w:hint="eastAsia" w:ascii="宋体" w:hAnsi="宋体" w:eastAsia="宋体" w:cs="宋体"/>
          <w:color w:val="000000"/>
          <w:spacing w:val="15"/>
          <w:sz w:val="24"/>
          <w:szCs w:val="24"/>
          <w:highlight w:val="none"/>
        </w:rPr>
      </w:r>
      <w:r/>
    </w:p>
    <w:p>
      <w:pPr>
        <w:pStyle w:val="708"/>
        <w:ind w:firstLine="480"/>
        <w:jc w:val="left"/>
        <w:spacing w:line="340" w:lineRule="exact"/>
        <w:tabs>
          <w:tab w:val="left" w:pos="1800" w:leader="none"/>
          <w:tab w:val="left" w:pos="5580" w:leader="none"/>
        </w:tabs>
        <w:rPr>
          <w:rFonts w:ascii="宋体" w:hAnsi="宋体"/>
          <w:color w:val="000000"/>
          <w:sz w:val="24"/>
          <w:szCs w:val="22"/>
        </w:rPr>
      </w:pPr>
      <w:r/>
      <w:bookmarkStart w:id="100" w:name="_Hlk73391674"/>
      <w:r>
        <w:rPr>
          <w:rFonts w:ascii="宋体" w:hAnsi="宋体"/>
          <w:color w:val="000000"/>
          <w:sz w:val="24"/>
          <w:szCs w:val="22"/>
        </w:rPr>
        <w:t xml:space="preserve">注：</w:t>
      </w:r>
      <w:r>
        <w:rPr>
          <w:rFonts w:ascii="宋体" w:hAnsi="宋体"/>
          <w:color w:val="000000"/>
          <w:sz w:val="24"/>
          <w:szCs w:val="22"/>
        </w:rPr>
      </w:r>
      <w:r/>
    </w:p>
    <w:p>
      <w:pPr>
        <w:pStyle w:val="708"/>
        <w:ind w:firstLine="480"/>
        <w:jc w:val="left"/>
        <w:spacing w:line="340" w:lineRule="exact"/>
        <w:tabs>
          <w:tab w:val="left" w:pos="1800" w:leader="none"/>
          <w:tab w:val="left" w:pos="5580" w:leader="none"/>
        </w:tabs>
        <w:rPr>
          <w:rFonts w:ascii="宋体" w:hAnsi="宋体"/>
          <w:color w:val="000000"/>
          <w:sz w:val="24"/>
          <w:szCs w:val="22"/>
        </w:rPr>
      </w:pPr>
      <w:r/>
      <w:bookmarkEnd w:id="100"/>
      <w:r>
        <w:rPr>
          <w:rFonts w:hint="eastAsia" w:ascii="宋体" w:hAnsi="宋体"/>
          <w:color w:val="000000"/>
          <w:sz w:val="24"/>
          <w:szCs w:val="22"/>
        </w:rPr>
        <w:t xml:space="preserve">1．从业人员、营业收入、资产总额填报上一年度数据，无上一年度数据的新成立企业可不填报。</w:t>
      </w:r>
      <w:r>
        <w:rPr>
          <w:rFonts w:ascii="宋体" w:hAnsi="宋体"/>
          <w:color w:val="000000"/>
          <w:sz w:val="24"/>
          <w:szCs w:val="22"/>
        </w:rPr>
      </w:r>
      <w:r/>
    </w:p>
    <w:p>
      <w:pPr>
        <w:pStyle w:val="708"/>
        <w:ind w:firstLine="480"/>
        <w:jc w:val="left"/>
        <w:spacing w:line="340" w:lineRule="exact"/>
        <w:tabs>
          <w:tab w:val="left" w:pos="1800" w:leader="none"/>
          <w:tab w:val="left" w:pos="5580" w:leader="none"/>
        </w:tabs>
        <w:rPr>
          <w:rFonts w:ascii="Calibri" w:hAnsi="Calibri"/>
          <w:b/>
          <w:bCs/>
          <w:sz w:val="24"/>
          <w:szCs w:val="22"/>
          <w:u w:val="single"/>
        </w:rPr>
      </w:pPr>
      <w:r/>
      <w:bookmarkStart w:id="101" w:name="_Hlk72665336"/>
      <w:r>
        <w:rPr>
          <w:rFonts w:hint="eastAsia" w:ascii="宋体" w:hAnsi="宋体"/>
          <w:sz w:val="24"/>
          <w:szCs w:val="22"/>
        </w:rPr>
        <w:t xml:space="preserve">2．</w:t>
      </w:r>
      <w:r>
        <w:rPr>
          <w:rFonts w:hint="eastAsia" w:ascii="Calibri" w:hAnsi="Calibri"/>
          <w:b/>
          <w:bCs/>
          <w:sz w:val="24"/>
          <w:szCs w:val="22"/>
          <w:u w:val="single"/>
        </w:rPr>
        <w:t xml:space="preserve">中小企业参加政府采购活动，应当出具此格式文件。《中小企业声明函》由参加政府采购活动的供应商出具</w:t>
      </w:r>
      <w:r>
        <w:rPr>
          <w:rFonts w:ascii="Calibri" w:hAnsi="Calibri"/>
          <w:b/>
          <w:bCs/>
          <w:sz w:val="24"/>
          <w:szCs w:val="22"/>
          <w:u w:val="single"/>
        </w:rPr>
        <w:t xml:space="preserve">。</w:t>
      </w:r>
      <w:r>
        <w:rPr>
          <w:rFonts w:ascii="Calibri" w:hAnsi="Calibri"/>
          <w:b/>
          <w:bCs/>
          <w:sz w:val="24"/>
          <w:szCs w:val="22"/>
          <w:u w:val="single"/>
        </w:rPr>
      </w:r>
      <w:r/>
    </w:p>
    <w:p>
      <w:pPr>
        <w:pStyle w:val="708"/>
        <w:ind w:firstLine="480"/>
        <w:spacing w:line="340" w:lineRule="exact"/>
        <w:tabs>
          <w:tab w:val="left" w:pos="1800" w:leader="none"/>
          <w:tab w:val="left" w:pos="5580" w:leader="none"/>
        </w:tabs>
        <w:rPr>
          <w:rFonts w:ascii="宋体" w:hAnsi="宋体"/>
          <w:color w:val="000000"/>
          <w:sz w:val="24"/>
          <w:szCs w:val="22"/>
        </w:rPr>
      </w:pPr>
      <w:r>
        <w:rPr>
          <w:rFonts w:hint="eastAsia" w:ascii="宋体" w:hAnsi="宋体"/>
          <w:sz w:val="24"/>
          <w:szCs w:val="22"/>
        </w:rPr>
        <w:t xml:space="preserve">3．</w:t>
      </w:r>
      <w:r>
        <w:rPr>
          <w:rFonts w:ascii="宋体" w:hAnsi="宋体"/>
          <w:color w:val="000000"/>
          <w:sz w:val="24"/>
          <w:szCs w:val="22"/>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rPr>
          <w:rFonts w:ascii="宋体" w:hAnsi="宋体"/>
          <w:color w:val="000000"/>
          <w:sz w:val="24"/>
          <w:szCs w:val="22"/>
        </w:rPr>
      </w:r>
      <w:r/>
    </w:p>
    <w:p>
      <w:pPr>
        <w:pStyle w:val="708"/>
        <w:ind w:firstLine="482"/>
        <w:spacing w:line="340" w:lineRule="exact"/>
        <w:tabs>
          <w:tab w:val="left" w:pos="1800" w:leader="none"/>
          <w:tab w:val="left" w:pos="5580" w:leader="none"/>
        </w:tabs>
        <w:rPr>
          <w:rFonts w:hint="eastAsia" w:ascii="宋体" w:hAnsi="宋体"/>
          <w:b/>
          <w:bCs/>
          <w:color w:val="000000"/>
          <w:sz w:val="24"/>
          <w:szCs w:val="22"/>
        </w:rPr>
      </w:pPr>
      <w:r>
        <w:rPr>
          <w:rFonts w:hint="eastAsia" w:ascii="宋体" w:hAnsi="宋体"/>
          <w:b/>
          <w:bCs/>
          <w:color w:val="000000"/>
          <w:sz w:val="24"/>
          <w:szCs w:val="22"/>
        </w:rPr>
        <w:t xml:space="preserve">4．</w:t>
      </w:r>
      <w:bookmarkEnd w:id="101"/>
      <w:r>
        <w:rPr>
          <w:rFonts w:hint="eastAsia" w:ascii="宋体" w:hAnsi="宋体"/>
          <w:b/>
          <w:bCs/>
          <w:color w:val="000000"/>
          <w:sz w:val="24"/>
          <w:szCs w:val="22"/>
        </w:rPr>
        <w:t xml:space="preserve">供应商如不提供此声明函，价格将不做相应扣除。</w:t>
      </w:r>
      <w:r>
        <w:rPr>
          <w:rFonts w:hint="eastAsia" w:ascii="宋体" w:hAnsi="宋体"/>
          <w:b/>
          <w:bCs/>
          <w:color w:val="000000"/>
          <w:sz w:val="24"/>
          <w:szCs w:val="22"/>
        </w:rPr>
      </w:r>
      <w:r/>
    </w:p>
    <w:p>
      <w:pPr>
        <w:pStyle w:val="708"/>
        <w:ind w:firstLine="480"/>
        <w:spacing w:line="340" w:lineRule="exact"/>
        <w:tabs>
          <w:tab w:val="left" w:pos="1800" w:leader="none"/>
          <w:tab w:val="left" w:pos="5580" w:leader="none"/>
        </w:tabs>
        <w:rPr>
          <w:rFonts w:ascii="宋体" w:hAnsi="宋体"/>
          <w:color w:val="000000"/>
          <w:sz w:val="24"/>
          <w:szCs w:val="22"/>
        </w:rPr>
      </w:pPr>
      <w:r>
        <w:rPr>
          <w:rFonts w:hint="eastAsia" w:ascii="宋体" w:hAnsi="宋体"/>
          <w:color w:val="000000"/>
          <w:sz w:val="24"/>
          <w:szCs w:val="22"/>
        </w:rPr>
        <w:t xml:space="preserve">5．“中小企业划型标准”详见《统计上大中小微型企业划分办法（2017）》（国统字〔2017〕213号），供应商也可登录中华人民共和国工信部官网，使用“中小企业规模类型自测小程序”进行企业规模自测。</w:t>
      </w:r>
      <w:r>
        <w:rPr>
          <w:rFonts w:ascii="宋体" w:hAnsi="宋体"/>
          <w:color w:val="000000"/>
          <w:sz w:val="24"/>
          <w:szCs w:val="22"/>
        </w:rPr>
      </w:r>
      <w:r/>
    </w:p>
    <w:p>
      <w:pPr>
        <w:pStyle w:val="708"/>
        <w:ind w:firstLine="480"/>
        <w:spacing w:line="340" w:lineRule="exact"/>
        <w:tabs>
          <w:tab w:val="left" w:pos="1800" w:leader="none"/>
          <w:tab w:val="left" w:pos="5580" w:leader="none"/>
        </w:tabs>
        <w:rPr>
          <w:rFonts w:ascii="Calibri" w:hAnsi="Calibri"/>
          <w:color w:val="000000"/>
          <w:sz w:val="22"/>
          <w:szCs w:val="22"/>
          <w:u w:val="single"/>
        </w:rPr>
      </w:pPr>
      <w:r>
        <w:rPr>
          <w:rFonts w:hint="eastAsia" w:ascii="宋体" w:hAnsi="宋体" w:cs="宋体"/>
          <w:color w:val="000000"/>
          <w:sz w:val="24"/>
          <w:szCs w:val="24"/>
        </w:rPr>
        <w:t xml:space="preserve">6</w:t>
      </w:r>
      <w:r>
        <w:rPr>
          <w:rFonts w:ascii="宋体" w:hAnsi="宋体" w:cs="宋体"/>
          <w:color w:val="000000"/>
          <w:sz w:val="24"/>
          <w:szCs w:val="24"/>
        </w:rPr>
        <w:t xml:space="preserve">．</w:t>
      </w:r>
      <w:r>
        <w:rPr>
          <w:rFonts w:ascii="宋体" w:hAnsi="宋体" w:cs="宋体"/>
          <w:b/>
          <w:bCs/>
          <w:color w:val="000000"/>
          <w:sz w:val="24"/>
          <w:szCs w:val="24"/>
          <w:u w:val="single"/>
        </w:rPr>
        <w:t xml:space="preserve">采购文件中明确的所属行业：</w:t>
      </w:r>
      <w:r>
        <w:rPr>
          <w:rFonts w:hint="eastAsia" w:ascii="宋体" w:hAnsi="宋体" w:cs="宋体"/>
          <w:b/>
          <w:bCs/>
          <w:color w:val="000000"/>
          <w:sz w:val="24"/>
          <w:szCs w:val="24"/>
          <w:highlight w:val="yellow"/>
          <w:u w:val="single"/>
          <w:lang w:val="en-US" w:eastAsia="zh-CN"/>
        </w:rPr>
        <w:t xml:space="preserve">工业</w:t>
      </w:r>
      <w:r>
        <w:rPr>
          <w:rFonts w:ascii="宋体" w:hAnsi="宋体" w:cs="宋体"/>
          <w:b/>
          <w:bCs/>
          <w:color w:val="000000"/>
          <w:sz w:val="24"/>
          <w:szCs w:val="24"/>
          <w:highlight w:val="yellow"/>
          <w:u w:val="single"/>
        </w:rPr>
        <w:t xml:space="preserve">。</w:t>
      </w:r>
      <w:r>
        <w:rPr>
          <w:rFonts w:ascii="Calibri" w:hAnsi="Calibri"/>
          <w:color w:val="000000"/>
          <w:sz w:val="22"/>
          <w:szCs w:val="22"/>
          <w:u w:val="single"/>
        </w:rPr>
      </w:r>
      <w:r/>
    </w:p>
    <w:p>
      <w:pPr>
        <w:pStyle w:val="708"/>
        <w:ind w:firstLine="482"/>
        <w:spacing w:line="340" w:lineRule="exact"/>
        <w:tabs>
          <w:tab w:val="left" w:pos="1800" w:leader="none"/>
          <w:tab w:val="left" w:pos="5580" w:leader="none"/>
        </w:tabs>
        <w:rPr>
          <w:rFonts w:hint="eastAsia" w:ascii="宋体" w:hAnsi="宋体"/>
          <w:b/>
          <w:bCs/>
          <w:color w:val="000000"/>
          <w:sz w:val="24"/>
          <w:szCs w:val="22"/>
          <w:u w:val="single"/>
        </w:rPr>
      </w:pPr>
      <w:r>
        <w:rPr>
          <w:rFonts w:hint="eastAsia" w:ascii="宋体" w:hAnsi="宋体"/>
          <w:b/>
          <w:bCs/>
          <w:color w:val="000000"/>
          <w:sz w:val="24"/>
          <w:szCs w:val="22"/>
          <w:u w:val="single"/>
        </w:rPr>
        <w:t xml:space="preserve">7</w:t>
      </w:r>
      <w:r>
        <w:rPr>
          <w:rFonts w:ascii="宋体" w:hAnsi="宋体"/>
          <w:b/>
          <w:bCs/>
          <w:color w:val="000000"/>
          <w:sz w:val="24"/>
          <w:szCs w:val="22"/>
          <w:u w:val="single"/>
        </w:rPr>
        <w:t xml:space="preserve">．根据</w:t>
      </w:r>
      <w:r>
        <w:rPr>
          <w:rFonts w:hint="eastAsia" w:ascii="宋体" w:hAnsi="宋体"/>
          <w:b/>
          <w:bCs/>
          <w:color w:val="000000"/>
          <w:sz w:val="24"/>
          <w:szCs w:val="22"/>
          <w:u w:val="single"/>
        </w:rPr>
        <w:t xml:space="preserve">《政府采购促进中小企业发展管理办法》（财库﹝2020﹞46号）</w:t>
      </w:r>
      <w:r>
        <w:rPr>
          <w:rFonts w:ascii="宋体" w:hAnsi="宋体"/>
          <w:b/>
          <w:bCs/>
          <w:color w:val="000000"/>
          <w:sz w:val="24"/>
          <w:szCs w:val="22"/>
          <w:u w:val="single"/>
        </w:rPr>
        <w:t xml:space="preserve">规定，在货物类采购项目中，供应商提供的货物既有中小企业制造货物，也有大型企业制造货物的，不享受中小企业扶持政策。因此货物类采购项目的供应商在填写《</w:t>
      </w:r>
      <w:r>
        <w:rPr>
          <w:rFonts w:hint="eastAsia" w:ascii="宋体" w:hAnsi="宋体"/>
          <w:b/>
          <w:bCs/>
          <w:color w:val="000000"/>
          <w:sz w:val="24"/>
          <w:szCs w:val="22"/>
          <w:u w:val="single"/>
        </w:rPr>
        <w:t xml:space="preserve">中</w:t>
      </w:r>
      <w:r>
        <w:rPr>
          <w:rFonts w:ascii="宋体" w:hAnsi="宋体"/>
          <w:b/>
          <w:bCs/>
          <w:color w:val="000000"/>
          <w:sz w:val="24"/>
          <w:szCs w:val="22"/>
          <w:u w:val="single"/>
        </w:rPr>
        <w:t xml:space="preserve">小企业声明函》时，须按采购清单逐项列明每项产品的生产企业名称，并按声明函内容将每项产品生产企业的情况如实填写完整。</w:t>
      </w:r>
      <w:r>
        <w:rPr>
          <w:rFonts w:hint="eastAsia" w:ascii="宋体" w:hAnsi="宋体"/>
          <w:b/>
          <w:bCs/>
          <w:color w:val="000000"/>
          <w:sz w:val="24"/>
          <w:szCs w:val="22"/>
          <w:u w:val="single"/>
        </w:rPr>
      </w:r>
      <w:r/>
    </w:p>
    <w:p>
      <w:pPr>
        <w:pStyle w:val="710"/>
        <w:rPr>
          <w:rFonts w:hint="eastAsia"/>
        </w:rPr>
      </w:pPr>
      <w:r>
        <w:rPr>
          <w:rFonts w:ascii="宋体" w:hAnsi="宋体"/>
          <w:b/>
          <w:bCs/>
          <w:color w:val="000000"/>
          <w:sz w:val="24"/>
          <w:szCs w:val="22"/>
        </w:rPr>
        <w:t xml:space="preserve">如有遗漏的，则所遗漏项的生产企业将被视为非小微企业，供应商不再享受小微企业价格扣除。《</w:t>
      </w:r>
      <w:r>
        <w:rPr>
          <w:rFonts w:hint="eastAsia" w:ascii="宋体" w:hAnsi="宋体"/>
          <w:b/>
          <w:bCs/>
          <w:color w:val="000000"/>
          <w:sz w:val="24"/>
          <w:szCs w:val="22"/>
        </w:rPr>
        <w:t xml:space="preserve">中</w:t>
      </w:r>
      <w:r>
        <w:rPr>
          <w:rFonts w:ascii="宋体" w:hAnsi="宋体"/>
          <w:b/>
          <w:bCs/>
          <w:color w:val="000000"/>
          <w:sz w:val="24"/>
          <w:szCs w:val="22"/>
        </w:rPr>
        <w:t xml:space="preserve">小企业声明函》中的“标的名称”是指采购清单中每项产品名称。</w:t>
      </w:r>
      <w:r>
        <w:rPr>
          <w:rFonts w:hint="eastAsia"/>
        </w:rPr>
      </w:r>
      <w:r/>
    </w:p>
    <w:p>
      <w:pPr>
        <w:pStyle w:val="708"/>
        <w:ind w:firstLine="420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widowControl/>
        <w:rPr>
          <w:rFonts w:hint="eastAsia" w:ascii="宋体" w:hAnsi="宋体" w:eastAsia="宋体" w:cs="宋体"/>
          <w:b/>
          <w:color w:val="000000"/>
          <w:sz w:val="24"/>
          <w:szCs w:val="24"/>
          <w:highlight w:val="none"/>
        </w:rPr>
        <w:outlineLvl w:val="1"/>
      </w:pPr>
      <w:r/>
      <w:bookmarkStart w:id="102" w:name="_Toc19369"/>
      <w:r>
        <w:rPr>
          <w:rFonts w:hint="eastAsia" w:ascii="宋体" w:hAnsi="宋体" w:eastAsia="宋体" w:cs="宋体"/>
          <w:b/>
          <w:color w:val="000000"/>
          <w:sz w:val="24"/>
          <w:szCs w:val="24"/>
          <w:highlight w:val="none"/>
        </w:rPr>
      </w:r>
      <w:r/>
    </w:p>
    <w:p>
      <w:pPr>
        <w:pStyle w:val="708"/>
        <w:spacing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pStyle w:val="708"/>
        <w:spacing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pStyle w:val="708"/>
        <w:spacing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pStyle w:val="708"/>
        <w:spacing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pStyle w:val="708"/>
        <w:rPr>
          <w:rFonts w:hint="eastAsia" w:ascii="宋体" w:hAnsi="宋体" w:eastAsia="宋体" w:cs="宋体"/>
          <w:b/>
          <w:color w:val="000000"/>
          <w:sz w:val="24"/>
          <w:szCs w:val="24"/>
          <w:highlight w:val="none"/>
        </w:rPr>
      </w:pPr>
      <w:r/>
      <w:bookmarkStart w:id="103" w:name="_Toc1423"/>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r>
      <w:r/>
    </w:p>
    <w:p>
      <w:pPr>
        <w:pStyle w:val="708"/>
        <w:spacing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附件九、无重大违法记录声明格式</w:t>
      </w:r>
      <w:bookmarkEnd w:id="102"/>
      <w:r/>
      <w:bookmarkEnd w:id="103"/>
      <w:r>
        <w:rPr>
          <w:rFonts w:hint="eastAsia" w:ascii="宋体" w:hAnsi="宋体" w:eastAsia="宋体" w:cs="宋体"/>
          <w:b/>
          <w:color w:val="000000"/>
          <w:sz w:val="24"/>
          <w:szCs w:val="24"/>
          <w:highlight w:val="none"/>
        </w:rPr>
      </w:r>
      <w:r/>
    </w:p>
    <w:p>
      <w:pPr>
        <w:pStyle w:val="70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无重大违法记录声明</w:t>
      </w: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eastAsia="zh-CN"/>
        </w:rPr>
        <w:t xml:space="preserve">南京建淳造价师事务所有限公司</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我单位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（供应商名称）郑重声明：</w:t>
      </w: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参加政府采购活动前3年内在经营活动中</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（在下划线上如实填写：有或没有）重大违法记录。</w:t>
      </w: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jc w:val="righ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声明人：</w:t>
      </w:r>
      <w:r>
        <w:rPr>
          <w:rFonts w:hint="eastAsia" w:ascii="宋体" w:hAnsi="宋体" w:eastAsia="宋体" w:cs="宋体"/>
          <w:color w:val="000000"/>
          <w:sz w:val="24"/>
          <w:szCs w:val="24"/>
          <w:highlight w:val="none"/>
          <w:lang w:val="zh-CN"/>
        </w:rPr>
        <w:t xml:space="preserve">（加盖电子公章）</w:t>
      </w:r>
      <w:r>
        <w:rPr>
          <w:rFonts w:hint="eastAsia" w:ascii="宋体" w:hAnsi="宋体" w:eastAsia="宋体" w:cs="宋体"/>
          <w:color w:val="000000"/>
          <w:sz w:val="24"/>
          <w:szCs w:val="24"/>
          <w:highlight w:val="none"/>
        </w:rPr>
      </w:r>
      <w:r/>
    </w:p>
    <w:p>
      <w:pPr>
        <w:pStyle w:val="708"/>
        <w:ind w:firstLine="4515"/>
        <w:jc w:val="righ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日期：年     月    日</w:t>
      </w: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1"/>
      </w:pPr>
      <w:r/>
      <w:bookmarkStart w:id="104" w:name="_Toc29018"/>
      <w:r/>
      <w:bookmarkStart w:id="105" w:name="_Toc9701"/>
      <w:r>
        <w:rPr>
          <w:rFonts w:hint="eastAsia" w:ascii="宋体" w:hAnsi="宋体" w:eastAsia="宋体" w:cs="宋体"/>
          <w:b/>
          <w:color w:val="000000"/>
          <w:sz w:val="24"/>
          <w:szCs w:val="24"/>
          <w:highlight w:val="none"/>
        </w:rPr>
        <w:t xml:space="preserve">附件十、具备履行合同所必需的设备和专业技术能力的声明格式及证明材料</w:t>
      </w:r>
      <w:bookmarkEnd w:id="104"/>
      <w:r/>
      <w:bookmarkEnd w:id="105"/>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pStyle w:val="70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具备履行合同所必需的设备和专业技术能力的声明格式</w:t>
      </w: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eastAsia="zh-CN"/>
        </w:rPr>
        <w:t xml:space="preserve">南京建淳造价师事务所有限公司</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08"/>
        <w:ind w:firstLine="49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我单位                             （供应商名称）郑重声明：我公司具备履行本项采购合同所必需的设备和专业技术能力，为履行本项采购合同我单位具备如下主要设备和主要专业技术能力：</w:t>
      </w:r>
      <w:r>
        <w:rPr>
          <w:rFonts w:hint="eastAsia" w:ascii="宋体" w:hAnsi="宋体" w:eastAsia="宋体" w:cs="宋体"/>
          <w:color w:val="000000"/>
          <w:sz w:val="24"/>
          <w:szCs w:val="24"/>
          <w:highlight w:val="none"/>
        </w:rPr>
      </w:r>
      <w:r/>
    </w:p>
    <w:p>
      <w:pPr>
        <w:pStyle w:val="708"/>
        <w:ind w:firstLine="49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主要设备有：                          。( 若有 )</w:t>
      </w:r>
      <w:r>
        <w:rPr>
          <w:rFonts w:hint="eastAsia" w:ascii="宋体" w:hAnsi="宋体" w:eastAsia="宋体" w:cs="宋体"/>
          <w:color w:val="000000"/>
          <w:sz w:val="24"/>
          <w:szCs w:val="24"/>
          <w:highlight w:val="none"/>
        </w:rPr>
      </w:r>
      <w:r/>
    </w:p>
    <w:p>
      <w:pPr>
        <w:pStyle w:val="708"/>
        <w:ind w:firstLine="49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主要专业技术能力有：                  。( 若有 )</w:t>
      </w:r>
      <w:r>
        <w:rPr>
          <w:rFonts w:hint="eastAsia" w:ascii="宋体" w:hAnsi="宋体" w:eastAsia="宋体" w:cs="宋体"/>
          <w:color w:val="000000"/>
          <w:sz w:val="24"/>
          <w:szCs w:val="24"/>
          <w:highlight w:val="none"/>
        </w:rPr>
      </w:r>
      <w:r/>
    </w:p>
    <w:p>
      <w:pPr>
        <w:pStyle w:val="708"/>
        <w:ind w:firstLine="49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ind w:firstLine="49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ind w:firstLine="49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声明人：</w:t>
      </w:r>
      <w:r>
        <w:rPr>
          <w:rFonts w:hint="eastAsia" w:ascii="宋体" w:hAnsi="宋体" w:eastAsia="宋体" w:cs="宋体"/>
          <w:color w:val="000000"/>
          <w:sz w:val="24"/>
          <w:szCs w:val="24"/>
          <w:highlight w:val="none"/>
          <w:lang w:val="zh-CN"/>
        </w:rPr>
        <w:t xml:space="preserve">（加盖电子公章）</w:t>
      </w:r>
      <w:r>
        <w:rPr>
          <w:rFonts w:hint="eastAsia" w:ascii="宋体" w:hAnsi="宋体" w:eastAsia="宋体" w:cs="宋体"/>
          <w:color w:val="000000"/>
          <w:sz w:val="24"/>
          <w:szCs w:val="24"/>
          <w:highlight w:val="none"/>
        </w:rPr>
      </w:r>
      <w:r/>
    </w:p>
    <w:p>
      <w:pPr>
        <w:pStyle w:val="708"/>
        <w:jc w:val="righ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08"/>
        <w:jc w:val="righ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1"/>
      </w:pPr>
      <w:r/>
      <w:bookmarkStart w:id="106" w:name="_Toc10293"/>
      <w:r/>
      <w:bookmarkStart w:id="107" w:name="_Toc4067"/>
      <w:r/>
      <w:bookmarkStart w:id="108" w:name="_Hlk40203486"/>
      <w:r>
        <w:rPr>
          <w:rFonts w:hint="eastAsia" w:ascii="宋体" w:hAnsi="宋体" w:eastAsia="宋体" w:cs="宋体"/>
          <w:b/>
          <w:color w:val="000000"/>
          <w:sz w:val="24"/>
          <w:szCs w:val="24"/>
          <w:highlight w:val="none"/>
        </w:rPr>
        <w:t xml:space="preserve">附件十一、南京市政府采购供应商信用记录表暨信用承诺书</w:t>
      </w:r>
      <w:bookmarkEnd w:id="106"/>
      <w:r/>
      <w:bookmarkEnd w:id="107"/>
      <w:r>
        <w:rPr>
          <w:rFonts w:hint="eastAsia" w:ascii="宋体" w:hAnsi="宋体" w:eastAsia="宋体" w:cs="宋体"/>
          <w:b/>
          <w:color w:val="000000"/>
          <w:sz w:val="24"/>
          <w:szCs w:val="24"/>
          <w:highlight w:val="none"/>
        </w:rPr>
      </w:r>
      <w:r/>
    </w:p>
    <w:p>
      <w:pPr>
        <w:pStyle w:val="708"/>
        <w:jc w:val="cente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jc w:val="cente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jc w:val="cente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提供“信用南京”在线打印的《南京市政府采购供应商信用记录表暨信用承诺书》</w:t>
      </w: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08"/>
        <w:ind w:right="480"/>
        <w:jc w:val="center"/>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zh-CN"/>
        </w:rPr>
        <w:t xml:space="preserve">             供应商（盖章）</w:t>
      </w:r>
      <w:r>
        <w:rPr>
          <w:rFonts w:hint="eastAsia" w:ascii="宋体" w:hAnsi="宋体" w:eastAsia="宋体" w:cs="宋体"/>
          <w:b/>
          <w:color w:val="000000"/>
          <w:sz w:val="24"/>
          <w:szCs w:val="24"/>
          <w:highlight w:val="none"/>
        </w:rPr>
      </w:r>
      <w:r/>
    </w:p>
    <w:p>
      <w:pPr>
        <w:pStyle w:val="708"/>
        <w:ind w:right="480" w:firstLine="4457"/>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法定代表人签名：</w:t>
      </w:r>
      <w:r>
        <w:rPr>
          <w:rFonts w:hint="eastAsia" w:ascii="宋体" w:hAnsi="宋体" w:eastAsia="宋体" w:cs="宋体"/>
          <w:b/>
          <w:color w:val="000000"/>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1"/>
      </w:pPr>
      <w:r/>
      <w:bookmarkStart w:id="109" w:name="_Toc3337"/>
      <w:r/>
      <w:bookmarkStart w:id="110" w:name="_Toc16914"/>
      <w:r>
        <w:rPr>
          <w:rFonts w:hint="eastAsia" w:ascii="宋体" w:hAnsi="宋体" w:eastAsia="宋体" w:cs="宋体"/>
          <w:b/>
          <w:color w:val="000000"/>
          <w:spacing w:val="15"/>
          <w:sz w:val="24"/>
          <w:szCs w:val="24"/>
          <w:highlight w:val="none"/>
        </w:rPr>
        <w:t xml:space="preserve">附件十二、</w:t>
      </w:r>
      <w:r>
        <w:rPr>
          <w:rFonts w:hint="eastAsia" w:ascii="宋体" w:hAnsi="宋体" w:eastAsia="宋体" w:cs="宋体"/>
          <w:b/>
          <w:bCs/>
          <w:color w:val="000000"/>
          <w:spacing w:val="15"/>
          <w:sz w:val="24"/>
          <w:szCs w:val="24"/>
          <w:highlight w:val="none"/>
        </w:rPr>
        <w:t xml:space="preserve">安全生产责任承诺书</w:t>
      </w:r>
      <w:bookmarkEnd w:id="109"/>
      <w:r/>
      <w:bookmarkEnd w:id="110"/>
      <w:r>
        <w:rPr>
          <w:rFonts w:hint="eastAsia" w:ascii="宋体" w:hAnsi="宋体" w:eastAsia="宋体" w:cs="宋体"/>
          <w:b/>
          <w:color w:val="000000"/>
          <w:spacing w:val="15"/>
          <w:sz w:val="24"/>
          <w:szCs w:val="24"/>
          <w:highlight w:val="none"/>
        </w:rPr>
      </w:r>
      <w:r/>
    </w:p>
    <w:p>
      <w:pPr>
        <w:pStyle w:val="708"/>
        <w:jc w:val="center"/>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t xml:space="preserve">安全生产责任承诺书</w:t>
      </w:r>
      <w:r>
        <w:rPr>
          <w:rFonts w:hint="eastAsia" w:ascii="宋体" w:hAnsi="宋体" w:eastAsia="宋体" w:cs="宋体"/>
          <w:b/>
          <w:bCs/>
          <w:color w:val="000000"/>
          <w:spacing w:val="15"/>
          <w:sz w:val="24"/>
          <w:szCs w:val="24"/>
          <w:highlight w:val="none"/>
        </w:rPr>
      </w:r>
      <w:r/>
    </w:p>
    <w:p>
      <w:pPr>
        <w:pStyle w:val="708"/>
        <w:jc w:val="center"/>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08"/>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color w:val="000000"/>
          <w:spacing w:val="15"/>
          <w:sz w:val="24"/>
          <w:szCs w:val="24"/>
          <w:highlight w:val="none"/>
          <w:u w:val="single"/>
        </w:rPr>
      </w:r>
      <w:r/>
    </w:p>
    <w:p>
      <w:pPr>
        <w:pStyle w:val="708"/>
        <w:ind w:firstLine="480"/>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我公司现向贵单位承诺，我公司在</w:t>
      </w:r>
      <w:r>
        <w:rPr>
          <w:rFonts w:hint="eastAsia" w:ascii="宋体" w:hAnsi="宋体" w:eastAsia="宋体" w:cs="宋体"/>
          <w:b/>
          <w:color w:val="000000"/>
          <w:sz w:val="24"/>
          <w:szCs w:val="24"/>
          <w:highlight w:val="none"/>
        </w:rPr>
        <w:t xml:space="preserve">项目名称：</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color w:val="000000"/>
          <w:sz w:val="24"/>
          <w:szCs w:val="24"/>
          <w:highlight w:val="none"/>
        </w:rPr>
        <w:t xml:space="preserve">实施</w:t>
      </w:r>
      <w:r>
        <w:rPr>
          <w:rFonts w:hint="eastAsia" w:ascii="宋体" w:hAnsi="宋体" w:eastAsia="宋体" w:cs="宋体"/>
          <w:color w:val="000000"/>
          <w:spacing w:val="15"/>
          <w:sz w:val="24"/>
          <w:szCs w:val="24"/>
          <w:highlight w:val="none"/>
        </w:rPr>
        <w:t xml:space="preserve">过程中，保证不发生重大人员伤亡事故，在此服务过程中所发生的一切工伤事故，或安全事故，均由我公司承担一切责任。</w:t>
      </w:r>
      <w:r>
        <w:rPr>
          <w:rFonts w:hint="eastAsia" w:ascii="宋体" w:hAnsi="宋体" w:eastAsia="宋体" w:cs="宋体"/>
          <w:color w:val="000000"/>
          <w:spacing w:val="15"/>
          <w:sz w:val="24"/>
          <w:szCs w:val="24"/>
          <w:highlight w:val="none"/>
        </w:rPr>
      </w:r>
      <w:r/>
    </w:p>
    <w:p>
      <w:pPr>
        <w:pStyle w:val="708"/>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color w:val="000000"/>
          <w:spacing w:val="15"/>
          <w:sz w:val="24"/>
          <w:szCs w:val="24"/>
          <w:highlight w:val="none"/>
        </w:rPr>
        <w:t xml:space="preserve">承诺单位（公章）：</w:t>
      </w:r>
      <w:r>
        <w:rPr>
          <w:rFonts w:hint="eastAsia" w:ascii="宋体" w:hAnsi="宋体" w:eastAsia="宋体" w:cs="宋体"/>
          <w:color w:val="000000"/>
          <w:spacing w:val="15"/>
          <w:sz w:val="24"/>
          <w:szCs w:val="24"/>
          <w:highlight w:val="none"/>
          <w:u w:val="single"/>
        </w:rPr>
      </w:r>
      <w:r/>
    </w:p>
    <w:p>
      <w:pPr>
        <w:pStyle w:val="708"/>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color w:val="000000"/>
          <w:spacing w:val="15"/>
          <w:sz w:val="24"/>
          <w:szCs w:val="24"/>
          <w:highlight w:val="none"/>
        </w:rPr>
        <w:t xml:space="preserve">法定代表人（签字或盖章）：</w:t>
      </w:r>
      <w:r>
        <w:rPr>
          <w:rFonts w:hint="eastAsia" w:ascii="宋体" w:hAnsi="宋体" w:eastAsia="宋体" w:cs="宋体"/>
          <w:color w:val="000000"/>
          <w:spacing w:val="15"/>
          <w:sz w:val="24"/>
          <w:szCs w:val="24"/>
          <w:highlight w:val="none"/>
          <w:u w:val="single"/>
        </w:rPr>
      </w:r>
      <w:r/>
    </w:p>
    <w:p>
      <w:pPr>
        <w:pStyle w:val="708"/>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color w:val="000000"/>
          <w:spacing w:val="15"/>
          <w:sz w:val="24"/>
          <w:szCs w:val="24"/>
          <w:highlight w:val="none"/>
        </w:rPr>
        <w:t xml:space="preserve">代理人（签字或盖章）：</w:t>
      </w:r>
      <w:r>
        <w:rPr>
          <w:rFonts w:hint="eastAsia" w:ascii="宋体" w:hAnsi="宋体" w:eastAsia="宋体" w:cs="宋体"/>
          <w:color w:val="000000"/>
          <w:spacing w:val="15"/>
          <w:sz w:val="24"/>
          <w:szCs w:val="24"/>
          <w:highlight w:val="none"/>
          <w:u w:val="single"/>
        </w:rPr>
      </w:r>
      <w:r/>
    </w:p>
    <w:p>
      <w:pPr>
        <w:pStyle w:val="708"/>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color w:val="000000"/>
          <w:spacing w:val="15"/>
          <w:sz w:val="24"/>
          <w:szCs w:val="24"/>
          <w:highlight w:val="none"/>
        </w:rPr>
        <w:t xml:space="preserve">日期：</w:t>
      </w:r>
      <w:bookmarkEnd w:id="108"/>
      <w:r>
        <w:rPr>
          <w:rFonts w:hint="eastAsia" w:ascii="宋体" w:hAnsi="宋体" w:eastAsia="宋体" w:cs="宋体"/>
          <w:color w:val="000000"/>
          <w:spacing w:val="15"/>
          <w:sz w:val="24"/>
          <w:szCs w:val="24"/>
          <w:highlight w:val="none"/>
          <w:u w:val="singl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1"/>
      </w:pPr>
      <w:r/>
      <w:bookmarkStart w:id="111" w:name="_Toc32465"/>
      <w:r/>
      <w:bookmarkStart w:id="112" w:name="_Toc10109"/>
      <w:r>
        <w:rPr>
          <w:rFonts w:hint="eastAsia" w:ascii="宋体" w:hAnsi="宋体" w:eastAsia="宋体" w:cs="宋体"/>
          <w:b/>
          <w:color w:val="000000"/>
          <w:spacing w:val="15"/>
          <w:sz w:val="24"/>
          <w:szCs w:val="24"/>
          <w:highlight w:val="none"/>
        </w:rPr>
        <w:t xml:space="preserve">附件十三、残疾人福利性单位声明函</w:t>
      </w:r>
      <w:bookmarkEnd w:id="111"/>
      <w:r/>
      <w:bookmarkEnd w:id="112"/>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cente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t xml:space="preserve">残疾人福利性单位声明函</w:t>
      </w: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ind w:firstLine="480"/>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本单位郑重声明，根据《财政部 民政部 中国残疾人联合会关于促进残疾人就业政府采购政策的通知》（财库〔2017〕 141 号）的规定，本单位为符合条件的残疾人福利性单位， 且本单位参加______单位的______项目采购活动提供本单位制造的货物（由本单位承担工程 /提供服务），或者提供其他残疾人福利性单位制造的货物（不包括使用非残疾人福利性单 位注册商标的货物）。 </w:t>
      </w:r>
      <w:r>
        <w:rPr>
          <w:rFonts w:hint="eastAsia" w:ascii="宋体" w:hAnsi="宋体" w:eastAsia="宋体" w:cs="宋体"/>
          <w:color w:val="000000"/>
          <w:spacing w:val="15"/>
          <w:sz w:val="24"/>
          <w:szCs w:val="24"/>
          <w:highlight w:val="none"/>
        </w:rPr>
      </w:r>
      <w:r/>
    </w:p>
    <w:p>
      <w:pPr>
        <w:pStyle w:val="708"/>
        <w:ind w:firstLine="480"/>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本单位对上述声明的真实性负责。如有虚假，将依法承担相应责任。 </w:t>
      </w:r>
      <w:r>
        <w:rPr>
          <w:rFonts w:hint="eastAsia" w:ascii="宋体" w:hAnsi="宋体" w:eastAsia="宋体" w:cs="宋体"/>
          <w:color w:val="000000"/>
          <w:spacing w:val="15"/>
          <w:sz w:val="24"/>
          <w:szCs w:val="24"/>
          <w:highlight w:val="none"/>
        </w:rPr>
      </w:r>
      <w:r/>
    </w:p>
    <w:p>
      <w:pPr>
        <w:pStyle w:val="708"/>
        <w:ind w:firstLine="482"/>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ind w:firstLine="482"/>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ind w:firstLine="482"/>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ind w:firstLine="482"/>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ind w:firstLine="482"/>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ind w:firstLine="3240"/>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单位名称（盖章）： </w:t>
      </w:r>
      <w:r>
        <w:rPr>
          <w:rFonts w:hint="eastAsia" w:ascii="宋体" w:hAnsi="宋体" w:eastAsia="宋体" w:cs="宋体"/>
          <w:color w:val="000000"/>
          <w:spacing w:val="15"/>
          <w:sz w:val="24"/>
          <w:szCs w:val="24"/>
          <w:highlight w:val="none"/>
        </w:rPr>
      </w:r>
      <w:r/>
    </w:p>
    <w:p>
      <w:pPr>
        <w:pStyle w:val="708"/>
        <w:ind w:firstLine="3240"/>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日 期：</w:t>
      </w:r>
      <w:r>
        <w:rPr>
          <w:rFonts w:hint="eastAsia" w:ascii="宋体" w:hAnsi="宋体" w:eastAsia="宋体" w:cs="宋体"/>
          <w:color w:val="000000"/>
          <w:spacing w:val="15"/>
          <w:sz w:val="24"/>
          <w:szCs w:val="24"/>
          <w:highlight w:val="none"/>
        </w:rPr>
      </w:r>
      <w:r/>
    </w:p>
    <w:p>
      <w:pPr>
        <w:pStyle w:val="708"/>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08"/>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08"/>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08"/>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08"/>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08"/>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08"/>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08"/>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08"/>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08"/>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08"/>
        <w:spacing w:line="360" w:lineRule="auto"/>
        <w:rPr>
          <w:rFonts w:hint="eastAsia" w:ascii="宋体" w:hAnsi="宋体" w:eastAsia="宋体" w:cs="宋体"/>
          <w:b/>
          <w:color w:val="000000"/>
          <w:spacing w:val="15"/>
          <w:sz w:val="24"/>
          <w:szCs w:val="24"/>
          <w:highlight w:val="none"/>
        </w:rPr>
        <w:outlineLvl w:val="1"/>
      </w:pPr>
      <w:r/>
      <w:bookmarkStart w:id="113" w:name="_Toc24073"/>
      <w:r/>
      <w:bookmarkStart w:id="114" w:name="_Toc21343"/>
      <w:r/>
      <w:bookmarkStart w:id="115" w:name="_Hlk40203523"/>
      <w:r>
        <w:rPr>
          <w:rFonts w:hint="eastAsia" w:ascii="宋体" w:hAnsi="宋体" w:eastAsia="宋体" w:cs="宋体"/>
          <w:b/>
          <w:color w:val="000000"/>
          <w:spacing w:val="15"/>
          <w:sz w:val="24"/>
          <w:szCs w:val="24"/>
          <w:highlight w:val="none"/>
        </w:rPr>
        <w:t xml:space="preserve">附件十四、属于监狱企业的证明文件</w:t>
      </w:r>
      <w:bookmarkEnd w:id="113"/>
      <w:r/>
      <w:bookmarkEnd w:id="114"/>
      <w:r>
        <w:rPr>
          <w:rFonts w:hint="eastAsia" w:ascii="宋体" w:hAnsi="宋体" w:eastAsia="宋体" w:cs="宋体"/>
          <w:b/>
          <w:color w:val="000000"/>
          <w:spacing w:val="15"/>
          <w:sz w:val="24"/>
          <w:szCs w:val="24"/>
          <w:highlight w:val="none"/>
        </w:rPr>
      </w:r>
      <w:r/>
    </w:p>
    <w:p>
      <w:pPr>
        <w:pStyle w:val="708"/>
        <w:jc w:val="cente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08"/>
        <w:jc w:val="cente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t xml:space="preserve">属于监狱企业的证明文件</w:t>
      </w:r>
      <w:r>
        <w:rPr>
          <w:rFonts w:hint="eastAsia" w:ascii="宋体" w:hAnsi="宋体" w:eastAsia="宋体" w:cs="宋体"/>
          <w:b/>
          <w:color w:val="000000"/>
          <w:spacing w:val="15"/>
          <w:sz w:val="24"/>
          <w:szCs w:val="24"/>
          <w:highlight w:val="none"/>
        </w:rPr>
      </w:r>
      <w:r/>
    </w:p>
    <w:p>
      <w:pPr>
        <w:pStyle w:val="708"/>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（提供由省级以上监狱管理局、戒毒管理局(含新疆生产建设兵团)出具的属于监狱企业的证 明文件）</w:t>
      </w:r>
      <w:bookmarkEnd w:id="115"/>
      <w:r>
        <w:rPr>
          <w:rFonts w:hint="eastAsia" w:ascii="宋体" w:hAnsi="宋体" w:eastAsia="宋体" w:cs="宋体"/>
          <w:color w:val="000000"/>
          <w:spacing w:val="15"/>
          <w:sz w:val="24"/>
          <w:szCs w:val="24"/>
          <w:highlight w:val="none"/>
        </w:rPr>
      </w:r>
      <w:r/>
    </w:p>
    <w:p>
      <w:pPr>
        <w:pStyle w:val="708"/>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8"/>
        <w:jc w:val="left"/>
        <w:spacing w:line="360" w:lineRule="auto"/>
        <w:rPr>
          <w:rFonts w:hint="eastAsia" w:ascii="宋体" w:hAnsi="宋体" w:eastAsia="宋体" w:cs="宋体"/>
          <w:b/>
          <w:color w:val="000000"/>
          <w:spacing w:val="15"/>
          <w:sz w:val="24"/>
          <w:szCs w:val="24"/>
          <w:highlight w:val="none"/>
        </w:rPr>
        <w:outlineLvl w:val="1"/>
      </w:pPr>
      <w:r/>
      <w:bookmarkStart w:id="116" w:name="_Toc13811"/>
      <w:r/>
      <w:bookmarkStart w:id="117" w:name="_Toc30704"/>
      <w:r>
        <w:rPr>
          <w:rFonts w:hint="eastAsia" w:ascii="宋体" w:hAnsi="宋体" w:eastAsia="宋体" w:cs="宋体"/>
          <w:b/>
          <w:color w:val="000000"/>
          <w:spacing w:val="15"/>
          <w:sz w:val="24"/>
          <w:szCs w:val="24"/>
          <w:highlight w:val="none"/>
        </w:rPr>
        <w:t xml:space="preserve">附件十五、供应商认为需提供的其他资料</w:t>
      </w:r>
      <w:bookmarkEnd w:id="116"/>
      <w:r/>
      <w:bookmarkEnd w:id="117"/>
      <w:r>
        <w:rPr>
          <w:rFonts w:hint="eastAsia" w:ascii="宋体" w:hAnsi="宋体" w:eastAsia="宋体" w:cs="宋体"/>
          <w:b/>
          <w:color w:val="000000"/>
          <w:spacing w:val="15"/>
          <w:sz w:val="24"/>
          <w:szCs w:val="24"/>
          <w:highlight w:val="none"/>
        </w:rPr>
      </w:r>
      <w:r/>
    </w:p>
    <w:p>
      <w:pPr>
        <w:pStyle w:val="789"/>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89"/>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89"/>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89"/>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89"/>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69"/>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69"/>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69"/>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69"/>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69"/>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69"/>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69"/>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89"/>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89"/>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89"/>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69"/>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69"/>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spacing w:line="360" w:lineRule="auto"/>
        <w:rPr>
          <w:rFonts w:hint="eastAsia" w:ascii="宋体" w:hAnsi="宋体" w:eastAsia="宋体" w:cs="宋体"/>
          <w:b/>
          <w:color w:val="000000"/>
          <w:sz w:val="24"/>
          <w:szCs w:val="24"/>
          <w:highlight w:val="none"/>
        </w:rPr>
        <w:outlineLvl w:val="1"/>
      </w:pPr>
      <w:r/>
      <w:bookmarkStart w:id="118" w:name="_Toc27578"/>
      <w:r/>
      <w:bookmarkStart w:id="119" w:name="_Toc959"/>
      <w:r>
        <w:rPr>
          <w:rFonts w:hint="eastAsia" w:ascii="宋体" w:hAnsi="宋体"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en-US" w:eastAsia="zh-CN"/>
        </w:rPr>
        <w:t xml:space="preserve">十六</w:t>
      </w:r>
      <w:r>
        <w:rPr>
          <w:rFonts w:hint="eastAsia" w:ascii="宋体" w:hAnsi="宋体" w:eastAsia="宋体" w:cs="宋体"/>
          <w:b/>
          <w:color w:val="000000"/>
          <w:sz w:val="24"/>
          <w:szCs w:val="24"/>
          <w:highlight w:val="none"/>
        </w:rPr>
        <w:t xml:space="preserve">、联合体协议格式</w:t>
      </w:r>
      <w:bookmarkEnd w:id="118"/>
      <w:r/>
      <w:bookmarkEnd w:id="119"/>
      <w:r>
        <w:rPr>
          <w:rFonts w:hint="eastAsia" w:ascii="宋体" w:hAnsi="宋体" w:eastAsia="宋体" w:cs="宋体"/>
          <w:b/>
          <w:color w:val="000000"/>
          <w:sz w:val="24"/>
          <w:szCs w:val="24"/>
          <w:highlight w:val="none"/>
        </w:rPr>
      </w:r>
      <w:r/>
    </w:p>
    <w:p>
      <w:pPr>
        <w:pStyle w:val="708"/>
        <w:jc w:val="center"/>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联合体协议（</w:t>
      </w:r>
      <w:r>
        <w:rPr>
          <w:rFonts w:hint="eastAsia" w:ascii="宋体" w:hAnsi="宋体" w:eastAsia="宋体" w:cs="宋体"/>
          <w:bCs/>
          <w:color w:val="000000"/>
          <w:sz w:val="24"/>
          <w:szCs w:val="24"/>
          <w:highlight w:val="none"/>
          <w:lang w:val="en-US" w:eastAsia="zh-CN"/>
        </w:rPr>
        <w:t xml:space="preserve">如有</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zh-CN"/>
        </w:rPr>
      </w:r>
      <w:r/>
    </w:p>
    <w:p>
      <w:pPr>
        <w:pStyle w:val="708"/>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08"/>
        <w:ind w:firstLine="420"/>
        <w:jc w:val="lef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（项目编号）的投标邀请，甲、乙双方经平等协商，决定组成联合体共同参加该项目政府采购活动。如我方中标，将共同与采购人签订采购合同，就采购合同约定的事项对采购人承担连带责任。</w:t>
      </w:r>
      <w:r>
        <w:rPr>
          <w:rFonts w:hint="eastAsia" w:ascii="宋体" w:hAnsi="宋体" w:eastAsia="宋体" w:cs="宋体"/>
          <w:color w:val="000000"/>
          <w:sz w:val="24"/>
          <w:szCs w:val="24"/>
          <w:highlight w:val="none"/>
        </w:rPr>
      </w:r>
      <w:r/>
    </w:p>
    <w:p>
      <w:pPr>
        <w:pStyle w:val="708"/>
        <w:ind w:firstLine="420"/>
        <w:jc w:val="lef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甲方承担的工作和义务是：___________________________________________________________</w:t>
      </w:r>
      <w:r>
        <w:rPr>
          <w:rFonts w:hint="eastAsia" w:ascii="宋体" w:hAnsi="宋体" w:eastAsia="宋体" w:cs="宋体"/>
          <w:color w:val="000000"/>
          <w:sz w:val="24"/>
          <w:szCs w:val="24"/>
          <w:highlight w:val="none"/>
        </w:rPr>
      </w:r>
      <w:r/>
    </w:p>
    <w:p>
      <w:pPr>
        <w:pStyle w:val="708"/>
        <w:ind w:firstLine="420"/>
        <w:jc w:val="lef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乙方承担的工作和义务是：___________________________________________________________</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联合体投标中，中小企业合同金额为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元，所占合同总金额比例为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%；其中小微企业合同金额为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元，所占中小企业合同金额比例为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%，所占合同总金额比例为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甲方：（盖章）                             乙方：（盖章）</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住所：                                     住所：</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通信地址：                                 通信地址：</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法定代表人签字：                           法定代表人签字：</w:t>
      </w:r>
      <w:r>
        <w:rPr>
          <w:rFonts w:hint="eastAsia" w:ascii="宋体" w:hAnsi="宋体" w:eastAsia="宋体" w:cs="宋体"/>
          <w:color w:val="000000"/>
          <w:sz w:val="24"/>
          <w:szCs w:val="24"/>
          <w:highlight w:val="none"/>
        </w:rPr>
      </w:r>
      <w:r/>
    </w:p>
    <w:p>
      <w:pPr>
        <w:pStyle w:val="708"/>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电话：                                     电话：</w:t>
      </w:r>
      <w:r>
        <w:rPr>
          <w:rFonts w:hint="eastAsia" w:ascii="宋体" w:hAnsi="宋体" w:eastAsia="宋体" w:cs="宋体"/>
          <w:color w:val="000000"/>
          <w:sz w:val="24"/>
          <w:szCs w:val="24"/>
          <w:highlight w:val="none"/>
        </w:rPr>
      </w:r>
      <w:r/>
    </w:p>
    <w:p>
      <w:pPr>
        <w:pStyle w:val="789"/>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                    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70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p>
    <w:p>
      <w:pPr>
        <w:pStyle w:val="708"/>
        <w:jc w:val="left"/>
        <w:spacing w:line="360" w:lineRule="auto"/>
        <w:widowControl/>
        <w:rPr>
          <w:rFonts w:ascii="宋体" w:hAnsi="宋体" w:cs="宋体"/>
          <w:b/>
          <w:color w:val="000000"/>
          <w:sz w:val="24"/>
          <w:szCs w:val="24"/>
          <w:highlight w:val="none"/>
          <w:lang w:val="zh-CN"/>
        </w:rPr>
        <w:outlineLvl w:val="1"/>
      </w:pPr>
      <w:r/>
      <w:bookmarkStart w:id="120" w:name="_Toc16709"/>
      <w:r>
        <w:rPr>
          <w:rFonts w:hint="eastAsia" w:ascii="宋体" w:hAnsi="宋体" w:cs="宋体"/>
          <w:b/>
          <w:color w:val="000000"/>
          <w:sz w:val="24"/>
          <w:szCs w:val="24"/>
          <w:highlight w:val="none"/>
          <w:lang w:val="zh-CN"/>
        </w:rPr>
        <w:t xml:space="preserve">附件十</w:t>
      </w:r>
      <w:r>
        <w:rPr>
          <w:rFonts w:hint="eastAsia" w:ascii="宋体" w:hAnsi="宋体" w:cs="宋体"/>
          <w:b/>
          <w:color w:val="000000"/>
          <w:sz w:val="24"/>
          <w:szCs w:val="24"/>
          <w:highlight w:val="none"/>
          <w:lang w:val="en-US" w:eastAsia="zh-CN"/>
        </w:rPr>
        <w:t xml:space="preserve">七</w:t>
      </w:r>
      <w:r>
        <w:rPr>
          <w:rFonts w:hint="eastAsia" w:ascii="宋体" w:hAnsi="宋体" w:cs="宋体"/>
          <w:b/>
          <w:color w:val="000000"/>
          <w:sz w:val="24"/>
          <w:szCs w:val="24"/>
          <w:highlight w:val="none"/>
          <w:lang w:val="zh-CN"/>
        </w:rPr>
        <w:t xml:space="preserve">、关于符合本国产品标准的声明函</w:t>
      </w:r>
      <w:bookmarkEnd w:id="120"/>
      <w:r>
        <w:rPr>
          <w:rFonts w:ascii="宋体" w:hAnsi="宋体" w:cs="宋体"/>
          <w:b/>
          <w:color w:val="000000"/>
          <w:sz w:val="24"/>
          <w:szCs w:val="24"/>
          <w:highlight w:val="none"/>
          <w:lang w:val="zh-CN"/>
        </w:rPr>
      </w:r>
      <w:r/>
    </w:p>
    <w:p>
      <w:pPr>
        <w:pStyle w:val="708"/>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关于符合本国产品标准的声明函（采购包号：</w:t>
      </w:r>
      <w:r>
        <w:rPr>
          <w:rFonts w:ascii="宋体" w:hAnsi="宋体" w:cs="宋体"/>
          <w:b/>
          <w:bCs/>
          <w:color w:val="000000"/>
          <w:sz w:val="28"/>
          <w:szCs w:val="28"/>
          <w:highlight w:val="none"/>
          <w:lang w:val="zh-CN"/>
        </w:rPr>
        <w:t xml:space="preserve">**）</w:t>
      </w:r>
      <w:r>
        <w:rPr>
          <w:rFonts w:ascii="宋体" w:hAnsi="宋体" w:cs="宋体"/>
          <w:b/>
          <w:bCs/>
          <w:color w:val="000000"/>
          <w:sz w:val="28"/>
          <w:szCs w:val="28"/>
          <w:highlight w:val="none"/>
          <w:lang w:val="zh-CN"/>
        </w:rPr>
      </w:r>
      <w:r/>
    </w:p>
    <w:p>
      <w:pPr>
        <w:pStyle w:val="708"/>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本公司（单位）郑重声明，根据《国务院办公厅关于在政府采购中实施本国产品标准及相关政策的通知》（国办发〔</w:t>
      </w:r>
      <w:r>
        <w:rPr>
          <w:rFonts w:hint="eastAsia" w:ascii="宋体" w:hAnsi="宋体" w:cs="宋体"/>
          <w:color w:val="000000"/>
          <w:sz w:val="24"/>
          <w:szCs w:val="24"/>
          <w:highlight w:val="none"/>
          <w:shd w:val="clear" w:color="auto" w:fill="ffffff"/>
          <w:lang w:val="zh-CN" w:bidi="zh-CN"/>
        </w:rPr>
        <w:t xml:space="preserve">2025</w:t>
      </w:r>
      <w:r>
        <w:rPr>
          <w:rFonts w:hint="eastAsia" w:ascii="宋体" w:hAnsi="宋体" w:cs="微软雅黑"/>
          <w:color w:val="000000"/>
          <w:sz w:val="24"/>
          <w:szCs w:val="24"/>
          <w:highlight w:val="none"/>
          <w:shd w:val="clear" w:color="auto" w:fill="ffffff"/>
          <w:lang w:val="zh-CN" w:bidi="zh-CN"/>
        </w:rPr>
        <w:t xml:space="preserve">〕</w:t>
      </w:r>
      <w:r>
        <w:rPr>
          <w:rFonts w:hint="eastAsia" w:ascii="宋体" w:hAnsi="宋体" w:cs="宋体"/>
          <w:color w:val="000000"/>
          <w:sz w:val="24"/>
          <w:szCs w:val="24"/>
          <w:highlight w:val="none"/>
          <w:shd w:val="clear" w:color="auto" w:fill="ffffff"/>
          <w:lang w:val="zh-CN" w:bidi="zh-CN"/>
        </w:rPr>
        <w:t xml:space="preserve">34</w:t>
      </w:r>
      <w:r>
        <w:rPr>
          <w:rFonts w:hint="eastAsia" w:ascii="宋体" w:hAnsi="宋体" w:cs="微软雅黑"/>
          <w:color w:val="000000"/>
          <w:sz w:val="24"/>
          <w:szCs w:val="24"/>
          <w:highlight w:val="none"/>
          <w:shd w:val="clear" w:color="auto" w:fill="ffffff"/>
          <w:lang w:val="zh-CN" w:bidi="zh-CN"/>
        </w:rPr>
        <w:t xml:space="preserve">号）的规定，本公司（单位）提供的以下产品属于本国产品。具体情况如下：</w:t>
      </w:r>
      <w:r>
        <w:rPr>
          <w:rFonts w:ascii="宋体" w:hAnsi="宋体" w:cs="宋体"/>
          <w:color w:val="000000"/>
          <w:sz w:val="24"/>
          <w:szCs w:val="24"/>
          <w:highlight w:val="none"/>
          <w:lang w:val="zh-CN" w:bidi="zh-CN"/>
        </w:rPr>
      </w:r>
      <w:r/>
    </w:p>
    <w:p>
      <w:pPr>
        <w:pStyle w:val="708"/>
        <w:numPr>
          <w:ilvl w:val="0"/>
          <w:numId w:val="8"/>
        </w:numPr>
        <w:ind w:firstLine="420"/>
        <w:jc w:val="left"/>
        <w:spacing w:before="24" w:after="24" w:line="360" w:lineRule="auto"/>
        <w:shd w:val="clear" w:color="auto" w:fill="ffffff"/>
        <w:widowControl/>
        <w:tabs>
          <w:tab w:val="left" w:pos="312" w:leader="none"/>
        </w:tabs>
        <w:rPr>
          <w:rFonts w:hint="eastAsia" w:ascii="宋体" w:hAnsi="宋体" w:cs="微软雅黑"/>
          <w:color w:val="000000"/>
          <w:sz w:val="24"/>
          <w:szCs w:val="24"/>
          <w:highlight w:val="none"/>
          <w:shd w:val="clear" w:color="auto" w:fill="ffffff"/>
          <w:lang w:val="zh-CN" w:bidi="zh-CN"/>
        </w:rPr>
      </w:pPr>
      <w:r>
        <w:rPr>
          <w:rFonts w:hint="eastAsia" w:ascii="宋体" w:hAnsi="宋体" w:cs="微软雅黑"/>
          <w:i/>
          <w:color w:val="000000"/>
          <w:sz w:val="22"/>
          <w:szCs w:val="22"/>
          <w:highlight w:val="none"/>
          <w:shd w:val="clear" w:color="auto" w:fill="ffffff"/>
          <w:lang w:val="zh-CN" w:bidi="zh-CN"/>
        </w:rPr>
        <w:t xml:space="preserve">（产品名称</w:t>
      </w:r>
      <w:r>
        <w:rPr>
          <w:rFonts w:hint="eastAsia" w:ascii="宋体" w:hAnsi="宋体" w:cs="宋体"/>
          <w:i/>
          <w:color w:val="000000"/>
          <w:sz w:val="22"/>
          <w:szCs w:val="22"/>
          <w:highlight w:val="none"/>
          <w:shd w:val="clear" w:color="auto" w:fill="ffffff"/>
          <w:lang w:val="zh-CN" w:bidi="zh-CN"/>
        </w:rPr>
        <w:t xml:space="preserve">1</w:t>
      </w:r>
      <w:r>
        <w:rPr>
          <w:rFonts w:hint="eastAsia" w:ascii="宋体" w:hAnsi="宋体" w:cs="微软雅黑"/>
          <w:i/>
          <w:color w:val="000000"/>
          <w:sz w:val="22"/>
          <w:szCs w:val="22"/>
          <w:highlight w:val="none"/>
          <w:shd w:val="clear" w:color="auto" w:fill="ffffff"/>
          <w:lang w:val="zh-CN" w:bidi="zh-CN"/>
        </w:rPr>
        <w:t xml:space="preserve">）</w:t>
      </w:r>
      <w:r>
        <w:rPr>
          <w:rFonts w:hint="eastAsia" w:ascii="宋体" w:hAnsi="宋体" w:cs="宋体"/>
          <w:i/>
          <w:color w:val="000000"/>
          <w:sz w:val="22"/>
          <w:szCs w:val="22"/>
          <w:highlight w:val="none"/>
          <w:shd w:val="clear" w:color="auto" w:fill="ffffff"/>
          <w:vertAlign w:val="superscript"/>
          <w:lang w:val="zh-CN" w:bidi="zh-CN"/>
        </w:rPr>
        <w:t xml:space="preserve">1</w:t>
      </w:r>
      <w:r>
        <w:rPr>
          <w:rFonts w:hint="eastAsia" w:ascii="宋体" w:hAnsi="宋体" w:cs="微软雅黑"/>
          <w:color w:val="000000"/>
          <w:sz w:val="24"/>
          <w:szCs w:val="24"/>
          <w:highlight w:val="none"/>
          <w:shd w:val="clear" w:color="auto" w:fill="ffffff"/>
          <w:lang w:val="zh-CN" w:bidi="zh-CN"/>
        </w:rPr>
        <w:t xml:space="preserve">，生产厂为</w:t>
      </w:r>
      <w:r>
        <w:rPr>
          <w:rFonts w:hint="eastAsia" w:ascii="宋体" w:hAnsi="宋体" w:cs="微软雅黑"/>
          <w:i/>
          <w:color w:val="000000"/>
          <w:sz w:val="22"/>
          <w:szCs w:val="22"/>
          <w:highlight w:val="none"/>
          <w:shd w:val="clear" w:color="auto" w:fill="ffffff"/>
          <w:lang w:val="zh-CN" w:bidi="zh-CN"/>
        </w:rPr>
        <w:t xml:space="preserve">（厂名）</w:t>
      </w:r>
      <w:r>
        <w:rPr>
          <w:rFonts w:hint="eastAsia" w:ascii="宋体" w:hAnsi="宋体" w:cs="宋体"/>
          <w:i/>
          <w:color w:val="000000"/>
          <w:sz w:val="22"/>
          <w:szCs w:val="22"/>
          <w:highlight w:val="none"/>
          <w:shd w:val="clear" w:color="auto" w:fill="ffffff"/>
          <w:vertAlign w:val="superscript"/>
          <w:lang w:val="zh-CN" w:bidi="zh-CN"/>
        </w:rPr>
        <w:t xml:space="preserve">2</w:t>
      </w:r>
      <w:r>
        <w:rPr>
          <w:rFonts w:hint="eastAsia" w:ascii="宋体" w:hAnsi="宋体" w:cs="微软雅黑"/>
          <w:color w:val="000000"/>
          <w:sz w:val="24"/>
          <w:szCs w:val="24"/>
          <w:highlight w:val="none"/>
          <w:shd w:val="clear" w:color="auto" w:fill="ffffff"/>
          <w:lang w:val="zh-CN" w:bidi="zh-CN"/>
        </w:rPr>
        <w:t xml:space="preserve">，厂址为</w:t>
      </w:r>
      <w:r>
        <w:rPr>
          <w:rFonts w:hint="eastAsia" w:ascii="宋体" w:hAnsi="宋体" w:cs="微软雅黑"/>
          <w:i/>
          <w:color w:val="000000"/>
          <w:sz w:val="22"/>
          <w:szCs w:val="22"/>
          <w:highlight w:val="none"/>
          <w:shd w:val="clear" w:color="auto" w:fill="ffffff"/>
          <w:lang w:val="zh-CN" w:bidi="zh-CN"/>
        </w:rPr>
        <w:t xml:space="preserve">（生产厂址）</w:t>
      </w:r>
      <w:r>
        <w:rPr>
          <w:rFonts w:hint="eastAsia" w:ascii="宋体" w:hAnsi="宋体" w:cs="微软雅黑"/>
          <w:color w:val="000000"/>
          <w:sz w:val="24"/>
          <w:szCs w:val="24"/>
          <w:highlight w:val="none"/>
          <w:shd w:val="clear" w:color="auto" w:fill="ffffff"/>
          <w:lang w:val="zh-CN" w:bidi="zh-CN"/>
        </w:rPr>
        <w:t xml:space="preserve">。</w:t>
      </w:r>
      <w:r>
        <w:rPr>
          <w:rFonts w:hint="eastAsia" w:ascii="宋体" w:hAnsi="宋体" w:cs="微软雅黑"/>
          <w:color w:val="000000"/>
          <w:sz w:val="24"/>
          <w:szCs w:val="24"/>
          <w:highlight w:val="none"/>
          <w:shd w:val="clear" w:color="auto" w:fill="ffffff"/>
          <w:lang w:val="zh-CN" w:bidi="zh-CN"/>
        </w:rPr>
      </w:r>
      <w:r/>
    </w:p>
    <w:p>
      <w:pPr>
        <w:pStyle w:val="708"/>
        <w:numPr>
          <w:ilvl w:val="0"/>
          <w:numId w:val="0"/>
        </w:numPr>
        <w:ind w:firstLine="480"/>
        <w:jc w:val="left"/>
        <w:spacing w:before="24" w:after="24" w:line="360" w:lineRule="auto"/>
        <w:shd w:val="clear" w:color="auto" w:fill="ffffff"/>
        <w:widowControl/>
        <w:rPr>
          <w:rFonts w:ascii="宋体" w:hAnsi="宋体" w:cs="宋体"/>
          <w:strike/>
          <w:color w:val="000000"/>
          <w:sz w:val="24"/>
          <w:szCs w:val="24"/>
          <w:highlight w:val="none"/>
          <w:lang w:val="zh-CN" w:bidi="zh-CN"/>
        </w:rPr>
      </w:pPr>
      <w:r>
        <w:rPr>
          <w:rFonts w:hint="eastAsia" w:ascii="宋体" w:hAnsi="宋体" w:cs="宋体"/>
          <w:color w:val="000000"/>
          <w:sz w:val="24"/>
          <w:szCs w:val="24"/>
          <w:highlight w:val="none"/>
          <w:shd w:val="clear" w:color="auto" w:fill="ffffff"/>
          <w:lang w:val="zh-CN" w:bidi="zh-CN"/>
        </w:rPr>
        <w:t xml:space="preserve">2.</w:t>
      </w:r>
      <w:r>
        <w:rPr>
          <w:rFonts w:hint="eastAsia" w:ascii="宋体" w:hAnsi="宋体" w:cs="微软雅黑"/>
          <w:i/>
          <w:color w:val="000000"/>
          <w:sz w:val="22"/>
          <w:szCs w:val="22"/>
          <w:highlight w:val="none"/>
          <w:shd w:val="clear" w:color="auto" w:fill="ffffff"/>
          <w:lang w:val="zh-CN" w:bidi="zh-CN"/>
        </w:rPr>
        <w:t xml:space="preserve">（产品名称</w:t>
      </w:r>
      <w:r>
        <w:rPr>
          <w:rFonts w:hint="eastAsia" w:ascii="宋体" w:hAnsi="宋体" w:cs="宋体"/>
          <w:i/>
          <w:color w:val="000000"/>
          <w:sz w:val="22"/>
          <w:szCs w:val="22"/>
          <w:highlight w:val="none"/>
          <w:shd w:val="clear" w:color="auto" w:fill="ffffff"/>
          <w:lang w:val="zh-CN" w:bidi="zh-CN"/>
        </w:rPr>
        <w:t xml:space="preserve">2</w:t>
      </w:r>
      <w:r>
        <w:rPr>
          <w:rFonts w:hint="eastAsia" w:ascii="宋体" w:hAnsi="宋体" w:cs="微软雅黑"/>
          <w:i/>
          <w:color w:val="000000"/>
          <w:sz w:val="22"/>
          <w:szCs w:val="22"/>
          <w:highlight w:val="none"/>
          <w:shd w:val="clear" w:color="auto" w:fill="ffffff"/>
          <w:lang w:val="zh-CN" w:bidi="zh-CN"/>
        </w:rPr>
        <w:t xml:space="preserve">）</w:t>
      </w:r>
      <w:r>
        <w:rPr>
          <w:rFonts w:hint="eastAsia" w:ascii="宋体" w:hAnsi="宋体" w:cs="微软雅黑"/>
          <w:color w:val="000000"/>
          <w:sz w:val="24"/>
          <w:szCs w:val="24"/>
          <w:highlight w:val="none"/>
          <w:shd w:val="clear" w:color="auto" w:fill="ffffff"/>
          <w:lang w:val="zh-CN" w:bidi="zh-CN"/>
        </w:rPr>
        <w:t xml:space="preserve">，生产厂为</w:t>
      </w:r>
      <w:r>
        <w:rPr>
          <w:rFonts w:hint="eastAsia" w:ascii="宋体" w:hAnsi="宋体" w:cs="微软雅黑"/>
          <w:i/>
          <w:color w:val="000000"/>
          <w:sz w:val="22"/>
          <w:szCs w:val="22"/>
          <w:highlight w:val="none"/>
          <w:shd w:val="clear" w:color="auto" w:fill="ffffff"/>
          <w:lang w:val="zh-CN" w:bidi="zh-CN"/>
        </w:rPr>
        <w:t xml:space="preserve">（厂名）</w:t>
      </w:r>
      <w:r>
        <w:rPr>
          <w:rFonts w:hint="eastAsia" w:ascii="宋体" w:hAnsi="宋体" w:cs="微软雅黑"/>
          <w:color w:val="000000"/>
          <w:sz w:val="24"/>
          <w:szCs w:val="24"/>
          <w:highlight w:val="none"/>
          <w:shd w:val="clear" w:color="auto" w:fill="ffffff"/>
          <w:lang w:val="zh-CN" w:bidi="zh-CN"/>
        </w:rPr>
        <w:t xml:space="preserve">，厂址为</w:t>
      </w:r>
      <w:r>
        <w:rPr>
          <w:rFonts w:hint="eastAsia" w:ascii="宋体" w:hAnsi="宋体" w:cs="微软雅黑"/>
          <w:i/>
          <w:color w:val="000000"/>
          <w:sz w:val="22"/>
          <w:szCs w:val="22"/>
          <w:highlight w:val="none"/>
          <w:shd w:val="clear" w:color="auto" w:fill="ffffff"/>
          <w:lang w:val="zh-CN" w:bidi="zh-CN"/>
        </w:rPr>
        <w:t xml:space="preserve">（生产厂址）</w:t>
      </w:r>
      <w:r>
        <w:rPr>
          <w:rFonts w:hint="eastAsia" w:ascii="宋体" w:hAnsi="宋体" w:cs="微软雅黑"/>
          <w:color w:val="000000"/>
          <w:sz w:val="24"/>
          <w:szCs w:val="24"/>
          <w:highlight w:val="none"/>
          <w:shd w:val="clear" w:color="auto" w:fill="ffffff"/>
          <w:lang w:val="zh-CN" w:bidi="zh-CN"/>
        </w:rPr>
        <w:t xml:space="preserve">。</w:t>
      </w:r>
      <w:r>
        <w:rPr>
          <w:rFonts w:ascii="宋体" w:hAnsi="宋体" w:cs="宋体"/>
          <w:strike/>
          <w:color w:val="000000"/>
          <w:sz w:val="24"/>
          <w:szCs w:val="24"/>
          <w:highlight w:val="none"/>
          <w:lang w:val="zh-CN" w:bidi="zh-CN"/>
        </w:rPr>
      </w:r>
      <w:r/>
    </w:p>
    <w:p>
      <w:pPr>
        <w:pStyle w:val="708"/>
        <w:ind w:firstLine="420"/>
        <w:jc w:val="left"/>
        <w:spacing w:before="24" w:after="24" w:line="360" w:lineRule="auto"/>
        <w:shd w:val="clear" w:color="auto" w:fill="ffffff"/>
        <w:widowControl/>
        <w:rPr>
          <w:rFonts w:ascii="宋体" w:hAnsi="宋体" w:cs="宋体"/>
          <w:color w:val="000000"/>
          <w:sz w:val="24"/>
          <w:szCs w:val="24"/>
          <w:highlight w:val="none"/>
          <w:shd w:val="clear" w:color="auto" w:fill="ffffff"/>
          <w:lang w:val="zh-CN" w:bidi="zh-CN"/>
        </w:rPr>
      </w:pPr>
      <w:r>
        <w:rPr>
          <w:rFonts w:hint="eastAsia" w:ascii="宋体" w:hAnsi="宋体" w:cs="宋体"/>
          <w:color w:val="000000"/>
          <w:sz w:val="24"/>
          <w:szCs w:val="24"/>
          <w:highlight w:val="none"/>
          <w:shd w:val="clear" w:color="auto" w:fill="ffffff"/>
          <w:lang w:val="zh-CN" w:bidi="zh-CN"/>
        </w:rPr>
        <w:t xml:space="preserve">……</w:t>
      </w:r>
      <w:r>
        <w:rPr>
          <w:rFonts w:ascii="宋体" w:hAnsi="宋体" w:cs="宋体"/>
          <w:color w:val="000000"/>
          <w:sz w:val="24"/>
          <w:szCs w:val="24"/>
          <w:highlight w:val="none"/>
          <w:shd w:val="clear" w:color="auto" w:fill="ffffff"/>
          <w:lang w:val="zh-CN" w:bidi="zh-CN"/>
        </w:rPr>
      </w:r>
      <w:r/>
    </w:p>
    <w:p>
      <w:pPr>
        <w:pStyle w:val="708"/>
        <w:ind w:firstLine="420"/>
        <w:jc w:val="left"/>
        <w:spacing w:before="24" w:after="24" w:line="360" w:lineRule="auto"/>
        <w:shd w:val="clear" w:color="auto" w:fill="ffffff"/>
        <w:widowControl/>
        <w:rPr>
          <w:rFonts w:ascii="宋体" w:hAnsi="宋体" w:cs="宋体"/>
          <w:color w:val="000000"/>
          <w:sz w:val="24"/>
          <w:szCs w:val="24"/>
          <w:highlight w:val="none"/>
          <w:shd w:val="clear" w:color="auto" w:fill="ffffff"/>
          <w:lang w:val="zh-CN" w:bidi="zh-CN"/>
        </w:rPr>
      </w:pPr>
      <w:r>
        <w:rPr>
          <w:rFonts w:hint="eastAsia" w:ascii="宋体" w:hAnsi="宋体" w:cs="微软雅黑"/>
          <w:color w:val="000000"/>
          <w:sz w:val="24"/>
          <w:szCs w:val="24"/>
          <w:highlight w:val="none"/>
          <w:shd w:val="clear" w:color="auto" w:fill="ffffff"/>
          <w:lang w:val="zh-CN" w:bidi="zh-CN"/>
        </w:rPr>
        <w:t xml:space="preserve">本采购包中提供的符合本国产品标准的产品成本之和占该采购包提供的全部产品成本之和的比例为</w:t>
      </w:r>
      <w:r>
        <w:rPr>
          <w:rFonts w:hint="eastAsia" w:ascii="宋体" w:hAnsi="宋体" w:cs="宋体"/>
          <w:color w:val="000000"/>
          <w:sz w:val="24"/>
          <w:szCs w:val="24"/>
          <w:highlight w:val="none"/>
          <w:u w:val="single"/>
          <w:shd w:val="clear" w:color="auto" w:fill="ffffff"/>
          <w:lang w:val="zh-CN" w:bidi="zh-CN"/>
        </w:rPr>
        <w:t xml:space="preserve">   </w:t>
      </w:r>
      <w:r>
        <w:rPr>
          <w:rFonts w:hint="eastAsia" w:ascii="宋体" w:hAnsi="宋体" w:cs="宋体"/>
          <w:color w:val="000000"/>
          <w:sz w:val="24"/>
          <w:szCs w:val="24"/>
          <w:highlight w:val="none"/>
          <w:shd w:val="clear" w:color="auto" w:fill="ffffff"/>
          <w:lang w:val="zh-CN" w:bidi="zh-CN"/>
        </w:rPr>
        <w:t xml:space="preserve">%</w:t>
      </w:r>
      <w:r>
        <w:rPr>
          <w:rFonts w:hint="eastAsia" w:ascii="宋体" w:hAnsi="宋体" w:cs="微软雅黑"/>
          <w:color w:val="000000"/>
          <w:sz w:val="24"/>
          <w:szCs w:val="24"/>
          <w:highlight w:val="none"/>
          <w:shd w:val="clear" w:color="auto" w:fill="ffffff"/>
          <w:lang w:val="zh-CN" w:bidi="zh-CN"/>
        </w:rPr>
        <w:t xml:space="preserve">。</w:t>
      </w:r>
      <w:r>
        <w:rPr>
          <w:rFonts w:ascii="宋体" w:hAnsi="宋体" w:cs="宋体"/>
          <w:color w:val="000000"/>
          <w:sz w:val="24"/>
          <w:szCs w:val="24"/>
          <w:highlight w:val="none"/>
          <w:shd w:val="clear" w:color="auto" w:fill="ffffff"/>
          <w:lang w:val="zh-CN" w:bidi="zh-CN"/>
        </w:rPr>
      </w:r>
      <w:r/>
    </w:p>
    <w:p>
      <w:pPr>
        <w:pStyle w:val="708"/>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微软雅黑"/>
          <w:color w:val="000000"/>
          <w:sz w:val="24"/>
          <w:szCs w:val="24"/>
          <w:highlight w:val="none"/>
          <w:shd w:val="clear" w:color="auto" w:fill="ffffff"/>
          <w:lang w:val="zh-CN" w:bidi="zh-CN"/>
        </w:rPr>
        <w:t xml:space="preserve">本公司（单位）对上述声明内容的真实性负责。如有虚假，愿承担相应法律责任。</w:t>
      </w:r>
      <w:r>
        <w:rPr>
          <w:rFonts w:ascii="宋体" w:hAnsi="宋体" w:cs="宋体"/>
          <w:color w:val="000000"/>
          <w:sz w:val="24"/>
          <w:szCs w:val="24"/>
          <w:highlight w:val="none"/>
          <w:lang w:val="zh-CN" w:bidi="zh-CN"/>
        </w:rPr>
      </w:r>
      <w:r/>
    </w:p>
    <w:p>
      <w:pPr>
        <w:pStyle w:val="708"/>
        <w:jc w:val="righ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微软雅黑"/>
          <w:color w:val="000000"/>
          <w:sz w:val="24"/>
          <w:szCs w:val="24"/>
          <w:highlight w:val="none"/>
          <w:shd w:val="clear" w:color="auto" w:fill="ffffff"/>
          <w:lang w:val="zh-CN" w:bidi="zh-CN"/>
        </w:rPr>
        <w:t xml:space="preserve">公司（单位）名称（盖章）：</w:t>
      </w:r>
      <w:r>
        <w:rPr>
          <w:rFonts w:hint="eastAsia" w:ascii="宋体" w:hAnsi="宋体" w:cs="宋体"/>
          <w:color w:val="000000"/>
          <w:sz w:val="24"/>
          <w:szCs w:val="24"/>
          <w:highlight w:val="none"/>
          <w:shd w:val="clear" w:color="auto" w:fill="ffffff"/>
          <w:lang w:val="zh-CN" w:bidi="zh-CN"/>
        </w:rPr>
        <w:t xml:space="preserve"> </w:t>
      </w:r>
      <w:r>
        <w:rPr>
          <w:rFonts w:ascii="宋体" w:hAnsi="宋体" w:cs="宋体"/>
          <w:color w:val="000000"/>
          <w:sz w:val="24"/>
          <w:szCs w:val="24"/>
          <w:highlight w:val="none"/>
          <w:lang w:val="zh-CN" w:bidi="zh-CN"/>
        </w:rPr>
      </w:r>
      <w:r/>
    </w:p>
    <w:p>
      <w:pPr>
        <w:pStyle w:val="708"/>
        <w:jc w:val="right"/>
        <w:spacing w:before="24" w:after="24" w:line="360" w:lineRule="auto"/>
        <w:shd w:val="clear" w:color="auto" w:fill="ffffff"/>
        <w:widowControl/>
        <w:rPr>
          <w:rFonts w:ascii="宋体" w:hAnsi="宋体" w:cs="宋体"/>
          <w:color w:val="000000"/>
          <w:sz w:val="28"/>
          <w:szCs w:val="28"/>
          <w:highlight w:val="none"/>
          <w:lang w:val="zh-CN" w:bidi="zh-CN"/>
        </w:rPr>
      </w:pPr>
      <w:r>
        <w:rPr>
          <w:rFonts w:hint="eastAsia" w:ascii="宋体" w:hAnsi="宋体" w:cs="微软雅黑"/>
          <w:color w:val="000000"/>
          <w:sz w:val="24"/>
          <w:szCs w:val="24"/>
          <w:highlight w:val="none"/>
          <w:shd w:val="clear" w:color="auto" w:fill="ffffff"/>
          <w:lang w:val="zh-CN" w:bidi="zh-CN"/>
        </w:rPr>
        <w:t xml:space="preserve">日期：　</w:t>
      </w: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年　</w:t>
      </w: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月　</w:t>
      </w: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日</w:t>
      </w:r>
      <w:r>
        <w:rPr>
          <w:rFonts w:ascii="宋体" w:hAnsi="宋体" w:cs="宋体"/>
          <w:color w:val="000000"/>
          <w:sz w:val="28"/>
          <w:szCs w:val="28"/>
          <w:highlight w:val="none"/>
          <w:lang w:val="zh-CN" w:bidi="zh-CN"/>
        </w:rPr>
      </w:r>
      <w:r/>
    </w:p>
    <w:p>
      <w:pPr>
        <w:pStyle w:val="708"/>
        <w:jc w:val="left"/>
        <w:spacing w:before="24" w:after="24" w:line="360" w:lineRule="auto"/>
        <w:shd w:val="clear" w:color="auto" w:fill="ffffff"/>
        <w:widowControl/>
        <w:rPr>
          <w:rFonts w:ascii="宋体" w:hAnsi="宋体" w:cs="宋体"/>
          <w:color w:val="000000"/>
          <w:sz w:val="28"/>
          <w:szCs w:val="28"/>
          <w:highlight w:val="none"/>
          <w:lang w:val="zh-CN" w:bidi="zh-CN"/>
        </w:rPr>
      </w:pPr>
      <w:r>
        <w:rPr>
          <w:rFonts w:hint="eastAsia" w:ascii="宋体" w:hAnsi="宋体" w:cs="宋体"/>
          <w:color w:val="000000"/>
          <w:sz w:val="28"/>
          <w:szCs w:val="28"/>
          <w:highlight w:val="none"/>
          <w:shd w:val="clear" w:color="auto" w:fill="ffffff"/>
          <w:lang w:val="zh-CN" w:bidi="zh-CN"/>
        </w:rPr>
        <w:t xml:space="preserve">__________________</w:t>
      </w:r>
      <w:r>
        <w:rPr>
          <w:rFonts w:ascii="宋体" w:hAnsi="宋体" w:cs="宋体"/>
          <w:color w:val="000000"/>
          <w:sz w:val="28"/>
          <w:szCs w:val="28"/>
          <w:highlight w:val="none"/>
          <w:lang w:val="zh-CN" w:bidi="zh-CN"/>
        </w:rPr>
      </w:r>
      <w:r/>
    </w:p>
    <w:p>
      <w:pPr>
        <w:pStyle w:val="708"/>
        <w:ind w:firstLine="420"/>
        <w:jc w:val="left"/>
        <w:spacing w:before="24" w:after="24" w:line="360" w:lineRule="auto"/>
        <w:shd w:val="clear" w:color="auto" w:fill="ffffff"/>
        <w:widowControl/>
        <w:rPr>
          <w:rFonts w:ascii="宋体" w:hAnsi="宋体" w:cs="宋体"/>
          <w:color w:val="000000"/>
          <w:szCs w:val="21"/>
          <w:highlight w:val="none"/>
          <w:lang w:val="zh-CN" w:bidi="zh-CN"/>
        </w:rPr>
      </w:pPr>
      <w:r>
        <w:rPr>
          <w:rFonts w:hint="eastAsia" w:ascii="宋体" w:hAnsi="宋体" w:cs="宋体"/>
          <w:color w:val="000000"/>
          <w:szCs w:val="21"/>
          <w:highlight w:val="none"/>
          <w:shd w:val="clear" w:color="auto" w:fill="ffffff"/>
          <w:lang w:val="zh-CN" w:bidi="zh-CN"/>
        </w:rPr>
        <w:t xml:space="preserve">1.</w:t>
      </w:r>
      <w:r>
        <w:rPr>
          <w:rFonts w:hint="eastAsia" w:ascii="宋体" w:hAnsi="宋体" w:cs="微软雅黑"/>
          <w:color w:val="000000"/>
          <w:szCs w:val="21"/>
          <w:highlight w:val="none"/>
          <w:shd w:val="clear" w:color="auto" w:fill="ffffff"/>
          <w:lang w:val="zh-CN" w:bidi="zh-CN"/>
        </w:rPr>
        <w:t xml:space="preserve">产品如有型号，请在</w:t>
      </w:r>
      <w:r>
        <w:rPr>
          <w:rFonts w:ascii="宋体" w:hAnsi="宋体" w:cs="宋体"/>
          <w:color w:val="000000"/>
          <w:szCs w:val="21"/>
          <w:highlight w:val="none"/>
          <w:shd w:val="clear" w:color="auto" w:fill="ffffff"/>
          <w:lang w:val="zh-CN" w:bidi="zh-CN"/>
        </w:rPr>
        <w:t xml:space="preserve">“</w:t>
      </w:r>
      <w:r>
        <w:rPr>
          <w:rFonts w:hint="eastAsia" w:ascii="宋体" w:hAnsi="宋体" w:cs="微软雅黑"/>
          <w:color w:val="000000"/>
          <w:szCs w:val="21"/>
          <w:highlight w:val="none"/>
          <w:shd w:val="clear" w:color="auto" w:fill="ffffff"/>
          <w:lang w:val="zh-CN" w:bidi="zh-CN"/>
        </w:rPr>
        <w:t xml:space="preserve">产品名称</w:t>
      </w:r>
      <w:r>
        <w:rPr>
          <w:rFonts w:ascii="宋体" w:hAnsi="宋体" w:cs="宋体"/>
          <w:color w:val="000000"/>
          <w:szCs w:val="21"/>
          <w:highlight w:val="none"/>
          <w:shd w:val="clear" w:color="auto" w:fill="ffffff"/>
          <w:lang w:val="zh-CN" w:bidi="zh-CN"/>
        </w:rPr>
        <w:t xml:space="preserve">”</w:t>
      </w:r>
      <w:r>
        <w:rPr>
          <w:rFonts w:hint="eastAsia" w:ascii="宋体" w:hAnsi="宋体" w:cs="微软雅黑"/>
          <w:color w:val="000000"/>
          <w:szCs w:val="21"/>
          <w:highlight w:val="none"/>
          <w:shd w:val="clear" w:color="auto" w:fill="ffffff"/>
          <w:lang w:val="zh-CN" w:bidi="zh-CN"/>
        </w:rPr>
        <w:t xml:space="preserve">栏一并填写。</w:t>
      </w:r>
      <w:r>
        <w:rPr>
          <w:rFonts w:ascii="宋体" w:hAnsi="宋体" w:cs="宋体"/>
          <w:color w:val="000000"/>
          <w:szCs w:val="21"/>
          <w:highlight w:val="none"/>
          <w:lang w:val="zh-CN" w:bidi="zh-CN"/>
        </w:rPr>
      </w:r>
      <w:r/>
    </w:p>
    <w:p>
      <w:pPr>
        <w:pStyle w:val="708"/>
        <w:ind w:firstLine="420"/>
        <w:jc w:val="left"/>
        <w:spacing w:before="24" w:after="24" w:line="360" w:lineRule="auto"/>
        <w:shd w:val="clear" w:color="auto" w:fill="ffffff"/>
        <w:widowControl/>
        <w:rPr>
          <w:rFonts w:ascii="宋体" w:hAnsi="宋体" w:cs="宋体"/>
          <w:color w:val="000000"/>
          <w:szCs w:val="21"/>
          <w:highlight w:val="none"/>
          <w:lang w:val="zh-CN" w:bidi="zh-CN"/>
        </w:rPr>
      </w:pPr>
      <w:r>
        <w:rPr>
          <w:rFonts w:hint="eastAsia" w:ascii="宋体" w:hAnsi="宋体" w:cs="宋体"/>
          <w:color w:val="000000"/>
          <w:szCs w:val="21"/>
          <w:highlight w:val="none"/>
          <w:shd w:val="clear" w:color="auto" w:fill="ffffff"/>
          <w:lang w:val="zh-CN" w:bidi="zh-CN"/>
        </w:rPr>
        <w:t xml:space="preserve">2.</w:t>
      </w:r>
      <w:r>
        <w:rPr>
          <w:rFonts w:hint="eastAsia" w:ascii="宋体" w:hAnsi="宋体" w:cs="微软雅黑"/>
          <w:color w:val="000000"/>
          <w:szCs w:val="21"/>
          <w:highlight w:val="none"/>
          <w:shd w:val="clear" w:color="auto" w:fill="ffffff"/>
          <w:lang w:val="zh-CN" w:bidi="zh-CN"/>
        </w:rPr>
        <w:t xml:space="preserve">生产厂名与厂址应与生产厂营业执照载明的相关信息保持一致。</w:t>
      </w:r>
      <w:r>
        <w:rPr>
          <w:rFonts w:ascii="宋体" w:hAnsi="宋体" w:cs="宋体"/>
          <w:color w:val="000000"/>
          <w:szCs w:val="21"/>
          <w:highlight w:val="none"/>
          <w:lang w:val="zh-CN" w:bidi="zh-CN"/>
        </w:rPr>
      </w:r>
      <w:r/>
    </w:p>
    <w:p>
      <w:pPr>
        <w:pStyle w:val="708"/>
        <w:ind w:firstLine="420"/>
        <w:jc w:val="left"/>
        <w:spacing w:before="24" w:after="24" w:line="360" w:lineRule="auto"/>
        <w:shd w:val="clear" w:color="auto" w:fill="ffffff"/>
        <w:widowControl/>
        <w:rPr>
          <w:rFonts w:ascii="宋体" w:hAnsi="宋体" w:cs="宋体"/>
          <w:b/>
          <w:bCs/>
          <w:color w:val="000000"/>
          <w:szCs w:val="21"/>
          <w:highlight w:val="none"/>
          <w:lang w:val="zh-CN" w:bidi="zh-CN"/>
        </w:rPr>
      </w:pPr>
      <w:r>
        <w:rPr>
          <w:rFonts w:hint="eastAsia" w:ascii="宋体" w:hAnsi="宋体" w:cs="宋体"/>
          <w:b/>
          <w:bCs/>
          <w:color w:val="000000"/>
          <w:szCs w:val="21"/>
          <w:highlight w:val="none"/>
          <w:shd w:val="clear" w:color="auto" w:fill="ffffff"/>
          <w:lang w:val="zh-CN" w:bidi="zh-CN"/>
        </w:rPr>
        <w:t xml:space="preserve">3.</w:t>
      </w:r>
      <w:r>
        <w:rPr>
          <w:rFonts w:hint="eastAsia" w:ascii="宋体" w:hAnsi="宋体" w:cs="微软雅黑"/>
          <w:b/>
          <w:bCs/>
          <w:color w:val="000000"/>
          <w:szCs w:val="21"/>
          <w:highlight w:val="none"/>
          <w:shd w:val="clear" w:color="auto" w:fill="ffffff"/>
          <w:lang w:val="zh-CN" w:bidi="zh-CN"/>
        </w:rPr>
        <w:t xml:space="preserve">该产品的中国境内生产的组件成本占比相关要求实施前，</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规定比例</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栏可不填。</w:t>
      </w:r>
      <w:r>
        <w:rPr>
          <w:rFonts w:ascii="宋体" w:hAnsi="宋体" w:cs="宋体"/>
          <w:b/>
          <w:bCs/>
          <w:color w:val="000000"/>
          <w:szCs w:val="21"/>
          <w:highlight w:val="none"/>
          <w:lang w:val="zh-CN" w:bidi="zh-CN"/>
        </w:rPr>
      </w:r>
      <w:r/>
    </w:p>
    <w:p>
      <w:pPr>
        <w:pStyle w:val="708"/>
        <w:ind w:firstLine="420"/>
        <w:jc w:val="left"/>
        <w:spacing w:before="24" w:after="24" w:line="360" w:lineRule="auto"/>
        <w:shd w:val="clear" w:color="auto" w:fill="ffffff"/>
        <w:widowControl/>
        <w:rPr>
          <w:rFonts w:ascii="宋体" w:hAnsi="宋体" w:cs="宋体"/>
          <w:b/>
          <w:bCs/>
          <w:color w:val="000000"/>
          <w:szCs w:val="21"/>
          <w:highlight w:val="none"/>
          <w:shd w:val="clear" w:color="auto" w:fill="ffffff"/>
          <w:lang w:val="zh-CN" w:bidi="zh-CN"/>
        </w:rPr>
      </w:pPr>
      <w:r>
        <w:rPr>
          <w:rFonts w:hint="eastAsia" w:ascii="宋体" w:hAnsi="宋体" w:cs="宋体"/>
          <w:b/>
          <w:bCs/>
          <w:color w:val="000000"/>
          <w:szCs w:val="21"/>
          <w:highlight w:val="none"/>
          <w:shd w:val="clear" w:color="auto" w:fill="ffffff"/>
          <w:lang w:val="zh-CN" w:bidi="zh-CN"/>
        </w:rPr>
        <w:t xml:space="preserve">4.</w:t>
      </w:r>
      <w:r>
        <w:rPr>
          <w:rFonts w:hint="eastAsia" w:ascii="宋体" w:hAnsi="宋体" w:cs="微软雅黑"/>
          <w:b/>
          <w:bCs/>
          <w:color w:val="000000"/>
          <w:szCs w:val="21"/>
          <w:highlight w:val="none"/>
          <w:shd w:val="clear" w:color="auto" w:fill="ffffff"/>
          <w:lang w:val="zh-CN" w:bidi="zh-CN"/>
        </w:rPr>
        <w:t xml:space="preserve">该产品的关键组件要求实施前，</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关键组件</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栏可不填。</w:t>
      </w:r>
      <w:r>
        <w:rPr>
          <w:rFonts w:ascii="宋体" w:hAnsi="宋体" w:cs="宋体"/>
          <w:b/>
          <w:bCs/>
          <w:color w:val="000000"/>
          <w:szCs w:val="21"/>
          <w:highlight w:val="none"/>
          <w:shd w:val="clear" w:color="auto" w:fill="ffffff"/>
          <w:lang w:val="zh-CN" w:bidi="zh-CN"/>
        </w:rPr>
      </w:r>
      <w:r/>
    </w:p>
    <w:p>
      <w:pPr>
        <w:pStyle w:val="708"/>
        <w:ind w:firstLine="420"/>
        <w:jc w:val="left"/>
        <w:spacing w:before="24" w:after="24" w:line="360" w:lineRule="auto"/>
        <w:shd w:val="clear" w:color="auto" w:fill="ffffff"/>
        <w:widowControl/>
        <w:rPr>
          <w:rFonts w:ascii="宋体" w:hAnsi="宋体" w:cs="宋体"/>
          <w:b/>
          <w:bCs/>
          <w:color w:val="000000"/>
          <w:szCs w:val="21"/>
          <w:highlight w:val="none"/>
          <w:shd w:val="clear" w:color="auto" w:fill="ffffff"/>
          <w:lang w:val="zh-CN" w:bidi="zh-CN"/>
        </w:rPr>
      </w:pPr>
      <w:r>
        <w:rPr>
          <w:rFonts w:hint="eastAsia" w:ascii="宋体" w:hAnsi="宋体" w:cs="宋体"/>
          <w:b/>
          <w:bCs/>
          <w:color w:val="000000"/>
          <w:szCs w:val="21"/>
          <w:highlight w:val="none"/>
          <w:shd w:val="clear" w:color="auto" w:fill="ffffff"/>
          <w:lang w:val="zh-CN" w:bidi="zh-CN"/>
        </w:rPr>
        <w:t xml:space="preserve">5.</w:t>
      </w:r>
      <w:r>
        <w:rPr>
          <w:rFonts w:hint="eastAsia" w:ascii="宋体" w:hAnsi="宋体" w:cs="微软雅黑"/>
          <w:b/>
          <w:bCs/>
          <w:color w:val="000000"/>
          <w:szCs w:val="21"/>
          <w:highlight w:val="none"/>
          <w:shd w:val="clear" w:color="auto" w:fill="ffffff"/>
          <w:lang w:val="zh-CN" w:bidi="zh-CN"/>
        </w:rPr>
        <w:t xml:space="preserve">该产品的关键工序要求实施前，</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关键工序</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栏可不填。</w:t>
      </w:r>
      <w:r>
        <w:rPr>
          <w:rFonts w:ascii="宋体" w:hAnsi="宋体" w:cs="宋体"/>
          <w:b/>
          <w:bCs/>
          <w:color w:val="000000"/>
          <w:szCs w:val="21"/>
          <w:highlight w:val="none"/>
          <w:shd w:val="clear" w:color="auto" w:fill="ffffff"/>
          <w:lang w:val="zh-CN" w:bidi="zh-CN"/>
        </w:rPr>
      </w:r>
      <w:r/>
    </w:p>
    <w:p>
      <w:pPr>
        <w:pStyle w:val="708"/>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宋体"/>
          <w:color w:val="000000"/>
          <w:szCs w:val="21"/>
          <w:highlight w:val="none"/>
          <w:shd w:val="clear" w:color="auto" w:fill="ffffff"/>
          <w:lang w:val="zh-CN" w:bidi="zh-CN"/>
        </w:rPr>
        <w:t xml:space="preserve">6.</w:t>
      </w:r>
      <w:r>
        <w:rPr>
          <w:rFonts w:hint="eastAsia" w:ascii="宋体" w:hAnsi="宋体" w:cs="微软雅黑"/>
          <w:color w:val="000000"/>
          <w:szCs w:val="21"/>
          <w:highlight w:val="none"/>
          <w:shd w:val="clear" w:color="auto" w:fill="ffffff"/>
          <w:lang w:val="zh-CN" w:bidi="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Cs w:val="21"/>
          <w:highlight w:val="none"/>
          <w:shd w:val="clear" w:color="auto" w:fill="ffffff"/>
          <w:lang w:val="zh-CN" w:bidi="zh-CN"/>
        </w:rPr>
        <w:t xml:space="preserve">80%</w:t>
      </w:r>
      <w:r>
        <w:rPr>
          <w:rFonts w:hint="eastAsia" w:ascii="宋体" w:hAnsi="宋体" w:cs="微软雅黑"/>
          <w:color w:val="000000"/>
          <w:szCs w:val="21"/>
          <w:highlight w:val="none"/>
          <w:shd w:val="clear" w:color="auto" w:fill="ffffff"/>
          <w:lang w:val="zh-CN" w:bidi="zh-CN"/>
        </w:rPr>
        <w:t xml:space="preserve">以上时（供应商需在《声明函》中填写比例数值），依法对该供应商提供的全部产品给予价格评审优惠，即对该供应商提供的全部产品的总报价给予</w:t>
      </w:r>
      <w:r>
        <w:rPr>
          <w:rFonts w:hint="eastAsia" w:ascii="宋体" w:hAnsi="宋体" w:cs="宋体"/>
          <w:color w:val="000000"/>
          <w:szCs w:val="21"/>
          <w:highlight w:val="none"/>
          <w:shd w:val="clear" w:color="auto" w:fill="ffffff"/>
          <w:lang w:val="zh-CN" w:bidi="zh-CN"/>
        </w:rPr>
        <w:t xml:space="preserve">20%</w:t>
      </w:r>
      <w:r>
        <w:rPr>
          <w:rFonts w:hint="eastAsia" w:ascii="宋体" w:hAnsi="宋体" w:cs="微软雅黑"/>
          <w:color w:val="000000"/>
          <w:szCs w:val="21"/>
          <w:highlight w:val="none"/>
          <w:shd w:val="clear" w:color="auto" w:fill="ffffff"/>
          <w:lang w:val="zh-CN" w:bidi="zh-CN"/>
        </w:rPr>
        <w:t xml:space="preserve">的价格扣除，用扣除后的价格参与评审。供应商未填写比例数值，或比例数值未达到</w:t>
      </w:r>
      <w:r>
        <w:rPr>
          <w:rFonts w:hint="eastAsia" w:ascii="宋体" w:hAnsi="宋体" w:cs="宋体"/>
          <w:color w:val="000000"/>
          <w:szCs w:val="21"/>
          <w:highlight w:val="none"/>
          <w:shd w:val="clear" w:color="auto" w:fill="ffffff"/>
          <w:lang w:val="zh-CN" w:bidi="zh-CN"/>
        </w:rPr>
        <w:t xml:space="preserve">80%</w:t>
      </w:r>
      <w:r>
        <w:rPr>
          <w:rFonts w:hint="eastAsia" w:ascii="宋体" w:hAnsi="宋体" w:cs="微软雅黑"/>
          <w:color w:val="000000"/>
          <w:szCs w:val="21"/>
          <w:highlight w:val="none"/>
          <w:shd w:val="clear" w:color="auto" w:fill="ffffff"/>
          <w:lang w:val="zh-CN" w:bidi="zh-CN"/>
        </w:rPr>
        <w:t xml:space="preserve">的，将不享受本国产品价格评审优惠。</w:t>
      </w:r>
      <w:r>
        <w:rPr>
          <w:rFonts w:ascii="宋体" w:hAnsi="宋体" w:cs="宋体"/>
          <w:color w:val="000000"/>
          <w:sz w:val="24"/>
          <w:szCs w:val="24"/>
          <w:highlight w:val="none"/>
          <w:lang w:val="zh-CN" w:bidi="zh-CN"/>
        </w:rPr>
      </w:r>
      <w:r/>
    </w:p>
    <w:p>
      <w:pPr>
        <w:pStyle w:val="769"/>
        <w:rPr>
          <w:rFonts w:hint="eastAsia"/>
          <w:color w:val="000000"/>
          <w:highlight w:val="none"/>
        </w:rPr>
      </w:pPr>
      <w:r>
        <w:rPr>
          <w:rFonts w:hint="eastAsia"/>
          <w:color w:val="000000"/>
          <w:highlight w:val="none"/>
        </w:rPr>
      </w:r>
      <w:r/>
    </w:p>
    <w:sectPr>
      <w:footerReference w:type="default" r:id="rId10"/>
      <w:footerReference w:type="even" r:id="rId11"/>
      <w:footnotePr/>
      <w:endnotePr/>
      <w:type w:val="nextPage"/>
      <w:pgSz w:w="11906" w:h="16838" w:orient="portrait"/>
      <w:pgMar w:top="1418" w:right="1191" w:bottom="1418" w:left="1191"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简体">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Symbol">
    <w:panose1 w:val="05050102010706020507"/>
  </w:font>
  <w:font w:name="Helvetica LT Pro">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等线">
    <w:panose1 w:val="02010600030101010101"/>
  </w:font>
  <w:font w:name="方正楷体_GB2312">
    <w:panose1 w:val="020B0503020202020204"/>
  </w:font>
  <w:font w:name="DejaVu Math TeX Gyre">
    <w:panose1 w:val="02000503000000000000"/>
  </w:font>
  <w:font w:name="方正仿宋_GB2312">
    <w:panose1 w:val="020B0503020202020204"/>
  </w:font>
  <w:font w:name="Verdana">
    <w:panose1 w:val="020B0604030504040204"/>
  </w:font>
  <w:font w:name="黑体">
    <w:panose1 w:val="02010609060101010101"/>
  </w:font>
  <w:font w:name="Arial Unicode MS">
    <w:panose1 w:val="020B060402020202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6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0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6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0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6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0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6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0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tabs>
        <w:tab w:val="center" w:pos="4153" w:leader="none"/>
        <w:tab w:val="right" w:pos="8306" w:leader="none"/>
      </w:tabs>
      <w:rPr>
        <w:rStyle w:val="794"/>
      </w:rPr>
      <w:framePr w:wrap="around" w:vAnchor="text" w:hAnchor="margin" w:xAlign="center" w:y="1"/>
    </w:pPr>
    <w:r>
      <w:fldChar w:fldCharType="begin"/>
    </w:r>
    <w:r>
      <w:rPr>
        <w:rStyle w:val="794"/>
      </w:rPr>
      <w:instrText xml:space="preserve">PAGE  </w:instrText>
    </w:r>
    <w:r>
      <w:fldChar w:fldCharType="separate"/>
    </w:r>
    <w:r>
      <w:rPr>
        <w:rStyle w:val="794"/>
      </w:rPr>
      <w:t xml:space="preserve">1</w:t>
    </w:r>
    <w:r>
      <w:fldChar w:fldCharType="end"/>
    </w:r>
    <w:r>
      <w:rPr>
        <w:rStyle w:val="794"/>
      </w:rPr>
    </w:r>
    <w:r/>
  </w:p>
  <w:p>
    <w:pPr>
      <w:pStyle w:val="7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0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第%1章"/>
      <w:lvlJc w:val="left"/>
      <w:pPr>
        <w:pStyle w:val="708"/>
        <w:ind w:left="0" w:firstLine="0"/>
      </w:pPr>
      <w:rPr>
        <w:rFonts w:hint="eastAsia"/>
      </w:rPr>
    </w:lvl>
    <w:lvl w:ilvl="1">
      <w:start w:val="1"/>
      <w:numFmt w:val="decimal"/>
      <w:pStyle w:val="1267"/>
      <w:isLgl w:val="false"/>
      <w:suff w:val="space"/>
      <w:lvlText w:val="%1.%2"/>
      <w:lvlJc w:val="left"/>
      <w:pPr>
        <w:pStyle w:val="708"/>
        <w:ind w:left="0" w:firstLine="0"/>
      </w:pPr>
      <w:rPr>
        <w:rFonts w:hint="eastAsia"/>
      </w:rPr>
    </w:lvl>
    <w:lvl w:ilvl="2">
      <w:start w:val="1"/>
      <w:numFmt w:val="decimal"/>
      <w:pStyle w:val="1268"/>
      <w:isLgl w:val="false"/>
      <w:suff w:val="space"/>
      <w:lvlText w:val="%1.%2.%3"/>
      <w:lvlJc w:val="left"/>
      <w:pPr>
        <w:pStyle w:val="708"/>
        <w:ind w:left="0" w:firstLine="0"/>
      </w:pPr>
      <w:rPr>
        <w:color w:val="000000"/>
        <w:sz w:val="21"/>
        <w:szCs w:val="21"/>
      </w:rPr>
    </w:lvl>
    <w:lvl w:ilvl="3">
      <w:start w:val="1"/>
      <w:numFmt w:val="decimal"/>
      <w:pStyle w:val="1269"/>
      <w:isLgl w:val="false"/>
      <w:suff w:val="space"/>
      <w:lvlText w:val="%1.%2.%3.%4"/>
      <w:lvlJc w:val="left"/>
      <w:pPr>
        <w:pStyle w:val="708"/>
        <w:ind w:left="142" w:firstLine="0"/>
      </w:pPr>
      <w:rPr>
        <w:rFonts w:hint="eastAsia"/>
        <w:color w:val="000000"/>
        <w:sz w:val="21"/>
        <w:szCs w:val="21"/>
      </w:rPr>
    </w:lvl>
    <w:lvl w:ilvl="4">
      <w:start w:val="1"/>
      <w:numFmt w:val="decimal"/>
      <w:isLgl w:val="false"/>
      <w:suff w:val="space"/>
      <w:lvlText w:val="%1.%2.%3.%4.%5"/>
      <w:lvlJc w:val="left"/>
      <w:pPr>
        <w:pStyle w:val="708"/>
        <w:ind w:left="0" w:firstLine="0"/>
      </w:pPr>
      <w:rPr>
        <w:rFonts w:hint="eastAsia"/>
        <w:color w:val="000000"/>
        <w:sz w:val="24"/>
        <w:szCs w:val="24"/>
      </w:rPr>
    </w:lvl>
    <w:lvl w:ilvl="5">
      <w:start w:val="1"/>
      <w:numFmt w:val="decimal"/>
      <w:isLgl w:val="false"/>
      <w:suff w:val="tab"/>
      <w:lvlText w:val="%1.%2.%3.%4.%5.%6"/>
      <w:lvlJc w:val="left"/>
      <w:pPr>
        <w:pStyle w:val="708"/>
        <w:ind w:left="3260" w:hanging="1134"/>
      </w:pPr>
      <w:rPr>
        <w:rFonts w:hint="eastAsia"/>
      </w:rPr>
    </w:lvl>
    <w:lvl w:ilvl="6">
      <w:start w:val="1"/>
      <w:numFmt w:val="decimal"/>
      <w:isLgl w:val="false"/>
      <w:suff w:val="tab"/>
      <w:lvlText w:val="%1.%2.%3.%4.%5.%6.%7"/>
      <w:lvlJc w:val="left"/>
      <w:pPr>
        <w:pStyle w:val="708"/>
        <w:ind w:left="3827" w:hanging="1276"/>
      </w:pPr>
      <w:rPr>
        <w:rFonts w:hint="eastAsia"/>
      </w:rPr>
    </w:lvl>
    <w:lvl w:ilvl="7">
      <w:start w:val="1"/>
      <w:numFmt w:val="decimal"/>
      <w:isLgl w:val="false"/>
      <w:suff w:val="tab"/>
      <w:lvlText w:val="%1.%2.%3.%4.%5.%6.%7.%8"/>
      <w:lvlJc w:val="left"/>
      <w:pPr>
        <w:pStyle w:val="708"/>
        <w:ind w:left="4394" w:hanging="1418"/>
      </w:pPr>
      <w:rPr>
        <w:rFonts w:hint="eastAsia"/>
      </w:rPr>
    </w:lvl>
    <w:lvl w:ilvl="8">
      <w:start w:val="1"/>
      <w:numFmt w:val="decimal"/>
      <w:isLgl w:val="false"/>
      <w:suff w:val="tab"/>
      <w:lvlText w:val="%1.%2.%3.%4.%5.%6.%7.%8.%9"/>
      <w:lvlJc w:val="left"/>
      <w:pPr>
        <w:pStyle w:val="708"/>
        <w:ind w:left="5102" w:hanging="1700"/>
      </w:pPr>
      <w:rPr>
        <w:rFonts w:hint="eastAsia"/>
      </w:rPr>
    </w:lvl>
  </w:abstractNum>
  <w:abstractNum w:abstractNumId="2">
    <w:multiLevelType w:val="hybridMultilevel"/>
    <w:lvl w:ilvl="0">
      <w:start w:val="1"/>
      <w:numFmt w:val="bullet"/>
      <w:pStyle w:val="1165"/>
      <w:isLgl w:val="false"/>
      <w:suff w:val="tab"/>
      <w:lvlText w:val=""/>
      <w:lvlJc w:val="left"/>
      <w:pPr>
        <w:pStyle w:val="708"/>
        <w:ind w:left="420" w:hanging="420"/>
        <w:tabs>
          <w:tab w:val="num" w:pos="420" w:leader="none"/>
        </w:tabs>
      </w:pPr>
      <w:rPr>
        <w:rFonts w:ascii="Wingdings" w:hAnsi="Wingdings"/>
      </w:rPr>
    </w:lvl>
    <w:lvl w:ilvl="1">
      <w:start w:val="1"/>
      <w:numFmt w:val="decimal"/>
      <w:isLgl w:val="false"/>
      <w:suff w:val="tab"/>
      <w:lvlText w:val="（%2）"/>
      <w:lvlJc w:val="left"/>
      <w:pPr>
        <w:pStyle w:val="708"/>
        <w:ind w:left="1500" w:hanging="1080"/>
        <w:tabs>
          <w:tab w:val="num" w:pos="1500" w:leader="none"/>
        </w:tabs>
      </w:pPr>
      <w:rPr>
        <w:rFonts w:hint="eastAsia"/>
      </w:rPr>
    </w:lvl>
    <w:lvl w:ilvl="2">
      <w:start w:val="1"/>
      <w:numFmt w:val="decimal"/>
      <w:isLgl w:val="false"/>
      <w:suff w:val="tab"/>
      <w:lvlText w:val="（%3）"/>
      <w:lvlJc w:val="left"/>
      <w:pPr>
        <w:pStyle w:val="708"/>
        <w:ind w:left="1560" w:hanging="720"/>
        <w:tabs>
          <w:tab w:val="num" w:pos="1560" w:leader="none"/>
        </w:tabs>
      </w:pPr>
      <w:rPr>
        <w:rFonts w:hint="eastAsia"/>
      </w:rPr>
    </w:lvl>
    <w:lvl w:ilvl="3">
      <w:start w:val="1"/>
      <w:numFmt w:val="decimal"/>
      <w:isLgl w:val="false"/>
      <w:suff w:val="tab"/>
      <w:lvlText w:val="%4."/>
      <w:lvlJc w:val="left"/>
      <w:pPr>
        <w:pStyle w:val="708"/>
        <w:ind w:left="1680" w:hanging="420"/>
        <w:tabs>
          <w:tab w:val="num" w:pos="1680" w:leader="none"/>
        </w:tabs>
      </w:pPr>
    </w:lvl>
    <w:lvl w:ilvl="4">
      <w:start w:val="1"/>
      <w:numFmt w:val="lowerLetter"/>
      <w:isLgl w:val="false"/>
      <w:suff w:val="tab"/>
      <w:lvlText w:val="%5)"/>
      <w:lvlJc w:val="left"/>
      <w:pPr>
        <w:pStyle w:val="708"/>
        <w:ind w:left="2100" w:hanging="420"/>
        <w:tabs>
          <w:tab w:val="num" w:pos="2100" w:leader="none"/>
        </w:tabs>
      </w:pPr>
    </w:lvl>
    <w:lvl w:ilvl="5">
      <w:start w:val="1"/>
      <w:numFmt w:val="lowerRoman"/>
      <w:isLgl w:val="false"/>
      <w:suff w:val="tab"/>
      <w:lvlText w:val="%6."/>
      <w:lvlJc w:val="right"/>
      <w:pPr>
        <w:pStyle w:val="708"/>
        <w:ind w:left="2520" w:hanging="420"/>
        <w:tabs>
          <w:tab w:val="num" w:pos="2520" w:leader="none"/>
        </w:tabs>
      </w:pPr>
    </w:lvl>
    <w:lvl w:ilvl="6">
      <w:start w:val="1"/>
      <w:numFmt w:val="decimal"/>
      <w:isLgl w:val="false"/>
      <w:suff w:val="tab"/>
      <w:lvlText w:val="%7."/>
      <w:lvlJc w:val="left"/>
      <w:pPr>
        <w:pStyle w:val="708"/>
        <w:ind w:left="2940" w:hanging="420"/>
        <w:tabs>
          <w:tab w:val="num" w:pos="2940" w:leader="none"/>
        </w:tabs>
      </w:pPr>
    </w:lvl>
    <w:lvl w:ilvl="7">
      <w:start w:val="1"/>
      <w:numFmt w:val="lowerLetter"/>
      <w:isLgl w:val="false"/>
      <w:suff w:val="tab"/>
      <w:lvlText w:val="%8)"/>
      <w:lvlJc w:val="left"/>
      <w:pPr>
        <w:pStyle w:val="708"/>
        <w:ind w:left="3360" w:hanging="420"/>
        <w:tabs>
          <w:tab w:val="num" w:pos="3360" w:leader="none"/>
        </w:tabs>
      </w:pPr>
    </w:lvl>
    <w:lvl w:ilvl="8">
      <w:start w:val="1"/>
      <w:numFmt w:val="lowerRoman"/>
      <w:isLgl w:val="false"/>
      <w:suff w:val="tab"/>
      <w:lvlText w:val="%9."/>
      <w:lvlJc w:val="right"/>
      <w:pPr>
        <w:pStyle w:val="708"/>
        <w:ind w:left="3780" w:hanging="420"/>
        <w:tabs>
          <w:tab w:val="num" w:pos="3780" w:leader="none"/>
        </w:tabs>
      </w:pPr>
    </w:lvl>
  </w:abstractNum>
  <w:abstractNum w:abstractNumId="3">
    <w:multiLevelType w:val="hybridMultilevel"/>
    <w:lvl w:ilvl="0">
      <w:start w:val="1"/>
      <w:numFmt w:val="bullet"/>
      <w:pStyle w:val="1131"/>
      <w:isLgl w:val="false"/>
      <w:suff w:val="tab"/>
      <w:lvlText w:val=""/>
      <w:lvlJc w:val="left"/>
      <w:pPr>
        <w:pStyle w:val="708"/>
        <w:ind w:left="360" w:hanging="360"/>
        <w:tabs>
          <w:tab w:val="num" w:pos="360" w:leader="none"/>
        </w:tabs>
      </w:pPr>
      <w:rPr>
        <w:rFonts w:ascii="Symbol" w:hAnsi="Symbol"/>
      </w:rPr>
    </w:lvl>
    <w:lvl w:ilvl="1">
      <w:start w:val="1"/>
      <w:numFmt w:val="bullet"/>
      <w:isLgl w:val="false"/>
      <w:suff w:val="tab"/>
      <w:lvlText w:val="o"/>
      <w:lvlJc w:val="left"/>
      <w:pPr>
        <w:pStyle w:val="708"/>
        <w:ind w:left="1440" w:hanging="360"/>
      </w:pPr>
      <w:rPr>
        <w:rFonts w:ascii="Courier New" w:hAnsi="Courier New" w:eastAsia="Courier New" w:cs="Courier New"/>
      </w:rPr>
    </w:lvl>
    <w:lvl w:ilvl="2">
      <w:start w:val="1"/>
      <w:numFmt w:val="bullet"/>
      <w:isLgl w:val="false"/>
      <w:suff w:val="tab"/>
      <w:lvlText w:val="§"/>
      <w:lvlJc w:val="left"/>
      <w:pPr>
        <w:pStyle w:val="708"/>
        <w:ind w:left="2160" w:hanging="360"/>
      </w:pPr>
      <w:rPr>
        <w:rFonts w:ascii="Wingdings" w:hAnsi="Wingdings" w:eastAsia="Wingdings" w:cs="Wingdings"/>
      </w:rPr>
    </w:lvl>
    <w:lvl w:ilvl="3">
      <w:start w:val="1"/>
      <w:numFmt w:val="bullet"/>
      <w:isLgl w:val="false"/>
      <w:suff w:val="tab"/>
      <w:lvlText w:val="·"/>
      <w:lvlJc w:val="left"/>
      <w:pPr>
        <w:pStyle w:val="708"/>
        <w:ind w:left="2880" w:hanging="360"/>
      </w:pPr>
      <w:rPr>
        <w:rFonts w:ascii="Symbol" w:hAnsi="Symbol" w:eastAsia="Symbol" w:cs="Symbol"/>
      </w:rPr>
    </w:lvl>
    <w:lvl w:ilvl="4">
      <w:start w:val="1"/>
      <w:numFmt w:val="bullet"/>
      <w:isLgl w:val="false"/>
      <w:suff w:val="tab"/>
      <w:lvlText w:val="o"/>
      <w:lvlJc w:val="left"/>
      <w:pPr>
        <w:pStyle w:val="708"/>
        <w:ind w:left="3600" w:hanging="360"/>
      </w:pPr>
      <w:rPr>
        <w:rFonts w:ascii="Courier New" w:hAnsi="Courier New" w:eastAsia="Courier New" w:cs="Courier New"/>
      </w:rPr>
    </w:lvl>
    <w:lvl w:ilvl="5">
      <w:start w:val="1"/>
      <w:numFmt w:val="bullet"/>
      <w:isLgl w:val="false"/>
      <w:suff w:val="tab"/>
      <w:lvlText w:val="§"/>
      <w:lvlJc w:val="left"/>
      <w:pPr>
        <w:pStyle w:val="708"/>
        <w:ind w:left="4320" w:hanging="360"/>
      </w:pPr>
      <w:rPr>
        <w:rFonts w:ascii="Wingdings" w:hAnsi="Wingdings" w:eastAsia="Wingdings" w:cs="Wingdings"/>
      </w:rPr>
    </w:lvl>
    <w:lvl w:ilvl="6">
      <w:start w:val="1"/>
      <w:numFmt w:val="bullet"/>
      <w:isLgl w:val="false"/>
      <w:suff w:val="tab"/>
      <w:lvlText w:val="·"/>
      <w:lvlJc w:val="left"/>
      <w:pPr>
        <w:pStyle w:val="708"/>
        <w:ind w:left="5040" w:hanging="360"/>
      </w:pPr>
      <w:rPr>
        <w:rFonts w:ascii="Symbol" w:hAnsi="Symbol" w:eastAsia="Symbol" w:cs="Symbol"/>
      </w:rPr>
    </w:lvl>
    <w:lvl w:ilvl="7">
      <w:start w:val="1"/>
      <w:numFmt w:val="bullet"/>
      <w:isLgl w:val="false"/>
      <w:suff w:val="tab"/>
      <w:lvlText w:val="o"/>
      <w:lvlJc w:val="left"/>
      <w:pPr>
        <w:pStyle w:val="708"/>
        <w:ind w:left="5760" w:hanging="360"/>
      </w:pPr>
      <w:rPr>
        <w:rFonts w:ascii="Courier New" w:hAnsi="Courier New" w:eastAsia="Courier New" w:cs="Courier New"/>
      </w:rPr>
    </w:lvl>
    <w:lvl w:ilvl="8">
      <w:start w:val="1"/>
      <w:numFmt w:val="bullet"/>
      <w:isLgl w:val="false"/>
      <w:suff w:val="tab"/>
      <w:lvlText w:val="§"/>
      <w:lvlJc w:val="left"/>
      <w:pPr>
        <w:pStyle w:val="708"/>
        <w:ind w:left="6480" w:hanging="360"/>
      </w:pPr>
      <w:rPr>
        <w:rFonts w:ascii="Wingdings" w:hAnsi="Wingdings" w:eastAsia="Wingdings" w:cs="Wingdings"/>
      </w:rPr>
    </w:lvl>
  </w:abstractNum>
  <w:abstractNum w:abstractNumId="4">
    <w:multiLevelType w:val="hybridMultilevel"/>
    <w:lvl w:ilvl="0">
      <w:start w:val="1"/>
      <w:numFmt w:val="decimal"/>
      <w:pStyle w:val="1089"/>
      <w:isLgl w:val="false"/>
      <w:suff w:val="tab"/>
      <w:lvlText w:val="%1"/>
      <w:lvlJc w:val="left"/>
      <w:pPr>
        <w:pStyle w:val="708"/>
        <w:ind w:left="567" w:hanging="567"/>
        <w:tabs>
          <w:tab w:val="num" w:pos="567" w:leader="none"/>
        </w:tabs>
      </w:pPr>
      <w:rPr>
        <w:rFonts w:hint="eastAsia"/>
      </w:rPr>
    </w:lvl>
    <w:lvl w:ilvl="1">
      <w:start w:val="1"/>
      <w:numFmt w:val="decimal"/>
      <w:pStyle w:val="1151"/>
      <w:isLgl w:val="false"/>
      <w:suff w:val="tab"/>
      <w:lvlText w:val="%1.%2"/>
      <w:lvlJc w:val="left"/>
      <w:pPr>
        <w:pStyle w:val="708"/>
        <w:ind w:left="567" w:hanging="283"/>
        <w:tabs>
          <w:tab w:val="num" w:pos="1004" w:leader="none"/>
        </w:tabs>
      </w:pPr>
      <w:rPr>
        <w:rFonts w:hint="eastAsia"/>
      </w:rPr>
    </w:lvl>
    <w:lvl w:ilvl="2">
      <w:start w:val="1"/>
      <w:numFmt w:val="decimal"/>
      <w:isLgl w:val="false"/>
      <w:suff w:val="tab"/>
      <w:lvlText w:val="%1.%2.%3"/>
      <w:lvlJc w:val="left"/>
      <w:pPr>
        <w:pStyle w:val="708"/>
        <w:ind w:left="1134" w:hanging="567"/>
        <w:tabs>
          <w:tab w:val="num" w:pos="1647" w:leader="none"/>
        </w:tabs>
      </w:pPr>
      <w:rPr>
        <w:rFonts w:hint="eastAsia"/>
      </w:rPr>
    </w:lvl>
    <w:lvl w:ilvl="3">
      <w:start w:val="1"/>
      <w:numFmt w:val="decimal"/>
      <w:isLgl w:val="false"/>
      <w:suff w:val="tab"/>
      <w:lvlText w:val="%1.%2.%3.%4"/>
      <w:lvlJc w:val="left"/>
      <w:pPr>
        <w:pStyle w:val="708"/>
        <w:ind w:left="2851" w:hanging="708"/>
        <w:tabs>
          <w:tab w:val="num" w:pos="3223" w:leader="none"/>
        </w:tabs>
      </w:pPr>
      <w:rPr>
        <w:rFonts w:hint="eastAsia"/>
      </w:rPr>
    </w:lvl>
    <w:lvl w:ilvl="4">
      <w:start w:val="1"/>
      <w:numFmt w:val="decimal"/>
      <w:isLgl w:val="false"/>
      <w:suff w:val="tab"/>
      <w:lvlText w:val="%1.%2.%3.%4.%5"/>
      <w:lvlJc w:val="left"/>
      <w:pPr>
        <w:pStyle w:val="708"/>
        <w:ind w:left="3418" w:hanging="850"/>
        <w:tabs>
          <w:tab w:val="num" w:pos="3648" w:leader="none"/>
        </w:tabs>
      </w:pPr>
      <w:rPr>
        <w:rFonts w:hint="eastAsia"/>
      </w:rPr>
    </w:lvl>
    <w:lvl w:ilvl="5">
      <w:start w:val="1"/>
      <w:numFmt w:val="decimal"/>
      <w:isLgl w:val="false"/>
      <w:suff w:val="tab"/>
      <w:lvlText w:val="%1.%2.%3.%4.%5.%6"/>
      <w:lvlJc w:val="left"/>
      <w:pPr>
        <w:pStyle w:val="708"/>
        <w:ind w:left="4127" w:hanging="1134"/>
        <w:tabs>
          <w:tab w:val="num" w:pos="4433" w:leader="none"/>
        </w:tabs>
      </w:pPr>
      <w:rPr>
        <w:rFonts w:hint="eastAsia"/>
      </w:rPr>
    </w:lvl>
    <w:lvl w:ilvl="6">
      <w:start w:val="1"/>
      <w:numFmt w:val="decimal"/>
      <w:isLgl w:val="false"/>
      <w:suff w:val="tab"/>
      <w:lvlText w:val="%1.%2.%3.%4.%5.%6.%7"/>
      <w:lvlJc w:val="left"/>
      <w:pPr>
        <w:pStyle w:val="708"/>
        <w:ind w:left="4694" w:hanging="1276"/>
        <w:tabs>
          <w:tab w:val="num" w:pos="4858" w:leader="none"/>
        </w:tabs>
      </w:pPr>
      <w:rPr>
        <w:rFonts w:hint="eastAsia"/>
      </w:rPr>
    </w:lvl>
    <w:lvl w:ilvl="7">
      <w:start w:val="1"/>
      <w:numFmt w:val="decimal"/>
      <w:isLgl w:val="false"/>
      <w:suff w:val="tab"/>
      <w:lvlText w:val="%1.%2.%3.%4.%5.%6.%7.%8"/>
      <w:lvlJc w:val="left"/>
      <w:pPr>
        <w:pStyle w:val="708"/>
        <w:ind w:left="5261" w:hanging="1418"/>
        <w:tabs>
          <w:tab w:val="num" w:pos="5643" w:leader="none"/>
        </w:tabs>
      </w:pPr>
      <w:rPr>
        <w:rFonts w:hint="eastAsia"/>
      </w:rPr>
    </w:lvl>
    <w:lvl w:ilvl="8">
      <w:start w:val="1"/>
      <w:numFmt w:val="decimal"/>
      <w:isLgl w:val="false"/>
      <w:suff w:val="tab"/>
      <w:lvlText w:val="%1.%2.%3.%4.%5.%6.%7.%8.%9"/>
      <w:lvlJc w:val="left"/>
      <w:pPr>
        <w:pStyle w:val="708"/>
        <w:ind w:left="5969" w:hanging="1700"/>
        <w:tabs>
          <w:tab w:val="num" w:pos="6429" w:leader="none"/>
        </w:tabs>
      </w:pPr>
      <w:rPr>
        <w:rFonts w:hint="eastAsia"/>
      </w:rPr>
    </w:lvl>
  </w:abstractNum>
  <w:abstractNum w:abstractNumId="5">
    <w:multiLevelType w:val="hybridMultilevel"/>
    <w:lvl w:ilvl="0">
      <w:start w:val="1"/>
      <w:numFmt w:val="decimal"/>
      <w:isLgl w:val="false"/>
      <w:suff w:val="nothing"/>
      <w:lvlText w:val="（%1）"/>
      <w:lvlJc w:val="left"/>
      <w:pPr>
        <w:pStyle w:val="708"/>
      </w:pPr>
    </w:lvl>
    <w:lvl w:ilvl="1">
      <w:start w:val="1"/>
      <w:numFmt w:val="bullet"/>
      <w:isLgl w:val="false"/>
      <w:suff w:val="tab"/>
      <w:lvlText w:val="o"/>
      <w:lvlJc w:val="left"/>
      <w:pPr>
        <w:pStyle w:val="708"/>
        <w:ind w:left="1440" w:hanging="360"/>
      </w:pPr>
      <w:rPr>
        <w:rFonts w:ascii="Courier New" w:hAnsi="Courier New" w:eastAsia="Courier New" w:cs="Courier New"/>
      </w:rPr>
    </w:lvl>
    <w:lvl w:ilvl="2">
      <w:start w:val="1"/>
      <w:numFmt w:val="bullet"/>
      <w:isLgl w:val="false"/>
      <w:suff w:val="tab"/>
      <w:lvlText w:val="§"/>
      <w:lvlJc w:val="left"/>
      <w:pPr>
        <w:pStyle w:val="708"/>
        <w:ind w:left="2160" w:hanging="360"/>
      </w:pPr>
      <w:rPr>
        <w:rFonts w:ascii="Wingdings" w:hAnsi="Wingdings" w:eastAsia="Wingdings" w:cs="Wingdings"/>
      </w:rPr>
    </w:lvl>
    <w:lvl w:ilvl="3">
      <w:start w:val="1"/>
      <w:numFmt w:val="bullet"/>
      <w:isLgl w:val="false"/>
      <w:suff w:val="tab"/>
      <w:lvlText w:val="·"/>
      <w:lvlJc w:val="left"/>
      <w:pPr>
        <w:pStyle w:val="708"/>
        <w:ind w:left="2880" w:hanging="360"/>
      </w:pPr>
      <w:rPr>
        <w:rFonts w:ascii="Symbol" w:hAnsi="Symbol" w:eastAsia="Symbol" w:cs="Symbol"/>
      </w:rPr>
    </w:lvl>
    <w:lvl w:ilvl="4">
      <w:start w:val="1"/>
      <w:numFmt w:val="bullet"/>
      <w:isLgl w:val="false"/>
      <w:suff w:val="tab"/>
      <w:lvlText w:val="o"/>
      <w:lvlJc w:val="left"/>
      <w:pPr>
        <w:pStyle w:val="708"/>
        <w:ind w:left="3600" w:hanging="360"/>
      </w:pPr>
      <w:rPr>
        <w:rFonts w:ascii="Courier New" w:hAnsi="Courier New" w:eastAsia="Courier New" w:cs="Courier New"/>
      </w:rPr>
    </w:lvl>
    <w:lvl w:ilvl="5">
      <w:start w:val="1"/>
      <w:numFmt w:val="bullet"/>
      <w:isLgl w:val="false"/>
      <w:suff w:val="tab"/>
      <w:lvlText w:val="§"/>
      <w:lvlJc w:val="left"/>
      <w:pPr>
        <w:pStyle w:val="708"/>
        <w:ind w:left="4320" w:hanging="360"/>
      </w:pPr>
      <w:rPr>
        <w:rFonts w:ascii="Wingdings" w:hAnsi="Wingdings" w:eastAsia="Wingdings" w:cs="Wingdings"/>
      </w:rPr>
    </w:lvl>
    <w:lvl w:ilvl="6">
      <w:start w:val="1"/>
      <w:numFmt w:val="bullet"/>
      <w:isLgl w:val="false"/>
      <w:suff w:val="tab"/>
      <w:lvlText w:val="·"/>
      <w:lvlJc w:val="left"/>
      <w:pPr>
        <w:pStyle w:val="708"/>
        <w:ind w:left="5040" w:hanging="360"/>
      </w:pPr>
      <w:rPr>
        <w:rFonts w:ascii="Symbol" w:hAnsi="Symbol" w:eastAsia="Symbol" w:cs="Symbol"/>
      </w:rPr>
    </w:lvl>
    <w:lvl w:ilvl="7">
      <w:start w:val="1"/>
      <w:numFmt w:val="bullet"/>
      <w:isLgl w:val="false"/>
      <w:suff w:val="tab"/>
      <w:lvlText w:val="o"/>
      <w:lvlJc w:val="left"/>
      <w:pPr>
        <w:pStyle w:val="708"/>
        <w:ind w:left="5760" w:hanging="360"/>
      </w:pPr>
      <w:rPr>
        <w:rFonts w:ascii="Courier New" w:hAnsi="Courier New" w:eastAsia="Courier New" w:cs="Courier New"/>
      </w:rPr>
    </w:lvl>
    <w:lvl w:ilvl="8">
      <w:start w:val="1"/>
      <w:numFmt w:val="bullet"/>
      <w:isLgl w:val="false"/>
      <w:suff w:val="tab"/>
      <w:lvlText w:val="§"/>
      <w:lvlJc w:val="left"/>
      <w:pPr>
        <w:pStyle w:val="708"/>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pStyle w:val="70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40"/>
      <w:isLgl w:val="false"/>
      <w:suff w:val="tab"/>
      <w:lvlText w:val="(%1)"/>
      <w:lvlJc w:val="left"/>
      <w:pPr>
        <w:pStyle w:val="708"/>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708"/>
        <w:ind w:left="840" w:hanging="420"/>
        <w:tabs>
          <w:tab w:val="num" w:pos="840" w:leader="none"/>
        </w:tabs>
      </w:pPr>
    </w:lvl>
    <w:lvl w:ilvl="2">
      <w:start w:val="1"/>
      <w:numFmt w:val="lowerRoman"/>
      <w:isLgl w:val="false"/>
      <w:suff w:val="tab"/>
      <w:lvlText w:val="%3."/>
      <w:lvlJc w:val="right"/>
      <w:pPr>
        <w:pStyle w:val="708"/>
        <w:ind w:left="1260" w:hanging="420"/>
        <w:tabs>
          <w:tab w:val="num" w:pos="1260" w:leader="none"/>
        </w:tabs>
      </w:pPr>
    </w:lvl>
    <w:lvl w:ilvl="3">
      <w:start w:val="1"/>
      <w:numFmt w:val="decimal"/>
      <w:isLgl w:val="false"/>
      <w:suff w:val="tab"/>
      <w:lvlText w:val="%4."/>
      <w:lvlJc w:val="left"/>
      <w:pPr>
        <w:pStyle w:val="708"/>
        <w:ind w:left="1680" w:hanging="420"/>
        <w:tabs>
          <w:tab w:val="num" w:pos="1680" w:leader="none"/>
        </w:tabs>
      </w:pPr>
    </w:lvl>
    <w:lvl w:ilvl="4">
      <w:start w:val="1"/>
      <w:numFmt w:val="lowerLetter"/>
      <w:pStyle w:val="1162"/>
      <w:isLgl w:val="false"/>
      <w:suff w:val="tab"/>
      <w:lvlText w:val="%5)"/>
      <w:lvlJc w:val="left"/>
      <w:pPr>
        <w:pStyle w:val="708"/>
        <w:ind w:left="2100" w:hanging="420"/>
        <w:tabs>
          <w:tab w:val="num" w:pos="2100" w:leader="none"/>
        </w:tabs>
      </w:pPr>
    </w:lvl>
    <w:lvl w:ilvl="5">
      <w:start w:val="1"/>
      <w:numFmt w:val="lowerRoman"/>
      <w:isLgl w:val="false"/>
      <w:suff w:val="tab"/>
      <w:lvlText w:val="%6."/>
      <w:lvlJc w:val="right"/>
      <w:pPr>
        <w:pStyle w:val="708"/>
        <w:ind w:left="2520" w:hanging="420"/>
        <w:tabs>
          <w:tab w:val="num" w:pos="2520" w:leader="none"/>
        </w:tabs>
      </w:pPr>
    </w:lvl>
    <w:lvl w:ilvl="6">
      <w:start w:val="1"/>
      <w:numFmt w:val="decimal"/>
      <w:isLgl w:val="false"/>
      <w:suff w:val="tab"/>
      <w:lvlText w:val="%7."/>
      <w:lvlJc w:val="left"/>
      <w:pPr>
        <w:pStyle w:val="708"/>
        <w:ind w:left="2940" w:hanging="420"/>
        <w:tabs>
          <w:tab w:val="num" w:pos="2940" w:leader="none"/>
        </w:tabs>
      </w:pPr>
    </w:lvl>
    <w:lvl w:ilvl="7">
      <w:start w:val="1"/>
      <w:numFmt w:val="lowerLetter"/>
      <w:isLgl w:val="false"/>
      <w:suff w:val="tab"/>
      <w:lvlText w:val="%8)"/>
      <w:lvlJc w:val="left"/>
      <w:pPr>
        <w:pStyle w:val="708"/>
        <w:ind w:left="3360" w:hanging="420"/>
        <w:tabs>
          <w:tab w:val="num" w:pos="3360" w:leader="none"/>
        </w:tabs>
      </w:pPr>
    </w:lvl>
    <w:lvl w:ilvl="8">
      <w:start w:val="1"/>
      <w:numFmt w:val="lowerRoman"/>
      <w:isLgl w:val="false"/>
      <w:suff w:val="tab"/>
      <w:lvlText w:val="%9."/>
      <w:lvlJc w:val="right"/>
      <w:pPr>
        <w:pStyle w:val="708"/>
        <w:ind w:left="3780" w:hanging="420"/>
        <w:tabs>
          <w:tab w:val="num" w:pos="3780" w:leader="none"/>
        </w:tabs>
      </w:pPr>
    </w:lvl>
  </w:abstractNum>
  <w:num w:numId="1">
    <w:abstractNumId w:val="4"/>
  </w:num>
  <w:num w:numId="2">
    <w:abstractNumId w:val="3"/>
  </w:num>
  <w:num w:numId="3">
    <w:abstractNumId w:val="7"/>
  </w:num>
  <w:num w:numId="4">
    <w:abstractNumId w:val="2"/>
  </w:num>
  <w:num w:numId="5">
    <w:abstractNumId w:val="1"/>
  </w:num>
  <w:num w:numId="6">
    <w:abstractNumId w:val="5"/>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8"/>
    <w:next w:val="708"/>
    <w:link w:val="814"/>
    <w:uiPriority w:val="9"/>
    <w:qFormat/>
    <w:pPr>
      <w:keepLines/>
      <w:keepNext/>
      <w:spacing w:before="480" w:after="200"/>
      <w:outlineLvl w:val="0"/>
    </w:pPr>
    <w:rPr>
      <w:rFonts w:ascii="Arial" w:hAnsi="Arial" w:eastAsia="Arial" w:cs="Arial"/>
      <w:sz w:val="40"/>
      <w:szCs w:val="40"/>
    </w:rPr>
  </w:style>
  <w:style w:type="paragraph" w:styleId="14">
    <w:name w:val="Heading 2"/>
    <w:basedOn w:val="708"/>
    <w:next w:val="708"/>
    <w:link w:val="815"/>
    <w:uiPriority w:val="9"/>
    <w:unhideWhenUsed/>
    <w:qFormat/>
    <w:pPr>
      <w:keepLines/>
      <w:keepNext/>
      <w:spacing w:before="360" w:after="200"/>
      <w:outlineLvl w:val="1"/>
    </w:pPr>
    <w:rPr>
      <w:rFonts w:ascii="Arial" w:hAnsi="Arial" w:eastAsia="Arial" w:cs="Arial"/>
      <w:sz w:val="34"/>
    </w:rPr>
  </w:style>
  <w:style w:type="paragraph" w:styleId="16">
    <w:name w:val="Heading 3"/>
    <w:basedOn w:val="708"/>
    <w:next w:val="708"/>
    <w:link w:val="816"/>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08"/>
    <w:next w:val="708"/>
    <w:link w:val="817"/>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08"/>
    <w:next w:val="708"/>
    <w:link w:val="818"/>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08"/>
    <w:next w:val="708"/>
    <w:link w:val="819"/>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08"/>
    <w:next w:val="708"/>
    <w:link w:val="820"/>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08"/>
    <w:next w:val="708"/>
    <w:link w:val="821"/>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08"/>
    <w:next w:val="708"/>
    <w:link w:val="822"/>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08"/>
    <w:next w:val="708"/>
    <w:link w:val="823"/>
    <w:uiPriority w:val="10"/>
    <w:qFormat/>
    <w:pPr>
      <w:contextualSpacing/>
      <w:spacing w:before="300" w:after="200"/>
    </w:pPr>
    <w:rPr>
      <w:sz w:val="48"/>
      <w:szCs w:val="48"/>
    </w:rPr>
  </w:style>
  <w:style w:type="paragraph" w:styleId="35">
    <w:name w:val="Subtitle"/>
    <w:basedOn w:val="708"/>
    <w:next w:val="708"/>
    <w:link w:val="824"/>
    <w:uiPriority w:val="11"/>
    <w:qFormat/>
    <w:pPr>
      <w:spacing w:before="200" w:after="200"/>
    </w:pPr>
    <w:rPr>
      <w:sz w:val="24"/>
      <w:szCs w:val="24"/>
    </w:rPr>
  </w:style>
  <w:style w:type="paragraph" w:styleId="41">
    <w:name w:val="Header"/>
    <w:basedOn w:val="708"/>
    <w:link w:val="827"/>
    <w:uiPriority w:val="99"/>
    <w:unhideWhenUsed/>
    <w:pPr>
      <w:spacing w:after="0" w:line="240" w:lineRule="auto"/>
      <w:tabs>
        <w:tab w:val="center" w:pos="7143" w:leader="none"/>
        <w:tab w:val="right" w:pos="14287" w:leader="none"/>
      </w:tabs>
    </w:pPr>
  </w:style>
  <w:style w:type="paragraph" w:styleId="43">
    <w:name w:val="Footer"/>
    <w:basedOn w:val="708"/>
    <w:link w:val="829"/>
    <w:uiPriority w:val="99"/>
    <w:unhideWhenUsed/>
    <w:pPr>
      <w:spacing w:after="0" w:line="240" w:lineRule="auto"/>
      <w:tabs>
        <w:tab w:val="center" w:pos="7143" w:leader="none"/>
        <w:tab w:val="right" w:pos="14287" w:leader="none"/>
      </w:tabs>
    </w:pPr>
  </w:style>
  <w:style w:type="paragraph" w:styleId="45">
    <w:name w:val="Caption"/>
    <w:basedOn w:val="708"/>
    <w:next w:val="708"/>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08"/>
    <w:link w:val="95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08"/>
    <w:link w:val="956"/>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08"/>
    <w:next w:val="708"/>
    <w:uiPriority w:val="39"/>
    <w:unhideWhenUsed/>
    <w:pPr>
      <w:ind w:left="0" w:right="0" w:firstLine="0"/>
      <w:spacing w:after="57"/>
    </w:pPr>
  </w:style>
  <w:style w:type="paragraph" w:styleId="181">
    <w:name w:val="toc 2"/>
    <w:basedOn w:val="708"/>
    <w:next w:val="708"/>
    <w:uiPriority w:val="39"/>
    <w:unhideWhenUsed/>
    <w:pPr>
      <w:ind w:left="283" w:right="0" w:firstLine="0"/>
      <w:spacing w:after="57"/>
    </w:pPr>
  </w:style>
  <w:style w:type="paragraph" w:styleId="182">
    <w:name w:val="toc 3"/>
    <w:basedOn w:val="708"/>
    <w:next w:val="708"/>
    <w:uiPriority w:val="39"/>
    <w:unhideWhenUsed/>
    <w:pPr>
      <w:ind w:left="567" w:right="0" w:firstLine="0"/>
      <w:spacing w:after="57"/>
    </w:pPr>
  </w:style>
  <w:style w:type="paragraph" w:styleId="183">
    <w:name w:val="toc 4"/>
    <w:basedOn w:val="708"/>
    <w:next w:val="708"/>
    <w:uiPriority w:val="39"/>
    <w:unhideWhenUsed/>
    <w:pPr>
      <w:ind w:left="850" w:right="0" w:firstLine="0"/>
      <w:spacing w:after="57"/>
    </w:pPr>
  </w:style>
  <w:style w:type="paragraph" w:styleId="184">
    <w:name w:val="toc 5"/>
    <w:basedOn w:val="708"/>
    <w:next w:val="708"/>
    <w:uiPriority w:val="39"/>
    <w:unhideWhenUsed/>
    <w:pPr>
      <w:ind w:left="1134" w:right="0" w:firstLine="0"/>
      <w:spacing w:after="57"/>
    </w:pPr>
  </w:style>
  <w:style w:type="paragraph" w:styleId="185">
    <w:name w:val="toc 6"/>
    <w:basedOn w:val="708"/>
    <w:next w:val="708"/>
    <w:uiPriority w:val="39"/>
    <w:unhideWhenUsed/>
    <w:pPr>
      <w:ind w:left="1417" w:right="0" w:firstLine="0"/>
      <w:spacing w:after="57"/>
    </w:pPr>
  </w:style>
  <w:style w:type="paragraph" w:styleId="186">
    <w:name w:val="toc 7"/>
    <w:basedOn w:val="708"/>
    <w:next w:val="708"/>
    <w:uiPriority w:val="39"/>
    <w:unhideWhenUsed/>
    <w:pPr>
      <w:ind w:left="1701" w:right="0" w:firstLine="0"/>
      <w:spacing w:after="57"/>
    </w:pPr>
  </w:style>
  <w:style w:type="paragraph" w:styleId="187">
    <w:name w:val="toc 8"/>
    <w:basedOn w:val="708"/>
    <w:next w:val="708"/>
    <w:uiPriority w:val="39"/>
    <w:unhideWhenUsed/>
    <w:pPr>
      <w:ind w:left="1984" w:right="0" w:firstLine="0"/>
      <w:spacing w:after="57"/>
    </w:pPr>
  </w:style>
  <w:style w:type="paragraph" w:styleId="188">
    <w:name w:val="toc 9"/>
    <w:basedOn w:val="708"/>
    <w:next w:val="708"/>
    <w:uiPriority w:val="39"/>
    <w:unhideWhenUsed/>
    <w:pPr>
      <w:ind w:left="2268" w:right="0" w:firstLine="0"/>
      <w:spacing w:after="57"/>
    </w:pPr>
  </w:style>
  <w:style w:type="paragraph" w:styleId="190">
    <w:name w:val="table of figures"/>
    <w:basedOn w:val="708"/>
    <w:next w:val="708"/>
    <w:uiPriority w:val="99"/>
    <w:unhideWhenUsed/>
    <w:pPr>
      <w:spacing w:after="0" w:afterAutospacing="0"/>
    </w:pPr>
  </w:style>
  <w:style w:type="paragraph" w:styleId="708" w:default="1">
    <w:name w:val="Normal"/>
    <w:next w:val="708"/>
    <w:link w:val="708"/>
    <w:qFormat/>
    <w:pPr>
      <w:jc w:val="both"/>
      <w:widowControl w:val="off"/>
    </w:pPr>
    <w:rPr>
      <w:rFonts w:ascii="Times New Roman" w:hAnsi="Times New Roman" w:eastAsia="宋体" w:cs="Times New Roman"/>
      <w:sz w:val="21"/>
      <w:lang w:val="en-US" w:eastAsia="zh-CN" w:bidi="ar-SA"/>
    </w:rPr>
  </w:style>
  <w:style w:type="paragraph" w:styleId="709">
    <w:name w:val="标题 1"/>
    <w:basedOn w:val="708"/>
    <w:next w:val="708"/>
    <w:link w:val="708"/>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710">
    <w:name w:val="标题 2"/>
    <w:basedOn w:val="708"/>
    <w:next w:val="708"/>
    <w:link w:val="720"/>
    <w:qFormat/>
    <w:pPr>
      <w:jc w:val="left"/>
      <w:keepLines/>
      <w:keepNext/>
      <w:spacing w:before="120" w:after="120"/>
      <w:outlineLvl w:val="1"/>
    </w:pPr>
    <w:rPr>
      <w:rFonts w:ascii="宋体" w:hAnsi="宋体"/>
      <w:b/>
      <w:szCs w:val="24"/>
    </w:rPr>
  </w:style>
  <w:style w:type="paragraph" w:styleId="711">
    <w:name w:val="标题 3"/>
    <w:basedOn w:val="708"/>
    <w:next w:val="722"/>
    <w:link w:val="721"/>
    <w:qFormat/>
    <w:pPr>
      <w:keepLines/>
      <w:keepNext/>
      <w:spacing w:line="390" w:lineRule="atLeast"/>
      <w:shd w:val="clear" w:color="auto" w:fill="ffffff"/>
      <w:outlineLvl w:val="2"/>
    </w:pPr>
    <w:rPr>
      <w:rFonts w:ascii="宋体" w:hAnsi="宋体"/>
      <w:b/>
      <w:szCs w:val="21"/>
    </w:rPr>
  </w:style>
  <w:style w:type="paragraph" w:styleId="712">
    <w:name w:val="标题 4"/>
    <w:basedOn w:val="708"/>
    <w:next w:val="708"/>
    <w:link w:val="723"/>
    <w:qFormat/>
    <w:pPr>
      <w:keepLines/>
      <w:keepNext/>
      <w:spacing w:before="120" w:after="120"/>
      <w:outlineLvl w:val="3"/>
    </w:pPr>
    <w:rPr>
      <w:rFonts w:ascii="Arial" w:hAnsi="Arial" w:eastAsia="黑体"/>
      <w:b/>
      <w:sz w:val="28"/>
    </w:rPr>
  </w:style>
  <w:style w:type="paragraph" w:styleId="713">
    <w:name w:val="标题 5"/>
    <w:basedOn w:val="708"/>
    <w:next w:val="722"/>
    <w:link w:val="724"/>
    <w:qFormat/>
    <w:pPr>
      <w:keepNext/>
      <w:spacing w:before="145" w:after="145"/>
      <w:outlineLvl w:val="4"/>
    </w:pPr>
    <w:rPr>
      <w:rFonts w:ascii="黑体" w:eastAsia="黑体"/>
      <w:b/>
      <w:color w:val="000000"/>
      <w:sz w:val="28"/>
    </w:rPr>
  </w:style>
  <w:style w:type="paragraph" w:styleId="714">
    <w:name w:val="标题 6"/>
    <w:basedOn w:val="708"/>
    <w:next w:val="708"/>
    <w:link w:val="725"/>
    <w:qFormat/>
    <w:pPr>
      <w:keepLines/>
      <w:keepNext/>
      <w:spacing w:before="240" w:after="64" w:line="320" w:lineRule="auto"/>
      <w:outlineLvl w:val="5"/>
    </w:pPr>
    <w:rPr>
      <w:rFonts w:ascii="Arial" w:hAnsi="Arial" w:eastAsia="黑体"/>
      <w:b/>
      <w:bCs/>
      <w:sz w:val="24"/>
      <w:szCs w:val="24"/>
    </w:rPr>
  </w:style>
  <w:style w:type="paragraph" w:styleId="715">
    <w:name w:val="标题 7"/>
    <w:basedOn w:val="708"/>
    <w:next w:val="708"/>
    <w:link w:val="726"/>
    <w:qFormat/>
    <w:pPr>
      <w:keepLines/>
      <w:keepNext/>
      <w:spacing w:before="240" w:after="64" w:line="320" w:lineRule="auto"/>
      <w:outlineLvl w:val="6"/>
    </w:pPr>
    <w:rPr>
      <w:b/>
      <w:bCs/>
      <w:sz w:val="24"/>
      <w:szCs w:val="24"/>
    </w:rPr>
  </w:style>
  <w:style w:type="paragraph" w:styleId="716">
    <w:name w:val="标题 8"/>
    <w:basedOn w:val="708"/>
    <w:next w:val="708"/>
    <w:link w:val="727"/>
    <w:qFormat/>
    <w:pPr>
      <w:keepLines/>
      <w:keepNext/>
      <w:spacing w:before="240" w:after="64" w:line="320" w:lineRule="auto"/>
      <w:outlineLvl w:val="7"/>
    </w:pPr>
    <w:rPr>
      <w:rFonts w:ascii="Arial" w:hAnsi="Arial" w:eastAsia="黑体"/>
      <w:sz w:val="24"/>
      <w:szCs w:val="24"/>
    </w:rPr>
  </w:style>
  <w:style w:type="paragraph" w:styleId="717">
    <w:name w:val="标题 9"/>
    <w:basedOn w:val="708"/>
    <w:next w:val="708"/>
    <w:link w:val="728"/>
    <w:qFormat/>
    <w:pPr>
      <w:keepLines/>
      <w:keepNext/>
      <w:spacing w:before="240" w:after="64" w:line="320" w:lineRule="auto"/>
      <w:outlineLvl w:val="8"/>
    </w:pPr>
    <w:rPr>
      <w:rFonts w:ascii="Arial" w:hAnsi="Arial" w:eastAsia="黑体"/>
      <w:szCs w:val="21"/>
    </w:rPr>
  </w:style>
  <w:style w:type="character" w:styleId="718">
    <w:name w:val="默认段落字体"/>
    <w:next w:val="718"/>
    <w:link w:val="708"/>
    <w:uiPriority w:val="1"/>
    <w:unhideWhenUsed/>
    <w:qFormat/>
  </w:style>
  <w:style w:type="table" w:styleId="719">
    <w:name w:val="普通表格"/>
    <w:next w:val="719"/>
    <w:link w:val="708"/>
    <w:uiPriority w:val="99"/>
    <w:unhideWhenUsed/>
    <w:qFormat/>
    <w:tblPr/>
  </w:style>
  <w:style w:type="character" w:styleId="720">
    <w:name w:val="标题 2 字符"/>
    <w:next w:val="720"/>
    <w:link w:val="710"/>
    <w:qFormat/>
    <w:rPr>
      <w:rFonts w:ascii="宋体" w:hAnsi="宋体" w:eastAsia="宋体"/>
      <w:b/>
      <w:sz w:val="21"/>
      <w:szCs w:val="24"/>
      <w:lang w:val="en-US" w:eastAsia="zh-CN" w:bidi="ar-SA"/>
    </w:rPr>
  </w:style>
  <w:style w:type="character" w:styleId="721">
    <w:name w:val="标题 3 字符"/>
    <w:next w:val="721"/>
    <w:link w:val="711"/>
    <w:qFormat/>
    <w:rPr>
      <w:rFonts w:ascii="宋体" w:hAnsi="宋体" w:eastAsia="宋体"/>
      <w:b/>
      <w:sz w:val="21"/>
      <w:szCs w:val="21"/>
      <w:shd w:val="clear" w:color="auto" w:fill="ffffff"/>
    </w:rPr>
  </w:style>
  <w:style w:type="paragraph" w:styleId="722">
    <w:name w:val="正文缩进"/>
    <w:basedOn w:val="708"/>
    <w:next w:val="722"/>
    <w:link w:val="708"/>
    <w:qFormat/>
    <w:pPr>
      <w:ind w:firstLine="420"/>
    </w:pPr>
  </w:style>
  <w:style w:type="character" w:styleId="723">
    <w:name w:val="标题 4 字符"/>
    <w:next w:val="723"/>
    <w:link w:val="712"/>
    <w:qFormat/>
    <w:rPr>
      <w:rFonts w:ascii="Arial" w:hAnsi="Arial" w:eastAsia="黑体"/>
      <w:b/>
      <w:sz w:val="28"/>
      <w:lang w:val="en-US" w:eastAsia="zh-CN" w:bidi="ar-SA"/>
    </w:rPr>
  </w:style>
  <w:style w:type="character" w:styleId="724">
    <w:name w:val="标题 5 字符"/>
    <w:next w:val="724"/>
    <w:link w:val="713"/>
    <w:qFormat/>
    <w:rPr>
      <w:rFonts w:ascii="黑体" w:eastAsia="黑体"/>
      <w:b/>
      <w:color w:val="000000"/>
      <w:sz w:val="28"/>
      <w:lang w:val="en-US" w:eastAsia="zh-CN" w:bidi="ar-SA"/>
    </w:rPr>
  </w:style>
  <w:style w:type="character" w:styleId="725">
    <w:name w:val="标题 6 字符"/>
    <w:next w:val="725"/>
    <w:link w:val="714"/>
    <w:qFormat/>
    <w:rPr>
      <w:rFonts w:ascii="Arial" w:hAnsi="Arial" w:eastAsia="黑体"/>
      <w:b/>
      <w:bCs/>
      <w:sz w:val="24"/>
      <w:szCs w:val="24"/>
      <w:lang w:val="en-US" w:eastAsia="zh-CN" w:bidi="ar-SA"/>
    </w:rPr>
  </w:style>
  <w:style w:type="character" w:styleId="726">
    <w:name w:val="标题 7 字符"/>
    <w:next w:val="726"/>
    <w:link w:val="715"/>
    <w:qFormat/>
    <w:rPr>
      <w:rFonts w:eastAsia="宋体"/>
      <w:b/>
      <w:bCs/>
      <w:sz w:val="24"/>
      <w:szCs w:val="24"/>
      <w:lang w:val="en-US" w:eastAsia="zh-CN" w:bidi="ar-SA"/>
    </w:rPr>
  </w:style>
  <w:style w:type="character" w:styleId="727">
    <w:name w:val="标题 8 字符"/>
    <w:next w:val="727"/>
    <w:link w:val="716"/>
    <w:qFormat/>
    <w:rPr>
      <w:rFonts w:ascii="Arial" w:hAnsi="Arial" w:eastAsia="黑体"/>
      <w:sz w:val="24"/>
      <w:szCs w:val="24"/>
      <w:lang w:val="en-US" w:eastAsia="zh-CN" w:bidi="ar-SA"/>
    </w:rPr>
  </w:style>
  <w:style w:type="character" w:styleId="728">
    <w:name w:val="标题 9 字符"/>
    <w:next w:val="728"/>
    <w:link w:val="717"/>
    <w:qFormat/>
    <w:rPr>
      <w:rFonts w:ascii="Arial" w:hAnsi="Arial" w:eastAsia="黑体"/>
      <w:sz w:val="21"/>
      <w:szCs w:val="21"/>
      <w:lang w:val="en-US" w:eastAsia="zh-CN" w:bidi="ar-SA"/>
    </w:rPr>
  </w:style>
  <w:style w:type="paragraph" w:styleId="729">
    <w:name w:val="列表 3"/>
    <w:basedOn w:val="708"/>
    <w:next w:val="729"/>
    <w:link w:val="708"/>
    <w:qFormat/>
    <w:pPr>
      <w:ind w:left="1260" w:hanging="420"/>
    </w:pPr>
  </w:style>
  <w:style w:type="paragraph" w:styleId="730">
    <w:name w:val="目录 7"/>
    <w:basedOn w:val="708"/>
    <w:next w:val="708"/>
    <w:link w:val="708"/>
    <w:semiHidden/>
    <w:qFormat/>
    <w:pPr>
      <w:ind w:left="1260"/>
      <w:jc w:val="left"/>
    </w:pPr>
    <w:rPr>
      <w:sz w:val="18"/>
    </w:rPr>
  </w:style>
  <w:style w:type="paragraph" w:styleId="731">
    <w:name w:val="列表编号 2"/>
    <w:basedOn w:val="708"/>
    <w:next w:val="731"/>
    <w:link w:val="708"/>
    <w:qFormat/>
    <w:pPr>
      <w:ind w:left="1440" w:hanging="1440"/>
      <w:spacing w:line="360" w:lineRule="auto"/>
      <w:tabs>
        <w:tab w:val="left" w:pos="1440" w:leader="none"/>
      </w:tabs>
    </w:pPr>
    <w:rPr>
      <w:sz w:val="24"/>
      <w:szCs w:val="24"/>
    </w:rPr>
  </w:style>
  <w:style w:type="paragraph" w:styleId="732">
    <w:name w:val="索引 8"/>
    <w:basedOn w:val="708"/>
    <w:next w:val="708"/>
    <w:link w:val="708"/>
    <w:semiHidden/>
    <w:qFormat/>
    <w:pPr>
      <w:ind w:left="2940"/>
    </w:pPr>
  </w:style>
  <w:style w:type="paragraph" w:styleId="733">
    <w:name w:val="列表编号"/>
    <w:basedOn w:val="708"/>
    <w:next w:val="733"/>
    <w:link w:val="708"/>
    <w:qFormat/>
    <w:pPr>
      <w:ind w:left="2952" w:hanging="432"/>
      <w:tabs>
        <w:tab w:val="left" w:pos="2952" w:leader="none"/>
      </w:tabs>
    </w:pPr>
    <w:rPr>
      <w:szCs w:val="24"/>
    </w:rPr>
  </w:style>
  <w:style w:type="paragraph" w:styleId="734">
    <w:name w:val="题注"/>
    <w:basedOn w:val="708"/>
    <w:next w:val="708"/>
    <w:link w:val="708"/>
    <w:uiPriority w:val="35"/>
    <w:unhideWhenUsed/>
    <w:qFormat/>
    <w:pPr>
      <w:spacing w:line="276" w:lineRule="auto"/>
    </w:pPr>
    <w:rPr>
      <w:b/>
      <w:bCs/>
      <w:color w:val="4472c4"/>
      <w:sz w:val="18"/>
      <w:szCs w:val="18"/>
    </w:rPr>
  </w:style>
  <w:style w:type="paragraph" w:styleId="735">
    <w:name w:val="索引 5"/>
    <w:basedOn w:val="708"/>
    <w:next w:val="708"/>
    <w:link w:val="708"/>
    <w:semiHidden/>
    <w:qFormat/>
    <w:pPr>
      <w:ind w:left="1680"/>
    </w:pPr>
  </w:style>
  <w:style w:type="paragraph" w:styleId="736">
    <w:name w:val="文档结构图"/>
    <w:basedOn w:val="708"/>
    <w:next w:val="736"/>
    <w:link w:val="737"/>
    <w:semiHidden/>
    <w:qFormat/>
    <w:pPr>
      <w:shd w:val="clear" w:color="auto" w:fill="000080"/>
    </w:pPr>
  </w:style>
  <w:style w:type="character" w:styleId="737">
    <w:name w:val="文档结构图 字符"/>
    <w:next w:val="737"/>
    <w:link w:val="736"/>
    <w:qFormat/>
    <w:rPr>
      <w:rFonts w:eastAsia="宋体"/>
      <w:sz w:val="21"/>
      <w:lang w:val="en-US" w:eastAsia="zh-CN" w:bidi="ar-SA"/>
    </w:rPr>
  </w:style>
  <w:style w:type="paragraph" w:styleId="738">
    <w:name w:val="批注文字"/>
    <w:basedOn w:val="708"/>
    <w:next w:val="738"/>
    <w:link w:val="739"/>
    <w:qFormat/>
    <w:pPr>
      <w:jc w:val="left"/>
    </w:pPr>
  </w:style>
  <w:style w:type="character" w:styleId="739">
    <w:name w:val="批注文字 字符"/>
    <w:next w:val="739"/>
    <w:link w:val="738"/>
    <w:qFormat/>
    <w:rPr>
      <w:rFonts w:eastAsia="宋体"/>
      <w:sz w:val="21"/>
      <w:lang w:val="en-US" w:eastAsia="zh-CN" w:bidi="ar-SA"/>
    </w:rPr>
  </w:style>
  <w:style w:type="paragraph" w:styleId="740">
    <w:name w:val="索引 6"/>
    <w:basedOn w:val="708"/>
    <w:next w:val="708"/>
    <w:link w:val="708"/>
    <w:semiHidden/>
    <w:qFormat/>
    <w:pPr>
      <w:ind w:left="2100"/>
    </w:pPr>
  </w:style>
  <w:style w:type="paragraph" w:styleId="741">
    <w:name w:val="称呼"/>
    <w:basedOn w:val="708"/>
    <w:next w:val="708"/>
    <w:link w:val="708"/>
    <w:qFormat/>
    <w:rPr>
      <w:rFonts w:ascii="方正仿宋_GB2312" w:eastAsia="方正仿宋_GB2312"/>
      <w:sz w:val="28"/>
    </w:rPr>
  </w:style>
  <w:style w:type="paragraph" w:styleId="742">
    <w:name w:val="正文文本 3"/>
    <w:basedOn w:val="708"/>
    <w:next w:val="742"/>
    <w:link w:val="708"/>
    <w:qFormat/>
    <w:rPr>
      <w:rFonts w:ascii="方正仿宋_GB2312" w:hAnsi="Arial" w:eastAsia="方正仿宋_GB2312"/>
      <w:sz w:val="32"/>
    </w:rPr>
  </w:style>
  <w:style w:type="paragraph" w:styleId="743">
    <w:name w:val="正文文本"/>
    <w:basedOn w:val="708"/>
    <w:next w:val="708"/>
    <w:link w:val="708"/>
    <w:qFormat/>
    <w:rPr>
      <w:rFonts w:ascii="方正楷体_GB2312" w:hAnsi="Arial" w:eastAsia="方正楷体_GB2312"/>
      <w:sz w:val="28"/>
    </w:rPr>
  </w:style>
  <w:style w:type="paragraph" w:styleId="744">
    <w:name w:val="正文文本缩进"/>
    <w:basedOn w:val="708"/>
    <w:next w:val="746"/>
    <w:link w:val="745"/>
    <w:qFormat/>
    <w:pPr>
      <w:ind w:firstLine="645"/>
    </w:pPr>
    <w:rPr>
      <w:rFonts w:ascii="方正楷体_GB2312" w:eastAsia="方正楷体_GB2312"/>
      <w:sz w:val="32"/>
    </w:rPr>
  </w:style>
  <w:style w:type="character" w:styleId="745">
    <w:name w:val="正文文本缩进 字符"/>
    <w:next w:val="745"/>
    <w:link w:val="744"/>
    <w:qFormat/>
    <w:rPr>
      <w:rFonts w:ascii="方正楷体_GB2312" w:eastAsia="方正楷体_GB2312"/>
      <w:sz w:val="32"/>
      <w:lang w:val="en-US" w:eastAsia="zh-CN" w:bidi="ar-SA"/>
    </w:rPr>
  </w:style>
  <w:style w:type="paragraph" w:styleId="746">
    <w:name w:val="寄信人地址"/>
    <w:basedOn w:val="708"/>
    <w:next w:val="746"/>
    <w:link w:val="708"/>
    <w:qFormat/>
    <w:rPr>
      <w:rFonts w:ascii="Arial" w:hAnsi="Arial"/>
    </w:rPr>
  </w:style>
  <w:style w:type="paragraph" w:styleId="747">
    <w:name w:val="文本块"/>
    <w:basedOn w:val="708"/>
    <w:next w:val="747"/>
    <w:link w:val="708"/>
    <w:uiPriority w:val="99"/>
    <w:unhideWhenUsed/>
    <w:qFormat/>
    <w:pPr>
      <w:ind w:left="1440" w:right="1440"/>
      <w:spacing w:after="120"/>
    </w:pPr>
  </w:style>
  <w:style w:type="paragraph" w:styleId="748">
    <w:name w:val="索引 4"/>
    <w:basedOn w:val="708"/>
    <w:next w:val="708"/>
    <w:link w:val="708"/>
    <w:semiHidden/>
    <w:qFormat/>
    <w:pPr>
      <w:ind w:left="1260"/>
    </w:pPr>
  </w:style>
  <w:style w:type="paragraph" w:styleId="749">
    <w:name w:val="目录 5"/>
    <w:basedOn w:val="708"/>
    <w:next w:val="708"/>
    <w:link w:val="708"/>
    <w:semiHidden/>
    <w:qFormat/>
    <w:pPr>
      <w:ind w:left="840"/>
      <w:jc w:val="left"/>
    </w:pPr>
    <w:rPr>
      <w:sz w:val="18"/>
    </w:rPr>
  </w:style>
  <w:style w:type="paragraph" w:styleId="750">
    <w:name w:val="目录 3"/>
    <w:basedOn w:val="708"/>
    <w:next w:val="708"/>
    <w:link w:val="708"/>
    <w:semiHidden/>
    <w:qFormat/>
    <w:pPr>
      <w:ind w:left="420"/>
      <w:jc w:val="left"/>
    </w:pPr>
    <w:rPr>
      <w:i/>
      <w:sz w:val="20"/>
    </w:rPr>
  </w:style>
  <w:style w:type="paragraph" w:styleId="751">
    <w:name w:val="纯文本"/>
    <w:basedOn w:val="708"/>
    <w:next w:val="708"/>
    <w:link w:val="752"/>
    <w:qFormat/>
    <w:rPr>
      <w:rFonts w:ascii="宋体" w:hAnsi="Courier New"/>
    </w:rPr>
  </w:style>
  <w:style w:type="character" w:styleId="752">
    <w:name w:val="纯文本 字符"/>
    <w:next w:val="752"/>
    <w:link w:val="751"/>
    <w:qFormat/>
    <w:rPr>
      <w:rFonts w:ascii="宋体" w:hAnsi="Courier New" w:eastAsia="宋体"/>
      <w:sz w:val="21"/>
      <w:lang w:val="en-US" w:eastAsia="zh-CN" w:bidi="ar-SA"/>
    </w:rPr>
  </w:style>
  <w:style w:type="paragraph" w:styleId="753">
    <w:name w:val="目录 8"/>
    <w:basedOn w:val="708"/>
    <w:next w:val="708"/>
    <w:link w:val="708"/>
    <w:semiHidden/>
    <w:qFormat/>
    <w:pPr>
      <w:ind w:left="1470"/>
      <w:jc w:val="left"/>
    </w:pPr>
    <w:rPr>
      <w:sz w:val="18"/>
    </w:rPr>
  </w:style>
  <w:style w:type="paragraph" w:styleId="754">
    <w:name w:val="索引 3"/>
    <w:basedOn w:val="708"/>
    <w:next w:val="708"/>
    <w:link w:val="708"/>
    <w:semiHidden/>
    <w:qFormat/>
    <w:pPr>
      <w:ind w:left="840"/>
    </w:pPr>
  </w:style>
  <w:style w:type="paragraph" w:styleId="755">
    <w:name w:val="日期"/>
    <w:basedOn w:val="708"/>
    <w:next w:val="708"/>
    <w:link w:val="708"/>
    <w:qFormat/>
    <w:pPr>
      <w:ind w:left="100"/>
    </w:pPr>
    <w:rPr>
      <w:sz w:val="28"/>
    </w:rPr>
  </w:style>
  <w:style w:type="paragraph" w:styleId="756">
    <w:name w:val="正文文本缩进 2"/>
    <w:basedOn w:val="708"/>
    <w:next w:val="708"/>
    <w:link w:val="757"/>
    <w:qFormat/>
    <w:pPr>
      <w:ind w:left="630" w:firstLine="645"/>
    </w:pPr>
    <w:rPr>
      <w:rFonts w:ascii="Arial" w:hAnsi="Arial" w:eastAsia="方正仿宋_GB2312"/>
      <w:sz w:val="32"/>
    </w:rPr>
  </w:style>
  <w:style w:type="character" w:styleId="757">
    <w:name w:val="正文文本缩进 2 字符"/>
    <w:next w:val="757"/>
    <w:link w:val="756"/>
    <w:qFormat/>
    <w:rPr>
      <w:rFonts w:ascii="Arial" w:hAnsi="Arial" w:eastAsia="方正仿宋_GB2312"/>
      <w:sz w:val="32"/>
      <w:lang w:val="en-US" w:eastAsia="zh-CN" w:bidi="ar-SA"/>
    </w:rPr>
  </w:style>
  <w:style w:type="paragraph" w:styleId="758">
    <w:name w:val="尾注文本"/>
    <w:basedOn w:val="708"/>
    <w:next w:val="758"/>
    <w:link w:val="708"/>
    <w:qFormat/>
    <w:pPr>
      <w:jc w:val="left"/>
    </w:pPr>
    <w:rPr>
      <w:sz w:val="20"/>
      <w:szCs w:val="24"/>
    </w:rPr>
  </w:style>
  <w:style w:type="paragraph" w:styleId="759">
    <w:name w:val="批注框文本"/>
    <w:basedOn w:val="708"/>
    <w:next w:val="759"/>
    <w:link w:val="708"/>
    <w:semiHidden/>
    <w:qFormat/>
    <w:rPr>
      <w:sz w:val="18"/>
      <w:szCs w:val="18"/>
    </w:rPr>
  </w:style>
  <w:style w:type="paragraph" w:styleId="760">
    <w:name w:val="页脚"/>
    <w:basedOn w:val="708"/>
    <w:next w:val="760"/>
    <w:link w:val="761"/>
    <w:qFormat/>
    <w:pPr>
      <w:jc w:val="left"/>
      <w:tabs>
        <w:tab w:val="center" w:pos="4153" w:leader="none"/>
        <w:tab w:val="right" w:pos="8306" w:leader="none"/>
      </w:tabs>
    </w:pPr>
    <w:rPr>
      <w:sz w:val="18"/>
    </w:rPr>
  </w:style>
  <w:style w:type="character" w:styleId="761">
    <w:name w:val="页脚 字符"/>
    <w:next w:val="761"/>
    <w:link w:val="760"/>
    <w:qFormat/>
    <w:rPr>
      <w:sz w:val="18"/>
    </w:rPr>
  </w:style>
  <w:style w:type="paragraph" w:styleId="762">
    <w:name w:val="页眉"/>
    <w:basedOn w:val="708"/>
    <w:next w:val="762"/>
    <w:link w:val="708"/>
    <w:qFormat/>
    <w:pPr>
      <w:jc w:val="center"/>
      <w:tabs>
        <w:tab w:val="center" w:pos="4153" w:leader="none"/>
        <w:tab w:val="right" w:pos="8306" w:leader="none"/>
      </w:tabs>
      <w:pBdr>
        <w:bottom w:val="single" w:color="000000" w:sz="6" w:space="1"/>
      </w:pBdr>
    </w:pPr>
    <w:rPr>
      <w:sz w:val="18"/>
    </w:rPr>
  </w:style>
  <w:style w:type="paragraph" w:styleId="763">
    <w:name w:val="签名"/>
    <w:basedOn w:val="708"/>
    <w:next w:val="763"/>
    <w:link w:val="708"/>
    <w:qFormat/>
    <w:pPr>
      <w:jc w:val="center"/>
      <w:spacing w:after="600" w:line="312" w:lineRule="atLeast"/>
    </w:pPr>
    <w:rPr>
      <w:rFonts w:eastAsia="方正仿宋_GB2312"/>
      <w:sz w:val="24"/>
    </w:rPr>
  </w:style>
  <w:style w:type="paragraph" w:styleId="764">
    <w:name w:val="目录 1"/>
    <w:basedOn w:val="708"/>
    <w:next w:val="708"/>
    <w:link w:val="708"/>
    <w:semiHidden/>
    <w:qFormat/>
    <w:pPr>
      <w:jc w:val="left"/>
      <w:spacing w:before="120" w:after="120"/>
    </w:pPr>
    <w:rPr>
      <w:b/>
      <w:caps/>
      <w:sz w:val="20"/>
    </w:rPr>
  </w:style>
  <w:style w:type="paragraph" w:styleId="765">
    <w:name w:val="目录 4"/>
    <w:basedOn w:val="708"/>
    <w:next w:val="708"/>
    <w:link w:val="708"/>
    <w:semiHidden/>
    <w:qFormat/>
    <w:pPr>
      <w:ind w:left="630"/>
      <w:jc w:val="left"/>
    </w:pPr>
    <w:rPr>
      <w:sz w:val="18"/>
    </w:rPr>
  </w:style>
  <w:style w:type="paragraph" w:styleId="766">
    <w:name w:val="索引标题"/>
    <w:basedOn w:val="708"/>
    <w:next w:val="767"/>
    <w:link w:val="708"/>
    <w:semiHidden/>
    <w:qFormat/>
  </w:style>
  <w:style w:type="paragraph" w:styleId="767">
    <w:name w:val="索引 1"/>
    <w:basedOn w:val="708"/>
    <w:next w:val="708"/>
    <w:link w:val="708"/>
    <w:semiHidden/>
    <w:qFormat/>
    <w:rPr>
      <w:rFonts w:ascii="方正仿宋_GB2312" w:hAnsi="宋体" w:eastAsia="方正仿宋_GB2312"/>
      <w:sz w:val="30"/>
      <w:szCs w:val="24"/>
    </w:rPr>
  </w:style>
  <w:style w:type="paragraph" w:styleId="768">
    <w:name w:val="副标题"/>
    <w:basedOn w:val="708"/>
    <w:next w:val="708"/>
    <w:link w:val="708"/>
    <w:qFormat/>
    <w:pPr>
      <w:jc w:val="left"/>
      <w:spacing w:after="600" w:line="276" w:lineRule="auto"/>
      <w:widowControl/>
    </w:pPr>
    <w:rPr>
      <w:rFonts w:ascii="Cambria" w:hAnsi="Cambria"/>
      <w:i/>
      <w:iCs/>
      <w:spacing w:val="13"/>
      <w:sz w:val="24"/>
      <w:szCs w:val="24"/>
      <w:lang w:eastAsia="en-US" w:bidi="en-US"/>
    </w:rPr>
  </w:style>
  <w:style w:type="paragraph" w:styleId="769">
    <w:name w:val="列表"/>
    <w:basedOn w:val="708"/>
    <w:next w:val="769"/>
    <w:link w:val="708"/>
    <w:qFormat/>
    <w:pPr>
      <w:contextualSpacing/>
      <w:ind w:left="200" w:hanging="200"/>
    </w:pPr>
  </w:style>
  <w:style w:type="paragraph" w:styleId="770">
    <w:name w:val="脚注文本"/>
    <w:basedOn w:val="708"/>
    <w:next w:val="770"/>
    <w:link w:val="708"/>
    <w:qFormat/>
    <w:pPr>
      <w:jc w:val="left"/>
    </w:pPr>
    <w:rPr>
      <w:sz w:val="18"/>
      <w:szCs w:val="18"/>
    </w:rPr>
  </w:style>
  <w:style w:type="paragraph" w:styleId="771">
    <w:name w:val="目录 6"/>
    <w:basedOn w:val="708"/>
    <w:next w:val="708"/>
    <w:link w:val="708"/>
    <w:semiHidden/>
    <w:qFormat/>
    <w:pPr>
      <w:ind w:left="1050"/>
      <w:jc w:val="left"/>
    </w:pPr>
    <w:rPr>
      <w:sz w:val="18"/>
    </w:rPr>
  </w:style>
  <w:style w:type="paragraph" w:styleId="772">
    <w:name w:val="正文文本缩进 3"/>
    <w:basedOn w:val="708"/>
    <w:next w:val="772"/>
    <w:link w:val="773"/>
    <w:qFormat/>
    <w:pPr>
      <w:ind w:left="645" w:firstLine="645"/>
    </w:pPr>
    <w:rPr>
      <w:rFonts w:ascii="Arial" w:hAnsi="Arial" w:eastAsia="方正仿宋_GB2312"/>
      <w:color w:val="ffff00"/>
      <w:sz w:val="32"/>
    </w:rPr>
  </w:style>
  <w:style w:type="character" w:styleId="773">
    <w:name w:val="正文文本缩进 3 字符"/>
    <w:next w:val="773"/>
    <w:link w:val="772"/>
    <w:qFormat/>
    <w:rPr>
      <w:rFonts w:ascii="Arial" w:hAnsi="Arial" w:eastAsia="方正仿宋_GB2312"/>
      <w:color w:val="ffff00"/>
      <w:sz w:val="32"/>
      <w:lang w:val="en-US" w:eastAsia="zh-CN" w:bidi="ar-SA"/>
    </w:rPr>
  </w:style>
  <w:style w:type="paragraph" w:styleId="774">
    <w:name w:val="索引 7"/>
    <w:basedOn w:val="708"/>
    <w:next w:val="708"/>
    <w:link w:val="708"/>
    <w:semiHidden/>
    <w:qFormat/>
    <w:pPr>
      <w:ind w:left="2520"/>
    </w:pPr>
  </w:style>
  <w:style w:type="paragraph" w:styleId="775">
    <w:name w:val="索引 9"/>
    <w:basedOn w:val="708"/>
    <w:next w:val="708"/>
    <w:link w:val="708"/>
    <w:semiHidden/>
    <w:qFormat/>
    <w:pPr>
      <w:ind w:left="3360"/>
    </w:pPr>
  </w:style>
  <w:style w:type="paragraph" w:styleId="776">
    <w:name w:val="图表目录"/>
    <w:basedOn w:val="708"/>
    <w:next w:val="708"/>
    <w:link w:val="708"/>
    <w:semiHidden/>
    <w:qFormat/>
    <w:pPr>
      <w:ind w:left="840" w:hanging="420"/>
    </w:pPr>
  </w:style>
  <w:style w:type="paragraph" w:styleId="777">
    <w:name w:val="目录 2"/>
    <w:basedOn w:val="708"/>
    <w:next w:val="708"/>
    <w:link w:val="708"/>
    <w:semiHidden/>
    <w:qFormat/>
    <w:pPr>
      <w:ind w:left="210"/>
      <w:jc w:val="left"/>
    </w:pPr>
    <w:rPr>
      <w:smallCaps/>
      <w:sz w:val="20"/>
    </w:rPr>
  </w:style>
  <w:style w:type="paragraph" w:styleId="778">
    <w:name w:val="目录 9"/>
    <w:basedOn w:val="708"/>
    <w:next w:val="708"/>
    <w:link w:val="708"/>
    <w:semiHidden/>
    <w:qFormat/>
    <w:pPr>
      <w:ind w:left="1680"/>
      <w:jc w:val="left"/>
    </w:pPr>
    <w:rPr>
      <w:sz w:val="18"/>
    </w:rPr>
  </w:style>
  <w:style w:type="paragraph" w:styleId="779">
    <w:name w:val="正文文本 2"/>
    <w:basedOn w:val="708"/>
    <w:next w:val="779"/>
    <w:link w:val="708"/>
    <w:qFormat/>
    <w:pPr>
      <w:jc w:val="center"/>
      <w:widowControl/>
    </w:pPr>
    <w:rPr>
      <w:rFonts w:ascii="方正楷体_GB2312" w:eastAsia="方正楷体_GB2312"/>
      <w:sz w:val="28"/>
    </w:rPr>
  </w:style>
  <w:style w:type="paragraph" w:styleId="780">
    <w:name w:val="信息标题"/>
    <w:basedOn w:val="708"/>
    <w:next w:val="780"/>
    <w:link w:val="708"/>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781">
    <w:name w:val="HTML 预设格式"/>
    <w:basedOn w:val="708"/>
    <w:next w:val="781"/>
    <w:link w:val="78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782">
    <w:name w:val="HTML 预设格式 字符"/>
    <w:next w:val="782"/>
    <w:link w:val="781"/>
    <w:uiPriority w:val="99"/>
    <w:qFormat/>
    <w:rPr>
      <w:rFonts w:ascii="黑体" w:hAnsi="Courier New" w:eastAsia="黑体" w:cs="Courier New"/>
      <w:lang w:val="en-US" w:eastAsia="zh-CN" w:bidi="ar-SA"/>
    </w:rPr>
  </w:style>
  <w:style w:type="paragraph" w:styleId="783">
    <w:name w:val="普通(网站)"/>
    <w:basedOn w:val="708"/>
    <w:next w:val="783"/>
    <w:link w:val="708"/>
    <w:qFormat/>
    <w:pPr>
      <w:jc w:val="left"/>
      <w:spacing w:before="100" w:beforeAutospacing="1" w:after="100" w:afterAutospacing="1"/>
      <w:widowControl/>
    </w:pPr>
    <w:rPr>
      <w:rFonts w:ascii="Arial" w:hAnsi="Arial" w:eastAsia="Arial Unicode MS" w:cs="Arial"/>
      <w:sz w:val="24"/>
      <w:szCs w:val="24"/>
    </w:rPr>
  </w:style>
  <w:style w:type="paragraph" w:styleId="784">
    <w:name w:val="索引 2"/>
    <w:basedOn w:val="708"/>
    <w:next w:val="708"/>
    <w:link w:val="708"/>
    <w:semiHidden/>
    <w:qFormat/>
    <w:pPr>
      <w:ind w:left="420"/>
    </w:pPr>
  </w:style>
  <w:style w:type="paragraph" w:styleId="785">
    <w:name w:val="标题"/>
    <w:basedOn w:val="708"/>
    <w:next w:val="785"/>
    <w:link w:val="786"/>
    <w:qFormat/>
    <w:pPr>
      <w:jc w:val="center"/>
      <w:spacing w:line="420" w:lineRule="exact"/>
      <w:widowControl/>
    </w:pPr>
    <w:rPr>
      <w:rFonts w:eastAsia="黑体"/>
      <w:b/>
      <w:sz w:val="28"/>
      <w:lang w:val="en-GB"/>
    </w:rPr>
  </w:style>
  <w:style w:type="character" w:styleId="786">
    <w:name w:val="标题 字符"/>
    <w:next w:val="786"/>
    <w:link w:val="785"/>
    <w:qFormat/>
    <w:rPr>
      <w:rFonts w:eastAsia="黑体"/>
      <w:b/>
      <w:sz w:val="28"/>
      <w:lang w:val="en-GB" w:eastAsia="zh-CN" w:bidi="ar-SA"/>
    </w:rPr>
  </w:style>
  <w:style w:type="paragraph" w:styleId="787">
    <w:name w:val="批注主题"/>
    <w:basedOn w:val="738"/>
    <w:next w:val="738"/>
    <w:link w:val="788"/>
    <w:semiHidden/>
    <w:qFormat/>
    <w:rPr>
      <w:b/>
      <w:bCs/>
    </w:rPr>
  </w:style>
  <w:style w:type="character" w:styleId="788">
    <w:name w:val="批注主题 字符"/>
    <w:next w:val="788"/>
    <w:link w:val="787"/>
    <w:qFormat/>
    <w:rPr>
      <w:rFonts w:eastAsia="宋体"/>
      <w:b/>
      <w:bCs/>
      <w:sz w:val="21"/>
      <w:lang w:val="en-US" w:eastAsia="zh-CN" w:bidi="ar-SA"/>
    </w:rPr>
  </w:style>
  <w:style w:type="paragraph" w:styleId="789">
    <w:name w:val="正文首行缩进"/>
    <w:basedOn w:val="743"/>
    <w:next w:val="769"/>
    <w:link w:val="708"/>
    <w:qFormat/>
    <w:pPr>
      <w:ind w:firstLine="420"/>
      <w:spacing w:after="120"/>
    </w:pPr>
    <w:rPr>
      <w:rFonts w:ascii="Times New Roman" w:hAnsi="Times New Roman" w:eastAsia="宋体"/>
      <w:sz w:val="21"/>
      <w:szCs w:val="24"/>
    </w:rPr>
  </w:style>
  <w:style w:type="paragraph" w:styleId="790">
    <w:name w:val="正文首行缩进 2"/>
    <w:basedOn w:val="744"/>
    <w:next w:val="708"/>
    <w:link w:val="708"/>
    <w:qFormat/>
    <w:pPr>
      <w:ind w:firstLine="420"/>
    </w:pPr>
    <w:rPr>
      <w:rFonts w:ascii="Calibri" w:hAnsi="Calibri" w:cs="Calibri"/>
      <w:szCs w:val="24"/>
    </w:rPr>
  </w:style>
  <w:style w:type="table" w:styleId="791">
    <w:name w:val="网格型"/>
    <w:basedOn w:val="719"/>
    <w:next w:val="791"/>
    <w:link w:val="708"/>
    <w:qFormat/>
    <w:pPr>
      <w:jc w:val="both"/>
      <w:widowControl w:val="off"/>
    </w:pPr>
    <w:tblPr/>
  </w:style>
  <w:style w:type="character" w:styleId="792">
    <w:name w:val="要点"/>
    <w:next w:val="792"/>
    <w:link w:val="708"/>
    <w:qFormat/>
    <w:rPr>
      <w:b/>
      <w:bCs/>
    </w:rPr>
  </w:style>
  <w:style w:type="character" w:styleId="793">
    <w:name w:val="尾注引用"/>
    <w:next w:val="793"/>
    <w:link w:val="708"/>
    <w:qFormat/>
    <w:rPr>
      <w:vertAlign w:val="superscript"/>
    </w:rPr>
  </w:style>
  <w:style w:type="character" w:styleId="794">
    <w:name w:val="页码"/>
    <w:basedOn w:val="718"/>
    <w:next w:val="794"/>
    <w:link w:val="708"/>
    <w:qFormat/>
  </w:style>
  <w:style w:type="character" w:styleId="795">
    <w:name w:val="已访问的超链接"/>
    <w:basedOn w:val="718"/>
    <w:next w:val="795"/>
    <w:link w:val="708"/>
    <w:uiPriority w:val="99"/>
    <w:qFormat/>
    <w:rPr>
      <w:color w:val="000000"/>
      <w:u w:val="none"/>
    </w:rPr>
  </w:style>
  <w:style w:type="character" w:styleId="796">
    <w:name w:val="强调"/>
    <w:next w:val="796"/>
    <w:link w:val="708"/>
    <w:qFormat/>
    <w:rPr>
      <w:b/>
      <w:bCs/>
      <w:i/>
      <w:iCs/>
      <w:spacing w:val="10"/>
      <w:shd w:val="clear" w:color="auto" w:fill="auto"/>
    </w:rPr>
  </w:style>
  <w:style w:type="character" w:styleId="797">
    <w:name w:val="行号"/>
    <w:basedOn w:val="718"/>
    <w:next w:val="797"/>
    <w:link w:val="708"/>
    <w:qFormat/>
  </w:style>
  <w:style w:type="character" w:styleId="798">
    <w:name w:val="HTML 打字机"/>
    <w:next w:val="798"/>
    <w:link w:val="708"/>
    <w:qFormat/>
    <w:rPr>
      <w:rFonts w:ascii="宋体" w:hAnsi="宋体" w:eastAsia="宋体" w:cs="宋体"/>
      <w:sz w:val="24"/>
      <w:szCs w:val="24"/>
    </w:rPr>
  </w:style>
  <w:style w:type="character" w:styleId="799">
    <w:name w:val="HTML 缩写"/>
    <w:basedOn w:val="718"/>
    <w:next w:val="799"/>
    <w:link w:val="708"/>
    <w:qFormat/>
  </w:style>
  <w:style w:type="character" w:styleId="800">
    <w:name w:val="超链接"/>
    <w:basedOn w:val="718"/>
    <w:next w:val="800"/>
    <w:link w:val="708"/>
    <w:uiPriority w:val="99"/>
    <w:qFormat/>
    <w:rPr>
      <w:color w:val="000000"/>
      <w:u w:val="none"/>
    </w:rPr>
  </w:style>
  <w:style w:type="character" w:styleId="801">
    <w:name w:val="HTML 代码"/>
    <w:basedOn w:val="718"/>
    <w:next w:val="801"/>
    <w:link w:val="708"/>
    <w:qFormat/>
    <w:rPr>
      <w:rFonts w:ascii="Courier New" w:hAnsi="Courier New"/>
      <w:sz w:val="20"/>
    </w:rPr>
  </w:style>
  <w:style w:type="character" w:styleId="802">
    <w:name w:val="批注引用"/>
    <w:next w:val="802"/>
    <w:link w:val="708"/>
    <w:qFormat/>
    <w:rPr>
      <w:sz w:val="21"/>
    </w:rPr>
  </w:style>
  <w:style w:type="character" w:styleId="803">
    <w:name w:val="脚注引用"/>
    <w:next w:val="803"/>
    <w:link w:val="708"/>
    <w:qFormat/>
    <w:rPr>
      <w:vertAlign w:val="superscript"/>
    </w:rPr>
  </w:style>
  <w:style w:type="character" w:styleId="804">
    <w:name w:val="HTML 键盘"/>
    <w:basedOn w:val="718"/>
    <w:next w:val="804"/>
    <w:link w:val="708"/>
    <w:qFormat/>
    <w:rPr>
      <w:rFonts w:ascii="DejaVu Math TeX Gyre" w:hAnsi="DejaVu Math TeX Gyre" w:eastAsia="DejaVu Math TeX Gyre" w:cs="DejaVu Math TeX Gyre"/>
      <w:sz w:val="20"/>
    </w:rPr>
  </w:style>
  <w:style w:type="character" w:styleId="805">
    <w:name w:val="HTML 样本"/>
    <w:next w:val="805"/>
    <w:link w:val="708"/>
    <w:qFormat/>
    <w:rPr>
      <w:rFonts w:ascii="Courier New" w:hAnsi="宋体" w:eastAsia="宋体" w:cs="Courier New"/>
    </w:rPr>
  </w:style>
  <w:style w:type="character" w:styleId="806">
    <w:name w:val="默认段落字体1"/>
    <w:next w:val="806"/>
    <w:link w:val="708"/>
    <w:semiHidden/>
    <w:qFormat/>
  </w:style>
  <w:style w:type="paragraph" w:styleId="807">
    <w:name w:val="标题 41"/>
    <w:basedOn w:val="708"/>
    <w:next w:val="708"/>
    <w:link w:val="708"/>
    <w:uiPriority w:val="99"/>
    <w:qFormat/>
    <w:pPr>
      <w:keepLines/>
      <w:keepNext/>
      <w:spacing w:line="360" w:lineRule="exact"/>
      <w:outlineLvl w:val="3"/>
    </w:pPr>
    <w:rPr>
      <w:rFonts w:ascii="宋体" w:hAnsi="宋体"/>
      <w:b/>
      <w:szCs w:val="21"/>
    </w:rPr>
  </w:style>
  <w:style w:type="paragraph" w:styleId="808">
    <w:name w:val="正文文本缩进11"/>
    <w:basedOn w:val="809"/>
    <w:next w:val="813"/>
    <w:link w:val="708"/>
    <w:qFormat/>
    <w:pPr>
      <w:ind w:firstLine="301"/>
      <w:spacing w:line="200" w:lineRule="exact"/>
    </w:pPr>
    <w:rPr>
      <w:rFonts w:ascii="宋体" w:hAnsi="宋体"/>
      <w:spacing w:val="-4"/>
      <w:sz w:val="18"/>
      <w:szCs w:val="20"/>
    </w:rPr>
  </w:style>
  <w:style w:type="paragraph" w:styleId="809">
    <w:name w:val="正文112"/>
    <w:next w:val="810"/>
    <w:link w:val="708"/>
    <w:qFormat/>
    <w:pPr>
      <w:jc w:val="both"/>
      <w:widowControl w:val="off"/>
    </w:pPr>
    <w:rPr>
      <w:rFonts w:ascii="Times New Roman" w:hAnsi="Times New Roman" w:eastAsia="宋体" w:cs="Times New Roman"/>
      <w:sz w:val="21"/>
      <w:szCs w:val="24"/>
      <w:lang w:val="en-US" w:eastAsia="zh-CN" w:bidi="ar-SA"/>
    </w:rPr>
  </w:style>
  <w:style w:type="paragraph" w:styleId="810">
    <w:name w:val="正文首行缩进1"/>
    <w:basedOn w:val="811"/>
    <w:next w:val="810"/>
    <w:link w:val="708"/>
    <w:semiHidden/>
    <w:qFormat/>
    <w:pPr>
      <w:ind w:firstLine="420"/>
    </w:pPr>
    <w:rPr>
      <w:rFonts w:cs="宋体"/>
      <w:szCs w:val="28"/>
    </w:rPr>
  </w:style>
  <w:style w:type="paragraph" w:styleId="811">
    <w:name w:val="正文文本1"/>
    <w:basedOn w:val="812"/>
    <w:next w:val="708"/>
    <w:link w:val="708"/>
    <w:qFormat/>
    <w:pPr>
      <w:spacing w:after="120"/>
    </w:pPr>
  </w:style>
  <w:style w:type="paragraph" w:styleId="812">
    <w:name w:val="正文1"/>
    <w:basedOn w:val="708"/>
    <w:next w:val="811"/>
    <w:link w:val="708"/>
    <w:qFormat/>
    <w:pPr>
      <w:ind w:firstLine="510"/>
      <w:spacing w:before="156" w:line="360" w:lineRule="auto"/>
    </w:pPr>
    <w:rPr>
      <w:sz w:val="24"/>
    </w:rPr>
  </w:style>
  <w:style w:type="paragraph" w:styleId="813">
    <w:name w:val="寄信人地址1"/>
    <w:basedOn w:val="708"/>
    <w:next w:val="813"/>
    <w:link w:val="708"/>
    <w:qFormat/>
    <w:rPr>
      <w:rFonts w:ascii="Arial" w:hAnsi="Arial" w:cs="宋体"/>
      <w:szCs w:val="24"/>
    </w:rPr>
  </w:style>
  <w:style w:type="character" w:styleId="814">
    <w:name w:val="Heading 1 Char"/>
    <w:basedOn w:val="718"/>
    <w:next w:val="814"/>
    <w:link w:val="708"/>
    <w:uiPriority w:val="9"/>
    <w:qFormat/>
    <w:rPr>
      <w:rFonts w:ascii="Arial" w:hAnsi="Arial" w:eastAsia="Arial" w:cs="Arial"/>
      <w:sz w:val="40"/>
      <w:szCs w:val="40"/>
    </w:rPr>
  </w:style>
  <w:style w:type="character" w:styleId="815">
    <w:name w:val="Heading 2 Char"/>
    <w:basedOn w:val="718"/>
    <w:next w:val="815"/>
    <w:link w:val="708"/>
    <w:uiPriority w:val="9"/>
    <w:qFormat/>
    <w:rPr>
      <w:rFonts w:ascii="Arial" w:hAnsi="Arial" w:eastAsia="Arial" w:cs="Arial"/>
      <w:sz w:val="34"/>
    </w:rPr>
  </w:style>
  <w:style w:type="character" w:styleId="816">
    <w:name w:val="Heading 3 Char"/>
    <w:basedOn w:val="718"/>
    <w:next w:val="816"/>
    <w:link w:val="708"/>
    <w:uiPriority w:val="9"/>
    <w:qFormat/>
    <w:rPr>
      <w:rFonts w:ascii="Arial" w:hAnsi="Arial" w:eastAsia="Arial" w:cs="Arial"/>
      <w:sz w:val="30"/>
      <w:szCs w:val="30"/>
    </w:rPr>
  </w:style>
  <w:style w:type="character" w:styleId="817">
    <w:name w:val="Heading 4 Char"/>
    <w:basedOn w:val="718"/>
    <w:next w:val="817"/>
    <w:link w:val="708"/>
    <w:uiPriority w:val="9"/>
    <w:qFormat/>
    <w:rPr>
      <w:rFonts w:ascii="Arial" w:hAnsi="Arial" w:eastAsia="Arial" w:cs="Arial"/>
      <w:b/>
      <w:bCs/>
      <w:sz w:val="26"/>
      <w:szCs w:val="26"/>
    </w:rPr>
  </w:style>
  <w:style w:type="character" w:styleId="818">
    <w:name w:val="Heading 5 Char"/>
    <w:basedOn w:val="718"/>
    <w:next w:val="818"/>
    <w:link w:val="708"/>
    <w:uiPriority w:val="9"/>
    <w:qFormat/>
    <w:rPr>
      <w:rFonts w:ascii="Arial" w:hAnsi="Arial" w:eastAsia="Arial" w:cs="Arial"/>
      <w:b/>
      <w:bCs/>
      <w:sz w:val="24"/>
      <w:szCs w:val="24"/>
    </w:rPr>
  </w:style>
  <w:style w:type="character" w:styleId="819">
    <w:name w:val="Heading 6 Char"/>
    <w:basedOn w:val="718"/>
    <w:next w:val="819"/>
    <w:link w:val="708"/>
    <w:uiPriority w:val="9"/>
    <w:qFormat/>
    <w:rPr>
      <w:rFonts w:ascii="Arial" w:hAnsi="Arial" w:eastAsia="Arial" w:cs="Arial"/>
      <w:b/>
      <w:bCs/>
      <w:sz w:val="22"/>
      <w:szCs w:val="22"/>
    </w:rPr>
  </w:style>
  <w:style w:type="character" w:styleId="820">
    <w:name w:val="Heading 7 Char"/>
    <w:basedOn w:val="718"/>
    <w:next w:val="820"/>
    <w:link w:val="708"/>
    <w:uiPriority w:val="9"/>
    <w:qFormat/>
    <w:rPr>
      <w:rFonts w:ascii="Arial" w:hAnsi="Arial" w:eastAsia="Arial" w:cs="Arial"/>
      <w:b/>
      <w:bCs/>
      <w:i/>
      <w:iCs/>
      <w:sz w:val="22"/>
      <w:szCs w:val="22"/>
    </w:rPr>
  </w:style>
  <w:style w:type="character" w:styleId="821">
    <w:name w:val="Heading 8 Char"/>
    <w:basedOn w:val="718"/>
    <w:next w:val="821"/>
    <w:link w:val="708"/>
    <w:uiPriority w:val="9"/>
    <w:qFormat/>
    <w:rPr>
      <w:rFonts w:ascii="Arial" w:hAnsi="Arial" w:eastAsia="Arial" w:cs="Arial"/>
      <w:i/>
      <w:iCs/>
      <w:sz w:val="22"/>
      <w:szCs w:val="22"/>
    </w:rPr>
  </w:style>
  <w:style w:type="character" w:styleId="822">
    <w:name w:val="Heading 9 Char"/>
    <w:basedOn w:val="718"/>
    <w:next w:val="822"/>
    <w:link w:val="708"/>
    <w:uiPriority w:val="9"/>
    <w:qFormat/>
    <w:rPr>
      <w:rFonts w:ascii="Arial" w:hAnsi="Arial" w:eastAsia="Arial" w:cs="Arial"/>
      <w:i/>
      <w:iCs/>
      <w:sz w:val="21"/>
      <w:szCs w:val="21"/>
    </w:rPr>
  </w:style>
  <w:style w:type="character" w:styleId="823">
    <w:name w:val="Title Char"/>
    <w:basedOn w:val="718"/>
    <w:next w:val="823"/>
    <w:link w:val="708"/>
    <w:uiPriority w:val="10"/>
    <w:qFormat/>
    <w:rPr>
      <w:sz w:val="48"/>
      <w:szCs w:val="48"/>
    </w:rPr>
  </w:style>
  <w:style w:type="character" w:styleId="824">
    <w:name w:val="Subtitle Char"/>
    <w:basedOn w:val="718"/>
    <w:next w:val="824"/>
    <w:link w:val="708"/>
    <w:uiPriority w:val="11"/>
    <w:qFormat/>
    <w:rPr>
      <w:sz w:val="24"/>
      <w:szCs w:val="24"/>
    </w:rPr>
  </w:style>
  <w:style w:type="character" w:styleId="825">
    <w:name w:val="Quote Char"/>
    <w:next w:val="825"/>
    <w:link w:val="708"/>
    <w:uiPriority w:val="29"/>
    <w:qFormat/>
    <w:rPr>
      <w:i/>
    </w:rPr>
  </w:style>
  <w:style w:type="character" w:styleId="826">
    <w:name w:val="Intense Quote Char"/>
    <w:next w:val="826"/>
    <w:link w:val="708"/>
    <w:uiPriority w:val="30"/>
    <w:qFormat/>
    <w:rPr>
      <w:i/>
    </w:rPr>
  </w:style>
  <w:style w:type="character" w:styleId="827">
    <w:name w:val="Header Char"/>
    <w:basedOn w:val="718"/>
    <w:next w:val="827"/>
    <w:link w:val="708"/>
    <w:uiPriority w:val="99"/>
    <w:qFormat/>
  </w:style>
  <w:style w:type="character" w:styleId="828">
    <w:name w:val="Footer Char"/>
    <w:basedOn w:val="718"/>
    <w:next w:val="828"/>
    <w:link w:val="708"/>
    <w:uiPriority w:val="99"/>
    <w:qFormat/>
  </w:style>
  <w:style w:type="character" w:styleId="829">
    <w:name w:val="Caption Char"/>
    <w:next w:val="829"/>
    <w:link w:val="708"/>
    <w:uiPriority w:val="99"/>
    <w:qFormat/>
  </w:style>
  <w:style w:type="table" w:styleId="830">
    <w:name w:val="Table Grid Light"/>
    <w:basedOn w:val="719"/>
    <w:next w:val="830"/>
    <w:link w:val="708"/>
    <w:uiPriority w:val="59"/>
    <w:qFormat/>
    <w:pPr>
      <w:spacing w:after="0" w:line="240" w:lineRule="auto"/>
    </w:pPr>
    <w:tblPr/>
  </w:style>
  <w:style w:type="table" w:styleId="831">
    <w:name w:val="Plain Table 1"/>
    <w:basedOn w:val="719"/>
    <w:next w:val="831"/>
    <w:link w:val="708"/>
    <w:uiPriority w:val="59"/>
    <w:qFormat/>
    <w:pPr>
      <w:spacing w:after="0" w:line="240" w:lineRule="auto"/>
    </w:pPr>
    <w:tblPr/>
  </w:style>
  <w:style w:type="table" w:styleId="832">
    <w:name w:val="Plain Table 2"/>
    <w:basedOn w:val="719"/>
    <w:next w:val="832"/>
    <w:link w:val="708"/>
    <w:uiPriority w:val="59"/>
    <w:qFormat/>
    <w:pPr>
      <w:spacing w:after="0" w:line="240" w:lineRule="auto"/>
    </w:pPr>
    <w:tblPr/>
  </w:style>
  <w:style w:type="table" w:styleId="833">
    <w:name w:val="Plain Table 3"/>
    <w:basedOn w:val="719"/>
    <w:next w:val="833"/>
    <w:link w:val="708"/>
    <w:uiPriority w:val="99"/>
    <w:qFormat/>
    <w:pPr>
      <w:spacing w:after="0" w:line="240" w:lineRule="auto"/>
    </w:pPr>
    <w:tblPr/>
  </w:style>
  <w:style w:type="table" w:styleId="834">
    <w:name w:val="Plain Table 4"/>
    <w:basedOn w:val="719"/>
    <w:next w:val="834"/>
    <w:link w:val="708"/>
    <w:uiPriority w:val="99"/>
    <w:qFormat/>
    <w:pPr>
      <w:spacing w:after="0" w:line="240" w:lineRule="auto"/>
    </w:pPr>
    <w:tblPr/>
  </w:style>
  <w:style w:type="table" w:styleId="835">
    <w:name w:val="Plain Table 5"/>
    <w:basedOn w:val="719"/>
    <w:next w:val="835"/>
    <w:link w:val="708"/>
    <w:uiPriority w:val="99"/>
    <w:qFormat/>
    <w:pPr>
      <w:spacing w:after="0" w:line="240" w:lineRule="auto"/>
    </w:pPr>
    <w:tblPr/>
  </w:style>
  <w:style w:type="table" w:styleId="836">
    <w:name w:val="Grid Table 1 Light"/>
    <w:basedOn w:val="719"/>
    <w:next w:val="836"/>
    <w:link w:val="708"/>
    <w:uiPriority w:val="99"/>
    <w:qFormat/>
    <w:pPr>
      <w:spacing w:after="0" w:line="240" w:lineRule="auto"/>
    </w:pPr>
    <w:tblPr/>
  </w:style>
  <w:style w:type="table" w:styleId="837">
    <w:name w:val="Grid Table 1 Light - Accent 1"/>
    <w:basedOn w:val="719"/>
    <w:next w:val="837"/>
    <w:link w:val="708"/>
    <w:uiPriority w:val="99"/>
    <w:qFormat/>
    <w:pPr>
      <w:spacing w:after="0" w:line="240" w:lineRule="auto"/>
    </w:pPr>
    <w:tblPr/>
  </w:style>
  <w:style w:type="table" w:styleId="838">
    <w:name w:val="Grid Table 1 Light - Accent 2"/>
    <w:basedOn w:val="719"/>
    <w:next w:val="838"/>
    <w:link w:val="708"/>
    <w:uiPriority w:val="99"/>
    <w:qFormat/>
    <w:pPr>
      <w:spacing w:after="0" w:line="240" w:lineRule="auto"/>
    </w:pPr>
    <w:tblPr/>
  </w:style>
  <w:style w:type="table" w:styleId="839">
    <w:name w:val="Grid Table 1 Light - Accent 3"/>
    <w:basedOn w:val="719"/>
    <w:next w:val="839"/>
    <w:link w:val="708"/>
    <w:uiPriority w:val="99"/>
    <w:qFormat/>
    <w:pPr>
      <w:spacing w:after="0" w:line="240" w:lineRule="auto"/>
    </w:pPr>
    <w:tblPr/>
  </w:style>
  <w:style w:type="table" w:styleId="840">
    <w:name w:val="Grid Table 1 Light - Accent 4"/>
    <w:basedOn w:val="719"/>
    <w:next w:val="840"/>
    <w:link w:val="708"/>
    <w:uiPriority w:val="99"/>
    <w:qFormat/>
    <w:pPr>
      <w:spacing w:after="0" w:line="240" w:lineRule="auto"/>
    </w:pPr>
    <w:tblPr/>
  </w:style>
  <w:style w:type="table" w:styleId="841">
    <w:name w:val="Grid Table 1 Light - Accent 5"/>
    <w:basedOn w:val="719"/>
    <w:next w:val="841"/>
    <w:link w:val="708"/>
    <w:uiPriority w:val="99"/>
    <w:qFormat/>
    <w:pPr>
      <w:spacing w:after="0" w:line="240" w:lineRule="auto"/>
    </w:pPr>
    <w:tblPr/>
  </w:style>
  <w:style w:type="table" w:styleId="842">
    <w:name w:val="Grid Table 1 Light - Accent 6"/>
    <w:basedOn w:val="719"/>
    <w:next w:val="842"/>
    <w:link w:val="708"/>
    <w:uiPriority w:val="99"/>
    <w:qFormat/>
    <w:pPr>
      <w:spacing w:after="0" w:line="240" w:lineRule="auto"/>
    </w:pPr>
    <w:tblPr/>
  </w:style>
  <w:style w:type="table" w:styleId="843">
    <w:name w:val="Grid Table 2"/>
    <w:basedOn w:val="719"/>
    <w:next w:val="843"/>
    <w:link w:val="708"/>
    <w:uiPriority w:val="99"/>
    <w:qFormat/>
    <w:pPr>
      <w:spacing w:after="0" w:line="240" w:lineRule="auto"/>
    </w:pPr>
    <w:tblPr/>
  </w:style>
  <w:style w:type="table" w:styleId="844">
    <w:name w:val="Grid Table 2 - Accent 1"/>
    <w:basedOn w:val="719"/>
    <w:next w:val="844"/>
    <w:link w:val="708"/>
    <w:uiPriority w:val="99"/>
    <w:qFormat/>
    <w:pPr>
      <w:spacing w:after="0" w:line="240" w:lineRule="auto"/>
    </w:pPr>
    <w:tblPr/>
  </w:style>
  <w:style w:type="table" w:styleId="845">
    <w:name w:val="Grid Table 2 - Accent 2"/>
    <w:basedOn w:val="719"/>
    <w:next w:val="845"/>
    <w:link w:val="708"/>
    <w:uiPriority w:val="99"/>
    <w:qFormat/>
    <w:pPr>
      <w:spacing w:after="0" w:line="240" w:lineRule="auto"/>
    </w:pPr>
    <w:tblPr/>
  </w:style>
  <w:style w:type="table" w:styleId="846">
    <w:name w:val="Grid Table 2 - Accent 3"/>
    <w:basedOn w:val="719"/>
    <w:next w:val="846"/>
    <w:link w:val="708"/>
    <w:uiPriority w:val="99"/>
    <w:qFormat/>
    <w:pPr>
      <w:spacing w:after="0" w:line="240" w:lineRule="auto"/>
    </w:pPr>
    <w:tblPr/>
  </w:style>
  <w:style w:type="table" w:styleId="847">
    <w:name w:val="Grid Table 2 - Accent 4"/>
    <w:basedOn w:val="719"/>
    <w:next w:val="847"/>
    <w:link w:val="708"/>
    <w:uiPriority w:val="99"/>
    <w:qFormat/>
    <w:pPr>
      <w:spacing w:after="0" w:line="240" w:lineRule="auto"/>
    </w:pPr>
    <w:tblPr/>
  </w:style>
  <w:style w:type="table" w:styleId="848">
    <w:name w:val="Grid Table 2 - Accent 5"/>
    <w:basedOn w:val="719"/>
    <w:next w:val="848"/>
    <w:link w:val="708"/>
    <w:uiPriority w:val="99"/>
    <w:qFormat/>
    <w:pPr>
      <w:spacing w:after="0" w:line="240" w:lineRule="auto"/>
    </w:pPr>
    <w:tblPr/>
  </w:style>
  <w:style w:type="table" w:styleId="849">
    <w:name w:val="Grid Table 2 - Accent 6"/>
    <w:basedOn w:val="719"/>
    <w:next w:val="849"/>
    <w:link w:val="708"/>
    <w:uiPriority w:val="99"/>
    <w:qFormat/>
    <w:pPr>
      <w:spacing w:after="0" w:line="240" w:lineRule="auto"/>
    </w:pPr>
    <w:tblPr/>
  </w:style>
  <w:style w:type="table" w:styleId="850">
    <w:name w:val="Grid Table 3"/>
    <w:basedOn w:val="719"/>
    <w:next w:val="850"/>
    <w:link w:val="708"/>
    <w:uiPriority w:val="99"/>
    <w:qFormat/>
    <w:pPr>
      <w:spacing w:after="0" w:line="240" w:lineRule="auto"/>
    </w:pPr>
    <w:tblPr/>
  </w:style>
  <w:style w:type="table" w:styleId="851">
    <w:name w:val="Grid Table 3 - Accent 1"/>
    <w:basedOn w:val="719"/>
    <w:next w:val="851"/>
    <w:link w:val="708"/>
    <w:uiPriority w:val="99"/>
    <w:qFormat/>
    <w:pPr>
      <w:spacing w:after="0" w:line="240" w:lineRule="auto"/>
    </w:pPr>
    <w:tblPr/>
  </w:style>
  <w:style w:type="table" w:styleId="852">
    <w:name w:val="Grid Table 3 - Accent 2"/>
    <w:basedOn w:val="719"/>
    <w:next w:val="852"/>
    <w:link w:val="708"/>
    <w:uiPriority w:val="99"/>
    <w:qFormat/>
    <w:pPr>
      <w:spacing w:after="0" w:line="240" w:lineRule="auto"/>
    </w:pPr>
    <w:tblPr/>
  </w:style>
  <w:style w:type="table" w:styleId="853">
    <w:name w:val="Grid Table 3 - Accent 3"/>
    <w:basedOn w:val="719"/>
    <w:next w:val="853"/>
    <w:link w:val="708"/>
    <w:uiPriority w:val="99"/>
    <w:qFormat/>
    <w:pPr>
      <w:spacing w:after="0" w:line="240" w:lineRule="auto"/>
    </w:pPr>
    <w:tblPr/>
  </w:style>
  <w:style w:type="table" w:styleId="854">
    <w:name w:val="Grid Table 3 - Accent 4"/>
    <w:basedOn w:val="719"/>
    <w:next w:val="854"/>
    <w:link w:val="708"/>
    <w:uiPriority w:val="99"/>
    <w:qFormat/>
    <w:pPr>
      <w:spacing w:after="0" w:line="240" w:lineRule="auto"/>
    </w:pPr>
    <w:tblPr/>
  </w:style>
  <w:style w:type="table" w:styleId="855">
    <w:name w:val="Grid Table 3 - Accent 5"/>
    <w:basedOn w:val="719"/>
    <w:next w:val="855"/>
    <w:link w:val="708"/>
    <w:uiPriority w:val="99"/>
    <w:qFormat/>
    <w:pPr>
      <w:spacing w:after="0" w:line="240" w:lineRule="auto"/>
    </w:pPr>
    <w:tblPr/>
  </w:style>
  <w:style w:type="table" w:styleId="856">
    <w:name w:val="Grid Table 3 - Accent 6"/>
    <w:basedOn w:val="719"/>
    <w:next w:val="856"/>
    <w:link w:val="708"/>
    <w:uiPriority w:val="99"/>
    <w:qFormat/>
    <w:pPr>
      <w:spacing w:after="0" w:line="240" w:lineRule="auto"/>
    </w:pPr>
    <w:tblPr/>
  </w:style>
  <w:style w:type="table" w:styleId="857">
    <w:name w:val="Grid Table 4"/>
    <w:basedOn w:val="719"/>
    <w:next w:val="857"/>
    <w:link w:val="708"/>
    <w:uiPriority w:val="59"/>
    <w:qFormat/>
    <w:pPr>
      <w:spacing w:after="0" w:line="240" w:lineRule="auto"/>
    </w:pPr>
    <w:tblPr/>
  </w:style>
  <w:style w:type="table" w:styleId="858">
    <w:name w:val="Grid Table 4 - Accent 1"/>
    <w:basedOn w:val="719"/>
    <w:next w:val="858"/>
    <w:link w:val="708"/>
    <w:uiPriority w:val="59"/>
    <w:qFormat/>
    <w:pPr>
      <w:spacing w:after="0" w:line="240" w:lineRule="auto"/>
    </w:pPr>
    <w:tblPr/>
  </w:style>
  <w:style w:type="table" w:styleId="859">
    <w:name w:val="Grid Table 4 - Accent 2"/>
    <w:basedOn w:val="719"/>
    <w:next w:val="859"/>
    <w:link w:val="708"/>
    <w:uiPriority w:val="59"/>
    <w:qFormat/>
    <w:pPr>
      <w:spacing w:after="0" w:line="240" w:lineRule="auto"/>
    </w:pPr>
    <w:tblPr/>
  </w:style>
  <w:style w:type="table" w:styleId="860">
    <w:name w:val="Grid Table 4 - Accent 3"/>
    <w:basedOn w:val="719"/>
    <w:next w:val="860"/>
    <w:link w:val="708"/>
    <w:uiPriority w:val="59"/>
    <w:qFormat/>
    <w:pPr>
      <w:spacing w:after="0" w:line="240" w:lineRule="auto"/>
    </w:pPr>
    <w:tblPr/>
  </w:style>
  <w:style w:type="table" w:styleId="861">
    <w:name w:val="Grid Table 4 - Accent 4"/>
    <w:basedOn w:val="719"/>
    <w:next w:val="861"/>
    <w:link w:val="708"/>
    <w:uiPriority w:val="59"/>
    <w:qFormat/>
    <w:pPr>
      <w:spacing w:after="0" w:line="240" w:lineRule="auto"/>
    </w:pPr>
    <w:tblPr/>
  </w:style>
  <w:style w:type="table" w:styleId="862">
    <w:name w:val="Grid Table 4 - Accent 5"/>
    <w:basedOn w:val="719"/>
    <w:next w:val="862"/>
    <w:link w:val="708"/>
    <w:uiPriority w:val="59"/>
    <w:qFormat/>
    <w:pPr>
      <w:spacing w:after="0" w:line="240" w:lineRule="auto"/>
    </w:pPr>
    <w:tblPr/>
  </w:style>
  <w:style w:type="table" w:styleId="863">
    <w:name w:val="Grid Table 4 - Accent 6"/>
    <w:basedOn w:val="719"/>
    <w:next w:val="863"/>
    <w:link w:val="708"/>
    <w:uiPriority w:val="59"/>
    <w:qFormat/>
    <w:pPr>
      <w:spacing w:after="0" w:line="240" w:lineRule="auto"/>
    </w:pPr>
    <w:tblPr/>
  </w:style>
  <w:style w:type="table" w:styleId="864">
    <w:name w:val="Grid Table 5 Dark"/>
    <w:basedOn w:val="719"/>
    <w:next w:val="864"/>
    <w:link w:val="708"/>
    <w:uiPriority w:val="99"/>
    <w:qFormat/>
    <w:pPr>
      <w:spacing w:after="0" w:line="240" w:lineRule="auto"/>
    </w:pPr>
    <w:tblPr/>
  </w:style>
  <w:style w:type="table" w:styleId="865">
    <w:name w:val="Grid Table 5 Dark- Accent 1"/>
    <w:basedOn w:val="719"/>
    <w:next w:val="865"/>
    <w:link w:val="708"/>
    <w:uiPriority w:val="99"/>
    <w:qFormat/>
    <w:pPr>
      <w:spacing w:after="0" w:line="240" w:lineRule="auto"/>
    </w:pPr>
    <w:tblPr/>
  </w:style>
  <w:style w:type="table" w:styleId="866">
    <w:name w:val="Grid Table 5 Dark - Accent 2"/>
    <w:basedOn w:val="719"/>
    <w:next w:val="866"/>
    <w:link w:val="708"/>
    <w:uiPriority w:val="99"/>
    <w:qFormat/>
    <w:pPr>
      <w:spacing w:after="0" w:line="240" w:lineRule="auto"/>
    </w:pPr>
    <w:tblPr/>
  </w:style>
  <w:style w:type="table" w:styleId="867">
    <w:name w:val="Grid Table 5 Dark - Accent 3"/>
    <w:basedOn w:val="719"/>
    <w:next w:val="867"/>
    <w:link w:val="708"/>
    <w:uiPriority w:val="99"/>
    <w:qFormat/>
    <w:pPr>
      <w:spacing w:after="0" w:line="240" w:lineRule="auto"/>
    </w:pPr>
    <w:tblPr/>
  </w:style>
  <w:style w:type="table" w:styleId="868">
    <w:name w:val="Grid Table 5 Dark- Accent 4"/>
    <w:basedOn w:val="719"/>
    <w:next w:val="868"/>
    <w:link w:val="708"/>
    <w:uiPriority w:val="99"/>
    <w:qFormat/>
    <w:pPr>
      <w:spacing w:after="0" w:line="240" w:lineRule="auto"/>
    </w:pPr>
    <w:tblPr/>
  </w:style>
  <w:style w:type="table" w:styleId="869">
    <w:name w:val="Grid Table 5 Dark - Accent 5"/>
    <w:basedOn w:val="719"/>
    <w:next w:val="869"/>
    <w:link w:val="708"/>
    <w:uiPriority w:val="99"/>
    <w:qFormat/>
    <w:pPr>
      <w:spacing w:after="0" w:line="240" w:lineRule="auto"/>
    </w:pPr>
    <w:tblPr/>
  </w:style>
  <w:style w:type="table" w:styleId="870">
    <w:name w:val="Grid Table 5 Dark - Accent 6"/>
    <w:basedOn w:val="719"/>
    <w:next w:val="870"/>
    <w:link w:val="708"/>
    <w:uiPriority w:val="99"/>
    <w:qFormat/>
    <w:pPr>
      <w:spacing w:after="0" w:line="240" w:lineRule="auto"/>
    </w:pPr>
    <w:tblPr/>
  </w:style>
  <w:style w:type="table" w:styleId="871">
    <w:name w:val="Grid Table 6 Colorful"/>
    <w:basedOn w:val="719"/>
    <w:next w:val="871"/>
    <w:link w:val="708"/>
    <w:uiPriority w:val="99"/>
    <w:qFormat/>
    <w:pPr>
      <w:spacing w:after="0" w:line="240" w:lineRule="auto"/>
    </w:pPr>
    <w:tblPr/>
  </w:style>
  <w:style w:type="table" w:styleId="872">
    <w:name w:val="Grid Table 6 Colorful - Accent 1"/>
    <w:basedOn w:val="719"/>
    <w:next w:val="872"/>
    <w:link w:val="708"/>
    <w:uiPriority w:val="99"/>
    <w:qFormat/>
    <w:pPr>
      <w:spacing w:after="0" w:line="240" w:lineRule="auto"/>
    </w:pPr>
    <w:tblPr/>
  </w:style>
  <w:style w:type="table" w:styleId="873">
    <w:name w:val="Grid Table 6 Colorful - Accent 2"/>
    <w:basedOn w:val="719"/>
    <w:next w:val="873"/>
    <w:link w:val="708"/>
    <w:uiPriority w:val="99"/>
    <w:qFormat/>
    <w:pPr>
      <w:spacing w:after="0" w:line="240" w:lineRule="auto"/>
    </w:pPr>
    <w:tblPr/>
  </w:style>
  <w:style w:type="table" w:styleId="874">
    <w:name w:val="Grid Table 6 Colorful - Accent 3"/>
    <w:basedOn w:val="719"/>
    <w:next w:val="874"/>
    <w:link w:val="708"/>
    <w:uiPriority w:val="99"/>
    <w:qFormat/>
    <w:pPr>
      <w:spacing w:after="0" w:line="240" w:lineRule="auto"/>
    </w:pPr>
    <w:tblPr/>
  </w:style>
  <w:style w:type="table" w:styleId="875">
    <w:name w:val="Grid Table 6 Colorful - Accent 4"/>
    <w:basedOn w:val="719"/>
    <w:next w:val="875"/>
    <w:link w:val="708"/>
    <w:uiPriority w:val="99"/>
    <w:qFormat/>
    <w:pPr>
      <w:spacing w:after="0" w:line="240" w:lineRule="auto"/>
    </w:pPr>
    <w:tblPr/>
  </w:style>
  <w:style w:type="table" w:styleId="876">
    <w:name w:val="Grid Table 6 Colorful - Accent 5"/>
    <w:basedOn w:val="719"/>
    <w:next w:val="876"/>
    <w:link w:val="708"/>
    <w:uiPriority w:val="99"/>
    <w:qFormat/>
    <w:pPr>
      <w:spacing w:after="0" w:line="240" w:lineRule="auto"/>
    </w:pPr>
    <w:tblPr/>
  </w:style>
  <w:style w:type="table" w:styleId="877">
    <w:name w:val="Grid Table 6 Colorful - Accent 6"/>
    <w:basedOn w:val="719"/>
    <w:next w:val="877"/>
    <w:link w:val="708"/>
    <w:uiPriority w:val="99"/>
    <w:qFormat/>
    <w:pPr>
      <w:spacing w:after="0" w:line="240" w:lineRule="auto"/>
    </w:pPr>
    <w:tblPr/>
  </w:style>
  <w:style w:type="table" w:styleId="878">
    <w:name w:val="Grid Table 7 Colorful"/>
    <w:basedOn w:val="719"/>
    <w:next w:val="878"/>
    <w:link w:val="708"/>
    <w:uiPriority w:val="99"/>
    <w:qFormat/>
    <w:pPr>
      <w:spacing w:after="0" w:line="240" w:lineRule="auto"/>
    </w:pPr>
    <w:tblPr/>
  </w:style>
  <w:style w:type="table" w:styleId="879">
    <w:name w:val="Grid Table 7 Colorful - Accent 1"/>
    <w:basedOn w:val="719"/>
    <w:next w:val="879"/>
    <w:link w:val="708"/>
    <w:uiPriority w:val="99"/>
    <w:qFormat/>
    <w:pPr>
      <w:spacing w:after="0" w:line="240" w:lineRule="auto"/>
    </w:pPr>
    <w:tblPr/>
  </w:style>
  <w:style w:type="table" w:styleId="880">
    <w:name w:val="Grid Table 7 Colorful - Accent 2"/>
    <w:basedOn w:val="719"/>
    <w:next w:val="880"/>
    <w:link w:val="708"/>
    <w:uiPriority w:val="99"/>
    <w:qFormat/>
    <w:pPr>
      <w:spacing w:after="0" w:line="240" w:lineRule="auto"/>
    </w:pPr>
    <w:tblPr/>
  </w:style>
  <w:style w:type="table" w:styleId="881">
    <w:name w:val="Grid Table 7 Colorful - Accent 3"/>
    <w:basedOn w:val="719"/>
    <w:next w:val="881"/>
    <w:link w:val="708"/>
    <w:uiPriority w:val="99"/>
    <w:qFormat/>
    <w:pPr>
      <w:spacing w:after="0" w:line="240" w:lineRule="auto"/>
    </w:pPr>
    <w:tblPr/>
  </w:style>
  <w:style w:type="table" w:styleId="882">
    <w:name w:val="Grid Table 7 Colorful - Accent 4"/>
    <w:basedOn w:val="719"/>
    <w:next w:val="882"/>
    <w:link w:val="708"/>
    <w:uiPriority w:val="99"/>
    <w:qFormat/>
    <w:pPr>
      <w:spacing w:after="0" w:line="240" w:lineRule="auto"/>
    </w:pPr>
    <w:tblPr/>
  </w:style>
  <w:style w:type="table" w:styleId="883">
    <w:name w:val="Grid Table 7 Colorful - Accent 5"/>
    <w:basedOn w:val="719"/>
    <w:next w:val="883"/>
    <w:link w:val="708"/>
    <w:uiPriority w:val="99"/>
    <w:qFormat/>
    <w:pPr>
      <w:spacing w:after="0" w:line="240" w:lineRule="auto"/>
    </w:pPr>
    <w:tblPr/>
  </w:style>
  <w:style w:type="table" w:styleId="884">
    <w:name w:val="Grid Table 7 Colorful - Accent 6"/>
    <w:basedOn w:val="719"/>
    <w:next w:val="884"/>
    <w:link w:val="708"/>
    <w:uiPriority w:val="99"/>
    <w:qFormat/>
    <w:pPr>
      <w:spacing w:after="0" w:line="240" w:lineRule="auto"/>
    </w:pPr>
    <w:tblPr/>
  </w:style>
  <w:style w:type="table" w:styleId="885">
    <w:name w:val="List Table 1 Light"/>
    <w:basedOn w:val="719"/>
    <w:next w:val="885"/>
    <w:link w:val="708"/>
    <w:uiPriority w:val="99"/>
    <w:qFormat/>
    <w:pPr>
      <w:spacing w:after="0" w:line="240" w:lineRule="auto"/>
    </w:pPr>
    <w:tblPr/>
  </w:style>
  <w:style w:type="table" w:styleId="886">
    <w:name w:val="List Table 1 Light - Accent 1"/>
    <w:basedOn w:val="719"/>
    <w:next w:val="886"/>
    <w:link w:val="708"/>
    <w:uiPriority w:val="99"/>
    <w:qFormat/>
    <w:pPr>
      <w:spacing w:after="0" w:line="240" w:lineRule="auto"/>
    </w:pPr>
    <w:tblPr/>
  </w:style>
  <w:style w:type="table" w:styleId="887">
    <w:name w:val="List Table 1 Light - Accent 2"/>
    <w:basedOn w:val="719"/>
    <w:next w:val="887"/>
    <w:link w:val="708"/>
    <w:uiPriority w:val="99"/>
    <w:qFormat/>
    <w:pPr>
      <w:spacing w:after="0" w:line="240" w:lineRule="auto"/>
    </w:pPr>
    <w:tblPr/>
  </w:style>
  <w:style w:type="table" w:styleId="888">
    <w:name w:val="List Table 1 Light - Accent 3"/>
    <w:basedOn w:val="719"/>
    <w:next w:val="888"/>
    <w:link w:val="708"/>
    <w:uiPriority w:val="99"/>
    <w:qFormat/>
    <w:pPr>
      <w:spacing w:after="0" w:line="240" w:lineRule="auto"/>
    </w:pPr>
    <w:tblPr/>
  </w:style>
  <w:style w:type="table" w:styleId="889">
    <w:name w:val="List Table 1 Light - Accent 4"/>
    <w:basedOn w:val="719"/>
    <w:next w:val="889"/>
    <w:link w:val="708"/>
    <w:uiPriority w:val="99"/>
    <w:qFormat/>
    <w:pPr>
      <w:spacing w:after="0" w:line="240" w:lineRule="auto"/>
    </w:pPr>
    <w:tblPr/>
  </w:style>
  <w:style w:type="table" w:styleId="890">
    <w:name w:val="List Table 1 Light - Accent 5"/>
    <w:basedOn w:val="719"/>
    <w:next w:val="890"/>
    <w:link w:val="708"/>
    <w:uiPriority w:val="99"/>
    <w:qFormat/>
    <w:pPr>
      <w:spacing w:after="0" w:line="240" w:lineRule="auto"/>
    </w:pPr>
    <w:tblPr/>
  </w:style>
  <w:style w:type="table" w:styleId="891">
    <w:name w:val="List Table 1 Light - Accent 6"/>
    <w:basedOn w:val="719"/>
    <w:next w:val="891"/>
    <w:link w:val="708"/>
    <w:uiPriority w:val="99"/>
    <w:qFormat/>
    <w:pPr>
      <w:spacing w:after="0" w:line="240" w:lineRule="auto"/>
    </w:pPr>
    <w:tblPr/>
  </w:style>
  <w:style w:type="table" w:styleId="892">
    <w:name w:val="List Table 2"/>
    <w:basedOn w:val="719"/>
    <w:next w:val="892"/>
    <w:link w:val="708"/>
    <w:uiPriority w:val="99"/>
    <w:qFormat/>
    <w:pPr>
      <w:spacing w:after="0" w:line="240" w:lineRule="auto"/>
    </w:pPr>
    <w:tblPr/>
  </w:style>
  <w:style w:type="table" w:styleId="893">
    <w:name w:val="List Table 2 - Accent 1"/>
    <w:basedOn w:val="719"/>
    <w:next w:val="893"/>
    <w:link w:val="708"/>
    <w:uiPriority w:val="99"/>
    <w:qFormat/>
    <w:pPr>
      <w:spacing w:after="0" w:line="240" w:lineRule="auto"/>
    </w:pPr>
    <w:tblPr/>
  </w:style>
  <w:style w:type="table" w:styleId="894">
    <w:name w:val="List Table 2 - Accent 2"/>
    <w:basedOn w:val="719"/>
    <w:next w:val="894"/>
    <w:link w:val="708"/>
    <w:uiPriority w:val="99"/>
    <w:qFormat/>
    <w:pPr>
      <w:spacing w:after="0" w:line="240" w:lineRule="auto"/>
    </w:pPr>
    <w:tblPr/>
  </w:style>
  <w:style w:type="table" w:styleId="895">
    <w:name w:val="List Table 2 - Accent 3"/>
    <w:basedOn w:val="719"/>
    <w:next w:val="895"/>
    <w:link w:val="708"/>
    <w:uiPriority w:val="99"/>
    <w:qFormat/>
    <w:pPr>
      <w:spacing w:after="0" w:line="240" w:lineRule="auto"/>
    </w:pPr>
    <w:tblPr/>
  </w:style>
  <w:style w:type="table" w:styleId="896">
    <w:name w:val="List Table 2 - Accent 4"/>
    <w:basedOn w:val="719"/>
    <w:next w:val="896"/>
    <w:link w:val="708"/>
    <w:uiPriority w:val="99"/>
    <w:qFormat/>
    <w:pPr>
      <w:spacing w:after="0" w:line="240" w:lineRule="auto"/>
    </w:pPr>
    <w:tblPr/>
  </w:style>
  <w:style w:type="table" w:styleId="897">
    <w:name w:val="List Table 2 - Accent 5"/>
    <w:basedOn w:val="719"/>
    <w:next w:val="897"/>
    <w:link w:val="708"/>
    <w:uiPriority w:val="99"/>
    <w:qFormat/>
    <w:pPr>
      <w:spacing w:after="0" w:line="240" w:lineRule="auto"/>
    </w:pPr>
    <w:tblPr/>
  </w:style>
  <w:style w:type="table" w:styleId="898">
    <w:name w:val="List Table 2 - Accent 6"/>
    <w:basedOn w:val="719"/>
    <w:next w:val="898"/>
    <w:link w:val="708"/>
    <w:uiPriority w:val="99"/>
    <w:qFormat/>
    <w:pPr>
      <w:spacing w:after="0" w:line="240" w:lineRule="auto"/>
    </w:pPr>
    <w:tblPr/>
  </w:style>
  <w:style w:type="table" w:styleId="899">
    <w:name w:val="List Table 3"/>
    <w:basedOn w:val="719"/>
    <w:next w:val="899"/>
    <w:link w:val="708"/>
    <w:uiPriority w:val="99"/>
    <w:qFormat/>
    <w:pPr>
      <w:spacing w:after="0" w:line="240" w:lineRule="auto"/>
    </w:pPr>
    <w:tblPr/>
  </w:style>
  <w:style w:type="table" w:styleId="900">
    <w:name w:val="List Table 3 - Accent 1"/>
    <w:basedOn w:val="719"/>
    <w:next w:val="900"/>
    <w:link w:val="708"/>
    <w:uiPriority w:val="99"/>
    <w:qFormat/>
    <w:pPr>
      <w:spacing w:after="0" w:line="240" w:lineRule="auto"/>
    </w:pPr>
    <w:tblPr/>
  </w:style>
  <w:style w:type="table" w:styleId="901">
    <w:name w:val="List Table 3 - Accent 2"/>
    <w:basedOn w:val="719"/>
    <w:next w:val="901"/>
    <w:link w:val="708"/>
    <w:uiPriority w:val="99"/>
    <w:qFormat/>
    <w:pPr>
      <w:spacing w:after="0" w:line="240" w:lineRule="auto"/>
    </w:pPr>
    <w:tblPr/>
  </w:style>
  <w:style w:type="table" w:styleId="902">
    <w:name w:val="List Table 3 - Accent 3"/>
    <w:basedOn w:val="719"/>
    <w:next w:val="902"/>
    <w:link w:val="708"/>
    <w:uiPriority w:val="99"/>
    <w:qFormat/>
    <w:pPr>
      <w:spacing w:after="0" w:line="240" w:lineRule="auto"/>
    </w:pPr>
    <w:tblPr/>
  </w:style>
  <w:style w:type="table" w:styleId="903">
    <w:name w:val="List Table 3 - Accent 4"/>
    <w:basedOn w:val="719"/>
    <w:next w:val="903"/>
    <w:link w:val="708"/>
    <w:uiPriority w:val="99"/>
    <w:qFormat/>
    <w:pPr>
      <w:spacing w:after="0" w:line="240" w:lineRule="auto"/>
    </w:pPr>
    <w:tblPr/>
  </w:style>
  <w:style w:type="table" w:styleId="904">
    <w:name w:val="List Table 3 - Accent 5"/>
    <w:basedOn w:val="719"/>
    <w:next w:val="904"/>
    <w:link w:val="708"/>
    <w:uiPriority w:val="99"/>
    <w:qFormat/>
    <w:pPr>
      <w:spacing w:after="0" w:line="240" w:lineRule="auto"/>
    </w:pPr>
    <w:tblPr/>
  </w:style>
  <w:style w:type="table" w:styleId="905">
    <w:name w:val="List Table 3 - Accent 6"/>
    <w:basedOn w:val="719"/>
    <w:next w:val="905"/>
    <w:link w:val="708"/>
    <w:uiPriority w:val="99"/>
    <w:qFormat/>
    <w:pPr>
      <w:spacing w:after="0" w:line="240" w:lineRule="auto"/>
    </w:pPr>
    <w:tblPr/>
  </w:style>
  <w:style w:type="table" w:styleId="906">
    <w:name w:val="List Table 4"/>
    <w:basedOn w:val="719"/>
    <w:next w:val="906"/>
    <w:link w:val="708"/>
    <w:uiPriority w:val="99"/>
    <w:qFormat/>
    <w:pPr>
      <w:spacing w:after="0" w:line="240" w:lineRule="auto"/>
    </w:pPr>
    <w:tblPr/>
  </w:style>
  <w:style w:type="table" w:styleId="907">
    <w:name w:val="List Table 4 - Accent 1"/>
    <w:basedOn w:val="719"/>
    <w:next w:val="907"/>
    <w:link w:val="708"/>
    <w:uiPriority w:val="99"/>
    <w:qFormat/>
    <w:pPr>
      <w:spacing w:after="0" w:line="240" w:lineRule="auto"/>
    </w:pPr>
    <w:tblPr/>
  </w:style>
  <w:style w:type="table" w:styleId="908">
    <w:name w:val="List Table 4 - Accent 2"/>
    <w:basedOn w:val="719"/>
    <w:next w:val="908"/>
    <w:link w:val="708"/>
    <w:uiPriority w:val="99"/>
    <w:qFormat/>
    <w:pPr>
      <w:spacing w:after="0" w:line="240" w:lineRule="auto"/>
    </w:pPr>
    <w:tblPr/>
  </w:style>
  <w:style w:type="table" w:styleId="909">
    <w:name w:val="List Table 4 - Accent 3"/>
    <w:basedOn w:val="719"/>
    <w:next w:val="909"/>
    <w:link w:val="708"/>
    <w:uiPriority w:val="99"/>
    <w:qFormat/>
    <w:pPr>
      <w:spacing w:after="0" w:line="240" w:lineRule="auto"/>
    </w:pPr>
    <w:tblPr/>
  </w:style>
  <w:style w:type="table" w:styleId="910">
    <w:name w:val="List Table 4 - Accent 4"/>
    <w:basedOn w:val="719"/>
    <w:next w:val="910"/>
    <w:link w:val="708"/>
    <w:uiPriority w:val="99"/>
    <w:qFormat/>
    <w:pPr>
      <w:spacing w:after="0" w:line="240" w:lineRule="auto"/>
    </w:pPr>
    <w:tblPr/>
  </w:style>
  <w:style w:type="table" w:styleId="911">
    <w:name w:val="List Table 4 - Accent 5"/>
    <w:basedOn w:val="719"/>
    <w:next w:val="911"/>
    <w:link w:val="708"/>
    <w:uiPriority w:val="99"/>
    <w:qFormat/>
    <w:pPr>
      <w:spacing w:after="0" w:line="240" w:lineRule="auto"/>
    </w:pPr>
    <w:tblPr/>
  </w:style>
  <w:style w:type="table" w:styleId="912">
    <w:name w:val="List Table 4 - Accent 6"/>
    <w:basedOn w:val="719"/>
    <w:next w:val="912"/>
    <w:link w:val="708"/>
    <w:uiPriority w:val="99"/>
    <w:qFormat/>
    <w:pPr>
      <w:spacing w:after="0" w:line="240" w:lineRule="auto"/>
    </w:pPr>
    <w:tblPr/>
  </w:style>
  <w:style w:type="table" w:styleId="913">
    <w:name w:val="List Table 5 Dark"/>
    <w:basedOn w:val="719"/>
    <w:next w:val="913"/>
    <w:link w:val="708"/>
    <w:uiPriority w:val="99"/>
    <w:qFormat/>
    <w:pPr>
      <w:spacing w:after="0" w:line="240" w:lineRule="auto"/>
    </w:pPr>
    <w:tblPr/>
  </w:style>
  <w:style w:type="table" w:styleId="914">
    <w:name w:val="List Table 5 Dark - Accent 1"/>
    <w:basedOn w:val="719"/>
    <w:next w:val="914"/>
    <w:link w:val="708"/>
    <w:uiPriority w:val="99"/>
    <w:qFormat/>
    <w:pPr>
      <w:spacing w:after="0" w:line="240" w:lineRule="auto"/>
    </w:pPr>
    <w:tblPr/>
  </w:style>
  <w:style w:type="table" w:styleId="915">
    <w:name w:val="List Table 5 Dark - Accent 2"/>
    <w:basedOn w:val="719"/>
    <w:next w:val="915"/>
    <w:link w:val="708"/>
    <w:uiPriority w:val="99"/>
    <w:qFormat/>
    <w:pPr>
      <w:spacing w:after="0" w:line="240" w:lineRule="auto"/>
    </w:pPr>
    <w:tblPr/>
  </w:style>
  <w:style w:type="table" w:styleId="916">
    <w:name w:val="List Table 5 Dark - Accent 3"/>
    <w:basedOn w:val="719"/>
    <w:next w:val="916"/>
    <w:link w:val="708"/>
    <w:uiPriority w:val="99"/>
    <w:qFormat/>
    <w:pPr>
      <w:spacing w:after="0" w:line="240" w:lineRule="auto"/>
    </w:pPr>
    <w:tblPr/>
  </w:style>
  <w:style w:type="table" w:styleId="917">
    <w:name w:val="List Table 5 Dark - Accent 4"/>
    <w:basedOn w:val="719"/>
    <w:next w:val="917"/>
    <w:link w:val="708"/>
    <w:uiPriority w:val="99"/>
    <w:qFormat/>
    <w:pPr>
      <w:spacing w:after="0" w:line="240" w:lineRule="auto"/>
    </w:pPr>
    <w:tblPr/>
  </w:style>
  <w:style w:type="table" w:styleId="918">
    <w:name w:val="List Table 5 Dark - Accent 5"/>
    <w:basedOn w:val="719"/>
    <w:next w:val="918"/>
    <w:link w:val="708"/>
    <w:uiPriority w:val="99"/>
    <w:qFormat/>
    <w:pPr>
      <w:spacing w:after="0" w:line="240" w:lineRule="auto"/>
    </w:pPr>
    <w:tblPr/>
  </w:style>
  <w:style w:type="table" w:styleId="919">
    <w:name w:val="List Table 5 Dark - Accent 6"/>
    <w:basedOn w:val="719"/>
    <w:next w:val="919"/>
    <w:link w:val="708"/>
    <w:uiPriority w:val="99"/>
    <w:qFormat/>
    <w:pPr>
      <w:spacing w:after="0" w:line="240" w:lineRule="auto"/>
    </w:pPr>
    <w:tblPr/>
  </w:style>
  <w:style w:type="table" w:styleId="920">
    <w:name w:val="List Table 6 Colorful"/>
    <w:basedOn w:val="719"/>
    <w:next w:val="920"/>
    <w:link w:val="708"/>
    <w:uiPriority w:val="99"/>
    <w:qFormat/>
    <w:pPr>
      <w:spacing w:after="0" w:line="240" w:lineRule="auto"/>
    </w:pPr>
    <w:tblPr/>
  </w:style>
  <w:style w:type="table" w:styleId="921">
    <w:name w:val="List Table 6 Colorful - Accent 1"/>
    <w:basedOn w:val="719"/>
    <w:next w:val="921"/>
    <w:link w:val="708"/>
    <w:uiPriority w:val="99"/>
    <w:qFormat/>
    <w:pPr>
      <w:spacing w:after="0" w:line="240" w:lineRule="auto"/>
    </w:pPr>
    <w:tblPr/>
  </w:style>
  <w:style w:type="table" w:styleId="922">
    <w:name w:val="List Table 6 Colorful - Accent 2"/>
    <w:basedOn w:val="719"/>
    <w:next w:val="922"/>
    <w:link w:val="708"/>
    <w:uiPriority w:val="99"/>
    <w:qFormat/>
    <w:pPr>
      <w:spacing w:after="0" w:line="240" w:lineRule="auto"/>
    </w:pPr>
    <w:tblPr/>
  </w:style>
  <w:style w:type="table" w:styleId="923">
    <w:name w:val="List Table 6 Colorful - Accent 3"/>
    <w:basedOn w:val="719"/>
    <w:next w:val="923"/>
    <w:link w:val="708"/>
    <w:uiPriority w:val="99"/>
    <w:qFormat/>
    <w:pPr>
      <w:spacing w:after="0" w:line="240" w:lineRule="auto"/>
    </w:pPr>
    <w:tblPr/>
  </w:style>
  <w:style w:type="table" w:styleId="924">
    <w:name w:val="List Table 6 Colorful - Accent 4"/>
    <w:basedOn w:val="719"/>
    <w:next w:val="924"/>
    <w:link w:val="708"/>
    <w:uiPriority w:val="99"/>
    <w:qFormat/>
    <w:pPr>
      <w:spacing w:after="0" w:line="240" w:lineRule="auto"/>
    </w:pPr>
    <w:tblPr/>
  </w:style>
  <w:style w:type="table" w:styleId="925">
    <w:name w:val="List Table 6 Colorful - Accent 5"/>
    <w:basedOn w:val="719"/>
    <w:next w:val="925"/>
    <w:link w:val="708"/>
    <w:uiPriority w:val="99"/>
    <w:qFormat/>
    <w:pPr>
      <w:spacing w:after="0" w:line="240" w:lineRule="auto"/>
    </w:pPr>
    <w:tblPr/>
  </w:style>
  <w:style w:type="table" w:styleId="926">
    <w:name w:val="List Table 6 Colorful - Accent 6"/>
    <w:basedOn w:val="719"/>
    <w:next w:val="926"/>
    <w:link w:val="708"/>
    <w:uiPriority w:val="99"/>
    <w:qFormat/>
    <w:pPr>
      <w:spacing w:after="0" w:line="240" w:lineRule="auto"/>
    </w:pPr>
    <w:tblPr/>
  </w:style>
  <w:style w:type="table" w:styleId="927">
    <w:name w:val="List Table 7 Colorful"/>
    <w:basedOn w:val="719"/>
    <w:next w:val="927"/>
    <w:link w:val="708"/>
    <w:uiPriority w:val="99"/>
    <w:qFormat/>
    <w:pPr>
      <w:spacing w:after="0" w:line="240" w:lineRule="auto"/>
    </w:pPr>
    <w:tblPr/>
  </w:style>
  <w:style w:type="table" w:styleId="928">
    <w:name w:val="List Table 7 Colorful - Accent 1"/>
    <w:basedOn w:val="719"/>
    <w:next w:val="928"/>
    <w:link w:val="708"/>
    <w:uiPriority w:val="99"/>
    <w:qFormat/>
    <w:pPr>
      <w:spacing w:after="0" w:line="240" w:lineRule="auto"/>
    </w:pPr>
    <w:tblPr/>
  </w:style>
  <w:style w:type="table" w:styleId="929">
    <w:name w:val="List Table 7 Colorful - Accent 2"/>
    <w:basedOn w:val="719"/>
    <w:next w:val="929"/>
    <w:link w:val="708"/>
    <w:uiPriority w:val="99"/>
    <w:qFormat/>
    <w:pPr>
      <w:spacing w:after="0" w:line="240" w:lineRule="auto"/>
    </w:pPr>
    <w:tblPr/>
  </w:style>
  <w:style w:type="table" w:styleId="930">
    <w:name w:val="List Table 7 Colorful - Accent 3"/>
    <w:basedOn w:val="719"/>
    <w:next w:val="930"/>
    <w:link w:val="708"/>
    <w:uiPriority w:val="99"/>
    <w:qFormat/>
    <w:pPr>
      <w:spacing w:after="0" w:line="240" w:lineRule="auto"/>
    </w:pPr>
    <w:tblPr/>
  </w:style>
  <w:style w:type="table" w:styleId="931">
    <w:name w:val="List Table 7 Colorful - Accent 4"/>
    <w:basedOn w:val="719"/>
    <w:next w:val="931"/>
    <w:link w:val="708"/>
    <w:uiPriority w:val="99"/>
    <w:qFormat/>
    <w:pPr>
      <w:spacing w:after="0" w:line="240" w:lineRule="auto"/>
    </w:pPr>
    <w:tblPr/>
  </w:style>
  <w:style w:type="table" w:styleId="932">
    <w:name w:val="List Table 7 Colorful - Accent 5"/>
    <w:basedOn w:val="719"/>
    <w:next w:val="932"/>
    <w:link w:val="708"/>
    <w:uiPriority w:val="99"/>
    <w:qFormat/>
    <w:pPr>
      <w:spacing w:after="0" w:line="240" w:lineRule="auto"/>
    </w:pPr>
    <w:tblPr/>
  </w:style>
  <w:style w:type="table" w:styleId="933">
    <w:name w:val="List Table 7 Colorful - Accent 6"/>
    <w:basedOn w:val="719"/>
    <w:next w:val="933"/>
    <w:link w:val="708"/>
    <w:uiPriority w:val="99"/>
    <w:qFormat/>
    <w:pPr>
      <w:spacing w:after="0" w:line="240" w:lineRule="auto"/>
    </w:pPr>
    <w:tblPr/>
  </w:style>
  <w:style w:type="table" w:styleId="934">
    <w:name w:val="Lined - Accent"/>
    <w:basedOn w:val="719"/>
    <w:next w:val="934"/>
    <w:link w:val="708"/>
    <w:uiPriority w:val="99"/>
    <w:qFormat/>
    <w:pPr>
      <w:spacing w:after="0" w:line="240" w:lineRule="auto"/>
    </w:pPr>
    <w:rPr>
      <w:color w:val="404040"/>
    </w:rPr>
    <w:tblPr/>
  </w:style>
  <w:style w:type="table" w:styleId="935">
    <w:name w:val="Lined - Accent 1"/>
    <w:basedOn w:val="719"/>
    <w:next w:val="935"/>
    <w:link w:val="708"/>
    <w:uiPriority w:val="99"/>
    <w:qFormat/>
    <w:pPr>
      <w:spacing w:after="0" w:line="240" w:lineRule="auto"/>
    </w:pPr>
    <w:rPr>
      <w:color w:val="404040"/>
    </w:rPr>
    <w:tblPr/>
  </w:style>
  <w:style w:type="table" w:styleId="936">
    <w:name w:val="Lined - Accent 2"/>
    <w:basedOn w:val="719"/>
    <w:next w:val="936"/>
    <w:link w:val="708"/>
    <w:uiPriority w:val="99"/>
    <w:qFormat/>
    <w:pPr>
      <w:spacing w:after="0" w:line="240" w:lineRule="auto"/>
    </w:pPr>
    <w:rPr>
      <w:color w:val="404040"/>
    </w:rPr>
    <w:tblPr/>
  </w:style>
  <w:style w:type="table" w:styleId="937">
    <w:name w:val="Lined - Accent 3"/>
    <w:basedOn w:val="719"/>
    <w:next w:val="937"/>
    <w:link w:val="708"/>
    <w:uiPriority w:val="99"/>
    <w:qFormat/>
    <w:pPr>
      <w:spacing w:after="0" w:line="240" w:lineRule="auto"/>
    </w:pPr>
    <w:rPr>
      <w:color w:val="404040"/>
    </w:rPr>
    <w:tblPr/>
  </w:style>
  <w:style w:type="table" w:styleId="938">
    <w:name w:val="Lined - Accent 4"/>
    <w:basedOn w:val="719"/>
    <w:next w:val="938"/>
    <w:link w:val="708"/>
    <w:uiPriority w:val="99"/>
    <w:qFormat/>
    <w:pPr>
      <w:spacing w:after="0" w:line="240" w:lineRule="auto"/>
    </w:pPr>
    <w:rPr>
      <w:color w:val="404040"/>
    </w:rPr>
    <w:tblPr/>
  </w:style>
  <w:style w:type="table" w:styleId="939">
    <w:name w:val="Lined - Accent 5"/>
    <w:basedOn w:val="719"/>
    <w:next w:val="939"/>
    <w:link w:val="708"/>
    <w:uiPriority w:val="99"/>
    <w:qFormat/>
    <w:pPr>
      <w:spacing w:after="0" w:line="240" w:lineRule="auto"/>
    </w:pPr>
    <w:rPr>
      <w:color w:val="404040"/>
    </w:rPr>
    <w:tblPr/>
  </w:style>
  <w:style w:type="table" w:styleId="940">
    <w:name w:val="Lined - Accent 6"/>
    <w:basedOn w:val="719"/>
    <w:next w:val="940"/>
    <w:link w:val="708"/>
    <w:uiPriority w:val="99"/>
    <w:qFormat/>
    <w:pPr>
      <w:spacing w:after="0" w:line="240" w:lineRule="auto"/>
    </w:pPr>
    <w:rPr>
      <w:color w:val="404040"/>
    </w:rPr>
    <w:tblPr/>
  </w:style>
  <w:style w:type="table" w:styleId="941">
    <w:name w:val="Bordered &amp; Lined - Accent"/>
    <w:basedOn w:val="719"/>
    <w:next w:val="941"/>
    <w:link w:val="708"/>
    <w:uiPriority w:val="99"/>
    <w:qFormat/>
    <w:pPr>
      <w:spacing w:after="0" w:line="240" w:lineRule="auto"/>
    </w:pPr>
    <w:rPr>
      <w:color w:val="404040"/>
    </w:rPr>
    <w:tblPr/>
  </w:style>
  <w:style w:type="table" w:styleId="942">
    <w:name w:val="Bordered &amp; Lined - Accent 1"/>
    <w:basedOn w:val="719"/>
    <w:next w:val="942"/>
    <w:link w:val="708"/>
    <w:uiPriority w:val="99"/>
    <w:qFormat/>
    <w:pPr>
      <w:spacing w:after="0" w:line="240" w:lineRule="auto"/>
    </w:pPr>
    <w:rPr>
      <w:color w:val="404040"/>
    </w:rPr>
    <w:tblPr/>
  </w:style>
  <w:style w:type="table" w:styleId="943">
    <w:name w:val="Bordered &amp; Lined - Accent 2"/>
    <w:basedOn w:val="719"/>
    <w:next w:val="943"/>
    <w:link w:val="708"/>
    <w:uiPriority w:val="99"/>
    <w:qFormat/>
    <w:pPr>
      <w:spacing w:after="0" w:line="240" w:lineRule="auto"/>
    </w:pPr>
    <w:rPr>
      <w:color w:val="404040"/>
    </w:rPr>
    <w:tblPr/>
  </w:style>
  <w:style w:type="table" w:styleId="944">
    <w:name w:val="Bordered &amp; Lined - Accent 3"/>
    <w:basedOn w:val="719"/>
    <w:next w:val="944"/>
    <w:link w:val="708"/>
    <w:uiPriority w:val="99"/>
    <w:qFormat/>
    <w:pPr>
      <w:spacing w:after="0" w:line="240" w:lineRule="auto"/>
    </w:pPr>
    <w:rPr>
      <w:color w:val="404040"/>
    </w:rPr>
    <w:tblPr/>
  </w:style>
  <w:style w:type="table" w:styleId="945">
    <w:name w:val="Bordered &amp; Lined - Accent 4"/>
    <w:basedOn w:val="719"/>
    <w:next w:val="945"/>
    <w:link w:val="708"/>
    <w:uiPriority w:val="99"/>
    <w:qFormat/>
    <w:pPr>
      <w:spacing w:after="0" w:line="240" w:lineRule="auto"/>
    </w:pPr>
    <w:rPr>
      <w:color w:val="404040"/>
    </w:rPr>
    <w:tblPr/>
  </w:style>
  <w:style w:type="table" w:styleId="946">
    <w:name w:val="Bordered &amp; Lined - Accent 5"/>
    <w:basedOn w:val="719"/>
    <w:next w:val="946"/>
    <w:link w:val="708"/>
    <w:uiPriority w:val="99"/>
    <w:qFormat/>
    <w:pPr>
      <w:spacing w:after="0" w:line="240" w:lineRule="auto"/>
    </w:pPr>
    <w:rPr>
      <w:color w:val="404040"/>
    </w:rPr>
    <w:tblPr/>
  </w:style>
  <w:style w:type="table" w:styleId="947">
    <w:name w:val="Bordered &amp; Lined - Accent 6"/>
    <w:basedOn w:val="719"/>
    <w:next w:val="947"/>
    <w:link w:val="708"/>
    <w:uiPriority w:val="99"/>
    <w:qFormat/>
    <w:pPr>
      <w:spacing w:after="0" w:line="240" w:lineRule="auto"/>
    </w:pPr>
    <w:rPr>
      <w:color w:val="404040"/>
    </w:rPr>
    <w:tblPr/>
  </w:style>
  <w:style w:type="table" w:styleId="948">
    <w:name w:val="Bordered"/>
    <w:basedOn w:val="719"/>
    <w:next w:val="948"/>
    <w:link w:val="708"/>
    <w:uiPriority w:val="99"/>
    <w:qFormat/>
    <w:pPr>
      <w:spacing w:after="0" w:line="240" w:lineRule="auto"/>
    </w:pPr>
    <w:tblPr/>
  </w:style>
  <w:style w:type="table" w:styleId="949">
    <w:name w:val="Bordered - Accent 1"/>
    <w:basedOn w:val="719"/>
    <w:next w:val="949"/>
    <w:link w:val="708"/>
    <w:uiPriority w:val="99"/>
    <w:qFormat/>
    <w:pPr>
      <w:spacing w:after="0" w:line="240" w:lineRule="auto"/>
    </w:pPr>
    <w:tblPr/>
  </w:style>
  <w:style w:type="table" w:styleId="950">
    <w:name w:val="Bordered - Accent 2"/>
    <w:basedOn w:val="719"/>
    <w:next w:val="950"/>
    <w:link w:val="708"/>
    <w:uiPriority w:val="99"/>
    <w:qFormat/>
    <w:pPr>
      <w:spacing w:after="0" w:line="240" w:lineRule="auto"/>
    </w:pPr>
    <w:tblPr/>
  </w:style>
  <w:style w:type="table" w:styleId="951">
    <w:name w:val="Bordered - Accent 3"/>
    <w:basedOn w:val="719"/>
    <w:next w:val="951"/>
    <w:link w:val="708"/>
    <w:uiPriority w:val="99"/>
    <w:qFormat/>
    <w:pPr>
      <w:spacing w:after="0" w:line="240" w:lineRule="auto"/>
    </w:pPr>
    <w:tblPr/>
  </w:style>
  <w:style w:type="table" w:styleId="952">
    <w:name w:val="Bordered - Accent 4"/>
    <w:basedOn w:val="719"/>
    <w:next w:val="952"/>
    <w:link w:val="708"/>
    <w:uiPriority w:val="99"/>
    <w:qFormat/>
    <w:pPr>
      <w:spacing w:after="0" w:line="240" w:lineRule="auto"/>
    </w:pPr>
    <w:tblPr/>
  </w:style>
  <w:style w:type="table" w:styleId="953">
    <w:name w:val="Bordered - Accent 5"/>
    <w:basedOn w:val="719"/>
    <w:next w:val="953"/>
    <w:link w:val="708"/>
    <w:uiPriority w:val="99"/>
    <w:qFormat/>
    <w:pPr>
      <w:spacing w:after="0" w:line="240" w:lineRule="auto"/>
    </w:pPr>
    <w:tblPr/>
  </w:style>
  <w:style w:type="table" w:styleId="954">
    <w:name w:val="Bordered - Accent 6"/>
    <w:basedOn w:val="719"/>
    <w:next w:val="954"/>
    <w:link w:val="708"/>
    <w:uiPriority w:val="99"/>
    <w:qFormat/>
    <w:pPr>
      <w:spacing w:after="0" w:line="240" w:lineRule="auto"/>
    </w:pPr>
    <w:tblPr/>
  </w:style>
  <w:style w:type="character" w:styleId="955">
    <w:name w:val="Footnote Text Char"/>
    <w:next w:val="955"/>
    <w:link w:val="708"/>
    <w:uiPriority w:val="99"/>
    <w:qFormat/>
    <w:rPr>
      <w:sz w:val="18"/>
    </w:rPr>
  </w:style>
  <w:style w:type="character" w:styleId="956">
    <w:name w:val="Endnote Text Char"/>
    <w:next w:val="956"/>
    <w:link w:val="708"/>
    <w:uiPriority w:val="99"/>
    <w:qFormat/>
    <w:rPr>
      <w:sz w:val="20"/>
    </w:rPr>
  </w:style>
  <w:style w:type="paragraph" w:styleId="957">
    <w:name w:val="TOC Heading"/>
    <w:next w:val="957"/>
    <w:link w:val="708"/>
    <w:uiPriority w:val="39"/>
    <w:unhideWhenUsed/>
    <w:qFormat/>
    <w:rPr>
      <w:rFonts w:ascii="Times New Roman" w:hAnsi="Times New Roman" w:eastAsia="宋体" w:cs="Times New Roman"/>
    </w:rPr>
  </w:style>
  <w:style w:type="character" w:styleId="958">
    <w:name w:val="标题 1 字符"/>
    <w:next w:val="958"/>
    <w:link w:val="959"/>
    <w:qFormat/>
    <w:rPr>
      <w:b/>
      <w:bCs/>
      <w:sz w:val="32"/>
      <w:szCs w:val="44"/>
    </w:rPr>
  </w:style>
  <w:style w:type="paragraph" w:styleId="959">
    <w:name w:val="标题 11"/>
    <w:basedOn w:val="708"/>
    <w:next w:val="708"/>
    <w:link w:val="958"/>
    <w:qFormat/>
    <w:pPr>
      <w:keepLines/>
      <w:keepNext/>
      <w:spacing w:before="340" w:after="330" w:line="578" w:lineRule="auto"/>
      <w:outlineLvl w:val="0"/>
    </w:pPr>
    <w:rPr>
      <w:b/>
      <w:bCs/>
      <w:sz w:val="32"/>
      <w:szCs w:val="44"/>
    </w:rPr>
  </w:style>
  <w:style w:type="character" w:styleId="960">
    <w:name w:val="111111 Char"/>
    <w:next w:val="960"/>
    <w:link w:val="961"/>
    <w:qFormat/>
    <w:rPr>
      <w:rFonts w:ascii="宋体" w:hAnsi="宋体" w:eastAsia="黑体" w:cs="宋体"/>
      <w:b/>
      <w:bCs/>
      <w:sz w:val="21"/>
      <w:szCs w:val="21"/>
      <w:lang w:val="en-US" w:eastAsia="zh-CN" w:bidi="ar-SA"/>
    </w:rPr>
  </w:style>
  <w:style w:type="paragraph" w:styleId="961">
    <w:name w:val="111111"/>
    <w:basedOn w:val="708"/>
    <w:next w:val="961"/>
    <w:link w:val="960"/>
    <w:qFormat/>
    <w:pPr>
      <w:jc w:val="center"/>
      <w:spacing w:before="120" w:after="120"/>
    </w:pPr>
    <w:rPr>
      <w:rFonts w:ascii="宋体" w:hAnsi="宋体" w:eastAsia="黑体" w:cs="宋体"/>
      <w:b/>
      <w:bCs/>
      <w:szCs w:val="21"/>
    </w:rPr>
  </w:style>
  <w:style w:type="character" w:styleId="962">
    <w:name w:val="样式 非加粗"/>
    <w:next w:val="962"/>
    <w:link w:val="708"/>
    <w:qFormat/>
    <w:rPr>
      <w:rFonts w:eastAsia="宋体"/>
      <w:sz w:val="28"/>
    </w:rPr>
  </w:style>
  <w:style w:type="character" w:styleId="963">
    <w:name w:val="引用 字符"/>
    <w:next w:val="963"/>
    <w:link w:val="964"/>
    <w:qFormat/>
    <w:rPr>
      <w:rFonts w:ascii="Calibri" w:hAnsi="Calibri" w:eastAsia="宋体"/>
      <w:i/>
      <w:iCs/>
      <w:sz w:val="22"/>
      <w:szCs w:val="22"/>
      <w:lang w:val="en-US" w:eastAsia="en-US" w:bidi="en-US"/>
    </w:rPr>
  </w:style>
  <w:style w:type="paragraph" w:styleId="964">
    <w:name w:val="Quote"/>
    <w:basedOn w:val="708"/>
    <w:next w:val="708"/>
    <w:link w:val="963"/>
    <w:qFormat/>
    <w:pPr>
      <w:ind w:left="360" w:right="360"/>
      <w:jc w:val="left"/>
      <w:spacing w:before="200" w:line="276" w:lineRule="auto"/>
      <w:widowControl/>
    </w:pPr>
    <w:rPr>
      <w:rFonts w:ascii="Calibri" w:hAnsi="Calibri"/>
      <w:i/>
      <w:iCs/>
      <w:sz w:val="22"/>
      <w:szCs w:val="22"/>
      <w:lang w:eastAsia="en-US" w:bidi="en-US"/>
    </w:rPr>
  </w:style>
  <w:style w:type="character" w:styleId="965">
    <w:name w:val="case31"/>
    <w:next w:val="965"/>
    <w:link w:val="708"/>
    <w:qFormat/>
    <w:rPr>
      <w:sz w:val="21"/>
      <w:szCs w:val="21"/>
    </w:rPr>
  </w:style>
  <w:style w:type="character" w:styleId="966">
    <w:name w:val="小四 段落 宋体 Char Char Char Char Char Char"/>
    <w:next w:val="966"/>
    <w:link w:val="708"/>
    <w:qFormat/>
    <w:rPr>
      <w:rFonts w:eastAsia="宋体"/>
      <w:sz w:val="24"/>
      <w:szCs w:val="24"/>
      <w:lang w:val="en-US" w:eastAsia="zh-CN" w:bidi="ar-SA"/>
    </w:rPr>
  </w:style>
  <w:style w:type="character" w:styleId="967">
    <w:name w:val="华宇段落1 Char Char"/>
    <w:next w:val="967"/>
    <w:link w:val="708"/>
    <w:qFormat/>
    <w:rPr>
      <w:rFonts w:eastAsia="宋体"/>
      <w:bCs/>
      <w:sz w:val="24"/>
      <w:szCs w:val="24"/>
      <w:lang w:val="en-US" w:eastAsia="zh-CN" w:bidi="ar-SA"/>
    </w:rPr>
  </w:style>
  <w:style w:type="character" w:styleId="968">
    <w:name w:val="Char Char24"/>
    <w:next w:val="968"/>
    <w:link w:val="708"/>
    <w:qFormat/>
    <w:rPr>
      <w:b/>
      <w:bCs/>
      <w:sz w:val="28"/>
      <w:szCs w:val="28"/>
    </w:rPr>
  </w:style>
  <w:style w:type="character" w:styleId="969">
    <w:name w:val="para_small"/>
    <w:basedOn w:val="718"/>
    <w:next w:val="969"/>
    <w:link w:val="708"/>
    <w:qFormat/>
  </w:style>
  <w:style w:type="character" w:styleId="970">
    <w:name w:val="listbenefit"/>
    <w:next w:val="970"/>
    <w:link w:val="708"/>
    <w:qFormat/>
  </w:style>
  <w:style w:type="character" w:styleId="971">
    <w:name w:val="小四 段落 宋体 Char Char Char Char1"/>
    <w:next w:val="971"/>
    <w:link w:val="708"/>
    <w:qFormat/>
    <w:rPr>
      <w:rFonts w:eastAsia="宋体"/>
      <w:sz w:val="24"/>
      <w:szCs w:val="24"/>
      <w:lang w:val="en-US" w:eastAsia="zh-CN" w:bidi="ar-SA"/>
    </w:rPr>
  </w:style>
  <w:style w:type="character" w:styleId="972">
    <w:name w:val="textcontents"/>
    <w:basedOn w:val="718"/>
    <w:next w:val="972"/>
    <w:link w:val="708"/>
    <w:qFormat/>
  </w:style>
  <w:style w:type="character" w:styleId="973">
    <w:name w:val="Char Char25"/>
    <w:next w:val="973"/>
    <w:link w:val="708"/>
    <w:qFormat/>
    <w:rPr>
      <w:rFonts w:ascii="Arial" w:hAnsi="Arial" w:eastAsia="黑体"/>
      <w:b/>
      <w:sz w:val="28"/>
    </w:rPr>
  </w:style>
  <w:style w:type="character" w:styleId="974">
    <w:name w:val="param-value"/>
    <w:basedOn w:val="718"/>
    <w:next w:val="974"/>
    <w:link w:val="708"/>
    <w:qFormat/>
  </w:style>
  <w:style w:type="character" w:styleId="975">
    <w:name w:val="Book Title"/>
    <w:next w:val="975"/>
    <w:link w:val="708"/>
    <w:qFormat/>
    <w:rPr>
      <w:i/>
      <w:iCs/>
      <w:smallCaps/>
      <w:spacing w:val="5"/>
    </w:rPr>
  </w:style>
  <w:style w:type="character" w:styleId="976">
    <w:name w:val="已访问的超链接1"/>
    <w:next w:val="976"/>
    <w:link w:val="708"/>
    <w:qFormat/>
    <w:rPr>
      <w:color w:val="000000"/>
      <w:u w:val="none"/>
    </w:rPr>
  </w:style>
  <w:style w:type="character" w:styleId="977">
    <w:name w:val="Subtle Reference"/>
    <w:next w:val="977"/>
    <w:link w:val="708"/>
    <w:qFormat/>
    <w:rPr>
      <w:smallCaps/>
    </w:rPr>
  </w:style>
  <w:style w:type="character" w:styleId="978">
    <w:name w:val="华宇段落1 Char Char Char"/>
    <w:next w:val="978"/>
    <w:link w:val="708"/>
    <w:qFormat/>
    <w:rPr>
      <w:rFonts w:eastAsia="宋体"/>
      <w:bCs/>
      <w:sz w:val="24"/>
      <w:szCs w:val="24"/>
      <w:lang w:val="en-US" w:eastAsia="zh-CN" w:bidi="ar-SA"/>
    </w:rPr>
  </w:style>
  <w:style w:type="character" w:styleId="979">
    <w:name w:val="标题 3 Char"/>
    <w:next w:val="979"/>
    <w:link w:val="708"/>
    <w:qFormat/>
    <w:rPr>
      <w:rFonts w:ascii="宋体" w:hAnsi="宋体" w:eastAsia="宋体"/>
      <w:b/>
      <w:bCs/>
      <w:sz w:val="24"/>
      <w:szCs w:val="32"/>
      <w:lang w:val="en-US" w:eastAsia="zh-CN" w:bidi="ar-SA"/>
    </w:rPr>
  </w:style>
  <w:style w:type="character" w:styleId="980">
    <w:name w:val="style13"/>
    <w:next w:val="980"/>
    <w:link w:val="708"/>
    <w:qFormat/>
    <w:rPr>
      <w:sz w:val="18"/>
      <w:szCs w:val="18"/>
    </w:rPr>
  </w:style>
  <w:style w:type="character" w:styleId="981">
    <w:name w:val="Char Char27"/>
    <w:next w:val="981"/>
    <w:link w:val="708"/>
    <w:qFormat/>
    <w:rPr>
      <w:b/>
      <w:bCs/>
      <w:sz w:val="44"/>
      <w:szCs w:val="44"/>
    </w:rPr>
  </w:style>
  <w:style w:type="character" w:styleId="982">
    <w:name w:val="Char Char28"/>
    <w:next w:val="982"/>
    <w:link w:val="708"/>
    <w:qFormat/>
    <w:rPr>
      <w:rFonts w:ascii="Arial" w:hAnsi="Arial" w:eastAsia="黑体" w:cs="Arial"/>
      <w:b/>
      <w:bCs/>
      <w:sz w:val="32"/>
      <w:szCs w:val="32"/>
    </w:rPr>
  </w:style>
  <w:style w:type="character" w:styleId="983">
    <w:name w:val="style131"/>
    <w:next w:val="983"/>
    <w:link w:val="708"/>
    <w:qFormat/>
    <w:rPr>
      <w:rFonts w:cs="Times New Roman"/>
      <w:sz w:val="18"/>
      <w:szCs w:val="18"/>
    </w:rPr>
  </w:style>
  <w:style w:type="character" w:styleId="984">
    <w:name w:val="concon"/>
    <w:next w:val="984"/>
    <w:link w:val="708"/>
    <w:qFormat/>
  </w:style>
  <w:style w:type="character" w:styleId="985">
    <w:name w:val="subtitle1"/>
    <w:next w:val="985"/>
    <w:link w:val="708"/>
    <w:qFormat/>
    <w:rPr>
      <w:rFonts w:ascii="Georgia" w:hAnsi="Georgia"/>
      <w:b/>
      <w:bCs/>
      <w:color w:val="666666"/>
      <w:sz w:val="18"/>
      <w:szCs w:val="18"/>
    </w:rPr>
  </w:style>
  <w:style w:type="character" w:styleId="986">
    <w:name w:val="标题 3 Char Char Char Char Char Char Char Char Char Char Char Char Char Char Char Char Char Char Char Char Char Char Char Char Char Char Char Char Char Char Char Char Char Char Char Char Char Char Char Char Char Char Char Char Char Char Char Char Cha Char"/>
    <w:next w:val="986"/>
    <w:link w:val="708"/>
    <w:qFormat/>
    <w:rPr>
      <w:rFonts w:eastAsia="宋体"/>
      <w:b/>
      <w:bCs/>
      <w:sz w:val="32"/>
      <w:szCs w:val="32"/>
      <w:lang w:val="en-US" w:eastAsia="zh-CN" w:bidi="ar-SA"/>
    </w:rPr>
  </w:style>
  <w:style w:type="character" w:styleId="987">
    <w:name w:val="纯文本 Char1"/>
    <w:next w:val="987"/>
    <w:link w:val="708"/>
    <w:qFormat/>
    <w:rPr>
      <w:rFonts w:ascii="宋体" w:hAnsi="Courier New" w:cs="Courier New"/>
      <w:sz w:val="21"/>
      <w:szCs w:val="21"/>
    </w:rPr>
  </w:style>
  <w:style w:type="character" w:styleId="988">
    <w:name w:val="小四 段落 宋体 Char Char Char Char Char"/>
    <w:next w:val="988"/>
    <w:link w:val="708"/>
    <w:qFormat/>
    <w:rPr>
      <w:rFonts w:eastAsia="宋体"/>
      <w:sz w:val="24"/>
      <w:szCs w:val="24"/>
      <w:lang w:val="en-US" w:eastAsia="zh-CN" w:bidi="ar-SA"/>
    </w:rPr>
  </w:style>
  <w:style w:type="character" w:styleId="989">
    <w:name w:val="明显引用 字符"/>
    <w:next w:val="989"/>
    <w:link w:val="990"/>
    <w:qFormat/>
    <w:rPr>
      <w:rFonts w:ascii="Calibri" w:hAnsi="Calibri" w:eastAsia="宋体"/>
      <w:b/>
      <w:bCs/>
      <w:i/>
      <w:iCs/>
      <w:sz w:val="22"/>
      <w:szCs w:val="22"/>
      <w:lang w:val="en-US" w:eastAsia="en-US" w:bidi="en-US"/>
    </w:rPr>
  </w:style>
  <w:style w:type="paragraph" w:styleId="990">
    <w:name w:val="Intense Quote"/>
    <w:basedOn w:val="708"/>
    <w:next w:val="708"/>
    <w:link w:val="989"/>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991">
    <w:name w:val="t1"/>
    <w:next w:val="991"/>
    <w:link w:val="708"/>
    <w:qFormat/>
  </w:style>
  <w:style w:type="character" w:styleId="992">
    <w:name w:val="Title1 Char"/>
    <w:next w:val="992"/>
    <w:link w:val="708"/>
    <w:qFormat/>
    <w:rPr>
      <w:rFonts w:eastAsia="宋体"/>
      <w:b/>
      <w:bCs/>
      <w:sz w:val="44"/>
      <w:szCs w:val="44"/>
      <w:lang w:val="en-US" w:eastAsia="zh-CN" w:bidi="ar-SA"/>
    </w:rPr>
  </w:style>
  <w:style w:type="character" w:styleId="993">
    <w:name w:val="2nd level Char"/>
    <w:next w:val="993"/>
    <w:link w:val="708"/>
    <w:qFormat/>
    <w:rPr>
      <w:rFonts w:ascii="Arial" w:hAnsi="Arial" w:eastAsia="黑体"/>
      <w:b/>
      <w:bCs/>
      <w:sz w:val="32"/>
      <w:szCs w:val="32"/>
      <w:lang w:val="en-US" w:eastAsia="zh-CN" w:bidi="ar-SA"/>
    </w:rPr>
  </w:style>
  <w:style w:type="character" w:styleId="994">
    <w:name w:val="彩色列表 - 强调文字颜色 1 Char"/>
    <w:next w:val="994"/>
    <w:link w:val="995"/>
    <w:qFormat/>
    <w:rPr>
      <w:rFonts w:ascii="Calibri" w:hAnsi="Calibri"/>
      <w:sz w:val="21"/>
      <w:szCs w:val="22"/>
    </w:rPr>
  </w:style>
  <w:style w:type="paragraph" w:styleId="995">
    <w:name w:val="彩色列表 - 强调文字颜色 11"/>
    <w:basedOn w:val="708"/>
    <w:next w:val="995"/>
    <w:link w:val="994"/>
    <w:qFormat/>
    <w:pPr>
      <w:ind w:firstLine="420"/>
    </w:pPr>
    <w:rPr>
      <w:rFonts w:ascii="Calibri" w:hAnsi="Calibri"/>
      <w:szCs w:val="22"/>
    </w:rPr>
  </w:style>
  <w:style w:type="character" w:styleId="996">
    <w:name w:val="ih151"/>
    <w:next w:val="996"/>
    <w:link w:val="708"/>
    <w:qFormat/>
    <w:rPr>
      <w:color w:val="666666"/>
      <w:sz w:val="18"/>
      <w:szCs w:val="18"/>
      <w:u w:val="none"/>
    </w:rPr>
  </w:style>
  <w:style w:type="character" w:styleId="997">
    <w:name w:val="Char Char26"/>
    <w:next w:val="997"/>
    <w:link w:val="708"/>
    <w:qFormat/>
    <w:rPr>
      <w:b/>
      <w:bCs/>
      <w:sz w:val="32"/>
      <w:szCs w:val="32"/>
    </w:rPr>
  </w:style>
  <w:style w:type="character" w:styleId="998">
    <w:name w:val="标题 Char1"/>
    <w:next w:val="998"/>
    <w:link w:val="708"/>
    <w:qFormat/>
    <w:rPr>
      <w:rFonts w:ascii="Cambria" w:eastAsia="宋体" w:cs="Times New Roman"/>
      <w:b/>
      <w:bCs/>
      <w:sz w:val="32"/>
      <w:szCs w:val="32"/>
    </w:rPr>
  </w:style>
  <w:style w:type="character" w:styleId="999">
    <w:name w:val="纯文本 Char Char"/>
    <w:next w:val="999"/>
    <w:link w:val="708"/>
    <w:qFormat/>
    <w:rPr>
      <w:rFonts w:ascii="宋体" w:hAnsi="Courier New" w:eastAsia="宋体"/>
      <w:sz w:val="21"/>
      <w:szCs w:val="21"/>
      <w:lang w:val="en-US" w:eastAsia="zh-CN" w:bidi="ar-SA"/>
    </w:rPr>
  </w:style>
  <w:style w:type="character" w:styleId="1000">
    <w:name w:val="Char Char2"/>
    <w:next w:val="1000"/>
    <w:link w:val="708"/>
    <w:qFormat/>
    <w:rPr>
      <w:rFonts w:ascii="宋体" w:hAnsi="Courier New" w:eastAsia="宋体"/>
      <w:sz w:val="21"/>
      <w:szCs w:val="21"/>
      <w:lang w:val="en-US" w:eastAsia="zh-CN" w:bidi="ar-SA"/>
    </w:rPr>
  </w:style>
  <w:style w:type="character" w:styleId="1001">
    <w:name w:val="Char Char23"/>
    <w:next w:val="1001"/>
    <w:link w:val="708"/>
    <w:qFormat/>
    <w:rPr>
      <w:rFonts w:ascii="Arial" w:hAnsi="Arial" w:eastAsia="黑体"/>
      <w:b/>
      <w:bCs/>
      <w:sz w:val="24"/>
      <w:szCs w:val="24"/>
    </w:rPr>
  </w:style>
  <w:style w:type="character" w:styleId="1002">
    <w:name w:val="表格抬头 Char"/>
    <w:next w:val="1002"/>
    <w:link w:val="1003"/>
    <w:qFormat/>
    <w:rPr>
      <w:rFonts w:ascii="黑体" w:eastAsia="黑体"/>
      <w:b/>
      <w:sz w:val="21"/>
      <w:lang w:bidi="ar-SA"/>
    </w:rPr>
  </w:style>
  <w:style w:type="paragraph" w:styleId="1003">
    <w:name w:val="表格抬头"/>
    <w:basedOn w:val="708"/>
    <w:next w:val="1003"/>
    <w:link w:val="1002"/>
    <w:qFormat/>
    <w:pPr>
      <w:jc w:val="center"/>
    </w:pPr>
    <w:rPr>
      <w:rFonts w:ascii="黑体" w:eastAsia="黑体"/>
      <w:b/>
    </w:rPr>
  </w:style>
  <w:style w:type="character" w:styleId="1004">
    <w:name w:val="样式 首行缩进:  2 字符 Char Char"/>
    <w:next w:val="1004"/>
    <w:link w:val="1005"/>
    <w:qFormat/>
    <w:rPr>
      <w:rFonts w:eastAsia="宋体" w:cs="宋体"/>
      <w:sz w:val="24"/>
      <w:lang w:val="en-US" w:eastAsia="zh-CN" w:bidi="ar-SA"/>
    </w:rPr>
  </w:style>
  <w:style w:type="paragraph" w:styleId="1005">
    <w:name w:val="样式 首行缩进:  2 字符"/>
    <w:basedOn w:val="708"/>
    <w:next w:val="1005"/>
    <w:link w:val="1004"/>
    <w:qFormat/>
    <w:pPr>
      <w:ind w:firstLine="480"/>
      <w:spacing w:line="360" w:lineRule="auto"/>
    </w:pPr>
    <w:rPr>
      <w:rFonts w:cs="宋体"/>
      <w:sz w:val="24"/>
    </w:rPr>
  </w:style>
  <w:style w:type="character" w:styleId="1006">
    <w:name w:val="apple-converted-space"/>
    <w:basedOn w:val="718"/>
    <w:next w:val="1006"/>
    <w:link w:val="708"/>
    <w:qFormat/>
  </w:style>
  <w:style w:type="character" w:styleId="1007">
    <w:name w:val="A2"/>
    <w:next w:val="1007"/>
    <w:link w:val="708"/>
    <w:qFormat/>
    <w:rPr>
      <w:rFonts w:cs="Helvetica LT Pro"/>
      <w:color w:val="000000"/>
      <w:sz w:val="18"/>
      <w:szCs w:val="18"/>
    </w:rPr>
  </w:style>
  <w:style w:type="character" w:styleId="1008">
    <w:name w:val="h Char Char"/>
    <w:next w:val="1008"/>
    <w:link w:val="708"/>
    <w:qFormat/>
    <w:rPr>
      <w:rFonts w:eastAsia="宋体"/>
      <w:sz w:val="18"/>
      <w:szCs w:val="18"/>
      <w:lang w:val="en-US" w:eastAsia="zh-CN" w:bidi="ar-SA"/>
    </w:rPr>
  </w:style>
  <w:style w:type="character" w:styleId="1009">
    <w:name w:val="小四 段落 宋体 Char Char Char1"/>
    <w:next w:val="1009"/>
    <w:link w:val="708"/>
    <w:qFormat/>
    <w:rPr>
      <w:rFonts w:ascii="宋体" w:hAnsi="宋体" w:eastAsia="宋体"/>
      <w:sz w:val="24"/>
      <w:szCs w:val="24"/>
      <w:lang w:val="en-US" w:eastAsia="zh-CN" w:bidi="ar-SA"/>
    </w:rPr>
  </w:style>
  <w:style w:type="character" w:styleId="1010">
    <w:name w:val="标准小四 Char Char"/>
    <w:next w:val="1010"/>
    <w:link w:val="708"/>
    <w:qFormat/>
    <w:rPr>
      <w:rFonts w:ascii="Arial" w:hAnsi="Arial" w:eastAsia="宋体"/>
      <w:sz w:val="24"/>
      <w:szCs w:val="21"/>
      <w:lang w:val="en-US" w:eastAsia="zh-CN" w:bidi="ar-SA"/>
    </w:rPr>
  </w:style>
  <w:style w:type="character" w:styleId="1011">
    <w:name w:val="标准小四 Char"/>
    <w:next w:val="1011"/>
    <w:link w:val="708"/>
    <w:qFormat/>
    <w:rPr>
      <w:rFonts w:ascii="Arial" w:hAnsi="Arial" w:eastAsia="宋体"/>
      <w:sz w:val="24"/>
      <w:szCs w:val="21"/>
      <w:lang w:val="en-US" w:eastAsia="zh-CN" w:bidi="ar-SA"/>
    </w:rPr>
  </w:style>
  <w:style w:type="character" w:styleId="1012">
    <w:name w:val="point_normal1"/>
    <w:next w:val="1012"/>
    <w:link w:val="708"/>
    <w:qFormat/>
    <w:rPr>
      <w:rFonts w:ascii="Arial" w:hAnsi="Arial" w:cs="Arial"/>
      <w:sz w:val="18"/>
      <w:szCs w:val="18"/>
    </w:rPr>
  </w:style>
  <w:style w:type="character" w:styleId="1013">
    <w:name w:val="Char Char21"/>
    <w:next w:val="1013"/>
    <w:link w:val="708"/>
    <w:qFormat/>
    <w:rPr>
      <w:rFonts w:ascii="Arial" w:hAnsi="Arial" w:eastAsia="黑体"/>
      <w:sz w:val="24"/>
      <w:szCs w:val="24"/>
    </w:rPr>
  </w:style>
  <w:style w:type="character" w:styleId="1014">
    <w:name w:val="content_lineheight1"/>
    <w:basedOn w:val="718"/>
    <w:next w:val="1014"/>
    <w:link w:val="708"/>
    <w:qFormat/>
  </w:style>
  <w:style w:type="character" w:styleId="1015">
    <w:name w:val="content"/>
    <w:basedOn w:val="718"/>
    <w:next w:val="1015"/>
    <w:link w:val="708"/>
    <w:qFormat/>
  </w:style>
  <w:style w:type="character" w:styleId="1016">
    <w:name w:val="小四 段落 宋体 Char1"/>
    <w:next w:val="1016"/>
    <w:link w:val="708"/>
    <w:qFormat/>
    <w:rPr>
      <w:rFonts w:eastAsia="宋体"/>
      <w:sz w:val="24"/>
      <w:szCs w:val="24"/>
      <w:lang w:val="en-US" w:eastAsia="zh-CN" w:bidi="ar-SA"/>
    </w:rPr>
  </w:style>
  <w:style w:type="character" w:styleId="1017">
    <w:name w:val="标准文本 Char Char"/>
    <w:next w:val="1017"/>
    <w:link w:val="708"/>
    <w:qFormat/>
    <w:rPr>
      <w:rFonts w:eastAsia="宋体" w:cs="宋体"/>
      <w:sz w:val="24"/>
      <w:szCs w:val="24"/>
      <w:lang w:val="en-US" w:eastAsia="zh-CN" w:bidi="ar-SA"/>
    </w:rPr>
  </w:style>
  <w:style w:type="character" w:styleId="1018">
    <w:name w:val="3zw"/>
    <w:basedOn w:val="718"/>
    <w:next w:val="1018"/>
    <w:link w:val="708"/>
    <w:qFormat/>
  </w:style>
  <w:style w:type="character" w:styleId="1019">
    <w:name w:val="正文缩进 Char1"/>
    <w:next w:val="1019"/>
    <w:link w:val="1020"/>
    <w:qFormat/>
    <w:rPr>
      <w:rFonts w:eastAsia="宋体"/>
      <w:lang w:bidi="ar-SA"/>
    </w:rPr>
  </w:style>
  <w:style w:type="paragraph" w:styleId="1020">
    <w:name w:val="Normal Indent0"/>
    <w:basedOn w:val="708"/>
    <w:next w:val="1020"/>
    <w:link w:val="1019"/>
    <w:qFormat/>
    <w:pPr>
      <w:ind w:firstLine="420"/>
    </w:pPr>
    <w:rPr>
      <w:sz w:val="20"/>
    </w:rPr>
  </w:style>
  <w:style w:type="character" w:styleId="1021">
    <w:name w:val="纯文本 Char Char Char1"/>
    <w:next w:val="1021"/>
    <w:link w:val="708"/>
    <w:qFormat/>
    <w:rPr>
      <w:rFonts w:ascii="宋体" w:hAnsi="Courier New" w:eastAsia="宋体"/>
      <w:sz w:val="21"/>
      <w:szCs w:val="21"/>
      <w:lang w:val="en-US" w:eastAsia="zh-CN" w:bidi="ar-SA"/>
    </w:rPr>
  </w:style>
  <w:style w:type="character" w:styleId="1022">
    <w:name w:val="Char Char20"/>
    <w:next w:val="1022"/>
    <w:link w:val="708"/>
    <w:qFormat/>
    <w:rPr>
      <w:rFonts w:ascii="Arial" w:hAnsi="Arial" w:eastAsia="黑体"/>
      <w:sz w:val="21"/>
      <w:szCs w:val="21"/>
    </w:rPr>
  </w:style>
  <w:style w:type="character" w:styleId="1023">
    <w:name w:val="Subtle Emphasis"/>
    <w:next w:val="1023"/>
    <w:link w:val="708"/>
    <w:qFormat/>
    <w:rPr>
      <w:i/>
      <w:iCs/>
    </w:rPr>
  </w:style>
  <w:style w:type="character" w:styleId="1024">
    <w:name w:val="小四 段落 宋体 Char Char Char Char Char Char Char Char"/>
    <w:next w:val="1024"/>
    <w:link w:val="708"/>
    <w:qFormat/>
    <w:rPr>
      <w:rFonts w:eastAsia="宋体"/>
      <w:sz w:val="24"/>
      <w:szCs w:val="24"/>
      <w:lang w:val="en-US" w:eastAsia="zh-CN" w:bidi="ar-SA"/>
    </w:rPr>
  </w:style>
  <w:style w:type="character" w:styleId="1025">
    <w:name w:val="Intense Emphasis"/>
    <w:next w:val="1025"/>
    <w:link w:val="708"/>
    <w:qFormat/>
    <w:rPr>
      <w:b/>
      <w:bCs/>
    </w:rPr>
  </w:style>
  <w:style w:type="character" w:styleId="1026">
    <w:name w:val="Intense Reference"/>
    <w:next w:val="1026"/>
    <w:link w:val="708"/>
    <w:qFormat/>
    <w:rPr>
      <w:smallCaps/>
      <w:spacing w:val="5"/>
      <w:u w:val="single"/>
    </w:rPr>
  </w:style>
  <w:style w:type="character" w:styleId="1027">
    <w:name w:val="标准文本 Char"/>
    <w:next w:val="1027"/>
    <w:link w:val="708"/>
    <w:qFormat/>
    <w:rPr>
      <w:rFonts w:eastAsia="宋体" w:cs="宋体"/>
      <w:sz w:val="24"/>
      <w:szCs w:val="24"/>
      <w:lang w:val="en-US" w:eastAsia="zh-CN" w:bidi="ar-SA"/>
    </w:rPr>
  </w:style>
  <w:style w:type="character" w:styleId="1028">
    <w:name w:val="标题 3 Char Char"/>
    <w:next w:val="1028"/>
    <w:link w:val="708"/>
    <w:qFormat/>
    <w:rPr>
      <w:rFonts w:eastAsia="方正仿宋_GB2312"/>
      <w:b/>
      <w:bCs/>
      <w:sz w:val="28"/>
      <w:szCs w:val="32"/>
      <w:lang w:val="en-US" w:eastAsia="zh-CN" w:bidi="ar-SA"/>
    </w:rPr>
  </w:style>
  <w:style w:type="character" w:styleId="1029">
    <w:name w:val="Char Char22"/>
    <w:next w:val="1029"/>
    <w:link w:val="708"/>
    <w:qFormat/>
    <w:rPr>
      <w:b/>
      <w:bCs/>
      <w:sz w:val="24"/>
      <w:szCs w:val="24"/>
    </w:rPr>
  </w:style>
  <w:style w:type="character" w:styleId="1030">
    <w:name w:val="Char Char17"/>
    <w:next w:val="1030"/>
    <w:link w:val="708"/>
    <w:qFormat/>
    <w:rPr>
      <w:rFonts w:ascii="宋体" w:hAnsi="Courier New"/>
      <w:sz w:val="21"/>
      <w:szCs w:val="21"/>
    </w:rPr>
  </w:style>
  <w:style w:type="character" w:styleId="1031">
    <w:name w:val="样式 宋体 小四"/>
    <w:next w:val="1031"/>
    <w:link w:val="708"/>
    <w:qFormat/>
    <w:rPr>
      <w:rFonts w:ascii="宋体" w:hAnsi="宋体"/>
      <w:sz w:val="24"/>
    </w:rPr>
  </w:style>
  <w:style w:type="character" w:styleId="1032">
    <w:name w:val="Char Char29"/>
    <w:next w:val="1032"/>
    <w:link w:val="708"/>
    <w:qFormat/>
    <w:rPr>
      <w:rFonts w:ascii="Times New Roman" w:hAnsi="Times New Roman" w:eastAsia="宋体" w:cs="Times New Roman"/>
      <w:b/>
      <w:bCs/>
      <w:sz w:val="44"/>
      <w:szCs w:val="44"/>
    </w:rPr>
  </w:style>
  <w:style w:type="character" w:styleId="1033">
    <w:name w:val="normalfont1"/>
    <w:next w:val="1033"/>
    <w:link w:val="708"/>
    <w:qFormat/>
    <w:rPr>
      <w:rFonts w:ascii="DejaVu Math TeX Gyre" w:hAnsi="DejaVu Math TeX Gyre"/>
      <w:sz w:val="18"/>
      <w:szCs w:val="18"/>
      <w:u w:val="none"/>
    </w:rPr>
  </w:style>
  <w:style w:type="character" w:styleId="1034">
    <w:name w:val="title_emph1"/>
    <w:next w:val="1034"/>
    <w:link w:val="708"/>
    <w:qFormat/>
    <w:rPr>
      <w:rFonts w:ascii="Arial" w:cs="Arial"/>
      <w:b/>
      <w:bCs/>
      <w:sz w:val="18"/>
      <w:szCs w:val="18"/>
    </w:rPr>
  </w:style>
  <w:style w:type="character" w:styleId="1035">
    <w:name w:val="正文 + 宋体 Char"/>
    <w:next w:val="1035"/>
    <w:link w:val="708"/>
    <w:qFormat/>
    <w:rPr>
      <w:rFonts w:eastAsia="宋体"/>
      <w:sz w:val="21"/>
      <w:szCs w:val="24"/>
      <w:lang w:val="en-US" w:eastAsia="zh-CN" w:bidi="ar-SA"/>
    </w:rPr>
  </w:style>
  <w:style w:type="character" w:styleId="1036">
    <w:name w:val="普通文字1 Char"/>
    <w:next w:val="1036"/>
    <w:link w:val="708"/>
    <w:qFormat/>
    <w:rPr>
      <w:rFonts w:ascii="宋体" w:eastAsia="宋体"/>
      <w:sz w:val="21"/>
      <w:szCs w:val="21"/>
      <w:lang w:val="en-US" w:eastAsia="zh-CN" w:bidi="ar-SA"/>
    </w:rPr>
  </w:style>
  <w:style w:type="character" w:styleId="1037">
    <w:name w:val="无间隔 字符"/>
    <w:next w:val="1037"/>
    <w:link w:val="1038"/>
    <w:qFormat/>
    <w:rPr>
      <w:rFonts w:eastAsia="微软雅黑"/>
      <w:sz w:val="24"/>
      <w:szCs w:val="22"/>
      <w:lang w:val="en-US" w:eastAsia="zh-CN" w:bidi="ar-SA"/>
    </w:rPr>
  </w:style>
  <w:style w:type="paragraph" w:styleId="1038">
    <w:name w:val="No Spacing"/>
    <w:next w:val="1038"/>
    <w:link w:val="1037"/>
    <w:qFormat/>
    <w:pPr>
      <w:jc w:val="both"/>
      <w:widowControl w:val="off"/>
    </w:pPr>
    <w:rPr>
      <w:rFonts w:ascii="Times New Roman" w:hAnsi="Times New Roman" w:eastAsia="微软雅黑" w:cs="Times New Roman"/>
      <w:sz w:val="24"/>
      <w:szCs w:val="22"/>
      <w:lang w:val="en-US" w:eastAsia="zh-CN" w:bidi="ar-SA"/>
    </w:rPr>
  </w:style>
  <w:style w:type="character" w:styleId="1039">
    <w:name w:val="新图表正文 Char Char"/>
    <w:next w:val="1039"/>
    <w:link w:val="1040"/>
    <w:qFormat/>
    <w:rPr>
      <w:rFonts w:ascii="宋体" w:hAnsi="宋体"/>
      <w:sz w:val="18"/>
      <w:szCs w:val="21"/>
      <w:lang w:val="en-US" w:eastAsia="zh-CN" w:bidi="ar-SA"/>
    </w:rPr>
  </w:style>
  <w:style w:type="paragraph" w:styleId="1040">
    <w:name w:val="新图表正文"/>
    <w:next w:val="1040"/>
    <w:link w:val="1039"/>
    <w:qFormat/>
    <w:pPr>
      <w:jc w:val="both"/>
    </w:pPr>
    <w:rPr>
      <w:rFonts w:ascii="宋体" w:hAnsi="宋体" w:eastAsia="宋体" w:cs="Times New Roman"/>
      <w:sz w:val="18"/>
      <w:szCs w:val="21"/>
      <w:lang w:val="en-US" w:eastAsia="zh-CN" w:bidi="ar-SA"/>
    </w:rPr>
  </w:style>
  <w:style w:type="character" w:styleId="1041">
    <w:name w:val="样式 首行缩进:  2 字符 Char"/>
    <w:next w:val="1041"/>
    <w:link w:val="708"/>
    <w:qFormat/>
    <w:rPr>
      <w:rFonts w:eastAsia="宋体" w:cs="宋体"/>
      <w:sz w:val="24"/>
      <w:lang w:val="en-US" w:eastAsia="zh-CN" w:bidi="ar-SA"/>
    </w:rPr>
  </w:style>
  <w:style w:type="character" w:styleId="1042">
    <w:name w:val="纯文本 Char Char Char"/>
    <w:next w:val="1042"/>
    <w:link w:val="708"/>
    <w:qFormat/>
    <w:rPr>
      <w:rFonts w:ascii="宋体" w:hAnsi="Courier New" w:eastAsia="宋体"/>
      <w:sz w:val="21"/>
      <w:szCs w:val="21"/>
      <w:lang w:val="en-US" w:eastAsia="zh-CN" w:bidi="ar-SA"/>
    </w:rPr>
  </w:style>
  <w:style w:type="character" w:styleId="1043">
    <w:name w:val="特点 Char1"/>
    <w:next w:val="1043"/>
    <w:link w:val="708"/>
    <w:qFormat/>
    <w:rPr>
      <w:rFonts w:eastAsia="宋体"/>
      <w:sz w:val="21"/>
      <w:lang w:val="en-US" w:eastAsia="zh-CN" w:bidi="ar-SA"/>
    </w:rPr>
  </w:style>
  <w:style w:type="paragraph" w:styleId="1044">
    <w:name w:val="Char"/>
    <w:basedOn w:val="708"/>
    <w:next w:val="1044"/>
    <w:link w:val="708"/>
    <w:qFormat/>
    <w:pPr>
      <w:spacing w:after="156" w:line="360" w:lineRule="auto"/>
    </w:pPr>
    <w:rPr>
      <w:rFonts w:ascii="Tahoma" w:hAnsi="Tahoma"/>
      <w:sz w:val="24"/>
    </w:rPr>
  </w:style>
  <w:style w:type="paragraph" w:styleId="1045">
    <w:name w:val="Item List Char Char"/>
    <w:next w:val="1045"/>
    <w:link w:val="708"/>
    <w:qFormat/>
    <w:pPr>
      <w:jc w:val="both"/>
      <w:spacing w:line="288" w:lineRule="auto"/>
    </w:pPr>
    <w:rPr>
      <w:rFonts w:ascii="Arial" w:hAnsi="Arial" w:eastAsia="宋体" w:cs="Arial"/>
      <w:b/>
      <w:bCs/>
      <w:sz w:val="21"/>
      <w:szCs w:val="28"/>
      <w:lang w:val="en-US" w:eastAsia="zh-CN" w:bidi="ar-SA"/>
    </w:rPr>
  </w:style>
  <w:style w:type="paragraph" w:styleId="1046">
    <w:name w:val="样式 样式 标题 3H3sect1.2.3BOD 0Heading 3 - oldh3l3CTLevel 3 Head... +..."/>
    <w:basedOn w:val="708"/>
    <w:next w:val="1046"/>
    <w:link w:val="708"/>
    <w:qFormat/>
    <w:pPr>
      <w:jc w:val="left"/>
      <w:keepLines/>
      <w:keepNext/>
      <w:spacing w:before="156" w:after="156"/>
      <w:outlineLvl w:val="2"/>
    </w:pPr>
    <w:rPr>
      <w:rFonts w:cs="宋体"/>
      <w:b/>
      <w:bCs/>
      <w:sz w:val="24"/>
    </w:rPr>
  </w:style>
  <w:style w:type="paragraph" w:styleId="1047">
    <w:name w:val="Body Text 20"/>
    <w:basedOn w:val="708"/>
    <w:next w:val="1047"/>
    <w:link w:val="708"/>
    <w:qFormat/>
    <w:pPr>
      <w:ind w:left="720" w:hanging="720"/>
      <w:widowControl/>
    </w:pPr>
    <w:rPr>
      <w:sz w:val="24"/>
      <w:lang w:val="en-GB"/>
    </w:rPr>
  </w:style>
  <w:style w:type="paragraph" w:styleId="1048">
    <w:name w:val="默认段落字体 Para Char Char Char Char Char Char Char Char Char1 Char Char Char Char Char Char Char"/>
    <w:basedOn w:val="736"/>
    <w:next w:val="1048"/>
    <w:link w:val="708"/>
    <w:qFormat/>
  </w:style>
  <w:style w:type="paragraph" w:styleId="1049">
    <w:name w:val="Normal1"/>
    <w:basedOn w:val="708"/>
    <w:next w:val="1049"/>
    <w:link w:val="708"/>
    <w:qFormat/>
    <w:rPr>
      <w:rFonts w:ascii="Calibri" w:hAnsi="Calibri" w:eastAsia="Calibri" w:cs="宋体"/>
      <w:lang w:val="zh-CN"/>
    </w:rPr>
  </w:style>
  <w:style w:type="paragraph" w:styleId="1050">
    <w:name w:val="xl46"/>
    <w:basedOn w:val="708"/>
    <w:next w:val="1050"/>
    <w:link w:val="708"/>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051">
    <w:name w:val="Char Char Char Char Char Char Char Char Char Char Char Char Char Char Char Char Char Char Char Char Char Char Char"/>
    <w:basedOn w:val="708"/>
    <w:next w:val="1051"/>
    <w:link w:val="708"/>
    <w:qFormat/>
    <w:rPr>
      <w:rFonts w:ascii="Tahoma" w:hAnsi="Tahoma"/>
      <w:sz w:val="24"/>
    </w:rPr>
  </w:style>
  <w:style w:type="paragraph" w:styleId="1052">
    <w:name w:val="马刚标题1"/>
    <w:basedOn w:val="709"/>
    <w:next w:val="708"/>
    <w:link w:val="708"/>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053">
    <w:name w:val="7"/>
    <w:basedOn w:val="708"/>
    <w:next w:val="783"/>
    <w:link w:val="708"/>
    <w:qFormat/>
    <w:pPr>
      <w:jc w:val="left"/>
      <w:spacing w:before="100" w:beforeAutospacing="1" w:after="100" w:afterAutospacing="1"/>
      <w:widowControl/>
    </w:pPr>
    <w:rPr>
      <w:rFonts w:ascii="宋体" w:hAnsi="宋体"/>
      <w:sz w:val="24"/>
    </w:rPr>
  </w:style>
  <w:style w:type="paragraph" w:styleId="1054">
    <w:name w:val="样式 样式 首行缩进:  2 字符 + 行距: 1.5 倍行距"/>
    <w:basedOn w:val="708"/>
    <w:next w:val="1054"/>
    <w:link w:val="708"/>
    <w:qFormat/>
    <w:pPr>
      <w:ind w:firstLine="470"/>
      <w:spacing w:line="360" w:lineRule="auto"/>
    </w:pPr>
    <w:rPr>
      <w:sz w:val="24"/>
    </w:rPr>
  </w:style>
  <w:style w:type="paragraph" w:styleId="1055">
    <w:name w:val="xl44"/>
    <w:basedOn w:val="708"/>
    <w:next w:val="1055"/>
    <w:link w:val="70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056">
    <w:name w:val="中等深浅网格 1 - 强调文字颜色 21"/>
    <w:basedOn w:val="708"/>
    <w:next w:val="1056"/>
    <w:link w:val="708"/>
    <w:qFormat/>
    <w:pPr>
      <w:ind w:firstLine="420"/>
    </w:pPr>
    <w:rPr>
      <w:rFonts w:ascii="Calibri" w:hAnsi="Calibri"/>
      <w:szCs w:val="22"/>
    </w:rPr>
  </w:style>
  <w:style w:type="paragraph" w:styleId="1057">
    <w:name w:val="greytypebeni"/>
    <w:basedOn w:val="708"/>
    <w:next w:val="1057"/>
    <w:link w:val="708"/>
    <w:qFormat/>
    <w:pPr>
      <w:jc w:val="left"/>
      <w:widowControl/>
    </w:pPr>
    <w:rPr>
      <w:rFonts w:ascii="宋体" w:hAnsi="宋体" w:cs="宋体"/>
      <w:sz w:val="24"/>
      <w:szCs w:val="24"/>
    </w:rPr>
  </w:style>
  <w:style w:type="paragraph" w:styleId="1058">
    <w:name w:val="font14"/>
    <w:basedOn w:val="708"/>
    <w:next w:val="1058"/>
    <w:link w:val="708"/>
    <w:qFormat/>
    <w:pPr>
      <w:jc w:val="left"/>
      <w:spacing w:before="100" w:beforeAutospacing="1" w:after="100" w:afterAutospacing="1"/>
      <w:widowControl/>
    </w:pPr>
    <w:rPr>
      <w:sz w:val="36"/>
      <w:szCs w:val="36"/>
    </w:rPr>
  </w:style>
  <w:style w:type="paragraph" w:styleId="1059">
    <w:name w:val="xl36"/>
    <w:basedOn w:val="708"/>
    <w:next w:val="1059"/>
    <w:link w:val="7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60">
    <w:name w:val="Char Char Char Char Char Char Char Char Char Char Char Char Char Char"/>
    <w:basedOn w:val="708"/>
    <w:next w:val="1060"/>
    <w:link w:val="708"/>
    <w:qFormat/>
    <w:rPr>
      <w:rFonts w:ascii="Tahoma" w:hAnsi="Tahoma"/>
      <w:sz w:val="24"/>
    </w:rPr>
  </w:style>
  <w:style w:type="paragraph" w:styleId="1061">
    <w:name w:val="标准小四"/>
    <w:basedOn w:val="708"/>
    <w:next w:val="1061"/>
    <w:link w:val="708"/>
    <w:qFormat/>
    <w:pPr>
      <w:ind w:firstLine="480"/>
      <w:spacing w:line="360" w:lineRule="auto"/>
    </w:pPr>
    <w:rPr>
      <w:rFonts w:ascii="Arial" w:hAnsi="Arial"/>
      <w:sz w:val="24"/>
      <w:szCs w:val="21"/>
    </w:rPr>
  </w:style>
  <w:style w:type="paragraph" w:styleId="1062">
    <w:name w:val="样式 段后: 0.25 行"/>
    <w:basedOn w:val="708"/>
    <w:next w:val="1062"/>
    <w:link w:val="708"/>
    <w:qFormat/>
    <w:pPr>
      <w:ind w:firstLine="420"/>
      <w:jc w:val="left"/>
      <w:spacing w:after="78" w:line="300" w:lineRule="auto"/>
      <w:widowControl/>
    </w:pPr>
    <w:rPr>
      <w:rFonts w:ascii="Arial" w:hAnsi="Arial" w:cs="宋体"/>
      <w:sz w:val="22"/>
      <w:lang w:eastAsia="en-US" w:bidi="en-US"/>
    </w:rPr>
  </w:style>
  <w:style w:type="paragraph" w:styleId="1063">
    <w:name w:val="Char Char1"/>
    <w:basedOn w:val="708"/>
    <w:next w:val="1063"/>
    <w:link w:val="708"/>
    <w:qFormat/>
    <w:rPr>
      <w:rFonts w:ascii="Tahoma" w:hAnsi="Tahoma"/>
      <w:sz w:val="24"/>
    </w:rPr>
  </w:style>
  <w:style w:type="paragraph" w:styleId="1064">
    <w:name w:val="样式3"/>
    <w:basedOn w:val="708"/>
    <w:next w:val="708"/>
    <w:link w:val="708"/>
    <w:qFormat/>
    <w:pPr>
      <w:spacing w:line="360" w:lineRule="auto"/>
    </w:pPr>
  </w:style>
  <w:style w:type="paragraph" w:styleId="1065">
    <w:name w:val="_Style 42"/>
    <w:basedOn w:val="708"/>
    <w:next w:val="743"/>
    <w:link w:val="708"/>
    <w:qFormat/>
    <w:rPr>
      <w:rFonts w:ascii="方正楷体_GB2312" w:hAnsi="Arial" w:eastAsia="方正楷体_GB2312"/>
      <w:sz w:val="28"/>
    </w:rPr>
  </w:style>
  <w:style w:type="paragraph" w:styleId="1066">
    <w:name w:val="Char1 Char Char Char"/>
    <w:basedOn w:val="708"/>
    <w:next w:val="1066"/>
    <w:link w:val="708"/>
    <w:qFormat/>
    <w:rPr>
      <w:rFonts w:ascii="Tahoma" w:hAnsi="Tahoma" w:cs="Tahoma"/>
      <w:sz w:val="24"/>
    </w:rPr>
  </w:style>
  <w:style w:type="paragraph" w:styleId="1067">
    <w:name w:val="正文 A"/>
    <w:next w:val="1067"/>
    <w:link w:val="708"/>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068">
    <w:name w:val="Char Char1 Char Char Char Char"/>
    <w:basedOn w:val="736"/>
    <w:next w:val="1068"/>
    <w:link w:val="708"/>
    <w:qFormat/>
    <w:pPr>
      <w:ind w:left="357"/>
      <w:jc w:val="left"/>
      <w:spacing w:line="436" w:lineRule="exact"/>
      <w:outlineLvl w:val="3"/>
    </w:pPr>
    <w:rPr>
      <w:rFonts w:ascii="Tahoma" w:hAnsi="Tahoma" w:cs="Tahoma"/>
      <w:b/>
      <w:sz w:val="24"/>
      <w:szCs w:val="24"/>
    </w:rPr>
  </w:style>
  <w:style w:type="paragraph" w:styleId="1069">
    <w:name w:val="标题 4宋体"/>
    <w:basedOn w:val="712"/>
    <w:next w:val="1069"/>
    <w:link w:val="708"/>
    <w:qFormat/>
    <w:pPr>
      <w:jc w:val="left"/>
      <w:keepLines w:val="0"/>
      <w:spacing w:before="0" w:after="0" w:line="360" w:lineRule="auto"/>
    </w:pPr>
    <w:rPr>
      <w:rFonts w:ascii="宋体" w:hAnsi="宋体" w:eastAsia="宋体"/>
      <w:bCs/>
      <w:color w:val="000000"/>
      <w:sz w:val="24"/>
    </w:rPr>
  </w:style>
  <w:style w:type="paragraph" w:styleId="1070">
    <w:name w:val="xl57"/>
    <w:basedOn w:val="708"/>
    <w:next w:val="1070"/>
    <w:link w:val="708"/>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71">
    <w:name w:val="Char Char Char Char Char Char Char Char Char Char Char Char Char Char Char Char Char Char Char Char Char"/>
    <w:basedOn w:val="708"/>
    <w:next w:val="1071"/>
    <w:link w:val="708"/>
    <w:qFormat/>
    <w:rPr>
      <w:rFonts w:ascii="Tahoma" w:hAnsi="Tahoma" w:cs="Tahoma"/>
      <w:sz w:val="24"/>
    </w:rPr>
  </w:style>
  <w:style w:type="paragraph" w:styleId="1072">
    <w:name w:val="xl45"/>
    <w:basedOn w:val="708"/>
    <w:next w:val="1072"/>
    <w:link w:val="708"/>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073">
    <w:name w:val="xl25"/>
    <w:basedOn w:val="708"/>
    <w:next w:val="1073"/>
    <w:link w:val="708"/>
    <w:qFormat/>
    <w:pPr>
      <w:jc w:val="center"/>
      <w:spacing w:before="100" w:beforeAutospacing="1" w:after="100" w:afterAutospacing="1"/>
      <w:widowControl/>
      <w:pBdr>
        <w:right w:val="single" w:color="000000" w:sz="4" w:space="0"/>
      </w:pBdr>
    </w:pPr>
    <w:rPr>
      <w:szCs w:val="21"/>
    </w:rPr>
  </w:style>
  <w:style w:type="paragraph" w:styleId="1074">
    <w:name w:val="丁华正文"/>
    <w:basedOn w:val="772"/>
    <w:next w:val="1074"/>
    <w:link w:val="708"/>
    <w:qFormat/>
    <w:pPr>
      <w:ind w:left="0" w:firstLine="510"/>
      <w:spacing w:line="360" w:lineRule="auto"/>
    </w:pPr>
    <w:rPr>
      <w:rFonts w:ascii="Times New Roman" w:hAnsi="Times New Roman" w:eastAsia="宋体"/>
      <w:color w:val="000000"/>
      <w:sz w:val="24"/>
      <w:szCs w:val="16"/>
    </w:rPr>
  </w:style>
  <w:style w:type="paragraph" w:styleId="1075">
    <w:name w:val="小四 段落 宋体 Char Char"/>
    <w:basedOn w:val="708"/>
    <w:next w:val="1075"/>
    <w:link w:val="708"/>
    <w:qFormat/>
    <w:pPr>
      <w:ind w:firstLine="480"/>
      <w:spacing w:line="360" w:lineRule="auto"/>
    </w:pPr>
    <w:rPr>
      <w:rFonts w:ascii="宋体" w:hAnsi="宋体"/>
      <w:sz w:val="24"/>
      <w:szCs w:val="24"/>
    </w:rPr>
  </w:style>
  <w:style w:type="paragraph" w:styleId="1076">
    <w:name w:val="样式 标题 2第一章 标题 2Heading 2 HiddenHeading 2 CCBSheading 2H2h2..."/>
    <w:basedOn w:val="710"/>
    <w:next w:val="1076"/>
    <w:link w:val="708"/>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077">
    <w:name w:val="段落"/>
    <w:basedOn w:val="708"/>
    <w:next w:val="1077"/>
    <w:link w:val="708"/>
    <w:qFormat/>
    <w:pPr>
      <w:ind w:firstLine="480"/>
      <w:spacing w:line="460" w:lineRule="exact"/>
    </w:pPr>
    <w:rPr>
      <w:sz w:val="24"/>
    </w:rPr>
  </w:style>
  <w:style w:type="paragraph" w:styleId="1078">
    <w:name w:val="Char Char Char Char Char Char Char Char Char Char Char Char Char Char1"/>
    <w:basedOn w:val="708"/>
    <w:next w:val="1078"/>
    <w:link w:val="708"/>
    <w:qFormat/>
    <w:rPr>
      <w:rFonts w:ascii="Tahoma" w:hAnsi="Tahoma" w:cs="Tahoma"/>
      <w:sz w:val="24"/>
    </w:rPr>
  </w:style>
  <w:style w:type="paragraph" w:styleId="1079">
    <w:name w:val="默认段落字体 Para Char Char Char Char Char Char Char"/>
    <w:basedOn w:val="708"/>
    <w:next w:val="1079"/>
    <w:link w:val="708"/>
    <w:qFormat/>
  </w:style>
  <w:style w:type="paragraph" w:styleId="1080">
    <w:name w:val="af17cgridlangnp1033langf"/>
    <w:next w:val="1080"/>
    <w:link w:val="708"/>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081">
    <w:name w:val="正文 + Arial Char"/>
    <w:basedOn w:val="708"/>
    <w:next w:val="1081"/>
    <w:link w:val="708"/>
    <w:qFormat/>
    <w:pPr>
      <w:ind w:left="315" w:hanging="315"/>
      <w:spacing w:line="300" w:lineRule="auto"/>
      <w:widowControl/>
      <w:tabs>
        <w:tab w:val="left" w:pos="315" w:leader="none"/>
      </w:tabs>
    </w:pPr>
    <w:rPr>
      <w:rFonts w:ascii="Arial" w:hAnsi="Arial" w:cs="Arial"/>
      <w:b/>
      <w:color w:val="000000"/>
    </w:rPr>
  </w:style>
  <w:style w:type="paragraph" w:styleId="1082">
    <w:name w:val="Char1"/>
    <w:basedOn w:val="708"/>
    <w:next w:val="1082"/>
    <w:link w:val="708"/>
    <w:qFormat/>
    <w:pPr>
      <w:jc w:val="left"/>
      <w:spacing w:after="160" w:line="240" w:lineRule="exact"/>
      <w:widowControl/>
    </w:pPr>
    <w:rPr>
      <w:rFonts w:ascii="Verdana" w:hAnsi="Verdana" w:eastAsia="方正仿宋_GB2312"/>
      <w:sz w:val="24"/>
      <w:lang w:eastAsia="en-US"/>
    </w:rPr>
  </w:style>
  <w:style w:type="paragraph" w:styleId="1083">
    <w:name w:val="Pa6"/>
    <w:basedOn w:val="708"/>
    <w:next w:val="708"/>
    <w:link w:val="708"/>
    <w:qFormat/>
    <w:pPr>
      <w:jc w:val="left"/>
      <w:spacing w:line="241" w:lineRule="atLeast"/>
    </w:pPr>
    <w:rPr>
      <w:rFonts w:ascii="DejaVu Math TeX Gyre" w:eastAsia="DejaVu Math TeX Gyre"/>
      <w:sz w:val="24"/>
      <w:szCs w:val="24"/>
    </w:rPr>
  </w:style>
  <w:style w:type="paragraph" w:styleId="1084">
    <w:name w:val="马刚标题3"/>
    <w:basedOn w:val="708"/>
    <w:next w:val="708"/>
    <w:link w:val="708"/>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85">
    <w:name w:val="content_lineheight"/>
    <w:basedOn w:val="708"/>
    <w:next w:val="1085"/>
    <w:link w:val="708"/>
    <w:qFormat/>
    <w:pPr>
      <w:jc w:val="left"/>
      <w:spacing w:before="100" w:beforeAutospacing="1" w:after="100" w:afterAutospacing="1"/>
      <w:widowControl/>
    </w:pPr>
    <w:rPr>
      <w:rFonts w:ascii="宋体" w:hAnsi="宋体"/>
      <w:sz w:val="24"/>
      <w:szCs w:val="24"/>
    </w:rPr>
  </w:style>
  <w:style w:type="paragraph" w:styleId="1086">
    <w:name w:val="默认段落字体 Para Char"/>
    <w:basedOn w:val="708"/>
    <w:next w:val="1086"/>
    <w:link w:val="708"/>
    <w:qFormat/>
    <w:rPr>
      <w:sz w:val="24"/>
      <w:szCs w:val="24"/>
    </w:rPr>
  </w:style>
  <w:style w:type="paragraph" w:styleId="1087">
    <w:name w:val="表格"/>
    <w:basedOn w:val="708"/>
    <w:next w:val="1087"/>
    <w:link w:val="708"/>
    <w:qFormat/>
    <w:pPr>
      <w:ind w:firstLine="21"/>
    </w:pPr>
    <w:rPr>
      <w:rFonts w:ascii="宋体" w:hAnsi="宋体" w:cs="宋体"/>
      <w:sz w:val="20"/>
    </w:rPr>
  </w:style>
  <w:style w:type="paragraph" w:styleId="1088">
    <w:name w:val="Char Char Char Char Char Char Char Char Char Char Char"/>
    <w:basedOn w:val="708"/>
    <w:next w:val="1088"/>
    <w:link w:val="708"/>
    <w:qFormat/>
    <w:rPr>
      <w:rFonts w:ascii="Tahoma" w:hAnsi="Tahoma" w:cs="Tahoma"/>
      <w:sz w:val="24"/>
    </w:rPr>
  </w:style>
  <w:style w:type="paragraph" w:styleId="1089">
    <w:name w:val="丁华标题1"/>
    <w:basedOn w:val="709"/>
    <w:next w:val="1074"/>
    <w:link w:val="708"/>
    <w:qFormat/>
    <w:pPr>
      <w:numPr>
        <w:ilvl w:val="0"/>
        <w:numId w:val="1"/>
      </w:numPr>
      <w:ind w:firstLine="0"/>
      <w:jc w:val="left"/>
      <w:keepLines/>
      <w:spacing w:before="600" w:after="120" w:line="578" w:lineRule="auto"/>
      <w:tabs>
        <w:tab w:val="left" w:pos="567" w:leader="none"/>
        <w:tab w:val="left" w:pos="1440" w:leader="none"/>
      </w:tabs>
    </w:pPr>
    <w:rPr>
      <w:rFonts w:ascii="Times New Roman"/>
      <w:b w:val="0"/>
      <w:sz w:val="32"/>
      <w:szCs w:val="20"/>
    </w:rPr>
  </w:style>
  <w:style w:type="paragraph" w:styleId="1090">
    <w:name w:val="List Paragraph"/>
    <w:basedOn w:val="708"/>
    <w:next w:val="1090"/>
    <w:link w:val="708"/>
    <w:uiPriority w:val="34"/>
    <w:qFormat/>
    <w:pPr>
      <w:ind w:firstLine="420"/>
    </w:pPr>
    <w:rPr>
      <w:szCs w:val="24"/>
    </w:rPr>
  </w:style>
  <w:style w:type="paragraph" w:styleId="1091">
    <w:name w:val="正文表标题"/>
    <w:next w:val="1092"/>
    <w:link w:val="708"/>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92">
    <w:name w:val="段"/>
    <w:next w:val="708"/>
    <w:link w:val="708"/>
    <w:qFormat/>
    <w:pPr>
      <w:ind w:firstLine="200"/>
      <w:jc w:val="both"/>
    </w:pPr>
    <w:rPr>
      <w:rFonts w:ascii="宋体" w:hAnsi="Times New Roman" w:eastAsia="宋体" w:cs="Times New Roman"/>
      <w:sz w:val="21"/>
      <w:lang w:val="en-US" w:eastAsia="zh-CN" w:bidi="ar-SA"/>
    </w:rPr>
  </w:style>
  <w:style w:type="paragraph" w:styleId="1093">
    <w:name w:val="样式"/>
    <w:basedOn w:val="708"/>
    <w:next w:val="1093"/>
    <w:link w:val="708"/>
    <w:qFormat/>
    <w:pPr>
      <w:spacing w:before="120" w:after="120" w:line="360" w:lineRule="auto"/>
    </w:pPr>
    <w:rPr>
      <w:rFonts w:ascii="宋体"/>
      <w:sz w:val="24"/>
    </w:rPr>
  </w:style>
  <w:style w:type="paragraph" w:styleId="1094">
    <w:name w:val="Char2"/>
    <w:basedOn w:val="708"/>
    <w:next w:val="1094"/>
    <w:link w:val="708"/>
    <w:semiHidden/>
    <w:qFormat/>
    <w:rPr>
      <w:rFonts w:ascii="Tahoma" w:hAnsi="Tahoma" w:cs="方正仿宋_GB2312"/>
      <w:sz w:val="24"/>
      <w:szCs w:val="28"/>
    </w:rPr>
  </w:style>
  <w:style w:type="paragraph" w:styleId="1095">
    <w:name w:val="xl43"/>
    <w:basedOn w:val="708"/>
    <w:next w:val="1095"/>
    <w:link w:val="70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096">
    <w:name w:val="font13"/>
    <w:basedOn w:val="708"/>
    <w:next w:val="1096"/>
    <w:link w:val="708"/>
    <w:qFormat/>
    <w:pPr>
      <w:jc w:val="left"/>
      <w:spacing w:before="100" w:beforeAutospacing="1" w:after="100" w:afterAutospacing="1"/>
      <w:widowControl/>
    </w:pPr>
    <w:rPr>
      <w:i/>
      <w:iCs/>
      <w:sz w:val="36"/>
      <w:szCs w:val="36"/>
    </w:rPr>
  </w:style>
  <w:style w:type="paragraph" w:styleId="1097">
    <w:name w:val="a0"/>
    <w:basedOn w:val="708"/>
    <w:next w:val="1097"/>
    <w:link w:val="708"/>
    <w:qFormat/>
    <w:pPr>
      <w:spacing w:before="100" w:beforeAutospacing="1" w:after="100" w:afterAutospacing="1"/>
      <w:widowControl/>
    </w:pPr>
    <w:rPr>
      <w:rFonts w:ascii="宋体" w:hAnsi="宋体" w:cs="宋体"/>
      <w:sz w:val="24"/>
      <w:szCs w:val="24"/>
    </w:rPr>
  </w:style>
  <w:style w:type="paragraph" w:styleId="1098">
    <w:name w:val="项目符号，一级"/>
    <w:basedOn w:val="1099"/>
    <w:next w:val="1099"/>
    <w:link w:val="708"/>
    <w:qFormat/>
    <w:pPr>
      <w:ind w:left="376" w:firstLine="0"/>
      <w:spacing w:line="240" w:lineRule="atLeast"/>
      <w:tabs>
        <w:tab w:val="left" w:pos="1320" w:leader="none"/>
      </w:tabs>
    </w:pPr>
    <w:rPr>
      <w:bCs w:val="0"/>
      <w:color w:val="000000"/>
      <w:szCs w:val="24"/>
    </w:rPr>
  </w:style>
  <w:style w:type="paragraph" w:styleId="1099">
    <w:name w:val="正文格式"/>
    <w:basedOn w:val="708"/>
    <w:next w:val="1099"/>
    <w:link w:val="708"/>
    <w:qFormat/>
    <w:pPr>
      <w:ind w:left="178" w:right="44" w:hanging="178"/>
      <w:jc w:val="left"/>
      <w:spacing w:before="78" w:line="360" w:lineRule="auto"/>
      <w:widowControl/>
    </w:pPr>
    <w:rPr>
      <w:rFonts w:ascii="宋体" w:hAnsi="宋体"/>
      <w:bCs/>
      <w:szCs w:val="21"/>
    </w:rPr>
  </w:style>
  <w:style w:type="paragraph" w:styleId="1100">
    <w:name w:val="Char Char Char Char Char Char Char"/>
    <w:basedOn w:val="708"/>
    <w:next w:val="1100"/>
    <w:link w:val="708"/>
    <w:qFormat/>
    <w:rPr>
      <w:rFonts w:ascii="Tahoma" w:hAnsi="Tahoma"/>
      <w:sz w:val="24"/>
    </w:rPr>
  </w:style>
  <w:style w:type="paragraph" w:styleId="1101">
    <w:name w:val="xl63"/>
    <w:basedOn w:val="708"/>
    <w:next w:val="1101"/>
    <w:link w:val="708"/>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102">
    <w:name w:val="Char Char11"/>
    <w:basedOn w:val="708"/>
    <w:next w:val="1102"/>
    <w:link w:val="708"/>
    <w:qFormat/>
    <w:rPr>
      <w:rFonts w:ascii="Tahoma" w:hAnsi="Tahoma" w:cs="Tahoma"/>
      <w:sz w:val="24"/>
    </w:rPr>
  </w:style>
  <w:style w:type="paragraph" w:styleId="1103">
    <w:name w:val="Char Char Char Char Char"/>
    <w:basedOn w:val="708"/>
    <w:next w:val="1103"/>
    <w:link w:val="708"/>
    <w:qFormat/>
    <w:rPr>
      <w:rFonts w:ascii="Tahoma" w:hAnsi="Tahoma"/>
      <w:sz w:val="24"/>
    </w:rPr>
  </w:style>
  <w:style w:type="paragraph" w:styleId="1104">
    <w:name w:val="正文lzq"/>
    <w:basedOn w:val="708"/>
    <w:next w:val="1104"/>
    <w:link w:val="708"/>
    <w:qFormat/>
    <w:pPr>
      <w:ind w:firstLine="480"/>
      <w:spacing w:line="360" w:lineRule="auto"/>
    </w:pPr>
    <w:rPr>
      <w:sz w:val="24"/>
    </w:rPr>
  </w:style>
  <w:style w:type="paragraph" w:styleId="1105">
    <w:name w:val="xl52"/>
    <w:basedOn w:val="708"/>
    <w:next w:val="1105"/>
    <w:link w:val="708"/>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06">
    <w:name w:val="xl56"/>
    <w:basedOn w:val="708"/>
    <w:next w:val="1106"/>
    <w:link w:val="70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07">
    <w:name w:val="xl62"/>
    <w:basedOn w:val="708"/>
    <w:next w:val="1107"/>
    <w:link w:val="70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08">
    <w:name w:val="列表内容"/>
    <w:basedOn w:val="708"/>
    <w:next w:val="708"/>
    <w:link w:val="708"/>
    <w:qFormat/>
    <w:pPr>
      <w:ind w:left="840" w:hanging="420"/>
      <w:jc w:val="left"/>
      <w:widowControl/>
      <w:tabs>
        <w:tab w:val="left" w:pos="840" w:leader="none"/>
      </w:tabs>
    </w:pPr>
    <w:rPr>
      <w:sz w:val="18"/>
      <w:szCs w:val="24"/>
    </w:rPr>
  </w:style>
  <w:style w:type="paragraph" w:styleId="1109">
    <w:name w:val="xl47"/>
    <w:basedOn w:val="708"/>
    <w:next w:val="1109"/>
    <w:link w:val="70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10">
    <w:name w:val="xl42"/>
    <w:basedOn w:val="708"/>
    <w:next w:val="1110"/>
    <w:link w:val="7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11">
    <w:name w:val="xl53"/>
    <w:basedOn w:val="708"/>
    <w:next w:val="1111"/>
    <w:link w:val="70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12">
    <w:name w:val="Default"/>
    <w:next w:val="708"/>
    <w:link w:val="708"/>
    <w:qFormat/>
    <w:pPr>
      <w:widowControl w:val="off"/>
    </w:pPr>
    <w:rPr>
      <w:rFonts w:ascii="宋体" w:hAnsi="Times New Roman" w:eastAsia="宋体" w:cs="宋体"/>
      <w:color w:val="000000"/>
      <w:sz w:val="24"/>
      <w:szCs w:val="24"/>
      <w:lang w:val="en-US" w:eastAsia="zh-CN" w:bidi="ar-SA"/>
    </w:rPr>
  </w:style>
  <w:style w:type="paragraph" w:styleId="1113">
    <w:name w:val="Char Char Char Char Char Char Char Char Char"/>
    <w:basedOn w:val="708"/>
    <w:next w:val="1113"/>
    <w:link w:val="708"/>
    <w:qFormat/>
    <w:pPr>
      <w:ind w:left="200" w:hanging="200"/>
      <w:tabs>
        <w:tab w:val="left" w:pos="360" w:leader="none"/>
      </w:tabs>
    </w:pPr>
    <w:rPr>
      <w:sz w:val="24"/>
      <w:szCs w:val="24"/>
    </w:rPr>
  </w:style>
  <w:style w:type="paragraph" w:styleId="1114">
    <w:name w:val="font9"/>
    <w:basedOn w:val="708"/>
    <w:next w:val="1114"/>
    <w:link w:val="708"/>
    <w:qFormat/>
    <w:pPr>
      <w:jc w:val="left"/>
      <w:spacing w:before="100" w:beforeAutospacing="1" w:after="100" w:afterAutospacing="1"/>
      <w:widowControl/>
    </w:pPr>
    <w:rPr>
      <w:b/>
      <w:bCs/>
      <w:sz w:val="20"/>
    </w:rPr>
  </w:style>
  <w:style w:type="paragraph" w:styleId="1115">
    <w:name w:val="华宇段落1 Char"/>
    <w:basedOn w:val="708"/>
    <w:next w:val="1115"/>
    <w:link w:val="708"/>
    <w:qFormat/>
    <w:pPr>
      <w:ind w:firstLine="200"/>
      <w:spacing w:line="360" w:lineRule="auto"/>
    </w:pPr>
    <w:rPr>
      <w:bCs/>
      <w:sz w:val="24"/>
      <w:szCs w:val="24"/>
    </w:rPr>
  </w:style>
  <w:style w:type="paragraph" w:styleId="1116">
    <w:name w:val="段 Char"/>
    <w:next w:val="1116"/>
    <w:link w:val="708"/>
    <w:qFormat/>
    <w:pPr>
      <w:ind w:firstLine="200"/>
      <w:jc w:val="both"/>
    </w:pPr>
    <w:rPr>
      <w:rFonts w:ascii="宋体" w:hAnsi="Times New Roman" w:eastAsia="宋体" w:cs="Times New Roman"/>
      <w:sz w:val="21"/>
      <w:lang w:val="en-US" w:eastAsia="zh-CN" w:bidi="ar-SA"/>
    </w:rPr>
  </w:style>
  <w:style w:type="paragraph" w:styleId="1117">
    <w:name w:val="xl35"/>
    <w:basedOn w:val="708"/>
    <w:next w:val="1117"/>
    <w:link w:val="7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18">
    <w:name w:val="表头_5"/>
    <w:basedOn w:val="708"/>
    <w:next w:val="1118"/>
    <w:link w:val="708"/>
    <w:qFormat/>
    <w:pPr>
      <w:spacing w:line="360" w:lineRule="auto"/>
    </w:pPr>
    <w:rPr>
      <w:b/>
      <w:bCs/>
      <w:sz w:val="28"/>
      <w:szCs w:val="21"/>
    </w:rPr>
  </w:style>
  <w:style w:type="paragraph" w:styleId="1119">
    <w:name w:val="xl39"/>
    <w:basedOn w:val="708"/>
    <w:next w:val="1119"/>
    <w:link w:val="7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20">
    <w:name w:val="样式 样式 首行缩进:  0.74 厘米 行距: 1.5 倍行距 + 段后: 0.5 行"/>
    <w:basedOn w:val="708"/>
    <w:next w:val="1120"/>
    <w:link w:val="708"/>
    <w:qFormat/>
    <w:pPr>
      <w:ind w:firstLine="420"/>
      <w:spacing w:line="360" w:lineRule="auto"/>
    </w:pPr>
    <w:rPr>
      <w:rFonts w:ascii="方正楷体_GB2312" w:eastAsia="方正楷体_GB2312"/>
      <w:bCs/>
      <w:sz w:val="24"/>
    </w:rPr>
  </w:style>
  <w:style w:type="paragraph" w:styleId="1121">
    <w:name w:val="小四 段落 宋体 Char"/>
    <w:basedOn w:val="733"/>
    <w:next w:val="1121"/>
    <w:link w:val="708"/>
    <w:qFormat/>
    <w:pPr>
      <w:ind w:left="0" w:right="-33" w:firstLine="600"/>
      <w:jc w:val="left"/>
      <w:tabs>
        <w:tab w:val="clear" w:pos="2952" w:leader="none"/>
      </w:tabs>
    </w:pPr>
    <w:rPr>
      <w:rFonts w:ascii="方正仿宋_GB2312" w:eastAsia="方正仿宋_GB2312"/>
      <w:sz w:val="30"/>
      <w:szCs w:val="30"/>
    </w:rPr>
  </w:style>
  <w:style w:type="paragraph" w:styleId="1122">
    <w:name w:val="Char Char Char"/>
    <w:basedOn w:val="708"/>
    <w:next w:val="1122"/>
    <w:link w:val="708"/>
    <w:qFormat/>
    <w:rPr>
      <w:rFonts w:ascii="Tahoma" w:hAnsi="Tahoma"/>
      <w:sz w:val="24"/>
    </w:rPr>
  </w:style>
  <w:style w:type="paragraph" w:styleId="1123">
    <w:name w:val="No Spacing0"/>
    <w:next w:val="1123"/>
    <w:link w:val="708"/>
    <w:qFormat/>
    <w:pPr>
      <w:jc w:val="both"/>
      <w:widowControl w:val="off"/>
    </w:pPr>
    <w:rPr>
      <w:rFonts w:ascii="Times New Roman" w:hAnsi="Times New Roman" w:eastAsia="微软雅黑" w:cs="Times New Roman"/>
      <w:sz w:val="24"/>
      <w:szCs w:val="22"/>
      <w:lang w:val="en-US" w:eastAsia="zh-CN" w:bidi="ar-SA"/>
    </w:rPr>
  </w:style>
  <w:style w:type="paragraph" w:styleId="1124">
    <w:name w:val="纯文本1"/>
    <w:basedOn w:val="708"/>
    <w:next w:val="1124"/>
    <w:link w:val="708"/>
    <w:qFormat/>
    <w:rPr>
      <w:rFonts w:ascii="宋体" w:hAnsi="宋体" w:eastAsia="方正楷体_GB2312" w:cs="宋体"/>
      <w:sz w:val="28"/>
    </w:rPr>
  </w:style>
  <w:style w:type="paragraph" w:styleId="1125">
    <w:name w:val="Char Char Char Char"/>
    <w:basedOn w:val="736"/>
    <w:next w:val="1125"/>
    <w:link w:val="708"/>
    <w:qFormat/>
    <w:pPr>
      <w:spacing w:line="360" w:lineRule="auto"/>
    </w:pPr>
    <w:rPr>
      <w:rFonts w:ascii="Tahoma" w:hAnsi="Tahoma"/>
      <w:sz w:val="24"/>
      <w:szCs w:val="24"/>
    </w:rPr>
  </w:style>
  <w:style w:type="paragraph" w:styleId="1126">
    <w:name w:val="符号与编号 Char Char"/>
    <w:basedOn w:val="708"/>
    <w:next w:val="1126"/>
    <w:link w:val="708"/>
    <w:qFormat/>
    <w:pPr>
      <w:ind w:left="839" w:hanging="419"/>
      <w:spacing w:after="156" w:line="400" w:lineRule="atLeast"/>
      <w:tabs>
        <w:tab w:val="left" w:pos="840" w:leader="none"/>
      </w:tabs>
    </w:pPr>
    <w:rPr>
      <w:sz w:val="24"/>
      <w:szCs w:val="24"/>
    </w:rPr>
  </w:style>
  <w:style w:type="paragraph" w:styleId="1127">
    <w:name w:val="Pa5"/>
    <w:basedOn w:val="708"/>
    <w:next w:val="708"/>
    <w:link w:val="708"/>
    <w:qFormat/>
    <w:pPr>
      <w:jc w:val="left"/>
      <w:spacing w:line="241" w:lineRule="atLeast"/>
    </w:pPr>
    <w:rPr>
      <w:rFonts w:ascii="DejaVu Math TeX Gyre" w:eastAsia="DejaVu Math TeX Gyre"/>
      <w:sz w:val="24"/>
      <w:szCs w:val="24"/>
    </w:rPr>
  </w:style>
  <w:style w:type="paragraph" w:styleId="1128">
    <w:name w:val="Table Paragraph"/>
    <w:basedOn w:val="708"/>
    <w:next w:val="1128"/>
    <w:link w:val="708"/>
    <w:uiPriority w:val="1"/>
    <w:qFormat/>
    <w:rPr>
      <w:rFonts w:ascii="宋体" w:hAnsi="宋体" w:cs="宋体"/>
      <w:lang w:val="zh-CN" w:bidi="zh-CN"/>
    </w:rPr>
  </w:style>
  <w:style w:type="paragraph" w:styleId="1129">
    <w:name w:val="列出段落1"/>
    <w:basedOn w:val="708"/>
    <w:next w:val="1129"/>
    <w:link w:val="708"/>
    <w:qFormat/>
    <w:pPr>
      <w:contextualSpacing/>
      <w:ind w:left="720"/>
      <w:jc w:val="left"/>
      <w:widowControl/>
    </w:pPr>
    <w:rPr>
      <w:rFonts w:ascii="Arial" w:hAnsi="Arial" w:eastAsia="黑体"/>
      <w:sz w:val="24"/>
      <w:szCs w:val="24"/>
      <w:lang w:eastAsia="en-US"/>
    </w:rPr>
  </w:style>
  <w:style w:type="paragraph" w:styleId="1130">
    <w:name w:val="xl37"/>
    <w:basedOn w:val="708"/>
    <w:next w:val="1130"/>
    <w:link w:val="7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31">
    <w:name w:val="Bullets L1"/>
    <w:basedOn w:val="708"/>
    <w:next w:val="1131"/>
    <w:link w:val="708"/>
    <w:qFormat/>
    <w:pPr>
      <w:numPr>
        <w:ilvl w:val="0"/>
        <w:numId w:val="2"/>
      </w:numPr>
      <w:jc w:val="left"/>
      <w:spacing w:before="60" w:after="60"/>
      <w:widowControl/>
      <w:tabs>
        <w:tab w:val="left" w:pos="360" w:leader="none"/>
      </w:tabs>
    </w:pPr>
    <w:rPr>
      <w:rFonts w:ascii="Arial" w:hAnsi="Arial"/>
      <w:sz w:val="20"/>
    </w:rPr>
  </w:style>
  <w:style w:type="paragraph" w:styleId="1132">
    <w:name w:val="xl38"/>
    <w:basedOn w:val="708"/>
    <w:next w:val="1132"/>
    <w:link w:val="7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33">
    <w:name w:val="表格1"/>
    <w:basedOn w:val="708"/>
    <w:next w:val="1133"/>
    <w:link w:val="708"/>
    <w:qFormat/>
    <w:rPr>
      <w:rFonts w:ascii="宋体"/>
      <w:szCs w:val="21"/>
    </w:rPr>
  </w:style>
  <w:style w:type="paragraph" w:styleId="1134">
    <w:name w:val="标题3"/>
    <w:basedOn w:val="711"/>
    <w:next w:val="1134"/>
    <w:link w:val="708"/>
    <w:qFormat/>
    <w:pPr>
      <w:keepLines w:val="0"/>
      <w:keepNext w:val="0"/>
      <w:spacing w:line="360" w:lineRule="auto"/>
    </w:pPr>
    <w:rPr>
      <w:rFonts w:eastAsia="方正仿宋_GB2312"/>
      <w:b w:val="0"/>
      <w:bCs/>
      <w:sz w:val="30"/>
      <w:szCs w:val="32"/>
    </w:rPr>
  </w:style>
  <w:style w:type="paragraph" w:styleId="1135">
    <w:name w:val="xl49"/>
    <w:basedOn w:val="708"/>
    <w:next w:val="1135"/>
    <w:link w:val="708"/>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136">
    <w:name w:val="正文 首行缩进:  2 字符 Char"/>
    <w:basedOn w:val="708"/>
    <w:next w:val="1136"/>
    <w:link w:val="708"/>
    <w:qFormat/>
    <w:pPr>
      <w:ind w:firstLine="480"/>
      <w:spacing w:line="360" w:lineRule="auto"/>
    </w:pPr>
    <w:rPr>
      <w:rFonts w:cs="宋体"/>
      <w:sz w:val="24"/>
    </w:rPr>
  </w:style>
  <w:style w:type="paragraph" w:styleId="1137">
    <w:name w:val="Char Char Char Char Char Char Char1 Char"/>
    <w:basedOn w:val="708"/>
    <w:next w:val="1137"/>
    <w:link w:val="708"/>
    <w:qFormat/>
    <w:rPr>
      <w:rFonts w:ascii="Tahoma" w:hAnsi="Tahoma" w:cs="Tahoma"/>
      <w:sz w:val="24"/>
    </w:rPr>
  </w:style>
  <w:style w:type="paragraph" w:styleId="1138">
    <w:name w:val="标题3，章节第三层"/>
    <w:basedOn w:val="708"/>
    <w:next w:val="1099"/>
    <w:link w:val="708"/>
    <w:qFormat/>
    <w:pPr>
      <w:spacing w:before="78" w:line="300" w:lineRule="auto"/>
      <w:outlineLvl w:val="2"/>
    </w:pPr>
    <w:rPr>
      <w:rFonts w:ascii="Arial" w:hAnsi="Arial" w:eastAsia="华文细黑"/>
      <w:sz w:val="30"/>
      <w:szCs w:val="24"/>
    </w:rPr>
  </w:style>
  <w:style w:type="paragraph" w:styleId="1139">
    <w:name w:val="font6"/>
    <w:basedOn w:val="708"/>
    <w:next w:val="1139"/>
    <w:link w:val="708"/>
    <w:qFormat/>
    <w:pPr>
      <w:jc w:val="left"/>
      <w:spacing w:before="100" w:beforeAutospacing="1" w:after="100" w:afterAutospacing="1"/>
      <w:widowControl/>
    </w:pPr>
    <w:rPr>
      <w:rFonts w:ascii="宋体" w:hAnsi="宋体" w:cs="宋体"/>
      <w:b/>
      <w:bCs/>
      <w:sz w:val="20"/>
    </w:rPr>
  </w:style>
  <w:style w:type="paragraph" w:styleId="1140">
    <w:name w:val="Item Step in Table"/>
    <w:next w:val="1140"/>
    <w:link w:val="708"/>
    <w:qFormat/>
    <w:pPr>
      <w:numPr>
        <w:ilvl w:val="0"/>
        <w:numId w:val="3"/>
      </w:numPr>
      <w:jc w:val="both"/>
      <w:spacing w:before="40" w:after="40"/>
      <w:tabs>
        <w:tab w:val="left" w:pos="397" w:leader="none"/>
      </w:tabs>
    </w:pPr>
    <w:rPr>
      <w:rFonts w:ascii="Arial" w:hAnsi="Arial" w:eastAsia="宋体" w:cs="Arial"/>
      <w:sz w:val="18"/>
      <w:szCs w:val="18"/>
      <w:lang w:val="en-US" w:eastAsia="zh-CN" w:bidi="ar-SA"/>
    </w:rPr>
  </w:style>
  <w:style w:type="paragraph" w:styleId="1141">
    <w:name w:val="Char Char Char Char Char Char Char Char Char Char Char Char Char"/>
    <w:basedOn w:val="708"/>
    <w:next w:val="1141"/>
    <w:link w:val="708"/>
    <w:qFormat/>
    <w:pPr>
      <w:jc w:val="left"/>
      <w:spacing w:after="160" w:line="240" w:lineRule="exact"/>
      <w:widowControl/>
    </w:pPr>
    <w:rPr>
      <w:szCs w:val="24"/>
    </w:rPr>
  </w:style>
  <w:style w:type="paragraph" w:styleId="1142">
    <w:name w:val="Char Char Char Char Char Char Char Char Char1"/>
    <w:basedOn w:val="708"/>
    <w:next w:val="1142"/>
    <w:link w:val="708"/>
    <w:qFormat/>
    <w:pPr>
      <w:ind w:left="360" w:hanging="360"/>
      <w:tabs>
        <w:tab w:val="left" w:pos="360" w:leader="none"/>
      </w:tabs>
    </w:pPr>
    <w:rPr>
      <w:sz w:val="24"/>
      <w:szCs w:val="24"/>
    </w:rPr>
  </w:style>
  <w:style w:type="paragraph" w:styleId="1143">
    <w:name w:val="列出段落2"/>
    <w:basedOn w:val="708"/>
    <w:next w:val="1143"/>
    <w:link w:val="708"/>
    <w:qFormat/>
    <w:pPr>
      <w:ind w:left="720"/>
      <w:jc w:val="left"/>
      <w:widowControl/>
    </w:pPr>
    <w:rPr>
      <w:rFonts w:ascii="Arial" w:hAnsi="Arial" w:eastAsia="黑体" w:cs="Arial"/>
      <w:sz w:val="24"/>
      <w:szCs w:val="24"/>
      <w:lang w:eastAsia="en-US"/>
    </w:rPr>
  </w:style>
  <w:style w:type="paragraph" w:styleId="1144">
    <w:name w:val="font5"/>
    <w:basedOn w:val="708"/>
    <w:next w:val="1144"/>
    <w:link w:val="708"/>
    <w:qFormat/>
    <w:pPr>
      <w:jc w:val="left"/>
      <w:spacing w:before="100" w:beforeAutospacing="1" w:after="100" w:afterAutospacing="1"/>
      <w:widowControl/>
    </w:pPr>
    <w:rPr>
      <w:rFonts w:ascii="宋体" w:hAnsi="宋体" w:cs="宋体"/>
      <w:sz w:val="18"/>
      <w:szCs w:val="18"/>
    </w:rPr>
  </w:style>
  <w:style w:type="paragraph" w:styleId="1145">
    <w:name w:val="xl59"/>
    <w:basedOn w:val="708"/>
    <w:next w:val="1145"/>
    <w:link w:val="708"/>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46">
    <w:name w:val="Char Char"/>
    <w:basedOn w:val="708"/>
    <w:next w:val="1146"/>
    <w:link w:val="708"/>
    <w:qFormat/>
    <w:rPr>
      <w:rFonts w:ascii="Tahoma" w:hAnsi="Tahoma" w:cs="Tahoma"/>
      <w:sz w:val="24"/>
    </w:rPr>
  </w:style>
  <w:style w:type="paragraph" w:styleId="1147">
    <w:name w:val="样式2"/>
    <w:basedOn w:val="708"/>
    <w:next w:val="1147"/>
    <w:link w:val="708"/>
    <w:qFormat/>
    <w:pPr>
      <w:ind w:left="200"/>
      <w:spacing w:line="360" w:lineRule="auto"/>
    </w:pPr>
    <w:rPr>
      <w:rFonts w:ascii="宋体" w:hAnsi="宋体"/>
      <w:b/>
      <w:sz w:val="24"/>
      <w:szCs w:val="24"/>
    </w:rPr>
  </w:style>
  <w:style w:type="paragraph" w:styleId="1148">
    <w:name w:val="正文 居中"/>
    <w:basedOn w:val="708"/>
    <w:next w:val="1148"/>
    <w:link w:val="708"/>
    <w:qFormat/>
    <w:pPr>
      <w:jc w:val="center"/>
      <w:spacing w:line="360" w:lineRule="auto"/>
    </w:pPr>
    <w:rPr>
      <w:sz w:val="24"/>
    </w:rPr>
  </w:style>
  <w:style w:type="paragraph" w:styleId="1149">
    <w:name w:val="xl33"/>
    <w:basedOn w:val="708"/>
    <w:next w:val="1149"/>
    <w:link w:val="7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50">
    <w:name w:val="Char Char Char Char Char Char Char Char"/>
    <w:basedOn w:val="708"/>
    <w:next w:val="1150"/>
    <w:link w:val="708"/>
    <w:qFormat/>
    <w:rPr>
      <w:rFonts w:ascii="Tahoma" w:hAnsi="Tahoma" w:cs="Tahoma"/>
      <w:sz w:val="24"/>
    </w:rPr>
  </w:style>
  <w:style w:type="paragraph" w:styleId="1151">
    <w:name w:val="丁华标题2"/>
    <w:basedOn w:val="710"/>
    <w:next w:val="1074"/>
    <w:link w:val="708"/>
    <w:qFormat/>
    <w:pPr>
      <w:numPr>
        <w:ilvl w:val="1"/>
        <w:numId w:val="1"/>
      </w:numPr>
      <w:spacing w:line="415" w:lineRule="auto"/>
      <w:tabs>
        <w:tab w:val="left" w:pos="1004" w:leader="none"/>
      </w:tabs>
    </w:pPr>
    <w:rPr>
      <w:rFonts w:ascii="Arial" w:hAnsi="Arial" w:eastAsia="黑体"/>
      <w:b w:val="0"/>
      <w:sz w:val="28"/>
      <w:szCs w:val="20"/>
    </w:rPr>
  </w:style>
  <w:style w:type="paragraph" w:styleId="1152">
    <w:name w:val="flName"/>
    <w:basedOn w:val="1153"/>
    <w:next w:val="1152"/>
    <w:link w:val="708"/>
    <w:qFormat/>
    <w:pPr>
      <w:spacing w:before="0" w:line="113" w:lineRule="atLeast"/>
    </w:pPr>
  </w:style>
  <w:style w:type="paragraph" w:styleId="1153">
    <w:name w:val="flNote"/>
    <w:basedOn w:val="708"/>
    <w:next w:val="1153"/>
    <w:link w:val="708"/>
    <w:qFormat/>
    <w:pPr>
      <w:jc w:val="center"/>
      <w:spacing w:before="567" w:line="360" w:lineRule="atLeast"/>
    </w:pPr>
    <w:rPr>
      <w:rFonts w:eastAsia="黑体"/>
      <w:b/>
      <w:sz w:val="24"/>
    </w:rPr>
  </w:style>
  <w:style w:type="paragraph" w:styleId="1154">
    <w:name w:val="font7"/>
    <w:basedOn w:val="708"/>
    <w:next w:val="1154"/>
    <w:link w:val="708"/>
    <w:qFormat/>
    <w:pPr>
      <w:jc w:val="left"/>
      <w:spacing w:before="100" w:beforeAutospacing="1" w:after="100" w:afterAutospacing="1"/>
      <w:widowControl/>
    </w:pPr>
    <w:rPr>
      <w:rFonts w:hint="eastAsia" w:ascii="宋体" w:hAnsi="宋体"/>
      <w:b/>
      <w:bCs/>
      <w:sz w:val="24"/>
      <w:szCs w:val="24"/>
    </w:rPr>
  </w:style>
  <w:style w:type="paragraph" w:styleId="1155">
    <w:name w:val="xl48"/>
    <w:basedOn w:val="708"/>
    <w:next w:val="1155"/>
    <w:link w:val="708"/>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56">
    <w:name w:val="Char Char Char Char Char Char Char Char Char Char Char1"/>
    <w:basedOn w:val="708"/>
    <w:next w:val="1156"/>
    <w:link w:val="708"/>
    <w:qFormat/>
    <w:rPr>
      <w:rFonts w:ascii="Tahoma" w:hAnsi="Tahoma"/>
      <w:sz w:val="24"/>
    </w:rPr>
  </w:style>
  <w:style w:type="paragraph" w:styleId="1157">
    <w:name w:val="xl61"/>
    <w:basedOn w:val="708"/>
    <w:next w:val="1157"/>
    <w:link w:val="708"/>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58">
    <w:name w:val="Test2"/>
    <w:basedOn w:val="710"/>
    <w:next w:val="1158"/>
    <w:link w:val="708"/>
    <w:qFormat/>
    <w:pPr>
      <w:jc w:val="center"/>
      <w:spacing w:before="156" w:after="156" w:line="480" w:lineRule="exact"/>
      <w:widowControl/>
    </w:pPr>
    <w:rPr>
      <w:rFonts w:ascii="黑体" w:hAnsi="Arial" w:eastAsia="黑体"/>
      <w:bCs/>
      <w:sz w:val="24"/>
    </w:rPr>
  </w:style>
  <w:style w:type="paragraph" w:styleId="1159">
    <w:name w:val="插图"/>
    <w:basedOn w:val="708"/>
    <w:next w:val="1159"/>
    <w:link w:val="708"/>
    <w:qFormat/>
    <w:pPr>
      <w:jc w:val="center"/>
      <w:tabs>
        <w:tab w:val="left" w:pos="1620" w:leader="none"/>
      </w:tabs>
    </w:pPr>
    <w:rPr>
      <w:bCs/>
      <w:color w:val="000000"/>
      <w:szCs w:val="22"/>
    </w:rPr>
  </w:style>
  <w:style w:type="paragraph" w:styleId="1160">
    <w:name w:val="tableau"/>
    <w:basedOn w:val="708"/>
    <w:next w:val="1160"/>
    <w:link w:val="708"/>
    <w:qFormat/>
    <w:pPr>
      <w:jc w:val="center"/>
      <w:spacing w:before="20" w:after="20"/>
      <w:widowControl/>
    </w:pPr>
    <w:rPr>
      <w:rFonts w:ascii="Arial" w:hAnsi="Arial"/>
      <w:sz w:val="16"/>
      <w:lang w:val="en-GB" w:eastAsia="en-US"/>
    </w:rPr>
  </w:style>
  <w:style w:type="paragraph" w:styleId="1161">
    <w:name w:val="正文 首行缩进:  2 字符 Char Char"/>
    <w:basedOn w:val="708"/>
    <w:next w:val="1161"/>
    <w:link w:val="708"/>
    <w:qFormat/>
    <w:pPr>
      <w:ind w:firstLine="480"/>
      <w:spacing w:line="360" w:lineRule="auto"/>
    </w:pPr>
    <w:rPr>
      <w:rFonts w:ascii="方正楷体_GB2312" w:eastAsia="方正楷体_GB2312"/>
      <w:bCs/>
      <w:sz w:val="24"/>
      <w:szCs w:val="24"/>
    </w:rPr>
  </w:style>
  <w:style w:type="paragraph" w:styleId="1162">
    <w:name w:val="标题2，章节第二层"/>
    <w:basedOn w:val="708"/>
    <w:next w:val="1099"/>
    <w:link w:val="708"/>
    <w:qFormat/>
    <w:pPr>
      <w:numPr>
        <w:ilvl w:val="4"/>
        <w:numId w:val="3"/>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63">
    <w:name w:val="Char Char Char Char Char Char Char Char Char Char Char Char Char1"/>
    <w:basedOn w:val="736"/>
    <w:next w:val="1163"/>
    <w:link w:val="708"/>
    <w:qFormat/>
    <w:rPr>
      <w:rFonts w:ascii="Tahoma" w:hAnsi="Tahoma"/>
      <w:sz w:val="24"/>
      <w:szCs w:val="24"/>
    </w:rPr>
  </w:style>
  <w:style w:type="paragraph" w:styleId="1164">
    <w:name w:val="二级条标题"/>
    <w:basedOn w:val="708"/>
    <w:next w:val="1092"/>
    <w:link w:val="708"/>
    <w:qFormat/>
    <w:pPr>
      <w:ind w:hanging="420"/>
      <w:widowControl/>
      <w:tabs>
        <w:tab w:val="left" w:pos="2240" w:leader="none"/>
      </w:tabs>
      <w:outlineLvl w:val="3"/>
    </w:pPr>
    <w:rPr>
      <w:rFonts w:eastAsia="黑体"/>
    </w:rPr>
  </w:style>
  <w:style w:type="paragraph" w:styleId="1165">
    <w:name w:val="样式 加点正文 + 段前: 0.5 行 段后: 0.5 行1"/>
    <w:basedOn w:val="708"/>
    <w:next w:val="1165"/>
    <w:link w:val="708"/>
    <w:qFormat/>
    <w:pPr>
      <w:numPr>
        <w:ilvl w:val="0"/>
        <w:numId w:val="4"/>
      </w:numPr>
      <w:ind w:left="1268"/>
      <w:spacing w:before="156" w:after="156" w:line="300" w:lineRule="auto"/>
      <w:tabs>
        <w:tab w:val="left" w:pos="420" w:leader="none"/>
        <w:tab w:val="left" w:pos="1268" w:leader="none"/>
      </w:tabs>
    </w:pPr>
    <w:rPr>
      <w:sz w:val="24"/>
    </w:rPr>
  </w:style>
  <w:style w:type="paragraph" w:styleId="1166">
    <w:name w:val="Char Char Char Char Char Char"/>
    <w:basedOn w:val="708"/>
    <w:next w:val="1166"/>
    <w:link w:val="708"/>
    <w:qFormat/>
    <w:rPr>
      <w:rFonts w:ascii="Tahoma" w:hAnsi="Tahoma" w:cs="Tahoma"/>
      <w:sz w:val="24"/>
    </w:rPr>
  </w:style>
  <w:style w:type="paragraph" w:styleId="1167">
    <w:name w:val="Char Char1 Char Char Char Char Char Char Char"/>
    <w:basedOn w:val="708"/>
    <w:next w:val="1167"/>
    <w:link w:val="708"/>
    <w:qFormat/>
    <w:rPr>
      <w:rFonts w:ascii="Tahoma" w:hAnsi="Tahoma" w:cs="Tahoma"/>
      <w:sz w:val="24"/>
    </w:rPr>
  </w:style>
  <w:style w:type="paragraph" w:styleId="1168">
    <w:name w:val="xl30"/>
    <w:basedOn w:val="708"/>
    <w:next w:val="1168"/>
    <w:link w:val="7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69">
    <w:name w:val="部分1"/>
    <w:basedOn w:val="708"/>
    <w:next w:val="1169"/>
    <w:link w:val="708"/>
    <w:qFormat/>
    <w:pPr>
      <w:jc w:val="center"/>
      <w:keepNext/>
      <w:pageBreakBefore/>
      <w:spacing w:line="360" w:lineRule="auto"/>
      <w:tabs>
        <w:tab w:val="left" w:pos="360" w:leader="none"/>
      </w:tabs>
      <w:outlineLvl w:val="0"/>
    </w:pPr>
    <w:rPr>
      <w:rFonts w:eastAsia="黑体"/>
      <w:b/>
      <w:sz w:val="36"/>
    </w:rPr>
  </w:style>
  <w:style w:type="paragraph" w:styleId="1170">
    <w:name w:val="font12"/>
    <w:basedOn w:val="708"/>
    <w:next w:val="1170"/>
    <w:link w:val="708"/>
    <w:qFormat/>
    <w:pPr>
      <w:jc w:val="left"/>
      <w:spacing w:before="100" w:beforeAutospacing="1" w:after="100" w:afterAutospacing="1"/>
      <w:widowControl/>
    </w:pPr>
    <w:rPr>
      <w:rFonts w:ascii="宋体" w:hAnsi="宋体" w:cs="宋体"/>
      <w:sz w:val="36"/>
      <w:szCs w:val="36"/>
    </w:rPr>
  </w:style>
  <w:style w:type="paragraph" w:styleId="1171">
    <w:name w:val="List Paragraph0"/>
    <w:basedOn w:val="708"/>
    <w:next w:val="1171"/>
    <w:link w:val="708"/>
    <w:qFormat/>
    <w:pPr>
      <w:contextualSpacing/>
      <w:ind w:left="720"/>
      <w:jc w:val="left"/>
      <w:widowControl/>
    </w:pPr>
    <w:rPr>
      <w:rFonts w:ascii="Arial" w:hAnsi="Arial" w:eastAsia="黑体"/>
      <w:sz w:val="24"/>
      <w:szCs w:val="24"/>
      <w:lang w:eastAsia="en-US"/>
    </w:rPr>
  </w:style>
  <w:style w:type="paragraph" w:styleId="1172">
    <w:name w:val="xl40"/>
    <w:basedOn w:val="708"/>
    <w:next w:val="1172"/>
    <w:link w:val="7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73">
    <w:name w:val="Default Text"/>
    <w:basedOn w:val="708"/>
    <w:next w:val="1173"/>
    <w:link w:val="708"/>
    <w:qFormat/>
    <w:pPr>
      <w:jc w:val="left"/>
      <w:widowControl/>
    </w:pPr>
    <w:rPr>
      <w:sz w:val="24"/>
      <w:lang w:eastAsia="en-US"/>
    </w:rPr>
  </w:style>
  <w:style w:type="paragraph" w:styleId="1174">
    <w:name w:val="Char1 Char Char Char1"/>
    <w:basedOn w:val="708"/>
    <w:next w:val="1174"/>
    <w:link w:val="708"/>
    <w:qFormat/>
    <w:rPr>
      <w:rFonts w:ascii="Tahoma" w:hAnsi="Tahoma"/>
      <w:sz w:val="24"/>
    </w:rPr>
  </w:style>
  <w:style w:type="paragraph" w:styleId="1175">
    <w:name w:val="retrait3"/>
    <w:basedOn w:val="708"/>
    <w:next w:val="1175"/>
    <w:link w:val="708"/>
    <w:qFormat/>
    <w:pPr>
      <w:ind w:left="851"/>
      <w:jc w:val="left"/>
      <w:spacing w:before="20" w:after="20"/>
      <w:widowControl/>
    </w:pPr>
    <w:rPr>
      <w:rFonts w:ascii="Arial" w:hAnsi="Arial"/>
      <w:sz w:val="24"/>
      <w:lang w:val="en-GB"/>
    </w:rPr>
  </w:style>
  <w:style w:type="paragraph" w:styleId="1176">
    <w:name w:val="一级标题"/>
    <w:basedOn w:val="708"/>
    <w:next w:val="1176"/>
    <w:link w:val="708"/>
    <w:qFormat/>
    <w:pPr>
      <w:ind w:left="900" w:hanging="420"/>
      <w:spacing w:line="360" w:lineRule="auto"/>
      <w:tabs>
        <w:tab w:val="left" w:pos="903" w:leader="none"/>
      </w:tabs>
    </w:pPr>
    <w:rPr>
      <w:rFonts w:ascii="Arial" w:hAnsi="Arial" w:cs="Arial"/>
      <w:sz w:val="24"/>
    </w:rPr>
  </w:style>
  <w:style w:type="paragraph" w:styleId="1177">
    <w:name w:val="正文缩进2字符"/>
    <w:basedOn w:val="708"/>
    <w:next w:val="1177"/>
    <w:link w:val="708"/>
    <w:qFormat/>
    <w:pPr>
      <w:ind w:firstLine="200"/>
      <w:spacing w:line="300" w:lineRule="auto"/>
    </w:pPr>
    <w:rPr>
      <w:rFonts w:ascii="方正仿宋_GB2312" w:eastAsia="方正仿宋_GB2312"/>
      <w:sz w:val="32"/>
      <w:szCs w:val="32"/>
    </w:rPr>
  </w:style>
  <w:style w:type="paragraph" w:styleId="1178">
    <w:name w:val="xl60"/>
    <w:basedOn w:val="708"/>
    <w:next w:val="1178"/>
    <w:link w:val="70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79">
    <w:name w:val="xl27"/>
    <w:basedOn w:val="708"/>
    <w:next w:val="1179"/>
    <w:link w:val="7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80">
    <w:name w:val="表蕊"/>
    <w:basedOn w:val="708"/>
    <w:next w:val="1180"/>
    <w:link w:val="708"/>
    <w:qFormat/>
    <w:pPr>
      <w:jc w:val="left"/>
      <w:spacing w:line="320" w:lineRule="atLeast"/>
    </w:pPr>
    <w:rPr>
      <w:rFonts w:eastAsia="方正楷体_GB2312"/>
      <w:spacing w:val="-10"/>
    </w:rPr>
  </w:style>
  <w:style w:type="paragraph" w:styleId="1181">
    <w:name w:val="样式 段后: 0.5 行 左  0.75 字符"/>
    <w:basedOn w:val="708"/>
    <w:next w:val="1181"/>
    <w:link w:val="708"/>
    <w:qFormat/>
    <w:pPr>
      <w:ind w:firstLine="420"/>
      <w:spacing w:line="360" w:lineRule="auto"/>
      <w:widowControl/>
    </w:pPr>
    <w:rPr>
      <w:rFonts w:hAnsi="Arial" w:cs="Arial"/>
      <w:szCs w:val="21"/>
    </w:rPr>
  </w:style>
  <w:style w:type="paragraph" w:styleId="1182">
    <w:name w:val="符号与编号 Char"/>
    <w:basedOn w:val="708"/>
    <w:next w:val="1182"/>
    <w:link w:val="708"/>
    <w:qFormat/>
    <w:pPr>
      <w:ind w:left="720"/>
      <w:spacing w:after="156" w:line="400" w:lineRule="atLeast"/>
      <w:tabs>
        <w:tab w:val="left" w:pos="720" w:leader="none"/>
      </w:tabs>
    </w:pPr>
    <w:rPr>
      <w:sz w:val="24"/>
      <w:szCs w:val="24"/>
    </w:rPr>
  </w:style>
  <w:style w:type="paragraph" w:styleId="1183">
    <w:name w:val="xl34"/>
    <w:basedOn w:val="708"/>
    <w:next w:val="1183"/>
    <w:link w:val="7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84">
    <w:name w:val="文档正文"/>
    <w:basedOn w:val="708"/>
    <w:next w:val="1184"/>
    <w:link w:val="708"/>
    <w:qFormat/>
    <w:pPr>
      <w:spacing w:line="360" w:lineRule="auto"/>
    </w:pPr>
    <w:rPr>
      <w:rFonts w:ascii="宋体" w:hAnsi="宋体"/>
      <w:b/>
      <w:bCs/>
      <w:szCs w:val="24"/>
    </w:rPr>
  </w:style>
  <w:style w:type="paragraph" w:styleId="1185">
    <w:name w:val="丁华标题3"/>
    <w:basedOn w:val="1151"/>
    <w:next w:val="1074"/>
    <w:link w:val="708"/>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186">
    <w:name w:val="我的正文"/>
    <w:basedOn w:val="708"/>
    <w:next w:val="1186"/>
    <w:link w:val="708"/>
    <w:qFormat/>
    <w:pPr>
      <w:ind w:firstLine="420"/>
      <w:jc w:val="left"/>
      <w:spacing w:line="360" w:lineRule="auto"/>
      <w:widowControl/>
    </w:pPr>
    <w:rPr>
      <w:rFonts w:ascii="宋体" w:hAnsi="宋体" w:cs="宋体"/>
      <w:szCs w:val="21"/>
    </w:rPr>
  </w:style>
  <w:style w:type="paragraph" w:styleId="1187">
    <w:name w:val="公文标题 2"/>
    <w:basedOn w:val="708"/>
    <w:next w:val="1188"/>
    <w:link w:val="708"/>
    <w:qFormat/>
    <w:pPr>
      <w:outlineLvl w:val="1"/>
    </w:pPr>
    <w:rPr>
      <w:rFonts w:ascii="方正仿宋_GB2312" w:hAnsi="宋体" w:eastAsia="方正仿宋_GB2312"/>
      <w:sz w:val="28"/>
      <w:szCs w:val="24"/>
    </w:rPr>
  </w:style>
  <w:style w:type="paragraph" w:styleId="1188">
    <w:name w:val="公文正文"/>
    <w:basedOn w:val="744"/>
    <w:next w:val="1188"/>
    <w:link w:val="708"/>
    <w:qFormat/>
    <w:pPr>
      <w:ind w:firstLine="200"/>
    </w:pPr>
    <w:rPr>
      <w:rFonts w:ascii="方正仿宋_GB2312" w:hAnsi="宋体" w:eastAsia="方正仿宋_GB2312"/>
      <w:sz w:val="28"/>
      <w:szCs w:val="24"/>
    </w:rPr>
  </w:style>
  <w:style w:type="paragraph" w:styleId="1189">
    <w:name w:val="Char Char1 Char"/>
    <w:basedOn w:val="708"/>
    <w:next w:val="1189"/>
    <w:link w:val="708"/>
    <w:qFormat/>
    <w:pPr>
      <w:jc w:val="left"/>
      <w:spacing w:after="160" w:line="240" w:lineRule="exact"/>
      <w:widowControl/>
    </w:pPr>
    <w:rPr>
      <w:rFonts w:ascii="Verdana" w:hAnsi="Verdana"/>
      <w:sz w:val="20"/>
      <w:lang w:eastAsia="en-US"/>
    </w:rPr>
  </w:style>
  <w:style w:type="paragraph" w:styleId="1190">
    <w:name w:val="xl50"/>
    <w:basedOn w:val="708"/>
    <w:next w:val="1190"/>
    <w:link w:val="708"/>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191">
    <w:name w:val="zw"/>
    <w:basedOn w:val="708"/>
    <w:next w:val="1191"/>
    <w:link w:val="708"/>
    <w:qFormat/>
    <w:pPr>
      <w:ind w:firstLine="480"/>
      <w:jc w:val="left"/>
      <w:spacing w:line="360" w:lineRule="auto"/>
      <w:widowControl/>
    </w:pPr>
    <w:rPr>
      <w:rFonts w:ascii="宋体" w:hAnsi="宋体"/>
      <w:bCs/>
      <w:sz w:val="24"/>
    </w:rPr>
  </w:style>
  <w:style w:type="paragraph" w:styleId="1192">
    <w:name w:val="xl29"/>
    <w:basedOn w:val="708"/>
    <w:next w:val="1192"/>
    <w:link w:val="7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93">
    <w:name w:val="马刚标题4"/>
    <w:basedOn w:val="1084"/>
    <w:next w:val="708"/>
    <w:link w:val="708"/>
    <w:qFormat/>
    <w:pPr>
      <w:spacing w:before="100" w:after="40"/>
      <w:tabs>
        <w:tab w:val="left" w:pos="1050" w:leader="none"/>
      </w:tabs>
      <w:outlineLvl w:val="3"/>
    </w:pPr>
    <w:rPr>
      <w:b w:val="0"/>
    </w:rPr>
  </w:style>
  <w:style w:type="paragraph" w:styleId="1194">
    <w:name w:val="标准文本"/>
    <w:basedOn w:val="708"/>
    <w:next w:val="1194"/>
    <w:link w:val="708"/>
    <w:qFormat/>
    <w:pPr>
      <w:ind w:firstLine="480"/>
      <w:spacing w:line="360" w:lineRule="auto"/>
    </w:pPr>
    <w:rPr>
      <w:rFonts w:cs="宋体"/>
      <w:sz w:val="24"/>
      <w:szCs w:val="24"/>
    </w:rPr>
  </w:style>
  <w:style w:type="paragraph" w:styleId="1195">
    <w:name w:val="正文2"/>
    <w:basedOn w:val="708"/>
    <w:next w:val="1195"/>
    <w:link w:val="708"/>
    <w:qFormat/>
    <w:pPr>
      <w:ind w:firstLine="510"/>
      <w:spacing w:before="156" w:line="360" w:lineRule="auto"/>
    </w:pPr>
    <w:rPr>
      <w:sz w:val="24"/>
    </w:rPr>
  </w:style>
  <w:style w:type="paragraph" w:styleId="1196">
    <w:name w:val="样式1"/>
    <w:basedOn w:val="708"/>
    <w:next w:val="1196"/>
    <w:link w:val="708"/>
    <w:qFormat/>
    <w:pPr>
      <w:ind w:firstLine="480"/>
      <w:spacing w:line="300" w:lineRule="auto"/>
    </w:pPr>
    <w:rPr>
      <w:sz w:val="24"/>
      <w:szCs w:val="24"/>
    </w:rPr>
  </w:style>
  <w:style w:type="paragraph" w:styleId="1197">
    <w:name w:val="大标题"/>
    <w:basedOn w:val="708"/>
    <w:next w:val="708"/>
    <w:link w:val="708"/>
    <w:qFormat/>
    <w:pPr>
      <w:ind w:hanging="420"/>
      <w:pageBreakBefore/>
      <w:spacing w:line="360" w:lineRule="auto"/>
      <w:tabs>
        <w:tab w:val="left" w:pos="420" w:leader="none"/>
      </w:tabs>
      <w:outlineLvl w:val="0"/>
    </w:pPr>
    <w:rPr>
      <w:b/>
      <w:iCs/>
      <w:sz w:val="44"/>
      <w:szCs w:val="24"/>
    </w:rPr>
  </w:style>
  <w:style w:type="paragraph" w:styleId="1198">
    <w:name w:val="Char Char Char Char Char Char Char Char1"/>
    <w:basedOn w:val="708"/>
    <w:next w:val="1198"/>
    <w:link w:val="708"/>
    <w:qFormat/>
    <w:rPr>
      <w:rFonts w:ascii="Tahoma" w:hAnsi="Tahoma"/>
      <w:sz w:val="24"/>
    </w:rPr>
  </w:style>
  <w:style w:type="paragraph" w:styleId="1199">
    <w:name w:val="1"/>
    <w:basedOn w:val="708"/>
    <w:next w:val="779"/>
    <w:link w:val="708"/>
    <w:qFormat/>
    <w:pPr>
      <w:spacing w:line="360" w:lineRule="auto"/>
    </w:pPr>
    <w:rPr>
      <w:rFonts w:eastAsia="方正仿宋_GB2312"/>
      <w:sz w:val="24"/>
      <w:szCs w:val="24"/>
    </w:rPr>
  </w:style>
  <w:style w:type="paragraph" w:styleId="1200">
    <w:name w:val="标题6"/>
    <w:basedOn w:val="713"/>
    <w:next w:val="1200"/>
    <w:link w:val="708"/>
    <w:qFormat/>
    <w:pPr>
      <w:ind w:left="420" w:hanging="420"/>
      <w:keepLines/>
      <w:tabs>
        <w:tab w:val="left" w:pos="420" w:leader="none"/>
      </w:tabs>
    </w:pPr>
    <w:rPr>
      <w:rFonts w:ascii="Times New Roman"/>
      <w:b w:val="0"/>
      <w:bCs/>
      <w:color w:val="000000"/>
      <w:sz w:val="24"/>
      <w:szCs w:val="28"/>
    </w:rPr>
  </w:style>
  <w:style w:type="paragraph" w:styleId="1201">
    <w:name w:val="Char Char Char Char1"/>
    <w:basedOn w:val="708"/>
    <w:next w:val="1201"/>
    <w:link w:val="708"/>
    <w:qFormat/>
    <w:pPr>
      <w:jc w:val="center"/>
      <w:spacing w:after="160" w:line="240" w:lineRule="exact"/>
      <w:widowControl/>
    </w:pPr>
    <w:rPr>
      <w:rFonts w:ascii="黑体" w:hAnsi="Verdana" w:eastAsia="黑体"/>
      <w:sz w:val="32"/>
      <w:szCs w:val="32"/>
      <w:lang w:eastAsia="en-US"/>
    </w:rPr>
  </w:style>
  <w:style w:type="paragraph" w:styleId="1202">
    <w:name w:val="qw"/>
    <w:next w:val="1202"/>
    <w:link w:val="708"/>
    <w:qFormat/>
    <w:pPr>
      <w:jc w:val="both"/>
      <w:spacing w:line="312" w:lineRule="atLeast"/>
      <w:widowControl w:val="off"/>
    </w:pPr>
    <w:rPr>
      <w:rFonts w:ascii="宋体" w:hAnsi="Times New Roman" w:eastAsia="宋体" w:cs="Times New Roman"/>
      <w:sz w:val="24"/>
      <w:lang w:val="en-US" w:eastAsia="zh-CN" w:bidi="ar-SA"/>
    </w:rPr>
  </w:style>
  <w:style w:type="paragraph" w:styleId="1203">
    <w:name w:val="正文文本 21"/>
    <w:basedOn w:val="708"/>
    <w:next w:val="1203"/>
    <w:link w:val="708"/>
    <w:qFormat/>
    <w:pPr>
      <w:ind w:left="720" w:hanging="720"/>
      <w:widowControl/>
    </w:pPr>
    <w:rPr>
      <w:sz w:val="24"/>
      <w:lang w:val="en-GB"/>
    </w:rPr>
  </w:style>
  <w:style w:type="paragraph" w:styleId="1204">
    <w:name w:val="xl41"/>
    <w:basedOn w:val="708"/>
    <w:next w:val="1204"/>
    <w:link w:val="7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05">
    <w:name w:val="标题1，章节第一层"/>
    <w:basedOn w:val="1099"/>
    <w:next w:val="1099"/>
    <w:link w:val="708"/>
    <w:qFormat/>
    <w:pPr>
      <w:ind w:left="482"/>
      <w:spacing w:before="0"/>
      <w:tabs>
        <w:tab w:val="left" w:pos="693" w:leader="none"/>
      </w:tabs>
      <w:outlineLvl w:val="0"/>
    </w:pPr>
    <w:rPr>
      <w:color w:val="000000"/>
      <w:sz w:val="24"/>
      <w:szCs w:val="24"/>
    </w:rPr>
  </w:style>
  <w:style w:type="paragraph" w:styleId="1206">
    <w:name w:val="小四 段落 宋体 Char Char Char Char"/>
    <w:basedOn w:val="708"/>
    <w:next w:val="1206"/>
    <w:link w:val="708"/>
    <w:qFormat/>
    <w:pPr>
      <w:ind w:right="-33" w:firstLine="480"/>
      <w:jc w:val="left"/>
      <w:spacing w:line="360" w:lineRule="auto"/>
    </w:pPr>
    <w:rPr>
      <w:sz w:val="24"/>
      <w:szCs w:val="24"/>
    </w:rPr>
  </w:style>
  <w:style w:type="paragraph" w:styleId="1207">
    <w:name w:val="Char2 Char Char Char Char Char Char1"/>
    <w:basedOn w:val="708"/>
    <w:next w:val="1207"/>
    <w:link w:val="708"/>
    <w:qFormat/>
    <w:pPr>
      <w:ind w:hanging="425"/>
      <w:keepNext/>
      <w:spacing w:before="80" w:after="80"/>
      <w:widowControl/>
      <w:tabs>
        <w:tab w:val="left" w:pos="425" w:leader="none"/>
      </w:tabs>
    </w:pPr>
    <w:rPr>
      <w:rFonts w:ascii="Arial" w:hAnsi="Arial" w:cs="Arial"/>
      <w:sz w:val="20"/>
    </w:rPr>
  </w:style>
  <w:style w:type="paragraph" w:styleId="1208">
    <w:name w:val="小四 段落 宋体"/>
    <w:basedOn w:val="733"/>
    <w:next w:val="1208"/>
    <w:link w:val="708"/>
    <w:qFormat/>
    <w:pPr>
      <w:ind w:left="113" w:right="113" w:firstLine="425"/>
      <w:jc w:val="left"/>
      <w:spacing w:line="360" w:lineRule="auto"/>
      <w:tabs>
        <w:tab w:val="clear" w:pos="2952" w:leader="none"/>
      </w:tabs>
    </w:pPr>
    <w:rPr>
      <w:sz w:val="24"/>
    </w:rPr>
  </w:style>
  <w:style w:type="paragraph" w:styleId="1209">
    <w:name w:val="Char Char1 Char Char Char Char1 Char Char Char Char Char Char"/>
    <w:basedOn w:val="708"/>
    <w:next w:val="1209"/>
    <w:link w:val="708"/>
    <w:qFormat/>
    <w:rPr>
      <w:rFonts w:ascii="Tahoma" w:hAnsi="Tahoma"/>
      <w:sz w:val="24"/>
    </w:rPr>
  </w:style>
  <w:style w:type="paragraph" w:styleId="1210">
    <w:name w:val="font8"/>
    <w:basedOn w:val="708"/>
    <w:next w:val="1210"/>
    <w:link w:val="708"/>
    <w:qFormat/>
    <w:pPr>
      <w:jc w:val="left"/>
      <w:spacing w:before="100" w:beforeAutospacing="1" w:after="100" w:afterAutospacing="1"/>
      <w:widowControl/>
    </w:pPr>
    <w:rPr>
      <w:rFonts w:ascii="宋体" w:hAnsi="宋体" w:cs="宋体"/>
      <w:b/>
      <w:bCs/>
      <w:i/>
      <w:iCs/>
      <w:sz w:val="20"/>
    </w:rPr>
  </w:style>
  <w:style w:type="paragraph" w:styleId="1211">
    <w:name w:val="表格内文字"/>
    <w:basedOn w:val="708"/>
    <w:next w:val="1211"/>
    <w:link w:val="708"/>
    <w:qFormat/>
    <w:pPr>
      <w:spacing w:line="300" w:lineRule="atLeast"/>
    </w:pPr>
    <w:rPr>
      <w:sz w:val="18"/>
      <w:szCs w:val="24"/>
    </w:rPr>
  </w:style>
  <w:style w:type="paragraph" w:styleId="1212">
    <w:name w:val="_Style 1"/>
    <w:basedOn w:val="744"/>
    <w:next w:val="790"/>
    <w:link w:val="708"/>
    <w:qFormat/>
    <w:pPr>
      <w:ind w:firstLine="420"/>
      <w:spacing w:line="360" w:lineRule="auto"/>
    </w:pPr>
    <w:rPr>
      <w:rFonts w:ascii="Calibri" w:hAnsi="Calibri" w:eastAsia="宋体"/>
      <w:sz w:val="24"/>
    </w:rPr>
  </w:style>
  <w:style w:type="paragraph" w:styleId="1213">
    <w:name w:val="xl31"/>
    <w:basedOn w:val="708"/>
    <w:next w:val="1213"/>
    <w:link w:val="7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楷体_GB2312" w:hAnsi="宋体" w:eastAsia="方正楷体_GB2312" w:cs="宋体"/>
      <w:b/>
      <w:bCs/>
      <w:sz w:val="24"/>
      <w:szCs w:val="24"/>
    </w:rPr>
  </w:style>
  <w:style w:type="paragraph" w:styleId="1214">
    <w:name w:val="标题4，章节第四层"/>
    <w:basedOn w:val="708"/>
    <w:next w:val="708"/>
    <w:link w:val="708"/>
    <w:qFormat/>
    <w:pPr>
      <w:spacing w:line="360" w:lineRule="auto"/>
      <w:tabs>
        <w:tab w:val="left" w:pos="0" w:leader="none"/>
      </w:tabs>
      <w:outlineLvl w:val="3"/>
    </w:pPr>
    <w:rPr>
      <w:rFonts w:ascii="宋体" w:hAnsi="宋体"/>
      <w:b/>
      <w:sz w:val="24"/>
      <w:szCs w:val="24"/>
    </w:rPr>
  </w:style>
  <w:style w:type="paragraph" w:styleId="1215">
    <w:name w:val="xl54"/>
    <w:basedOn w:val="708"/>
    <w:next w:val="1215"/>
    <w:link w:val="70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16">
    <w:name w:val="正文 + 宋体"/>
    <w:basedOn w:val="708"/>
    <w:next w:val="1216"/>
    <w:link w:val="708"/>
    <w:qFormat/>
    <w:pPr>
      <w:ind w:firstLine="420"/>
      <w:spacing w:line="360" w:lineRule="auto"/>
    </w:pPr>
    <w:rPr>
      <w:szCs w:val="24"/>
    </w:rPr>
  </w:style>
  <w:style w:type="paragraph" w:styleId="1217">
    <w:name w:val="Char Char Char Char Char Char Char Char Char Char Char1 Char Char Char1"/>
    <w:basedOn w:val="708"/>
    <w:next w:val="1217"/>
    <w:link w:val="708"/>
    <w:semiHidden/>
    <w:qFormat/>
    <w:pPr>
      <w:ind w:firstLine="200"/>
      <w:jc w:val="left"/>
    </w:pPr>
    <w:rPr>
      <w:rFonts w:ascii="Tahoma" w:hAnsi="Tahoma"/>
      <w:sz w:val="24"/>
      <w:szCs w:val="24"/>
    </w:rPr>
  </w:style>
  <w:style w:type="paragraph" w:styleId="1218">
    <w:name w:val="flType"/>
    <w:basedOn w:val="1152"/>
    <w:next w:val="1218"/>
    <w:link w:val="708"/>
    <w:qFormat/>
    <w:pPr>
      <w:spacing w:after="284"/>
    </w:pPr>
    <w:rPr>
      <w:rFonts w:eastAsia="宋体"/>
      <w:b w:val="0"/>
    </w:rPr>
  </w:style>
  <w:style w:type="paragraph" w:styleId="1219">
    <w:name w:val="正文--表格内正文"/>
    <w:basedOn w:val="708"/>
    <w:next w:val="1219"/>
    <w:link w:val="708"/>
    <w:qFormat/>
    <w:pPr>
      <w:jc w:val="center"/>
      <w:spacing w:before="156" w:line="0" w:lineRule="atLeast"/>
    </w:pPr>
    <w:rPr>
      <w:rFonts w:ascii="宋体" w:hAnsi="宋体"/>
      <w:color w:val="000000"/>
      <w:sz w:val="24"/>
      <w:szCs w:val="24"/>
    </w:rPr>
  </w:style>
  <w:style w:type="paragraph" w:styleId="1220">
    <w:name w:val="小四 段落 宋体 Char Char Char"/>
    <w:basedOn w:val="733"/>
    <w:next w:val="1220"/>
    <w:link w:val="708"/>
    <w:qFormat/>
    <w:pPr>
      <w:ind w:left="0" w:right="-33" w:firstLine="545"/>
      <w:jc w:val="left"/>
      <w:spacing w:line="360" w:lineRule="auto"/>
      <w:tabs>
        <w:tab w:val="clear" w:pos="2952" w:leader="none"/>
      </w:tabs>
    </w:pPr>
    <w:rPr>
      <w:sz w:val="24"/>
    </w:rPr>
  </w:style>
  <w:style w:type="paragraph" w:styleId="1221">
    <w:name w:val="a"/>
    <w:basedOn w:val="708"/>
    <w:next w:val="1221"/>
    <w:link w:val="708"/>
    <w:qFormat/>
    <w:pPr>
      <w:spacing w:before="100" w:beforeAutospacing="1" w:after="100" w:afterAutospacing="1"/>
      <w:widowControl/>
    </w:pPr>
    <w:rPr>
      <w:rFonts w:ascii="宋体" w:hAnsi="宋体" w:cs="宋体"/>
      <w:sz w:val="24"/>
      <w:szCs w:val="24"/>
    </w:rPr>
  </w:style>
  <w:style w:type="paragraph" w:styleId="1222">
    <w:name w:val="font10"/>
    <w:basedOn w:val="708"/>
    <w:next w:val="1222"/>
    <w:link w:val="708"/>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223">
    <w:name w:val="Char Char Char Char Char Char Char Char Char Char Char Char Char Char Char Char Char Char Char Char Char Char Char1"/>
    <w:basedOn w:val="708"/>
    <w:next w:val="1223"/>
    <w:link w:val="708"/>
    <w:qFormat/>
    <w:rPr>
      <w:rFonts w:ascii="Tahoma" w:hAnsi="Tahoma" w:cs="Tahoma"/>
      <w:sz w:val="24"/>
    </w:rPr>
  </w:style>
  <w:style w:type="paragraph" w:styleId="1224">
    <w:name w:val="样式 标题 3H3sect1.2.3BOD 0Heading 3 - oldh3l3CTLevel 3 Head..."/>
    <w:basedOn w:val="711"/>
    <w:next w:val="1224"/>
    <w:link w:val="708"/>
    <w:qFormat/>
    <w:pPr>
      <w:jc w:val="left"/>
      <w:spacing w:before="156" w:after="156"/>
    </w:pPr>
    <w:rPr>
      <w:rFonts w:cs="宋体"/>
      <w:bCs/>
      <w:sz w:val="30"/>
    </w:rPr>
  </w:style>
  <w:style w:type="paragraph" w:styleId="1225">
    <w:name w:val="正文文本 New New"/>
    <w:basedOn w:val="708"/>
    <w:next w:val="1225"/>
    <w:link w:val="708"/>
    <w:qFormat/>
    <w:pPr>
      <w:ind w:firstLine="200"/>
      <w:spacing w:before="60" w:after="60" w:line="360" w:lineRule="auto"/>
      <w:widowControl/>
    </w:pPr>
    <w:rPr>
      <w:rFonts w:eastAsia="华文楷体"/>
      <w:sz w:val="24"/>
      <w:szCs w:val="24"/>
    </w:rPr>
  </w:style>
  <w:style w:type="paragraph" w:styleId="1226">
    <w:name w:val="xl51"/>
    <w:basedOn w:val="708"/>
    <w:next w:val="1226"/>
    <w:link w:val="70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27">
    <w:name w:val="p0"/>
    <w:basedOn w:val="708"/>
    <w:next w:val="1227"/>
    <w:link w:val="708"/>
    <w:qFormat/>
    <w:pPr>
      <w:jc w:val="left"/>
      <w:spacing w:before="100" w:beforeAutospacing="1" w:after="100" w:afterAutospacing="1"/>
      <w:widowControl/>
    </w:pPr>
    <w:rPr>
      <w:rFonts w:ascii="宋体" w:hAnsi="宋体" w:cs="宋体"/>
      <w:sz w:val="24"/>
      <w:szCs w:val="24"/>
    </w:rPr>
  </w:style>
  <w:style w:type="paragraph" w:styleId="1228">
    <w:name w:val="正文文本缩进1"/>
    <w:basedOn w:val="708"/>
    <w:next w:val="1229"/>
    <w:link w:val="708"/>
    <w:qFormat/>
    <w:pPr>
      <w:ind w:left="420"/>
      <w:spacing w:after="120"/>
    </w:pPr>
    <w:rPr>
      <w:szCs w:val="24"/>
    </w:rPr>
  </w:style>
  <w:style w:type="paragraph" w:styleId="1229">
    <w:name w:val="正文首行缩进 21"/>
    <w:basedOn w:val="808"/>
    <w:next w:val="1229"/>
    <w:link w:val="708"/>
    <w:qFormat/>
    <w:pPr>
      <w:ind w:firstLine="420"/>
      <w:spacing w:line="360" w:lineRule="auto"/>
    </w:pPr>
  </w:style>
  <w:style w:type="paragraph" w:styleId="1230">
    <w:name w:val="标题5，章节第五层"/>
    <w:basedOn w:val="708"/>
    <w:next w:val="708"/>
    <w:link w:val="708"/>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31">
    <w:name w:val="表格文字"/>
    <w:basedOn w:val="708"/>
    <w:next w:val="1231"/>
    <w:link w:val="708"/>
    <w:qFormat/>
    <w:pPr>
      <w:ind w:firstLine="200"/>
      <w:jc w:val="left"/>
      <w:spacing w:line="360" w:lineRule="auto"/>
    </w:pPr>
    <w:rPr>
      <w:rFonts w:ascii="Arial" w:hAnsi="Arial"/>
      <w:sz w:val="24"/>
    </w:rPr>
  </w:style>
  <w:style w:type="paragraph" w:styleId="1232">
    <w:name w:val="项目符号：一级"/>
    <w:basedOn w:val="1099"/>
    <w:next w:val="1099"/>
    <w:link w:val="708"/>
    <w:qFormat/>
    <w:pPr>
      <w:ind w:right="-134"/>
    </w:pPr>
    <w:rPr>
      <w:bCs w:val="0"/>
    </w:rPr>
  </w:style>
  <w:style w:type="paragraph" w:styleId="1233">
    <w:name w:val="Char Char Char Char Char1"/>
    <w:basedOn w:val="708"/>
    <w:next w:val="1233"/>
    <w:link w:val="708"/>
    <w:qFormat/>
    <w:rPr>
      <w:rFonts w:ascii="Tahoma" w:hAnsi="Tahoma" w:cs="Tahoma"/>
      <w:sz w:val="24"/>
    </w:rPr>
  </w:style>
  <w:style w:type="paragraph" w:styleId="1234">
    <w:name w:val="符号与编号"/>
    <w:basedOn w:val="708"/>
    <w:next w:val="1234"/>
    <w:link w:val="708"/>
    <w:qFormat/>
    <w:pPr>
      <w:ind w:left="900" w:hanging="420"/>
      <w:spacing w:after="156" w:line="400" w:lineRule="atLeast"/>
      <w:tabs>
        <w:tab w:val="left" w:pos="900" w:leader="none"/>
      </w:tabs>
    </w:pPr>
    <w:rPr>
      <w:sz w:val="24"/>
      <w:szCs w:val="24"/>
    </w:rPr>
  </w:style>
  <w:style w:type="paragraph" w:styleId="1235">
    <w:name w:val="font11"/>
    <w:basedOn w:val="708"/>
    <w:next w:val="1235"/>
    <w:link w:val="708"/>
    <w:qFormat/>
    <w:pPr>
      <w:jc w:val="left"/>
      <w:spacing w:before="100" w:beforeAutospacing="1" w:after="100" w:afterAutospacing="1"/>
      <w:widowControl/>
    </w:pPr>
    <w:rPr>
      <w:b/>
      <w:bCs/>
      <w:sz w:val="18"/>
      <w:szCs w:val="18"/>
    </w:rPr>
  </w:style>
  <w:style w:type="paragraph" w:styleId="1236">
    <w:name w:val="普通文字"/>
    <w:basedOn w:val="708"/>
    <w:next w:val="708"/>
    <w:link w:val="708"/>
    <w:qFormat/>
    <w:rPr>
      <w:rFonts w:ascii="宋体" w:hAnsi="宋体" w:cs="宋体"/>
      <w:sz w:val="24"/>
    </w:rPr>
  </w:style>
  <w:style w:type="paragraph" w:styleId="1237">
    <w:name w:val="论文正文"/>
    <w:basedOn w:val="756"/>
    <w:next w:val="1237"/>
    <w:link w:val="708"/>
    <w:qFormat/>
    <w:pPr>
      <w:ind w:left="0" w:firstLine="200"/>
      <w:jc w:val="left"/>
      <w:spacing w:line="360" w:lineRule="auto"/>
    </w:pPr>
    <w:rPr>
      <w:rFonts w:ascii="Times New Roman" w:hAnsi="Times New Roman"/>
      <w:sz w:val="28"/>
      <w:szCs w:val="24"/>
    </w:rPr>
  </w:style>
  <w:style w:type="paragraph" w:styleId="1238">
    <w:name w:val="Revision"/>
    <w:next w:val="1238"/>
    <w:link w:val="708"/>
    <w:semiHidden/>
    <w:qFormat/>
    <w:rPr>
      <w:rFonts w:ascii="Times New Roman" w:hAnsi="Times New Roman" w:eastAsia="宋体" w:cs="Times New Roman"/>
      <w:sz w:val="21"/>
      <w:szCs w:val="24"/>
      <w:lang w:val="en-US" w:eastAsia="zh-CN" w:bidi="ar-SA"/>
    </w:rPr>
  </w:style>
  <w:style w:type="paragraph" w:styleId="1239">
    <w:name w:val="Char Char Char Char Char Char Char Char Char Char Char Char Char Char Char Char Char Char Char Char Char1"/>
    <w:basedOn w:val="708"/>
    <w:next w:val="1239"/>
    <w:link w:val="708"/>
    <w:qFormat/>
    <w:rPr>
      <w:rFonts w:ascii="Tahoma" w:hAnsi="Tahoma"/>
      <w:sz w:val="24"/>
    </w:rPr>
  </w:style>
  <w:style w:type="paragraph" w:styleId="1240">
    <w:name w:val="Table Text Char"/>
    <w:next w:val="1240"/>
    <w:link w:val="708"/>
    <w:qFormat/>
    <w:pPr>
      <w:spacing w:before="80" w:after="80"/>
    </w:pPr>
    <w:rPr>
      <w:rFonts w:ascii="Arial" w:hAnsi="Arial" w:eastAsia="宋体" w:cs="Arial"/>
      <w:sz w:val="18"/>
      <w:szCs w:val="28"/>
      <w:lang w:val="en-US" w:eastAsia="zh-CN" w:bidi="ar-SA"/>
    </w:rPr>
  </w:style>
  <w:style w:type="paragraph" w:styleId="1241">
    <w:name w:val="Char Char1 Char1"/>
    <w:basedOn w:val="708"/>
    <w:next w:val="1241"/>
    <w:link w:val="708"/>
    <w:qFormat/>
    <w:pPr>
      <w:jc w:val="left"/>
      <w:spacing w:after="160" w:line="240" w:lineRule="exact"/>
      <w:widowControl/>
    </w:pPr>
    <w:rPr>
      <w:rFonts w:ascii="Verdana" w:hAnsi="Verdana"/>
      <w:sz w:val="20"/>
      <w:lang w:eastAsia="en-US"/>
    </w:rPr>
  </w:style>
  <w:style w:type="paragraph" w:styleId="1242">
    <w:name w:val="条1"/>
    <w:basedOn w:val="708"/>
    <w:next w:val="1242"/>
    <w:link w:val="708"/>
    <w:qFormat/>
    <w:pPr>
      <w:ind w:left="780" w:hanging="360"/>
      <w:spacing w:before="156" w:line="360" w:lineRule="auto"/>
      <w:tabs>
        <w:tab w:val="left" w:pos="780" w:leader="none"/>
      </w:tabs>
    </w:pPr>
    <w:rPr>
      <w:rFonts w:eastAsia="黑体"/>
      <w:sz w:val="24"/>
    </w:rPr>
  </w:style>
  <w:style w:type="paragraph" w:styleId="1243">
    <w:name w:val="Char Char Char Char Char Char Char1"/>
    <w:basedOn w:val="708"/>
    <w:next w:val="1243"/>
    <w:link w:val="708"/>
    <w:qFormat/>
    <w:pPr>
      <w:jc w:val="left"/>
    </w:pPr>
    <w:rPr>
      <w:rFonts w:ascii="Tahoma" w:hAnsi="Tahoma"/>
      <w:sz w:val="24"/>
    </w:rPr>
  </w:style>
  <w:style w:type="paragraph" w:styleId="1244">
    <w:name w:val="正文 New New New New New New New New New New New New New New"/>
    <w:next w:val="1244"/>
    <w:link w:val="708"/>
    <w:qFormat/>
    <w:pPr>
      <w:jc w:val="both"/>
      <w:widowControl w:val="off"/>
    </w:pPr>
    <w:rPr>
      <w:rFonts w:hint="eastAsia" w:ascii="Times New Roman" w:hAnsi="Times New Roman" w:eastAsia="宋体" w:cs="Times New Roman"/>
      <w:sz w:val="21"/>
      <w:lang w:val="en-US" w:eastAsia="zh-CN" w:bidi="ar-SA"/>
    </w:rPr>
  </w:style>
  <w:style w:type="paragraph" w:styleId="1245">
    <w:name w:val="方案正文"/>
    <w:basedOn w:val="708"/>
    <w:next w:val="1245"/>
    <w:link w:val="708"/>
    <w:qFormat/>
    <w:pPr>
      <w:ind w:firstLine="359"/>
      <w:jc w:val="left"/>
      <w:spacing w:before="156" w:line="360" w:lineRule="auto"/>
    </w:pPr>
    <w:rPr>
      <w:rFonts w:ascii="Arial" w:hAnsi="Arial" w:cs="宋体"/>
      <w:sz w:val="24"/>
      <w:szCs w:val="21"/>
    </w:rPr>
  </w:style>
  <w:style w:type="paragraph" w:styleId="1246">
    <w:name w:val="章标题"/>
    <w:next w:val="1092"/>
    <w:link w:val="708"/>
    <w:qFormat/>
    <w:pPr>
      <w:jc w:val="both"/>
      <w:spacing w:before="156" w:after="156"/>
      <w:outlineLvl w:val="1"/>
    </w:pPr>
    <w:rPr>
      <w:rFonts w:ascii="Times New Roman" w:hAnsi="Times New Roman" w:eastAsia="黑体" w:cs="Times New Roman"/>
      <w:sz w:val="21"/>
      <w:lang w:val="en-US" w:eastAsia="zh-CN" w:bidi="ar-SA"/>
    </w:rPr>
  </w:style>
  <w:style w:type="paragraph" w:styleId="1247">
    <w:name w:val="xl32"/>
    <w:basedOn w:val="708"/>
    <w:next w:val="1247"/>
    <w:link w:val="7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48">
    <w:name w:val="项目符号，二级"/>
    <w:basedOn w:val="1099"/>
    <w:next w:val="1099"/>
    <w:link w:val="708"/>
    <w:qFormat/>
    <w:pPr>
      <w:ind w:left="1337" w:right="-27" w:firstLine="480"/>
      <w:tabs>
        <w:tab w:val="left" w:pos="567" w:leader="none"/>
        <w:tab w:val="left" w:pos="1211" w:leader="none"/>
        <w:tab w:val="left" w:pos="1337" w:leader="none"/>
      </w:tabs>
    </w:pPr>
    <w:rPr>
      <w:bCs w:val="0"/>
      <w:color w:val="000000"/>
      <w:sz w:val="24"/>
      <w:szCs w:val="24"/>
    </w:rPr>
  </w:style>
  <w:style w:type="paragraph" w:styleId="1249">
    <w:name w:val="xl55"/>
    <w:basedOn w:val="708"/>
    <w:next w:val="1249"/>
    <w:link w:val="708"/>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50">
    <w:name w:val="Normal0"/>
    <w:basedOn w:val="708"/>
    <w:next w:val="1250"/>
    <w:link w:val="708"/>
    <w:qFormat/>
    <w:rPr>
      <w:rFonts w:ascii="Calibri" w:hAnsi="Calibri" w:eastAsia="Calibri" w:cs="宋体"/>
      <w:lang w:val="zh-CN"/>
    </w:rPr>
  </w:style>
  <w:style w:type="paragraph" w:styleId="1251">
    <w:name w:val="正文（文本）"/>
    <w:next w:val="1251"/>
    <w:link w:val="708"/>
    <w:qFormat/>
    <w:pPr>
      <w:jc w:val="center"/>
      <w:spacing w:line="360" w:lineRule="auto"/>
      <w:widowControl w:val="off"/>
    </w:pPr>
    <w:rPr>
      <w:rFonts w:ascii="Times New Roman" w:hAnsi="宋体" w:eastAsia="宋体" w:cs="Times New Roman"/>
      <w:sz w:val="28"/>
      <w:szCs w:val="28"/>
      <w:lang w:val="en-US" w:eastAsia="zh-CN" w:bidi="ar-SA"/>
    </w:rPr>
  </w:style>
  <w:style w:type="paragraph" w:styleId="1252">
    <w:name w:val="xl28"/>
    <w:basedOn w:val="708"/>
    <w:next w:val="1252"/>
    <w:link w:val="7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53">
    <w:name w:val="样式4 Char"/>
    <w:basedOn w:val="708"/>
    <w:next w:val="1253"/>
    <w:link w:val="708"/>
    <w:qFormat/>
    <w:pPr>
      <w:ind w:firstLine="480"/>
      <w:jc w:val="left"/>
      <w:spacing w:line="360" w:lineRule="auto"/>
      <w:widowControl/>
    </w:pPr>
    <w:rPr>
      <w:rFonts w:cs="宋体"/>
      <w:color w:val="000000"/>
      <w:sz w:val="24"/>
      <w:szCs w:val="24"/>
    </w:rPr>
  </w:style>
  <w:style w:type="paragraph" w:styleId="1254">
    <w:name w:val="Char11"/>
    <w:basedOn w:val="708"/>
    <w:next w:val="1254"/>
    <w:link w:val="708"/>
    <w:qFormat/>
    <w:rPr>
      <w:rFonts w:ascii="方正仿宋_GB2312" w:hAnsi="宋体" w:eastAsia="方正仿宋_GB2312" w:cs="宋体"/>
      <w:b/>
      <w:sz w:val="32"/>
      <w:szCs w:val="32"/>
    </w:rPr>
  </w:style>
  <w:style w:type="paragraph" w:styleId="1255">
    <w:name w:val="表格内容"/>
    <w:basedOn w:val="708"/>
    <w:next w:val="1255"/>
    <w:link w:val="708"/>
    <w:qFormat/>
    <w:pPr>
      <w:jc w:val="center"/>
      <w:spacing w:before="60" w:line="300" w:lineRule="auto"/>
      <w:widowControl/>
    </w:pPr>
  </w:style>
  <w:style w:type="paragraph" w:styleId="1256">
    <w:name w:val="xl26"/>
    <w:basedOn w:val="708"/>
    <w:next w:val="1256"/>
    <w:link w:val="7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57">
    <w:name w:val="Char Char Char1"/>
    <w:basedOn w:val="736"/>
    <w:next w:val="1257"/>
    <w:link w:val="708"/>
    <w:qFormat/>
    <w:pPr>
      <w:spacing w:line="436" w:lineRule="exact"/>
    </w:pPr>
    <w:rPr>
      <w:szCs w:val="24"/>
    </w:rPr>
  </w:style>
  <w:style w:type="paragraph" w:styleId="1258">
    <w:name w:val="xl58"/>
    <w:basedOn w:val="708"/>
    <w:next w:val="1258"/>
    <w:link w:val="708"/>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59">
    <w:name w:val="Body Text 21"/>
    <w:basedOn w:val="708"/>
    <w:next w:val="1259"/>
    <w:link w:val="708"/>
    <w:qFormat/>
    <w:pPr>
      <w:ind w:left="720" w:hanging="720"/>
      <w:widowControl/>
    </w:pPr>
    <w:rPr>
      <w:sz w:val="24"/>
      <w:lang w:val="en-GB"/>
    </w:rPr>
  </w:style>
  <w:style w:type="paragraph" w:styleId="1260">
    <w:name w:val="Char Char3"/>
    <w:basedOn w:val="708"/>
    <w:next w:val="1260"/>
    <w:link w:val="708"/>
    <w:qFormat/>
    <w:rPr>
      <w:rFonts w:ascii="Tahoma" w:hAnsi="Tahoma"/>
      <w:sz w:val="24"/>
    </w:rPr>
  </w:style>
  <w:style w:type="paragraph" w:styleId="1261">
    <w:name w:val="reader-word-layer"/>
    <w:basedOn w:val="708"/>
    <w:next w:val="1261"/>
    <w:link w:val="708"/>
    <w:uiPriority w:val="99"/>
    <w:qFormat/>
    <w:pPr>
      <w:jc w:val="left"/>
      <w:spacing w:before="100" w:beforeAutospacing="1" w:after="100" w:afterAutospacing="1"/>
      <w:widowControl/>
    </w:pPr>
    <w:rPr>
      <w:rFonts w:ascii="宋体" w:hAnsi="宋体" w:cs="宋体"/>
      <w:sz w:val="24"/>
      <w:szCs w:val="24"/>
    </w:rPr>
  </w:style>
  <w:style w:type="paragraph" w:styleId="1262">
    <w:name w:val="xl24"/>
    <w:basedOn w:val="708"/>
    <w:next w:val="1262"/>
    <w:link w:val="7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263">
    <w:name w:val="font31"/>
    <w:basedOn w:val="718"/>
    <w:next w:val="1263"/>
    <w:link w:val="708"/>
    <w:qFormat/>
    <w:rPr>
      <w:rFonts w:ascii="等线" w:hAnsi="等线" w:eastAsia="等线" w:cs="等线"/>
      <w:color w:val="000000"/>
      <w:sz w:val="21"/>
      <w:szCs w:val="21"/>
      <w:u w:val="none"/>
    </w:rPr>
  </w:style>
  <w:style w:type="character" w:styleId="1264">
    <w:name w:val="NormalCharacter1"/>
    <w:next w:val="1264"/>
    <w:link w:val="708"/>
    <w:semiHidden/>
    <w:qFormat/>
  </w:style>
  <w:style w:type="character" w:styleId="1265">
    <w:name w:val="font51"/>
    <w:basedOn w:val="718"/>
    <w:next w:val="1265"/>
    <w:link w:val="708"/>
    <w:qFormat/>
    <w:rPr>
      <w:rFonts w:hint="eastAsia" w:ascii="宋体" w:hAnsi="宋体" w:eastAsia="宋体" w:cs="宋体"/>
      <w:color w:val="ff0000"/>
      <w:sz w:val="22"/>
      <w:szCs w:val="22"/>
      <w:u w:val="none"/>
    </w:rPr>
  </w:style>
  <w:style w:type="table" w:styleId="1266">
    <w:name w:val="Normal Table0"/>
    <w:next w:val="1266"/>
    <w:link w:val="708"/>
    <w:uiPriority w:val="2"/>
    <w:unhideWhenUsed/>
    <w:qFormat/>
    <w:pPr>
      <w:widowControl w:val="off"/>
    </w:pPr>
    <w:rPr>
      <w:sz w:val="22"/>
      <w:szCs w:val="22"/>
      <w:lang w:eastAsia="en-US"/>
    </w:rPr>
    <w:tblPr/>
  </w:style>
  <w:style w:type="paragraph" w:styleId="1267">
    <w:name w:val="二级标题"/>
    <w:next w:val="708"/>
    <w:link w:val="708"/>
    <w:qFormat/>
    <w:pPr>
      <w:numPr>
        <w:ilvl w:val="1"/>
        <w:numId w:val="5"/>
      </w:numPr>
      <w:spacing w:line="360" w:lineRule="auto"/>
      <w:outlineLvl w:val="1"/>
    </w:pPr>
    <w:rPr>
      <w:rFonts w:ascii="宋体" w:hAnsi="宋体" w:eastAsia="宋体" w:cs="宋体"/>
      <w:b/>
      <w:bCs/>
      <w:sz w:val="28"/>
      <w:szCs w:val="30"/>
      <w:lang w:val="en-US" w:eastAsia="zh-CN" w:bidi="ar-SA"/>
    </w:rPr>
  </w:style>
  <w:style w:type="paragraph" w:styleId="1268">
    <w:name w:val="三级标题"/>
    <w:next w:val="708"/>
    <w:link w:val="708"/>
    <w:qFormat/>
    <w:pPr>
      <w:numPr>
        <w:ilvl w:val="2"/>
        <w:numId w:val="5"/>
      </w:numPr>
      <w:spacing w:line="360" w:lineRule="auto"/>
      <w:outlineLvl w:val="2"/>
    </w:pPr>
    <w:rPr>
      <w:rFonts w:ascii="宋体" w:hAnsi="宋体" w:eastAsia="宋体" w:cs="宋体"/>
      <w:bCs/>
      <w:sz w:val="21"/>
      <w:szCs w:val="30"/>
      <w:lang w:val="en-US" w:eastAsia="zh-CN" w:bidi="ar-SA"/>
    </w:rPr>
  </w:style>
  <w:style w:type="paragraph" w:styleId="1269">
    <w:name w:val="四级标题"/>
    <w:next w:val="708"/>
    <w:link w:val="708"/>
    <w:qFormat/>
    <w:pPr>
      <w:numPr>
        <w:ilvl w:val="3"/>
        <w:numId w:val="5"/>
      </w:numPr>
      <w:spacing w:line="360" w:lineRule="auto"/>
      <w:outlineLvl w:val="3"/>
    </w:pPr>
    <w:rPr>
      <w:rFonts w:ascii="宋体" w:hAnsi="宋体" w:eastAsia="宋体" w:cs="宋体"/>
      <w:bCs/>
      <w:sz w:val="21"/>
      <w:szCs w:val="30"/>
      <w:lang w:val="en-US" w:eastAsia="zh-CN" w:bidi="ar-SA"/>
    </w:rPr>
  </w:style>
  <w:style w:type="paragraph" w:styleId="1270">
    <w:name w:val="msonormal"/>
    <w:basedOn w:val="708"/>
    <w:next w:val="1270"/>
    <w:link w:val="708"/>
    <w:qFormat/>
    <w:pPr>
      <w:jc w:val="left"/>
      <w:spacing w:before="100" w:beforeAutospacing="1" w:after="100" w:afterAutospacing="1"/>
      <w:widowControl/>
    </w:pPr>
    <w:rPr>
      <w:rFonts w:ascii="宋体" w:hAnsi="宋体" w:cs="宋体"/>
      <w:sz w:val="24"/>
      <w:szCs w:val="24"/>
    </w:rPr>
  </w:style>
  <w:style w:type="paragraph" w:styleId="1271">
    <w:name w:val="xl71"/>
    <w:basedOn w:val="708"/>
    <w:next w:val="1271"/>
    <w:link w:val="708"/>
    <w:qFormat/>
    <w:pPr>
      <w:jc w:val="left"/>
      <w:spacing w:before="100" w:beforeAutospacing="1" w:after="100" w:afterAutospacing="1"/>
      <w:widowControl/>
    </w:pPr>
    <w:rPr>
      <w:rFonts w:ascii="宋体" w:hAnsi="宋体" w:cs="宋体"/>
      <w:sz w:val="24"/>
      <w:szCs w:val="24"/>
    </w:rPr>
  </w:style>
  <w:style w:type="paragraph" w:styleId="1272">
    <w:name w:val="xl72"/>
    <w:basedOn w:val="708"/>
    <w:next w:val="1272"/>
    <w:link w:val="708"/>
    <w:qFormat/>
    <w:pPr>
      <w:jc w:val="center"/>
      <w:spacing w:before="100" w:beforeAutospacing="1" w:after="100" w:afterAutospacing="1"/>
      <w:widowControl/>
    </w:pPr>
    <w:rPr>
      <w:rFonts w:ascii="宋体" w:hAnsi="宋体" w:cs="宋体"/>
      <w:sz w:val="24"/>
      <w:szCs w:val="24"/>
    </w:rPr>
  </w:style>
  <w:style w:type="paragraph" w:styleId="1273">
    <w:name w:val="xl73"/>
    <w:basedOn w:val="708"/>
    <w:next w:val="1273"/>
    <w:link w:val="708"/>
    <w:qFormat/>
    <w:pPr>
      <w:jc w:val="center"/>
      <w:spacing w:before="100" w:beforeAutospacing="1" w:after="100" w:afterAutospacing="1"/>
      <w:widowControl/>
    </w:pPr>
    <w:rPr>
      <w:rFonts w:ascii="宋体" w:hAnsi="宋体" w:cs="宋体"/>
      <w:sz w:val="24"/>
      <w:szCs w:val="24"/>
    </w:rPr>
  </w:style>
  <w:style w:type="paragraph" w:styleId="1274">
    <w:name w:val="xl74"/>
    <w:basedOn w:val="708"/>
    <w:next w:val="1274"/>
    <w:link w:val="708"/>
    <w:qFormat/>
    <w:pPr>
      <w:jc w:val="center"/>
      <w:spacing w:before="100" w:beforeAutospacing="1" w:after="100" w:afterAutospacing="1"/>
      <w:widowControl/>
    </w:pPr>
    <w:rPr>
      <w:rFonts w:ascii="宋体" w:hAnsi="宋体" w:cs="宋体"/>
      <w:sz w:val="20"/>
    </w:rPr>
  </w:style>
  <w:style w:type="paragraph" w:styleId="1275">
    <w:name w:val="xl75"/>
    <w:basedOn w:val="708"/>
    <w:next w:val="1275"/>
    <w:link w:val="70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76">
    <w:name w:val="xl76"/>
    <w:basedOn w:val="708"/>
    <w:next w:val="1276"/>
    <w:link w:val="70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77">
    <w:name w:val="xl77"/>
    <w:basedOn w:val="708"/>
    <w:next w:val="1277"/>
    <w:link w:val="70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78">
    <w:name w:val="xl78"/>
    <w:basedOn w:val="708"/>
    <w:next w:val="1278"/>
    <w:link w:val="70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79">
    <w:name w:val="xl79"/>
    <w:basedOn w:val="708"/>
    <w:next w:val="1279"/>
    <w:link w:val="708"/>
    <w:qFormat/>
    <w:pPr>
      <w:jc w:val="center"/>
      <w:spacing w:before="100" w:beforeAutospacing="1" w:after="100" w:afterAutospacing="1"/>
      <w:shd w:val="clear" w:color="000000" w:fill="ffffff"/>
      <w:widowControl/>
    </w:pPr>
    <w:rPr>
      <w:rFonts w:ascii="宋体" w:hAnsi="宋体" w:cs="宋体"/>
      <w:sz w:val="20"/>
    </w:rPr>
  </w:style>
  <w:style w:type="paragraph" w:styleId="1280">
    <w:name w:val="xl80"/>
    <w:basedOn w:val="708"/>
    <w:next w:val="1280"/>
    <w:link w:val="70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81">
    <w:name w:val="xl81"/>
    <w:basedOn w:val="708"/>
    <w:next w:val="1281"/>
    <w:link w:val="70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82">
    <w:name w:val="xl82"/>
    <w:basedOn w:val="708"/>
    <w:next w:val="1282"/>
    <w:link w:val="70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83">
    <w:name w:val="xl83"/>
    <w:basedOn w:val="708"/>
    <w:next w:val="1283"/>
    <w:link w:val="70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84">
    <w:name w:val="xl84"/>
    <w:basedOn w:val="708"/>
    <w:next w:val="1284"/>
    <w:link w:val="70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85">
    <w:name w:val="xl85"/>
    <w:basedOn w:val="708"/>
    <w:next w:val="1285"/>
    <w:link w:val="70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86">
    <w:name w:val="纯文本11"/>
    <w:basedOn w:val="708"/>
    <w:next w:val="1286"/>
    <w:link w:val="708"/>
    <w:qFormat/>
    <w:rPr>
      <w:rFonts w:ascii="宋体" w:hAnsi="Courier New"/>
    </w:rPr>
  </w:style>
  <w:style w:type="paragraph" w:styleId="1287">
    <w:name w:val="_Style 78"/>
    <w:basedOn w:val="708"/>
    <w:next w:val="708"/>
    <w:link w:val="708"/>
    <w:uiPriority w:val="39"/>
    <w:qFormat/>
    <w:pPr>
      <w:ind w:left="1470"/>
      <w:jc w:val="left"/>
    </w:pPr>
    <w:rPr>
      <w:szCs w:val="21"/>
    </w:rPr>
  </w:style>
  <w:style w:type="paragraph" w:styleId="1288">
    <w:name w:val="页脚1"/>
    <w:basedOn w:val="708"/>
    <w:next w:val="1288"/>
    <w:link w:val="708"/>
    <w:qFormat/>
    <w:pPr>
      <w:jc w:val="left"/>
      <w:tabs>
        <w:tab w:val="center" w:pos="4153" w:leader="none"/>
        <w:tab w:val="right" w:pos="8306" w:leader="none"/>
      </w:tabs>
    </w:pPr>
    <w:rPr>
      <w:sz w:val="18"/>
      <w:szCs w:val="18"/>
    </w:rPr>
  </w:style>
  <w:style w:type="character" w:styleId="1289">
    <w:name w:val="默认段落字体11"/>
    <w:next w:val="1289"/>
    <w:link w:val="708"/>
    <w:uiPriority w:val="1"/>
    <w:unhideWhenUsed/>
    <w:qFormat/>
    <w:rPr>
      <w:rFonts w:ascii="Times New Roman" w:hAnsi="Times New Roman" w:eastAsia="宋体" w:cs="Times New Roman"/>
      <w:sz w:val="21"/>
      <w:lang w:val="en-US" w:eastAsia="zh-CN" w:bidi="ar-SA"/>
    </w:rPr>
  </w:style>
  <w:style w:type="paragraph" w:styleId="1290">
    <w:name w:val="索引 41"/>
    <w:basedOn w:val="708"/>
    <w:next w:val="708"/>
    <w:link w:val="708"/>
    <w:semiHidden/>
    <w:qFormat/>
    <w:pPr>
      <w:ind w:left="1260"/>
    </w:pPr>
    <w:rPr>
      <w:rFonts w:ascii="Calibri" w:hAnsi="Calibri" w:eastAsia="Calibri" w:cs="宋体"/>
      <w:sz w:val="20"/>
      <w:lang w:val="zh-CN"/>
    </w:rPr>
  </w:style>
  <w:style w:type="character" w:styleId="1291">
    <w:name w:val="font01"/>
    <w:basedOn w:val="806"/>
    <w:next w:val="1291"/>
    <w:link w:val="708"/>
    <w:qFormat/>
    <w:rPr>
      <w:rFonts w:hint="eastAsia" w:ascii="宋体" w:hAnsi="宋体" w:eastAsia="宋体" w:cs="宋体"/>
      <w:color w:val="000000"/>
      <w:sz w:val="22"/>
      <w:szCs w:val="22"/>
      <w:u w:val="none"/>
    </w:rPr>
  </w:style>
  <w:style w:type="paragraph" w:styleId="1292">
    <w:name w:val="普通(网站)1"/>
    <w:basedOn w:val="708"/>
    <w:next w:val="1292"/>
    <w:link w:val="708"/>
    <w:uiPriority w:val="99"/>
    <w:qFormat/>
    <w:pPr>
      <w:jc w:val="left"/>
      <w:spacing w:before="100" w:beforeAutospacing="1" w:after="100" w:afterAutospacing="1"/>
      <w:widowControl/>
    </w:pPr>
    <w:rPr>
      <w:rFonts w:ascii="宋体" w:hAnsi="宋体" w:eastAsia="宋体" w:cs="宋体"/>
      <w:sz w:val="24"/>
      <w:szCs w:val="24"/>
    </w:rPr>
  </w:style>
  <w:style w:type="character" w:styleId="1293">
    <w:name w:val="font21"/>
    <w:basedOn w:val="718"/>
    <w:next w:val="1293"/>
    <w:link w:val="708"/>
    <w:qFormat/>
    <w:rPr>
      <w:rFonts w:ascii="Times New Roman" w:hAnsi="Times New Roman" w:cs="Times New Roman"/>
      <w:color w:val="000000"/>
      <w:sz w:val="22"/>
      <w:szCs w:val="22"/>
      <w:u w:val="none"/>
    </w:rPr>
  </w:style>
  <w:style w:type="table" w:styleId="1294">
    <w:name w:val="Table Normal"/>
    <w:next w:val="1294"/>
    <w:link w:val="708"/>
    <w:qFormat/>
    <w:tblPr/>
  </w:style>
  <w:style w:type="character" w:styleId="1295">
    <w:name w:val="font41"/>
    <w:basedOn w:val="718"/>
    <w:next w:val="1295"/>
    <w:link w:val="708"/>
    <w:qFormat/>
    <w:rPr>
      <w:rFonts w:hint="eastAsia" w:ascii="微软雅黑" w:hAnsi="微软雅黑" w:eastAsia="微软雅黑" w:cs="微软雅黑"/>
      <w:color w:val="000000"/>
      <w:sz w:val="22"/>
      <w:szCs w:val="22"/>
      <w:u w:val="none"/>
    </w:rPr>
  </w:style>
  <w:style w:type="character" w:styleId="1296">
    <w:name w:val="font61"/>
    <w:basedOn w:val="718"/>
    <w:next w:val="1296"/>
    <w:link w:val="708"/>
    <w:qFormat/>
    <w:rPr>
      <w:rFonts w:hint="eastAsia" w:ascii="微软雅黑" w:hAnsi="微软雅黑" w:eastAsia="微软雅黑" w:cs="微软雅黑"/>
      <w:color w:val="000000"/>
      <w:sz w:val="22"/>
      <w:szCs w:val="22"/>
      <w:u w:val="none"/>
    </w:rPr>
  </w:style>
  <w:style w:type="character" w:styleId="28374" w:default="1">
    <w:name w:val="Default Paragraph Font"/>
    <w:uiPriority w:val="1"/>
    <w:semiHidden/>
    <w:unhideWhenUsed/>
  </w:style>
  <w:style w:type="numbering" w:styleId="28375" w:default="1">
    <w:name w:val="No List"/>
    <w:uiPriority w:val="99"/>
    <w:semiHidden/>
    <w:unhideWhenUsed/>
  </w:style>
  <w:style w:type="table" w:styleId="283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金芸</cp:lastModifiedBy>
  <cp:revision>4</cp:revision>
  <dcterms:created xsi:type="dcterms:W3CDTF">2024-01-04T17:07:00Z</dcterms:created>
  <dcterms:modified xsi:type="dcterms:W3CDTF">2026-07-06T04:25:13Z</dcterms:modified>
</cp:coreProperties>
</file>