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00C8D">
      <w:pPr>
        <w:autoSpaceDE/>
        <w:autoSpaceDN/>
        <w:spacing w:line="360" w:lineRule="auto"/>
        <w:rPr>
          <w:b/>
          <w:bCs/>
          <w:color w:val="auto"/>
          <w:sz w:val="36"/>
          <w:szCs w:val="36"/>
          <w:highlight w:val="none"/>
          <w:lang w:eastAsia="zh-CN"/>
        </w:rPr>
      </w:pPr>
    </w:p>
    <w:p w14:paraId="751384FC">
      <w:pPr>
        <w:autoSpaceDE/>
        <w:autoSpaceDN/>
        <w:spacing w:line="360" w:lineRule="auto"/>
        <w:rPr>
          <w:b/>
          <w:bCs/>
          <w:color w:val="auto"/>
          <w:sz w:val="36"/>
          <w:szCs w:val="36"/>
          <w:highlight w:val="none"/>
          <w:lang w:eastAsia="zh-CN"/>
        </w:rPr>
      </w:pPr>
    </w:p>
    <w:p w14:paraId="1D5D7A36">
      <w:pPr>
        <w:keepNext w:val="0"/>
        <w:keepLines w:val="0"/>
        <w:pageBreakBefore w:val="0"/>
        <w:widowControl/>
        <w:kinsoku/>
        <w:wordWrap/>
        <w:overflowPunct/>
        <w:topLinePunct w:val="0"/>
        <w:autoSpaceDE w:val="0"/>
        <w:autoSpaceDN w:val="0"/>
        <w:bidi w:val="0"/>
        <w:adjustRightInd/>
        <w:snapToGrid/>
        <w:spacing w:line="240" w:lineRule="auto"/>
        <w:jc w:val="center"/>
        <w:textAlignment w:val="auto"/>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汤泉街道2026-2029年度九龙湖及周边地区景观绿化养护项目</w:t>
      </w:r>
    </w:p>
    <w:p w14:paraId="23E08E5B">
      <w:pPr>
        <w:widowControl/>
        <w:spacing w:line="360" w:lineRule="auto"/>
        <w:jc w:val="center"/>
        <w:rPr>
          <w:rFonts w:hint="eastAsia" w:cs="宋体"/>
          <w:b/>
          <w:bCs/>
          <w:color w:val="auto"/>
          <w:sz w:val="32"/>
          <w:szCs w:val="32"/>
          <w:highlight w:val="none"/>
          <w:lang w:eastAsia="zh-CN"/>
        </w:rPr>
      </w:pPr>
      <w:r>
        <w:rPr>
          <w:rFonts w:hint="eastAsia" w:ascii="宋体" w:hAnsi="宋体" w:eastAsia="宋体" w:cs="宋体"/>
          <w:b/>
          <w:bCs/>
          <w:color w:val="auto"/>
          <w:sz w:val="32"/>
          <w:szCs w:val="32"/>
          <w:highlight w:val="none"/>
        </w:rPr>
        <w:t>项目编号：JSZC-320111-XMGL-G2026-0005</w:t>
      </w:r>
    </w:p>
    <w:p w14:paraId="7EFA4231">
      <w:pPr>
        <w:jc w:val="center"/>
        <w:rPr>
          <w:rFonts w:hint="eastAsia" w:ascii="Times New Roman" w:hAnsi="Times New Roman" w:eastAsia="宋体" w:cs="Times New Roman"/>
          <w:b/>
          <w:bCs w:val="0"/>
          <w:color w:val="auto"/>
          <w:sz w:val="30"/>
          <w:szCs w:val="30"/>
          <w:highlight w:val="none"/>
          <w:lang w:eastAsia="zh-CN"/>
        </w:rPr>
      </w:pPr>
      <w:r>
        <w:rPr>
          <w:rFonts w:hint="eastAsia" w:ascii="Times New Roman" w:hAnsi="Times New Roman" w:eastAsia="宋体" w:cs="Times New Roman"/>
          <w:b/>
          <w:bCs w:val="0"/>
          <w:color w:val="auto"/>
          <w:sz w:val="30"/>
          <w:szCs w:val="30"/>
          <w:highlight w:val="none"/>
          <w:lang w:eastAsia="zh-CN"/>
        </w:rPr>
        <w:t>（非专门面向中小企业）</w:t>
      </w:r>
    </w:p>
    <w:p w14:paraId="412C9652">
      <w:pPr>
        <w:pStyle w:val="40"/>
        <w:rPr>
          <w:rFonts w:hint="eastAsia"/>
          <w:color w:val="auto"/>
          <w:highlight w:val="none"/>
        </w:rPr>
      </w:pPr>
    </w:p>
    <w:p w14:paraId="2092801C">
      <w:pPr>
        <w:pStyle w:val="40"/>
        <w:rPr>
          <w:rFonts w:hint="eastAsia"/>
          <w:color w:val="auto"/>
          <w:highlight w:val="none"/>
        </w:rPr>
      </w:pPr>
    </w:p>
    <w:p w14:paraId="50BA1A01">
      <w:pPr>
        <w:autoSpaceDE/>
        <w:autoSpaceDN/>
        <w:spacing w:line="360" w:lineRule="auto"/>
        <w:jc w:val="center"/>
        <w:rPr>
          <w:color w:val="auto"/>
          <w:sz w:val="36"/>
          <w:szCs w:val="36"/>
          <w:highlight w:val="none"/>
          <w:lang w:eastAsia="zh-CN"/>
        </w:rPr>
      </w:pPr>
    </w:p>
    <w:p w14:paraId="5A46F27D">
      <w:pPr>
        <w:autoSpaceDE w:val="0"/>
        <w:autoSpaceDN w:val="0"/>
        <w:spacing w:line="360" w:lineRule="auto"/>
        <w:jc w:val="center"/>
        <w:rPr>
          <w:rFonts w:hint="eastAsia" w:ascii="宋体" w:hAnsi="宋体" w:eastAsia="宋体" w:cs="宋体"/>
          <w:b/>
          <w:bCs/>
          <w:color w:val="auto"/>
          <w:kern w:val="2"/>
          <w:sz w:val="112"/>
          <w:szCs w:val="112"/>
          <w:highlight w:val="none"/>
          <w:lang w:eastAsia="zh-CN"/>
        </w:rPr>
      </w:pPr>
      <w:bookmarkStart w:id="0" w:name="_Hlk9977054"/>
      <w:r>
        <w:rPr>
          <w:rFonts w:hint="eastAsia" w:ascii="宋体" w:hAnsi="宋体" w:eastAsia="宋体" w:cs="宋体"/>
          <w:b/>
          <w:bCs/>
          <w:color w:val="auto"/>
          <w:kern w:val="2"/>
          <w:sz w:val="112"/>
          <w:szCs w:val="112"/>
          <w:highlight w:val="none"/>
          <w:lang w:eastAsia="zh-CN"/>
        </w:rPr>
        <w:t>招　标　文　件</w:t>
      </w:r>
    </w:p>
    <w:bookmarkEnd w:id="0"/>
    <w:p w14:paraId="4BF38FE0">
      <w:pPr>
        <w:pStyle w:val="15"/>
        <w:rPr>
          <w:rFonts w:hint="eastAsia"/>
          <w:color w:val="auto"/>
          <w:highlight w:val="none"/>
          <w:lang w:eastAsia="zh-CN"/>
        </w:rPr>
      </w:pPr>
    </w:p>
    <w:p w14:paraId="17AE4D3D">
      <w:pPr>
        <w:pStyle w:val="15"/>
        <w:rPr>
          <w:rFonts w:hint="eastAsia"/>
          <w:color w:val="auto"/>
          <w:highlight w:val="none"/>
          <w:lang w:eastAsia="zh-CN"/>
        </w:rPr>
      </w:pPr>
    </w:p>
    <w:p w14:paraId="07634DEF">
      <w:pPr>
        <w:pStyle w:val="15"/>
        <w:rPr>
          <w:rFonts w:hint="eastAsia"/>
          <w:color w:val="auto"/>
          <w:highlight w:val="none"/>
          <w:lang w:eastAsia="zh-CN"/>
        </w:rPr>
      </w:pPr>
    </w:p>
    <w:p w14:paraId="6D1B1103">
      <w:pPr>
        <w:pStyle w:val="15"/>
        <w:rPr>
          <w:rFonts w:hint="eastAsia"/>
          <w:color w:val="auto"/>
          <w:highlight w:val="none"/>
          <w:lang w:eastAsia="zh-CN"/>
        </w:rPr>
      </w:pPr>
    </w:p>
    <w:p w14:paraId="4B810853">
      <w:pPr>
        <w:pStyle w:val="15"/>
        <w:rPr>
          <w:rFonts w:hint="eastAsia"/>
          <w:color w:val="auto"/>
          <w:highlight w:val="none"/>
          <w:lang w:eastAsia="zh-CN"/>
        </w:rPr>
      </w:pPr>
    </w:p>
    <w:p w14:paraId="6699AB2F">
      <w:pPr>
        <w:pStyle w:val="15"/>
        <w:rPr>
          <w:rFonts w:hint="eastAsia"/>
          <w:color w:val="auto"/>
          <w:highlight w:val="none"/>
          <w:lang w:eastAsia="zh-CN"/>
        </w:rPr>
      </w:pPr>
    </w:p>
    <w:p w14:paraId="0FE7B3BE">
      <w:pPr>
        <w:pStyle w:val="15"/>
        <w:rPr>
          <w:rFonts w:hint="eastAsia"/>
          <w:color w:val="auto"/>
          <w:highlight w:val="none"/>
          <w:lang w:eastAsia="zh-CN"/>
        </w:rPr>
      </w:pPr>
    </w:p>
    <w:p w14:paraId="2B28E9BD">
      <w:pPr>
        <w:pStyle w:val="15"/>
        <w:rPr>
          <w:rFonts w:hint="eastAsia"/>
          <w:color w:val="auto"/>
          <w:highlight w:val="none"/>
          <w:lang w:eastAsia="zh-CN"/>
        </w:rPr>
      </w:pPr>
    </w:p>
    <w:p w14:paraId="48364C9F">
      <w:pPr>
        <w:pStyle w:val="41"/>
        <w:rPr>
          <w:color w:val="auto"/>
          <w:highlight w:val="none"/>
          <w:lang w:eastAsia="zh-CN"/>
        </w:rPr>
      </w:pPr>
    </w:p>
    <w:p w14:paraId="2BC0B4C7">
      <w:pPr>
        <w:spacing w:line="360" w:lineRule="auto"/>
        <w:jc w:val="center"/>
        <w:rPr>
          <w:rFonts w:hint="default" w:ascii="宋体" w:hAnsi="宋体" w:eastAsia="宋体" w:cs="宋体"/>
          <w:color w:val="auto"/>
          <w:sz w:val="40"/>
          <w:szCs w:val="40"/>
          <w:highlight w:val="none"/>
          <w:lang w:val="en-US" w:eastAsia="zh-CN"/>
        </w:rPr>
      </w:pPr>
      <w:r>
        <w:rPr>
          <w:rFonts w:hint="eastAsia" w:ascii="宋体" w:hAnsi="宋体" w:eastAsia="宋体" w:cs="宋体"/>
          <w:b/>
          <w:bCs/>
          <w:color w:val="auto"/>
          <w:spacing w:val="38"/>
          <w:sz w:val="40"/>
          <w:szCs w:val="40"/>
          <w:highlight w:val="none"/>
        </w:rPr>
        <w:t>采购人</w:t>
      </w:r>
      <w:r>
        <w:rPr>
          <w:rFonts w:hint="eastAsia" w:ascii="宋体" w:hAnsi="宋体" w:eastAsia="宋体" w:cs="宋体"/>
          <w:b/>
          <w:bCs/>
          <w:color w:val="auto"/>
          <w:sz w:val="40"/>
          <w:szCs w:val="40"/>
          <w:highlight w:val="none"/>
        </w:rPr>
        <w:t>：</w:t>
      </w:r>
      <w:r>
        <w:rPr>
          <w:rFonts w:hint="eastAsia" w:cs="宋体"/>
          <w:b/>
          <w:bCs/>
          <w:color w:val="auto"/>
          <w:sz w:val="40"/>
          <w:szCs w:val="40"/>
          <w:highlight w:val="none"/>
          <w:lang w:val="en-US" w:eastAsia="zh-CN"/>
        </w:rPr>
        <w:t>南京市浦口区人民政府汤泉街道办事处</w:t>
      </w:r>
    </w:p>
    <w:p w14:paraId="1C3E1D69">
      <w:pPr>
        <w:spacing w:line="360" w:lineRule="auto"/>
        <w:jc w:val="center"/>
        <w:rPr>
          <w:rFonts w:hint="eastAsia" w:ascii="宋体" w:hAnsi="宋体" w:eastAsia="宋体" w:cs="宋体"/>
          <w:color w:val="auto"/>
          <w:sz w:val="40"/>
          <w:szCs w:val="40"/>
          <w:highlight w:val="none"/>
          <w:lang w:eastAsia="zh-CN"/>
        </w:rPr>
      </w:pPr>
      <w:r>
        <w:rPr>
          <w:rFonts w:hint="eastAsia" w:ascii="宋体" w:hAnsi="宋体" w:eastAsia="宋体" w:cs="宋体"/>
          <w:b/>
          <w:bCs/>
          <w:color w:val="auto"/>
          <w:spacing w:val="20"/>
          <w:sz w:val="40"/>
          <w:szCs w:val="40"/>
          <w:highlight w:val="none"/>
        </w:rPr>
        <w:t>采购代理机构：</w:t>
      </w:r>
      <w:r>
        <w:rPr>
          <w:rFonts w:hint="eastAsia" w:cs="宋体"/>
          <w:b/>
          <w:bCs/>
          <w:color w:val="auto"/>
          <w:spacing w:val="20"/>
          <w:sz w:val="40"/>
          <w:szCs w:val="40"/>
          <w:highlight w:val="none"/>
          <w:lang w:eastAsia="zh-CN"/>
        </w:rPr>
        <w:t>江苏全过程项目管理有限公司</w:t>
      </w:r>
    </w:p>
    <w:p w14:paraId="7624A8F0">
      <w:pPr>
        <w:spacing w:line="360" w:lineRule="auto"/>
        <w:jc w:val="center"/>
        <w:rPr>
          <w:rFonts w:hint="eastAsia" w:ascii="宋体" w:hAnsi="宋体" w:eastAsia="宋体" w:cs="宋体"/>
          <w:color w:val="auto"/>
          <w:spacing w:val="-20"/>
          <w:sz w:val="40"/>
          <w:szCs w:val="40"/>
          <w:highlight w:val="none"/>
          <w:lang w:eastAsia="zh-CN"/>
        </w:rPr>
      </w:pPr>
      <w:r>
        <w:rPr>
          <w:rFonts w:hint="eastAsia" w:ascii="宋体" w:hAnsi="宋体" w:eastAsia="宋体" w:cs="宋体"/>
          <w:b/>
          <w:bCs/>
          <w:color w:val="auto"/>
          <w:w w:val="98"/>
          <w:sz w:val="40"/>
          <w:szCs w:val="40"/>
          <w:highlight w:val="none"/>
        </w:rPr>
        <w:t>日期</w:t>
      </w:r>
      <w:r>
        <w:rPr>
          <w:rFonts w:hint="eastAsia" w:ascii="宋体" w:hAnsi="宋体" w:eastAsia="宋体" w:cs="宋体"/>
          <w:b/>
          <w:bCs/>
          <w:color w:val="auto"/>
          <w:sz w:val="40"/>
          <w:szCs w:val="40"/>
          <w:highlight w:val="none"/>
        </w:rPr>
        <w:t>：</w:t>
      </w:r>
      <w:r>
        <w:rPr>
          <w:rFonts w:hint="eastAsia" w:cs="宋体"/>
          <w:b/>
          <w:bCs/>
          <w:color w:val="auto"/>
          <w:w w:val="98"/>
          <w:sz w:val="40"/>
          <w:szCs w:val="40"/>
          <w:highlight w:val="none"/>
          <w:lang w:eastAsia="zh-CN"/>
        </w:rPr>
        <w:t>202</w:t>
      </w:r>
      <w:r>
        <w:rPr>
          <w:rFonts w:hint="eastAsia" w:cs="宋体"/>
          <w:b/>
          <w:bCs/>
          <w:color w:val="auto"/>
          <w:w w:val="98"/>
          <w:sz w:val="40"/>
          <w:szCs w:val="40"/>
          <w:highlight w:val="none"/>
          <w:lang w:val="en-US" w:eastAsia="zh-CN"/>
        </w:rPr>
        <w:t>6</w:t>
      </w:r>
      <w:r>
        <w:rPr>
          <w:rFonts w:hint="eastAsia" w:cs="宋体"/>
          <w:b/>
          <w:bCs/>
          <w:color w:val="auto"/>
          <w:w w:val="98"/>
          <w:sz w:val="40"/>
          <w:szCs w:val="40"/>
          <w:highlight w:val="none"/>
          <w:lang w:eastAsia="zh-CN"/>
        </w:rPr>
        <w:t>年</w:t>
      </w:r>
      <w:r>
        <w:rPr>
          <w:rFonts w:hint="eastAsia" w:cs="宋体"/>
          <w:b/>
          <w:bCs/>
          <w:color w:val="auto"/>
          <w:w w:val="98"/>
          <w:sz w:val="40"/>
          <w:szCs w:val="40"/>
          <w:highlight w:val="none"/>
          <w:lang w:val="en-US" w:eastAsia="zh-CN"/>
        </w:rPr>
        <w:t>06</w:t>
      </w:r>
      <w:r>
        <w:rPr>
          <w:rFonts w:hint="eastAsia" w:cs="宋体"/>
          <w:b/>
          <w:bCs/>
          <w:color w:val="auto"/>
          <w:w w:val="98"/>
          <w:sz w:val="40"/>
          <w:szCs w:val="40"/>
          <w:highlight w:val="none"/>
          <w:lang w:eastAsia="zh-CN"/>
        </w:rPr>
        <w:t>月</w:t>
      </w:r>
      <w:r>
        <w:rPr>
          <w:rFonts w:hint="eastAsia" w:cs="宋体"/>
          <w:b/>
          <w:bCs/>
          <w:color w:val="auto"/>
          <w:w w:val="98"/>
          <w:sz w:val="40"/>
          <w:szCs w:val="40"/>
          <w:highlight w:val="none"/>
          <w:lang w:val="en-US" w:eastAsia="zh-CN"/>
        </w:rPr>
        <w:t>30</w:t>
      </w:r>
      <w:r>
        <w:rPr>
          <w:rFonts w:hint="eastAsia" w:cs="宋体"/>
          <w:b/>
          <w:bCs/>
          <w:color w:val="auto"/>
          <w:w w:val="98"/>
          <w:sz w:val="40"/>
          <w:szCs w:val="40"/>
          <w:highlight w:val="none"/>
          <w:lang w:eastAsia="zh-CN"/>
        </w:rPr>
        <w:t>日</w:t>
      </w:r>
    </w:p>
    <w:p w14:paraId="2651C499">
      <w:pPr>
        <w:widowControl/>
        <w:autoSpaceDE/>
        <w:autoSpaceDN/>
        <w:spacing w:line="360" w:lineRule="auto"/>
        <w:jc w:val="both"/>
        <w:rPr>
          <w:rFonts w:hint="eastAsia" w:ascii="宋体" w:hAnsi="宋体" w:eastAsia="宋体" w:cs="宋体"/>
          <w:b/>
          <w:bCs/>
          <w:color w:val="auto"/>
          <w:kern w:val="44"/>
          <w:sz w:val="60"/>
          <w:szCs w:val="240"/>
          <w:highlight w:val="none"/>
          <w:lang w:val="zh-CN" w:eastAsia="zh-CN" w:bidi="ar-SA"/>
        </w:rPr>
        <w:sectPr>
          <w:headerReference r:id="rId3" w:type="default"/>
          <w:pgSz w:w="12240" w:h="15840"/>
          <w:pgMar w:top="1077" w:right="1020" w:bottom="1077" w:left="1020" w:header="720" w:footer="720" w:gutter="0"/>
          <w:cols w:space="720" w:num="1"/>
          <w:docGrid w:linePitch="299" w:charSpace="0"/>
        </w:sectPr>
      </w:pPr>
    </w:p>
    <w:p w14:paraId="3F8B8A03">
      <w:pPr>
        <w:widowControl/>
        <w:autoSpaceDE/>
        <w:autoSpaceDN/>
        <w:spacing w:line="480" w:lineRule="auto"/>
        <w:jc w:val="center"/>
        <w:rPr>
          <w:color w:val="auto"/>
          <w:sz w:val="22"/>
          <w:szCs w:val="22"/>
          <w:highlight w:val="none"/>
        </w:rPr>
      </w:pPr>
      <w:r>
        <w:rPr>
          <w:rFonts w:hint="eastAsia" w:ascii="宋体" w:hAnsi="宋体" w:eastAsia="宋体" w:cs="宋体"/>
          <w:b/>
          <w:bCs/>
          <w:color w:val="auto"/>
          <w:kern w:val="44"/>
          <w:sz w:val="60"/>
          <w:szCs w:val="240"/>
          <w:highlight w:val="none"/>
          <w:lang w:val="zh-CN" w:eastAsia="zh-CN" w:bidi="ar-SA"/>
        </w:rPr>
        <w:t>目</w:t>
      </w:r>
      <w:r>
        <w:rPr>
          <w:rFonts w:hint="eastAsia" w:ascii="宋体" w:hAnsi="宋体" w:eastAsia="宋体" w:cs="宋体"/>
          <w:b/>
          <w:bCs/>
          <w:color w:val="auto"/>
          <w:kern w:val="44"/>
          <w:sz w:val="60"/>
          <w:szCs w:val="240"/>
          <w:highlight w:val="none"/>
          <w:lang w:val="en-US" w:eastAsia="zh-CN" w:bidi="ar-SA"/>
        </w:rPr>
        <w:t xml:space="preserve">  </w:t>
      </w:r>
      <w:r>
        <w:rPr>
          <w:rFonts w:hint="eastAsia" w:ascii="宋体" w:hAnsi="宋体" w:eastAsia="宋体" w:cs="宋体"/>
          <w:b/>
          <w:bCs/>
          <w:color w:val="auto"/>
          <w:kern w:val="44"/>
          <w:sz w:val="60"/>
          <w:szCs w:val="240"/>
          <w:highlight w:val="none"/>
          <w:lang w:val="zh-CN" w:eastAsia="zh-CN" w:bidi="ar-SA"/>
        </w:rPr>
        <w:t>录</w:t>
      </w:r>
    </w:p>
    <w:p w14:paraId="56BA7692">
      <w:pPr>
        <w:pStyle w:val="19"/>
        <w:tabs>
          <w:tab w:val="right" w:leader="dot" w:pos="9972"/>
          <w:tab w:val="clear" w:pos="8630"/>
        </w:tabs>
        <w:rPr>
          <w:color w:val="auto"/>
          <w:sz w:val="32"/>
          <w:szCs w:val="32"/>
          <w:highlight w:val="none"/>
        </w:rPr>
      </w:pPr>
      <w:r>
        <w:rPr>
          <w:rFonts w:hint="eastAsia" w:ascii="宋体" w:hAnsi="宋体" w:eastAsia="宋体" w:cs="宋体"/>
          <w:b/>
          <w:bCs/>
          <w:color w:val="auto"/>
          <w:sz w:val="44"/>
          <w:szCs w:val="44"/>
          <w:highlight w:val="none"/>
        </w:rPr>
        <w:fldChar w:fldCharType="begin"/>
      </w:r>
      <w:r>
        <w:rPr>
          <w:rFonts w:hint="eastAsia" w:ascii="宋体" w:hAnsi="宋体" w:eastAsia="宋体" w:cs="宋体"/>
          <w:b/>
          <w:bCs/>
          <w:color w:val="auto"/>
          <w:sz w:val="44"/>
          <w:szCs w:val="44"/>
          <w:highlight w:val="none"/>
        </w:rPr>
        <w:instrText xml:space="preserve"> TOC \o "1-3" \h \z \u </w:instrText>
      </w:r>
      <w:r>
        <w:rPr>
          <w:rFonts w:hint="eastAsia" w:ascii="宋体" w:hAnsi="宋体" w:eastAsia="宋体" w:cs="宋体"/>
          <w:b/>
          <w:bCs/>
          <w:color w:val="auto"/>
          <w:sz w:val="44"/>
          <w:szCs w:val="44"/>
          <w:highlight w:val="none"/>
        </w:rPr>
        <w:fldChar w:fldCharType="separate"/>
      </w: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_Toc21928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第一章  </w:t>
      </w:r>
      <w:r>
        <w:rPr>
          <w:rFonts w:hint="eastAsia"/>
          <w:bCs/>
          <w:color w:val="auto"/>
          <w:sz w:val="32"/>
          <w:szCs w:val="32"/>
          <w:highlight w:val="none"/>
          <w:lang w:val="en-US" w:eastAsia="zh-CN"/>
        </w:rPr>
        <w:t>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_Toc21928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p>
    <w:p w14:paraId="3B3E9B2A">
      <w:pPr>
        <w:pStyle w:val="19"/>
        <w:tabs>
          <w:tab w:val="right" w:leader="dot" w:pos="9972"/>
          <w:tab w:val="clear" w:pos="8630"/>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_Toc17064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第二章 </w:t>
      </w:r>
      <w:r>
        <w:rPr>
          <w:rFonts w:hint="eastAsia"/>
          <w:bCs/>
          <w:color w:val="auto"/>
          <w:sz w:val="32"/>
          <w:szCs w:val="32"/>
          <w:highlight w:val="none"/>
          <w:lang w:val="en-US" w:eastAsia="zh-CN"/>
        </w:rPr>
        <w:t>投标人</w:t>
      </w:r>
      <w:r>
        <w:rPr>
          <w:rFonts w:hint="eastAsia"/>
          <w:bCs/>
          <w:color w:val="auto"/>
          <w:sz w:val="32"/>
          <w:szCs w:val="32"/>
          <w:highlight w:val="none"/>
          <w:lang w:eastAsia="zh-CN"/>
        </w:rPr>
        <w:t>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_Toc17064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p>
    <w:p w14:paraId="781DE86B">
      <w:pPr>
        <w:pStyle w:val="19"/>
        <w:tabs>
          <w:tab w:val="right" w:leader="dot" w:pos="9972"/>
          <w:tab w:val="clear" w:pos="8630"/>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_Toc32184 </w:instrText>
      </w:r>
      <w:r>
        <w:rPr>
          <w:rFonts w:hint="eastAsia" w:ascii="宋体" w:hAnsi="宋体" w:eastAsia="宋体" w:cs="宋体"/>
          <w:bCs/>
          <w:color w:val="auto"/>
          <w:sz w:val="32"/>
          <w:szCs w:val="44"/>
          <w:highlight w:val="none"/>
        </w:rPr>
        <w:fldChar w:fldCharType="separate"/>
      </w:r>
      <w:r>
        <w:rPr>
          <w:rFonts w:hint="eastAsia" w:cs="宋体"/>
          <w:bCs/>
          <w:color w:val="auto"/>
          <w:sz w:val="32"/>
          <w:szCs w:val="36"/>
          <w:highlight w:val="none"/>
          <w:lang w:val="en-US" w:eastAsia="zh-CN" w:bidi="ar-SA"/>
        </w:rPr>
        <w:t>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_Toc32184 \h </w:instrText>
      </w:r>
      <w:r>
        <w:rPr>
          <w:color w:val="auto"/>
          <w:sz w:val="32"/>
          <w:szCs w:val="32"/>
          <w:highlight w:val="none"/>
        </w:rPr>
        <w:fldChar w:fldCharType="separate"/>
      </w:r>
      <w:r>
        <w:rPr>
          <w:color w:val="auto"/>
          <w:sz w:val="32"/>
          <w:szCs w:val="32"/>
          <w:highlight w:val="none"/>
        </w:rPr>
        <w:t>20</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p>
    <w:p w14:paraId="602B5CDF">
      <w:pPr>
        <w:pStyle w:val="19"/>
        <w:tabs>
          <w:tab w:val="right" w:leader="dot" w:pos="9972"/>
          <w:tab w:val="clear" w:pos="8630"/>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_Toc20768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_Toc20768 \h </w:instrText>
      </w:r>
      <w:r>
        <w:rPr>
          <w:color w:val="auto"/>
          <w:sz w:val="32"/>
          <w:szCs w:val="32"/>
          <w:highlight w:val="none"/>
        </w:rPr>
        <w:fldChar w:fldCharType="separate"/>
      </w:r>
      <w:r>
        <w:rPr>
          <w:color w:val="auto"/>
          <w:sz w:val="32"/>
          <w:szCs w:val="32"/>
          <w:highlight w:val="none"/>
        </w:rPr>
        <w:t>32</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p>
    <w:p w14:paraId="2268ED52">
      <w:pPr>
        <w:pStyle w:val="19"/>
        <w:tabs>
          <w:tab w:val="right" w:leader="dot" w:pos="9972"/>
          <w:tab w:val="clear" w:pos="8630"/>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_Toc21716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val="en-US" w:eastAsia="zh-CN"/>
        </w:rPr>
        <w:t xml:space="preserve">第五章 </w:t>
      </w:r>
      <w:r>
        <w:rPr>
          <w:rFonts w:hint="eastAsia"/>
          <w:bCs/>
          <w:color w:val="auto"/>
          <w:sz w:val="32"/>
          <w:szCs w:val="32"/>
          <w:highlight w:val="none"/>
          <w:lang w:eastAsia="zh-CN"/>
        </w:rPr>
        <w:t>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_Toc21716 \h </w:instrText>
      </w:r>
      <w:r>
        <w:rPr>
          <w:color w:val="auto"/>
          <w:sz w:val="32"/>
          <w:szCs w:val="32"/>
          <w:highlight w:val="none"/>
        </w:rPr>
        <w:fldChar w:fldCharType="separate"/>
      </w:r>
      <w:r>
        <w:rPr>
          <w:color w:val="auto"/>
          <w:sz w:val="32"/>
          <w:szCs w:val="32"/>
          <w:highlight w:val="none"/>
        </w:rPr>
        <w:t>33</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p>
    <w:p w14:paraId="2D0E80E6">
      <w:pPr>
        <w:pStyle w:val="19"/>
        <w:tabs>
          <w:tab w:val="right" w:leader="dot" w:pos="9972"/>
          <w:tab w:val="clear" w:pos="8630"/>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_Toc6688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_Toc6688 \h </w:instrText>
      </w:r>
      <w:r>
        <w:rPr>
          <w:color w:val="auto"/>
          <w:sz w:val="32"/>
          <w:szCs w:val="32"/>
          <w:highlight w:val="none"/>
        </w:rPr>
        <w:fldChar w:fldCharType="separate"/>
      </w:r>
      <w:r>
        <w:rPr>
          <w:color w:val="auto"/>
          <w:sz w:val="32"/>
          <w:szCs w:val="32"/>
          <w:highlight w:val="none"/>
        </w:rPr>
        <w:t>36</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p>
    <w:p w14:paraId="374EA3F9">
      <w:pPr>
        <w:pStyle w:val="3"/>
        <w:autoSpaceDE/>
        <w:autoSpaceDN/>
        <w:spacing w:line="480" w:lineRule="auto"/>
        <w:jc w:val="center"/>
        <w:rPr>
          <w:rFonts w:hint="eastAsia"/>
          <w:bCs/>
          <w:color w:val="auto"/>
          <w:szCs w:val="28"/>
          <w:highlight w:val="none"/>
        </w:rPr>
        <w:sectPr>
          <w:footerReference r:id="rId4" w:type="default"/>
          <w:pgSz w:w="12240" w:h="15840"/>
          <w:pgMar w:top="1134" w:right="1134" w:bottom="1134" w:left="1134" w:header="720" w:footer="720" w:gutter="0"/>
          <w:pgNumType w:start="1"/>
          <w:cols w:space="720" w:num="1"/>
          <w:docGrid w:linePitch="299" w:charSpace="0"/>
        </w:sectPr>
      </w:pPr>
      <w:r>
        <w:rPr>
          <w:rFonts w:hint="eastAsia" w:ascii="宋体" w:hAnsi="宋体" w:eastAsia="宋体" w:cs="宋体"/>
          <w:bCs/>
          <w:color w:val="auto"/>
          <w:sz w:val="36"/>
          <w:szCs w:val="44"/>
          <w:highlight w:val="none"/>
        </w:rPr>
        <w:fldChar w:fldCharType="end"/>
      </w:r>
      <w:bookmarkStart w:id="1" w:name="_Toc12763"/>
      <w:bookmarkStart w:id="2" w:name="_Toc23083"/>
    </w:p>
    <w:p w14:paraId="4330EC41">
      <w:pPr>
        <w:pStyle w:val="3"/>
        <w:autoSpaceDE/>
        <w:autoSpaceDN/>
        <w:spacing w:line="360" w:lineRule="auto"/>
        <w:jc w:val="center"/>
        <w:rPr>
          <w:rFonts w:hint="default"/>
          <w:b/>
          <w:bCs/>
          <w:color w:val="auto"/>
          <w:highlight w:val="none"/>
          <w:lang w:val="en-US" w:eastAsia="zh-CN"/>
        </w:rPr>
      </w:pPr>
      <w:bookmarkStart w:id="3" w:name="_Toc21928"/>
      <w:r>
        <w:rPr>
          <w:rFonts w:hint="eastAsia"/>
          <w:b/>
          <w:bCs/>
          <w:color w:val="auto"/>
          <w:highlight w:val="none"/>
          <w:lang w:eastAsia="zh-CN"/>
        </w:rPr>
        <w:t xml:space="preserve">第一章  </w:t>
      </w:r>
      <w:bookmarkEnd w:id="1"/>
      <w:bookmarkEnd w:id="2"/>
      <w:r>
        <w:rPr>
          <w:rFonts w:hint="eastAsia"/>
          <w:b/>
          <w:bCs/>
          <w:color w:val="auto"/>
          <w:highlight w:val="none"/>
          <w:lang w:val="en-US" w:eastAsia="zh-CN"/>
        </w:rPr>
        <w:t>投标邀请</w:t>
      </w:r>
      <w:bookmarkEnd w:id="3"/>
    </w:p>
    <w:p w14:paraId="418E382D">
      <w:pPr>
        <w:pStyle w:val="4"/>
        <w:pageBreakBefore w:val="0"/>
        <w:kinsoku/>
        <w:wordWrap/>
        <w:overflowPunct/>
        <w:topLinePunct w:val="0"/>
        <w:autoSpaceDE/>
        <w:autoSpaceDN/>
        <w:bidi w:val="0"/>
        <w:adjustRightInd/>
        <w:spacing w:before="0" w:after="0" w:line="360" w:lineRule="auto"/>
        <w:ind w:right="0" w:rightChars="0"/>
        <w:textAlignment w:val="auto"/>
        <w:rPr>
          <w:rFonts w:hint="eastAsia" w:ascii="宋体" w:hAnsi="宋体" w:eastAsia="宋体" w:cs="宋体"/>
          <w:bCs w:val="0"/>
          <w:color w:val="auto"/>
          <w:sz w:val="24"/>
          <w:szCs w:val="24"/>
          <w:highlight w:val="none"/>
        </w:rPr>
      </w:pPr>
      <w:bookmarkStart w:id="4" w:name="_Toc4848"/>
      <w:bookmarkStart w:id="5" w:name="_Toc326"/>
      <w:bookmarkStart w:id="6" w:name="_Toc30483"/>
      <w:bookmarkStart w:id="7" w:name="_Toc11978"/>
      <w:bookmarkStart w:id="8" w:name="_Toc415"/>
      <w:bookmarkStart w:id="9" w:name="_Toc13199"/>
      <w:bookmarkStart w:id="10" w:name="_Toc17737"/>
      <w:bookmarkStart w:id="11" w:name="_Toc8120"/>
      <w:bookmarkStart w:id="12" w:name="_Toc28717"/>
      <w:bookmarkStart w:id="13" w:name="_Toc4932"/>
      <w:bookmarkStart w:id="14" w:name="_Toc16235"/>
      <w:bookmarkStart w:id="15" w:name="_Toc35393790"/>
      <w:bookmarkStart w:id="16" w:name="_Toc28359002"/>
      <w:bookmarkStart w:id="17" w:name="_Toc28359079"/>
      <w:bookmarkStart w:id="18" w:name="_Toc32196"/>
      <w:bookmarkStart w:id="19" w:name="_Toc35393621"/>
      <w:bookmarkStart w:id="20" w:name="_Toc100841901"/>
      <w:bookmarkStart w:id="21" w:name="_Hlk24379207"/>
      <w:bookmarkStart w:id="22" w:name="_Toc25270"/>
      <w:bookmarkStart w:id="23" w:name="_Toc8502"/>
      <w:bookmarkStart w:id="24" w:name="_Toc11884"/>
      <w:bookmarkStart w:id="25" w:name="_Toc33130911"/>
      <w:bookmarkStart w:id="26" w:name="_Toc382350339"/>
      <w:bookmarkStart w:id="27" w:name="_Toc382346709"/>
      <w:bookmarkStart w:id="28" w:name="_Toc375224973"/>
      <w:bookmarkStart w:id="29" w:name="_Toc1755"/>
      <w:bookmarkStart w:id="30" w:name="_Toc30580720"/>
      <w:bookmarkStart w:id="31" w:name="_Toc13059"/>
      <w:bookmarkStart w:id="32" w:name="_Toc4543"/>
      <w:bookmarkStart w:id="33" w:name="_Toc382404408"/>
      <w:bookmarkStart w:id="34" w:name="_Toc27300"/>
      <w:bookmarkStart w:id="35" w:name="_Toc14410"/>
      <w:bookmarkStart w:id="36" w:name="_Toc6308"/>
      <w:bookmarkStart w:id="37" w:name="_Toc3715"/>
      <w:r>
        <w:rPr>
          <w:rFonts w:hint="eastAsia" w:ascii="宋体" w:hAnsi="宋体" w:eastAsia="宋体" w:cs="宋体"/>
          <w:bCs w:val="0"/>
          <w:color w:val="auto"/>
          <w:sz w:val="24"/>
          <w:szCs w:val="24"/>
          <w:highlight w:val="none"/>
        </w:rPr>
        <w:t>项目概况</w:t>
      </w:r>
      <w:bookmarkEnd w:id="4"/>
      <w:bookmarkEnd w:id="5"/>
      <w:bookmarkEnd w:id="6"/>
      <w:bookmarkEnd w:id="7"/>
      <w:bookmarkEnd w:id="8"/>
      <w:bookmarkEnd w:id="9"/>
      <w:bookmarkEnd w:id="10"/>
      <w:bookmarkEnd w:id="11"/>
      <w:bookmarkEnd w:id="12"/>
      <w:bookmarkEnd w:id="13"/>
    </w:p>
    <w:p w14:paraId="3B9224EC">
      <w:pPr>
        <w:pStyle w:val="4"/>
        <w:pageBreakBefore w:val="0"/>
        <w:kinsoku/>
        <w:wordWrap/>
        <w:overflowPunct/>
        <w:topLinePunct w:val="0"/>
        <w:autoSpaceDE/>
        <w:autoSpaceDN/>
        <w:bidi w:val="0"/>
        <w:adjustRightInd/>
        <w:spacing w:before="0" w:after="0" w:line="360" w:lineRule="auto"/>
        <w:ind w:right="0" w:rightChars="0" w:firstLine="482" w:firstLineChars="200"/>
        <w:textAlignment w:val="auto"/>
        <w:rPr>
          <w:rFonts w:hint="eastAsia" w:ascii="宋体" w:hAnsi="宋体" w:eastAsia="宋体" w:cs="宋体"/>
          <w:bCs w:val="0"/>
          <w:color w:val="auto"/>
          <w:sz w:val="24"/>
          <w:szCs w:val="24"/>
          <w:highlight w:val="none"/>
        </w:rPr>
      </w:pPr>
      <w:bookmarkStart w:id="38" w:name="_Toc10067"/>
      <w:bookmarkStart w:id="39" w:name="_Toc19844"/>
      <w:bookmarkStart w:id="40" w:name="_Toc11667"/>
      <w:bookmarkStart w:id="41" w:name="_Toc16506"/>
      <w:bookmarkStart w:id="42" w:name="_Toc8892"/>
      <w:bookmarkStart w:id="43" w:name="_Toc23796"/>
      <w:bookmarkStart w:id="44" w:name="_Toc7622"/>
      <w:bookmarkStart w:id="45" w:name="_Toc6452"/>
      <w:bookmarkStart w:id="46" w:name="_Toc15237"/>
      <w:bookmarkStart w:id="47" w:name="_Toc22189"/>
      <w:bookmarkStart w:id="48" w:name="_Toc251"/>
      <w:r>
        <w:rPr>
          <w:rFonts w:hint="eastAsia" w:cs="宋体"/>
          <w:b/>
          <w:bCs w:val="0"/>
          <w:color w:val="auto"/>
          <w:sz w:val="24"/>
          <w:szCs w:val="24"/>
          <w:highlight w:val="none"/>
          <w:u w:val="single"/>
          <w:lang w:val="en-US" w:eastAsia="zh-CN"/>
        </w:rPr>
        <w:t xml:space="preserve">汤泉街道2026-2029年度九龙湖及周边地区景观绿化养护项目JSZC-320111-XMGL-G2026-0005 </w:t>
      </w:r>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rPr>
        <w:t>项目的潜在</w:t>
      </w:r>
      <w:r>
        <w:rPr>
          <w:rFonts w:hint="eastAsia" w:cs="宋体"/>
          <w:b w:val="0"/>
          <w:bCs/>
          <w:color w:val="auto"/>
          <w:sz w:val="24"/>
          <w:szCs w:val="24"/>
          <w:highlight w:val="none"/>
          <w:lang w:eastAsia="zh-CN"/>
        </w:rPr>
        <w:t>投标人</w:t>
      </w:r>
      <w:r>
        <w:rPr>
          <w:rFonts w:hint="eastAsia" w:cs="宋体"/>
          <w:b w:val="0"/>
          <w:bCs/>
          <w:color w:val="auto"/>
          <w:sz w:val="24"/>
          <w:szCs w:val="24"/>
          <w:highlight w:val="none"/>
          <w:lang w:val="en-US" w:eastAsia="zh-CN"/>
        </w:rPr>
        <w:t>可</w:t>
      </w:r>
      <w:r>
        <w:rPr>
          <w:rFonts w:hint="eastAsia" w:ascii="宋体" w:hAnsi="宋体" w:eastAsia="宋体" w:cs="宋体"/>
          <w:b w:val="0"/>
          <w:bCs/>
          <w:color w:val="auto"/>
          <w:sz w:val="24"/>
          <w:szCs w:val="24"/>
          <w:highlight w:val="none"/>
        </w:rPr>
        <w:t>在</w:t>
      </w:r>
      <w:bookmarkStart w:id="49" w:name="OLE_LINK19"/>
      <w:r>
        <w:rPr>
          <w:rFonts w:hint="eastAsia" w:ascii="宋体" w:hAnsi="宋体" w:eastAsia="宋体" w:cs="宋体"/>
          <w:b/>
          <w:bCs w:val="0"/>
          <w:color w:val="auto"/>
          <w:sz w:val="24"/>
          <w:szCs w:val="24"/>
          <w:highlight w:val="none"/>
          <w:u w:val="single"/>
          <w:lang w:val="en-US" w:eastAsia="zh-CN"/>
        </w:rPr>
        <w:t>“江苏政府采购‘苏采云’系统”自行免费下载</w:t>
      </w:r>
      <w:bookmarkEnd w:id="49"/>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lang w:eastAsia="zh-CN"/>
        </w:rPr>
        <w:t>文件</w:t>
      </w:r>
      <w:r>
        <w:rPr>
          <w:rFonts w:hint="eastAsia" w:ascii="宋体" w:hAnsi="宋体" w:eastAsia="宋体" w:cs="宋体"/>
          <w:b w:val="0"/>
          <w:bCs/>
          <w:color w:val="auto"/>
          <w:sz w:val="24"/>
          <w:szCs w:val="24"/>
          <w:highlight w:val="none"/>
        </w:rPr>
        <w:t>，并于</w:t>
      </w:r>
      <w:r>
        <w:rPr>
          <w:rFonts w:hint="eastAsia" w:ascii="宋体" w:hAnsi="宋体" w:eastAsia="宋体" w:cs="宋体"/>
          <w:b/>
          <w:bCs w:val="0"/>
          <w:color w:val="auto"/>
          <w:sz w:val="24"/>
          <w:szCs w:val="24"/>
          <w:highlight w:val="none"/>
          <w:u w:val="single"/>
          <w:lang w:eastAsia="zh-CN"/>
        </w:rPr>
        <w:t>202</w:t>
      </w:r>
      <w:r>
        <w:rPr>
          <w:rFonts w:hint="eastAsia" w:cs="宋体"/>
          <w:b/>
          <w:bCs w:val="0"/>
          <w:color w:val="auto"/>
          <w:sz w:val="24"/>
          <w:szCs w:val="24"/>
          <w:highlight w:val="none"/>
          <w:u w:val="single"/>
          <w:lang w:val="en-US" w:eastAsia="zh-CN"/>
        </w:rPr>
        <w:t>6</w:t>
      </w:r>
      <w:r>
        <w:rPr>
          <w:rFonts w:hint="eastAsia" w:ascii="宋体" w:hAnsi="宋体" w:eastAsia="宋体" w:cs="宋体"/>
          <w:b/>
          <w:bCs w:val="0"/>
          <w:color w:val="auto"/>
          <w:sz w:val="24"/>
          <w:szCs w:val="24"/>
          <w:highlight w:val="none"/>
          <w:u w:val="single"/>
          <w:lang w:eastAsia="zh-CN"/>
        </w:rPr>
        <w:t>年</w:t>
      </w:r>
      <w:r>
        <w:rPr>
          <w:rFonts w:hint="eastAsia" w:cs="宋体"/>
          <w:b/>
          <w:bCs w:val="0"/>
          <w:color w:val="auto"/>
          <w:sz w:val="24"/>
          <w:szCs w:val="24"/>
          <w:highlight w:val="none"/>
          <w:u w:val="single"/>
          <w:lang w:val="en-US" w:eastAsia="zh-CN"/>
        </w:rPr>
        <w:t>07</w:t>
      </w:r>
      <w:r>
        <w:rPr>
          <w:rFonts w:hint="eastAsia" w:ascii="宋体" w:hAnsi="宋体" w:eastAsia="宋体" w:cs="宋体"/>
          <w:b/>
          <w:bCs w:val="0"/>
          <w:color w:val="auto"/>
          <w:sz w:val="24"/>
          <w:szCs w:val="24"/>
          <w:highlight w:val="none"/>
          <w:u w:val="single"/>
          <w:lang w:eastAsia="zh-CN"/>
        </w:rPr>
        <w:t>月</w:t>
      </w:r>
      <w:r>
        <w:rPr>
          <w:rFonts w:hint="eastAsia" w:cs="宋体"/>
          <w:b/>
          <w:bCs w:val="0"/>
          <w:color w:val="auto"/>
          <w:sz w:val="24"/>
          <w:szCs w:val="24"/>
          <w:highlight w:val="none"/>
          <w:u w:val="single"/>
          <w:lang w:val="en-US" w:eastAsia="zh-CN"/>
        </w:rPr>
        <w:t>21</w:t>
      </w:r>
      <w:r>
        <w:rPr>
          <w:rFonts w:hint="eastAsia" w:ascii="宋体" w:hAnsi="宋体" w:eastAsia="宋体" w:cs="宋体"/>
          <w:b/>
          <w:bCs w:val="0"/>
          <w:color w:val="auto"/>
          <w:sz w:val="24"/>
          <w:szCs w:val="24"/>
          <w:highlight w:val="none"/>
          <w:u w:val="single"/>
          <w:lang w:eastAsia="zh-CN"/>
        </w:rPr>
        <w:t>日</w:t>
      </w:r>
      <w:r>
        <w:rPr>
          <w:rFonts w:hint="eastAsia" w:cs="宋体"/>
          <w:b/>
          <w:bCs w:val="0"/>
          <w:color w:val="auto"/>
          <w:sz w:val="24"/>
          <w:szCs w:val="24"/>
          <w:highlight w:val="none"/>
          <w:u w:val="single"/>
          <w:lang w:val="en-US" w:eastAsia="zh-CN"/>
        </w:rPr>
        <w:t>09</w:t>
      </w:r>
      <w:r>
        <w:rPr>
          <w:rFonts w:hint="eastAsia" w:ascii="宋体" w:hAnsi="宋体" w:eastAsia="宋体" w:cs="宋体"/>
          <w:b/>
          <w:bCs w:val="0"/>
          <w:color w:val="auto"/>
          <w:sz w:val="24"/>
          <w:szCs w:val="24"/>
          <w:highlight w:val="none"/>
          <w:u w:val="single"/>
          <w:lang w:eastAsia="zh-CN"/>
        </w:rPr>
        <w:t>点</w:t>
      </w:r>
      <w:r>
        <w:rPr>
          <w:rFonts w:hint="eastAsia" w:cs="宋体"/>
          <w:b/>
          <w:bCs w:val="0"/>
          <w:color w:val="auto"/>
          <w:sz w:val="24"/>
          <w:szCs w:val="24"/>
          <w:highlight w:val="none"/>
          <w:u w:val="single"/>
          <w:lang w:val="en-US" w:eastAsia="zh-CN"/>
        </w:rPr>
        <w:t>3</w:t>
      </w:r>
      <w:r>
        <w:rPr>
          <w:rFonts w:hint="eastAsia" w:ascii="宋体" w:hAnsi="宋体" w:eastAsia="宋体" w:cs="宋体"/>
          <w:b/>
          <w:bCs w:val="0"/>
          <w:color w:val="auto"/>
          <w:sz w:val="24"/>
          <w:szCs w:val="24"/>
          <w:highlight w:val="none"/>
          <w:u w:val="single"/>
          <w:lang w:eastAsia="zh-CN"/>
        </w:rPr>
        <w:t>0分（北京时间）</w:t>
      </w:r>
      <w:r>
        <w:rPr>
          <w:rFonts w:hint="eastAsia" w:ascii="宋体" w:hAnsi="宋体" w:eastAsia="宋体" w:cs="宋体"/>
          <w:color w:val="auto"/>
          <w:sz w:val="24"/>
          <w:szCs w:val="24"/>
          <w:highlight w:val="none"/>
          <w:lang w:val="en-US" w:eastAsia="zh-CN" w:bidi="ar-SA"/>
        </w:rPr>
        <w:t>前提交</w:t>
      </w:r>
      <w:r>
        <w:rPr>
          <w:rFonts w:hint="eastAsia" w:cs="宋体"/>
          <w:color w:val="auto"/>
          <w:sz w:val="24"/>
          <w:szCs w:val="24"/>
          <w:highlight w:val="none"/>
          <w:lang w:val="en-US" w:eastAsia="zh-CN" w:bidi="ar-SA"/>
        </w:rPr>
        <w:t>投标文件</w:t>
      </w:r>
      <w:r>
        <w:rPr>
          <w:rFonts w:hint="eastAsia" w:ascii="宋体" w:hAnsi="宋体" w:eastAsia="宋体" w:cs="宋体"/>
          <w:color w:val="auto"/>
          <w:sz w:val="24"/>
          <w:szCs w:val="24"/>
          <w:highlight w:val="none"/>
          <w:lang w:val="en-US" w:eastAsia="zh-CN" w:bidi="ar-SA"/>
        </w:rPr>
        <w:t>。</w:t>
      </w:r>
      <w:bookmarkEnd w:id="38"/>
      <w:bookmarkEnd w:id="39"/>
      <w:bookmarkEnd w:id="40"/>
      <w:bookmarkEnd w:id="41"/>
      <w:bookmarkEnd w:id="42"/>
      <w:bookmarkEnd w:id="43"/>
      <w:bookmarkEnd w:id="44"/>
      <w:bookmarkEnd w:id="45"/>
      <w:bookmarkEnd w:id="46"/>
      <w:bookmarkEnd w:id="47"/>
      <w:bookmarkEnd w:id="48"/>
    </w:p>
    <w:p w14:paraId="508BE0FD">
      <w:pPr>
        <w:pStyle w:val="4"/>
        <w:pageBreakBefore w:val="0"/>
        <w:kinsoku/>
        <w:wordWrap/>
        <w:overflowPunct/>
        <w:topLinePunct w:val="0"/>
        <w:autoSpaceDE/>
        <w:autoSpaceDN/>
        <w:bidi w:val="0"/>
        <w:adjustRightInd/>
        <w:spacing w:before="0" w:after="0" w:line="360" w:lineRule="auto"/>
        <w:ind w:left="0" w:right="0" w:rightChars="0" w:firstLine="0" w:firstLineChars="0"/>
        <w:textAlignment w:val="auto"/>
        <w:rPr>
          <w:rFonts w:hint="eastAsia" w:ascii="宋体" w:hAnsi="宋体" w:eastAsia="宋体" w:cs="宋体"/>
          <w:b/>
          <w:bCs/>
          <w:color w:val="auto"/>
          <w:sz w:val="24"/>
          <w:szCs w:val="24"/>
          <w:highlight w:val="none"/>
        </w:rPr>
      </w:pPr>
      <w:bookmarkStart w:id="50" w:name="_Toc12698"/>
      <w:bookmarkStart w:id="51" w:name="_Toc12250"/>
      <w:bookmarkStart w:id="52" w:name="_Toc12541"/>
      <w:bookmarkStart w:id="53" w:name="_Toc13723"/>
      <w:bookmarkStart w:id="54" w:name="_Toc24968"/>
      <w:bookmarkStart w:id="55" w:name="_Toc17291"/>
      <w:bookmarkStart w:id="56" w:name="_Toc4263"/>
      <w:bookmarkStart w:id="57" w:name="_Toc24562"/>
      <w:bookmarkStart w:id="58" w:name="_Toc10806"/>
      <w:bookmarkStart w:id="59" w:name="_Toc28944"/>
      <w:r>
        <w:rPr>
          <w:rFonts w:hint="eastAsia" w:ascii="宋体" w:hAnsi="宋体" w:eastAsia="宋体" w:cs="宋体"/>
          <w:b/>
          <w:bCs/>
          <w:color w:val="auto"/>
          <w:sz w:val="24"/>
          <w:szCs w:val="24"/>
          <w:highlight w:val="none"/>
        </w:rPr>
        <w:t>一、项目基本情况</w:t>
      </w:r>
      <w:bookmarkEnd w:id="14"/>
      <w:bookmarkEnd w:id="15"/>
      <w:bookmarkEnd w:id="16"/>
      <w:bookmarkEnd w:id="17"/>
      <w:bookmarkEnd w:id="18"/>
      <w:bookmarkEnd w:id="19"/>
      <w:bookmarkEnd w:id="20"/>
      <w:bookmarkEnd w:id="50"/>
      <w:bookmarkEnd w:id="51"/>
      <w:bookmarkEnd w:id="52"/>
      <w:bookmarkEnd w:id="53"/>
      <w:bookmarkEnd w:id="54"/>
      <w:bookmarkEnd w:id="55"/>
      <w:bookmarkEnd w:id="56"/>
      <w:bookmarkEnd w:id="57"/>
      <w:bookmarkEnd w:id="58"/>
      <w:bookmarkEnd w:id="59"/>
    </w:p>
    <w:p w14:paraId="0896A7C9">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1.项目编号：JSZC-320111-XMGL-G2026-0005</w:t>
      </w:r>
    </w:p>
    <w:p w14:paraId="0043C823">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2.项目名称：</w:t>
      </w:r>
      <w:r>
        <w:rPr>
          <w:rFonts w:hint="eastAsia" w:cs="宋体"/>
          <w:color w:val="auto"/>
          <w:sz w:val="24"/>
          <w:szCs w:val="24"/>
          <w:highlight w:val="none"/>
          <w:lang w:val="en-US" w:eastAsia="zh-CN"/>
        </w:rPr>
        <w:t>汤泉街道2026-2029年度九龙湖及周边地区景观绿化养护项目</w:t>
      </w:r>
    </w:p>
    <w:p w14:paraId="42BCB29E">
      <w:pPr>
        <w:pageBreakBefore w:val="0"/>
        <w:kinsoku/>
        <w:wordWrap/>
        <w:overflowPunct/>
        <w:topLinePunct w:val="0"/>
        <w:autoSpaceDE/>
        <w:autoSpaceDN/>
        <w:bidi w:val="0"/>
        <w:adjustRightInd/>
        <w:spacing w:line="360" w:lineRule="auto"/>
        <w:ind w:right="0" w:righ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3.采购方式：</w:t>
      </w:r>
      <w:r>
        <w:rPr>
          <w:rFonts w:hint="eastAsia" w:cs="宋体"/>
          <w:color w:val="auto"/>
          <w:sz w:val="24"/>
          <w:szCs w:val="24"/>
          <w:highlight w:val="none"/>
          <w:lang w:val="en-US" w:eastAsia="zh-CN"/>
        </w:rPr>
        <w:t>公开招标</w:t>
      </w:r>
    </w:p>
    <w:bookmarkEnd w:id="21"/>
    <w:p w14:paraId="2BF12AC7">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4.预算金额：</w:t>
      </w:r>
      <w:r>
        <w:rPr>
          <w:rFonts w:hint="eastAsia" w:cs="宋体"/>
          <w:color w:val="auto"/>
          <w:sz w:val="24"/>
          <w:szCs w:val="24"/>
          <w:highlight w:val="none"/>
          <w:lang w:val="en-US" w:eastAsia="zh-CN"/>
        </w:rPr>
        <w:t>570.48</w:t>
      </w:r>
      <w:r>
        <w:rPr>
          <w:rFonts w:hint="eastAsia" w:ascii="宋体" w:hAnsi="宋体" w:eastAsia="宋体" w:cs="宋体"/>
          <w:color w:val="auto"/>
          <w:sz w:val="24"/>
          <w:szCs w:val="24"/>
          <w:highlight w:val="none"/>
          <w:lang w:val="en-US" w:eastAsia="zh-CN"/>
        </w:rPr>
        <w:t>万元</w:t>
      </w:r>
      <w:r>
        <w:rPr>
          <w:rFonts w:hint="eastAsia" w:cs="宋体"/>
          <w:color w:val="auto"/>
          <w:sz w:val="24"/>
          <w:szCs w:val="24"/>
          <w:highlight w:val="none"/>
          <w:lang w:val="en-US" w:eastAsia="zh-CN"/>
        </w:rPr>
        <w:t>，</w:t>
      </w:r>
    </w:p>
    <w:p w14:paraId="15FF7137">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bookmarkStart w:id="60" w:name="OLE_LINK21"/>
      <w:r>
        <w:rPr>
          <w:rFonts w:hint="eastAsia" w:ascii="宋体" w:hAnsi="宋体" w:eastAsia="宋体" w:cs="宋体"/>
          <w:color w:val="auto"/>
          <w:sz w:val="24"/>
          <w:szCs w:val="24"/>
          <w:highlight w:val="none"/>
          <w:lang w:val="en-US" w:eastAsia="zh-CN"/>
        </w:rPr>
        <w:t>5.最高限价：</w:t>
      </w:r>
      <w:bookmarkEnd w:id="60"/>
      <w:r>
        <w:rPr>
          <w:rFonts w:hint="eastAsia" w:cs="宋体"/>
          <w:color w:val="auto"/>
          <w:sz w:val="24"/>
          <w:szCs w:val="24"/>
          <w:highlight w:val="none"/>
          <w:lang w:val="en-US" w:eastAsia="zh-CN"/>
        </w:rPr>
        <w:t>541</w:t>
      </w:r>
      <w:r>
        <w:rPr>
          <w:rFonts w:hint="eastAsia" w:ascii="宋体" w:hAnsi="宋体" w:eastAsia="宋体" w:cs="宋体"/>
          <w:color w:val="auto"/>
          <w:sz w:val="24"/>
          <w:szCs w:val="24"/>
          <w:highlight w:val="none"/>
          <w:lang w:val="en-US" w:eastAsia="zh-CN"/>
        </w:rPr>
        <w:t>万元，本项目实行总价与年度双重限价控制。投标总报价不得高于</w:t>
      </w:r>
      <w:r>
        <w:rPr>
          <w:rFonts w:hint="eastAsia" w:cs="宋体"/>
          <w:color w:val="auto"/>
          <w:sz w:val="24"/>
          <w:szCs w:val="24"/>
          <w:highlight w:val="none"/>
          <w:lang w:val="en-US" w:eastAsia="zh-CN"/>
        </w:rPr>
        <w:t>最高限价541</w:t>
      </w:r>
      <w:r>
        <w:rPr>
          <w:rFonts w:hint="eastAsia" w:ascii="宋体" w:hAnsi="宋体" w:eastAsia="宋体" w:cs="宋体"/>
          <w:color w:val="auto"/>
          <w:sz w:val="24"/>
          <w:szCs w:val="24"/>
          <w:highlight w:val="none"/>
          <w:lang w:val="en-US" w:eastAsia="zh-CN"/>
        </w:rPr>
        <w:t>万元;同时，第一年报价不得高于第一年控制价</w:t>
      </w:r>
      <w:r>
        <w:rPr>
          <w:rFonts w:hint="eastAsia" w:cs="宋体"/>
          <w:color w:val="auto"/>
          <w:sz w:val="24"/>
          <w:szCs w:val="24"/>
          <w:highlight w:val="none"/>
          <w:lang w:val="en-US" w:eastAsia="zh-CN"/>
        </w:rPr>
        <w:t>190</w:t>
      </w:r>
      <w:r>
        <w:rPr>
          <w:rFonts w:hint="eastAsia" w:ascii="宋体" w:hAnsi="宋体" w:eastAsia="宋体" w:cs="宋体"/>
          <w:color w:val="auto"/>
          <w:sz w:val="24"/>
          <w:szCs w:val="24"/>
          <w:highlight w:val="none"/>
          <w:lang w:val="en-US" w:eastAsia="zh-CN"/>
        </w:rPr>
        <w:t>万元，第二年养护资金</w:t>
      </w:r>
      <w:r>
        <w:rPr>
          <w:rFonts w:hint="eastAsia" w:cs="宋体"/>
          <w:color w:val="auto"/>
          <w:sz w:val="24"/>
          <w:szCs w:val="24"/>
          <w:highlight w:val="none"/>
          <w:lang w:val="en-US" w:eastAsia="zh-CN"/>
        </w:rPr>
        <w:t>不得高于180</w:t>
      </w:r>
      <w:r>
        <w:rPr>
          <w:rFonts w:hint="eastAsia" w:ascii="宋体" w:hAnsi="宋体" w:eastAsia="宋体" w:cs="宋体"/>
          <w:color w:val="auto"/>
          <w:sz w:val="24"/>
          <w:szCs w:val="24"/>
          <w:highlight w:val="none"/>
          <w:lang w:val="en-US" w:eastAsia="zh-CN"/>
        </w:rPr>
        <w:t>万元，第三年</w:t>
      </w:r>
      <w:r>
        <w:rPr>
          <w:rFonts w:hint="eastAsia" w:cs="宋体"/>
          <w:color w:val="auto"/>
          <w:sz w:val="24"/>
          <w:szCs w:val="24"/>
          <w:highlight w:val="none"/>
          <w:lang w:val="en-US" w:eastAsia="zh-CN"/>
        </w:rPr>
        <w:t>养护资金不得高于171</w:t>
      </w:r>
      <w:r>
        <w:rPr>
          <w:rFonts w:hint="eastAsia" w:ascii="宋体" w:hAnsi="宋体" w:eastAsia="宋体" w:cs="宋体"/>
          <w:color w:val="auto"/>
          <w:sz w:val="24"/>
          <w:szCs w:val="24"/>
          <w:highlight w:val="none"/>
          <w:lang w:val="en-US" w:eastAsia="zh-CN"/>
        </w:rPr>
        <w:t>万元</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凡超出上述任一限额的投标报价，均作无效标处理</w:t>
      </w:r>
      <w:r>
        <w:rPr>
          <w:rFonts w:hint="eastAsia" w:ascii="宋体" w:hAnsi="宋体" w:eastAsia="宋体" w:cs="宋体"/>
          <w:color w:val="auto"/>
          <w:sz w:val="24"/>
          <w:szCs w:val="24"/>
          <w:highlight w:val="none"/>
          <w:lang w:val="zh-CN" w:eastAsia="zh-CN"/>
        </w:rPr>
        <w:t>。</w:t>
      </w:r>
    </w:p>
    <w:p w14:paraId="1EE5F18C">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6.采购需求：</w:t>
      </w:r>
      <w:bookmarkStart w:id="61" w:name="OLE_LINK1"/>
      <w:r>
        <w:rPr>
          <w:rFonts w:hint="eastAsia" w:ascii="宋体" w:hAnsi="宋体" w:eastAsia="宋体" w:cs="宋体"/>
          <w:color w:val="auto"/>
          <w:sz w:val="24"/>
          <w:szCs w:val="24"/>
          <w:highlight w:val="none"/>
          <w:lang w:val="en-US" w:eastAsia="zh-CN"/>
        </w:rPr>
        <w:t>汤泉街道2026-2029年度九龙湖及周边地区景观绿化养护项目，采购龙泉路以南片区九龙湖公园及周边区域绿地绿化养护服务</w:t>
      </w:r>
      <w:bookmarkEnd w:id="61"/>
      <w:r>
        <w:rPr>
          <w:rFonts w:hint="eastAsia" w:ascii="宋体" w:hAnsi="宋体" w:eastAsia="宋体" w:cs="宋体"/>
          <w:color w:val="auto"/>
          <w:sz w:val="24"/>
          <w:szCs w:val="24"/>
          <w:highlight w:val="none"/>
          <w:lang w:val="en-US" w:eastAsia="zh-CN"/>
        </w:rPr>
        <w:t>（详细内容见本招标文件第四章 采购需求）</w:t>
      </w:r>
    </w:p>
    <w:p w14:paraId="3E22934C">
      <w:pPr>
        <w:pStyle w:val="25"/>
        <w:pageBreakBefore w:val="0"/>
        <w:kinsoku/>
        <w:wordWrap/>
        <w:overflowPunct/>
        <w:topLinePunct w:val="0"/>
        <w:autoSpaceDE/>
        <w:autoSpaceDN/>
        <w:bidi w:val="0"/>
        <w:adjustRightInd/>
        <w:spacing w:after="0"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lang w:eastAsia="zh-CN"/>
        </w:rPr>
        <w:t>合同履行期限</w:t>
      </w:r>
      <w:r>
        <w:rPr>
          <w:rFonts w:hint="eastAsia" w:ascii="宋体" w:hAnsi="宋体" w:eastAsia="宋体" w:cs="宋体"/>
          <w:color w:val="auto"/>
          <w:kern w:val="2"/>
          <w:sz w:val="24"/>
          <w:szCs w:val="24"/>
          <w:highlight w:val="none"/>
        </w:rPr>
        <w:t>：本合同服务期限一年，总服务期三年。合同一年一签。一年合同期满且经甲方年度综合考核合格后(以服务期结束后月均考核得分</w:t>
      </w:r>
      <w:r>
        <w:rPr>
          <w:rFonts w:hint="eastAsia" w:ascii="宋体" w:hAnsi="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rPr>
        <w:t>甲方规定的合格分数线为准)，甲方可与乙方续签下一年度合同。若出现连续2个月或累计有2次考核不合格的情况，视为养护单位违约，甲方有权单方终止续签，终止合作关系</w:t>
      </w:r>
      <w:r>
        <w:rPr>
          <w:rFonts w:hint="eastAsia" w:asciiTheme="minorEastAsia" w:hAnsiTheme="minorEastAsia" w:eastAsiaTheme="minorEastAsia" w:cstheme="minorEastAsia"/>
          <w:color w:val="auto"/>
          <w:sz w:val="24"/>
          <w:szCs w:val="24"/>
          <w:highlight w:val="none"/>
          <w:lang w:val="en-US" w:eastAsia="zh-CN"/>
        </w:rPr>
        <w:t>。</w:t>
      </w:r>
    </w:p>
    <w:p w14:paraId="405F26CB">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kern w:val="0"/>
          <w:sz w:val="24"/>
          <w:szCs w:val="24"/>
          <w:highlight w:val="none"/>
          <w:lang w:val="en-US" w:eastAsia="zh-CN"/>
        </w:rPr>
        <w:t>本项目（是/否）接受联合体投标：否</w:t>
      </w:r>
    </w:p>
    <w:p w14:paraId="53A0655E">
      <w:pPr>
        <w:pStyle w:val="4"/>
        <w:pageBreakBefore w:val="0"/>
        <w:kinsoku/>
        <w:wordWrap/>
        <w:overflowPunct/>
        <w:topLinePunct w:val="0"/>
        <w:autoSpaceDE/>
        <w:autoSpaceDN/>
        <w:bidi w:val="0"/>
        <w:adjustRightInd/>
        <w:spacing w:before="0" w:after="0" w:line="360" w:lineRule="auto"/>
        <w:ind w:left="0" w:right="0" w:rightChars="0" w:firstLine="0" w:firstLineChars="0"/>
        <w:textAlignment w:val="auto"/>
        <w:rPr>
          <w:rFonts w:hint="eastAsia" w:ascii="宋体" w:hAnsi="宋体" w:eastAsia="宋体" w:cs="宋体"/>
          <w:b/>
          <w:bCs/>
          <w:color w:val="auto"/>
          <w:sz w:val="24"/>
          <w:szCs w:val="24"/>
          <w:highlight w:val="none"/>
        </w:rPr>
      </w:pPr>
      <w:bookmarkStart w:id="62" w:name="_Toc11319"/>
      <w:bookmarkStart w:id="63" w:name="_Toc29628"/>
      <w:bookmarkStart w:id="64" w:name="_Toc10957"/>
      <w:bookmarkStart w:id="65" w:name="_Toc19538"/>
      <w:bookmarkStart w:id="66" w:name="_Toc28359080"/>
      <w:bookmarkStart w:id="67" w:name="_Toc22837"/>
      <w:bookmarkStart w:id="68" w:name="_Toc35393622"/>
      <w:bookmarkStart w:id="69" w:name="_Toc9342"/>
      <w:bookmarkStart w:id="70" w:name="_Toc100841902"/>
      <w:bookmarkStart w:id="71" w:name="_Toc28359003"/>
      <w:bookmarkStart w:id="72" w:name="_Toc6918"/>
      <w:bookmarkStart w:id="73" w:name="_Toc28927"/>
      <w:bookmarkStart w:id="74" w:name="_Toc23346"/>
      <w:bookmarkStart w:id="75" w:name="_Toc21530"/>
      <w:bookmarkStart w:id="76" w:name="_Toc35393791"/>
      <w:bookmarkStart w:id="77" w:name="_Toc31207"/>
      <w:bookmarkStart w:id="78" w:name="_Toc21882"/>
      <w:r>
        <w:rPr>
          <w:rFonts w:hint="eastAsia" w:ascii="宋体" w:hAnsi="宋体" w:eastAsia="宋体" w:cs="宋体"/>
          <w:b/>
          <w:bCs/>
          <w:color w:val="auto"/>
          <w:sz w:val="24"/>
          <w:szCs w:val="24"/>
          <w:highlight w:val="none"/>
        </w:rPr>
        <w:t>二、申请人的资格要求</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6D275871">
      <w:pPr>
        <w:pageBreakBefore w:val="0"/>
        <w:widowControl/>
        <w:kinsoku/>
        <w:wordWrap/>
        <w:overflowPunct/>
        <w:topLinePunct w:val="0"/>
        <w:autoSpaceDE/>
        <w:autoSpaceDN/>
        <w:bidi w:val="0"/>
        <w:adjustRightInd/>
        <w:spacing w:line="360" w:lineRule="auto"/>
        <w:ind w:right="0" w:rightChars="0" w:firstLine="482" w:firstLineChars="200"/>
        <w:textAlignment w:val="auto"/>
        <w:rPr>
          <w:rFonts w:hint="eastAsia" w:ascii="宋体" w:hAnsi="宋体" w:eastAsia="宋体" w:cs="宋体"/>
          <w:b/>
          <w:bCs/>
          <w:color w:val="auto"/>
          <w:sz w:val="24"/>
          <w:szCs w:val="24"/>
          <w:highlight w:val="none"/>
          <w:lang w:eastAsia="zh-CN"/>
        </w:rPr>
      </w:pPr>
      <w:bookmarkStart w:id="79" w:name="_Toc28359081"/>
      <w:bookmarkStart w:id="80" w:name="_Toc28359004"/>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满足《中华人民共和国政府采购法》第二十二条规定</w:t>
      </w:r>
      <w:r>
        <w:rPr>
          <w:rFonts w:hint="eastAsia" w:ascii="宋体" w:hAnsi="宋体" w:eastAsia="宋体" w:cs="宋体"/>
          <w:b/>
          <w:bCs/>
          <w:color w:val="auto"/>
          <w:sz w:val="24"/>
          <w:szCs w:val="24"/>
          <w:highlight w:val="none"/>
          <w:lang w:eastAsia="zh-CN"/>
        </w:rPr>
        <w:t>：</w:t>
      </w:r>
    </w:p>
    <w:p w14:paraId="48D10996">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kern w:val="2"/>
          <w:sz w:val="24"/>
          <w:szCs w:val="24"/>
          <w:highlight w:val="none"/>
          <w:lang w:val="en-US" w:eastAsia="zh-CN" w:bidi="ar-SA"/>
        </w:rPr>
        <w:t>具有独立承担民事责任的能力（法人或者其他组织</w:t>
      </w:r>
      <w:r>
        <w:rPr>
          <w:rFonts w:hint="eastAsia" w:cs="宋体"/>
          <w:color w:val="auto"/>
          <w:kern w:val="2"/>
          <w:sz w:val="24"/>
          <w:szCs w:val="24"/>
          <w:highlight w:val="none"/>
          <w:lang w:val="en-US" w:eastAsia="zh-CN" w:bidi="ar-SA"/>
        </w:rPr>
        <w:t>提供</w:t>
      </w:r>
      <w:r>
        <w:rPr>
          <w:rFonts w:hint="eastAsia" w:ascii="宋体" w:hAnsi="宋体" w:eastAsia="宋体" w:cs="宋体"/>
          <w:color w:val="auto"/>
          <w:kern w:val="2"/>
          <w:sz w:val="24"/>
          <w:szCs w:val="24"/>
          <w:highlight w:val="none"/>
          <w:lang w:val="en-US" w:eastAsia="zh-CN" w:bidi="ar-SA"/>
        </w:rPr>
        <w:t>营业执照等证明文件，自然人</w:t>
      </w:r>
      <w:r>
        <w:rPr>
          <w:rFonts w:hint="eastAsia" w:cs="宋体"/>
          <w:color w:val="auto"/>
          <w:kern w:val="2"/>
          <w:sz w:val="24"/>
          <w:szCs w:val="24"/>
          <w:highlight w:val="none"/>
          <w:lang w:val="en-US" w:eastAsia="zh-CN" w:bidi="ar-SA"/>
        </w:rPr>
        <w:t>提供</w:t>
      </w:r>
      <w:r>
        <w:rPr>
          <w:rFonts w:hint="eastAsia" w:ascii="宋体" w:hAnsi="宋体" w:eastAsia="宋体" w:cs="宋体"/>
          <w:color w:val="auto"/>
          <w:kern w:val="2"/>
          <w:sz w:val="24"/>
          <w:szCs w:val="24"/>
          <w:highlight w:val="none"/>
          <w:lang w:val="en-US" w:eastAsia="zh-CN" w:bidi="ar-SA"/>
        </w:rPr>
        <w:t>身份证明；提供相应的证明材料</w:t>
      </w:r>
      <w:r>
        <w:rPr>
          <w:rFonts w:hint="eastAsia" w:ascii="宋体" w:hAnsi="宋体" w:eastAsia="宋体" w:cs="宋体"/>
          <w:color w:val="auto"/>
          <w:sz w:val="24"/>
          <w:szCs w:val="24"/>
          <w:highlight w:val="none"/>
          <w:lang w:eastAsia="zh-CN"/>
        </w:rPr>
        <w:t>加盖单位公章后</w:t>
      </w:r>
      <w:r>
        <w:rPr>
          <w:rFonts w:hint="eastAsia" w:ascii="宋体" w:hAnsi="宋体" w:eastAsia="宋体" w:cs="宋体"/>
          <w:color w:val="auto"/>
          <w:kern w:val="2"/>
          <w:sz w:val="24"/>
          <w:szCs w:val="24"/>
          <w:highlight w:val="none"/>
          <w:lang w:val="en-US" w:eastAsia="zh-CN" w:bidi="ar-SA"/>
        </w:rPr>
        <w:t>，扫描上传至电子</w:t>
      </w:r>
      <w:r>
        <w:rPr>
          <w:rFonts w:hint="eastAsia" w:cs="宋体"/>
          <w:color w:val="auto"/>
          <w:kern w:val="2"/>
          <w:sz w:val="24"/>
          <w:szCs w:val="24"/>
          <w:highlight w:val="none"/>
          <w:lang w:val="en-US" w:eastAsia="zh-CN" w:bidi="ar-SA"/>
        </w:rPr>
        <w:t>投标文件</w:t>
      </w:r>
      <w:r>
        <w:rPr>
          <w:rFonts w:hint="eastAsia" w:ascii="宋体" w:hAnsi="宋体" w:eastAsia="宋体" w:cs="宋体"/>
          <w:color w:val="auto"/>
          <w:kern w:val="2"/>
          <w:sz w:val="24"/>
          <w:szCs w:val="24"/>
          <w:highlight w:val="none"/>
          <w:lang w:val="en-US" w:eastAsia="zh-CN" w:bidi="ar-SA"/>
        </w:rPr>
        <w:t>中）。</w:t>
      </w:r>
    </w:p>
    <w:p w14:paraId="59850F81">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（2）具有良好的商业信誉和健全的财务会计制度（提供南京市政府采购供应商信用记录表暨信用承诺书，扫描上传至电子</w:t>
      </w:r>
      <w:r>
        <w:rPr>
          <w:rFonts w:hint="eastAsia"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中）。</w:t>
      </w:r>
    </w:p>
    <w:p w14:paraId="696162FB">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（3）具有履行合同所必需的设备和专业技术能力（提供南京市政府采购供应商信用记录表暨信用承诺书，扫描上传至电子</w:t>
      </w:r>
      <w:r>
        <w:rPr>
          <w:rFonts w:hint="eastAsia"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中）。</w:t>
      </w:r>
    </w:p>
    <w:p w14:paraId="31A9B2B0">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（4）有依法缴纳税收和社会保障资金的良好记录（提供南京市政府采购供应商信用记录表暨信用承诺书，扫描上传至电子</w:t>
      </w:r>
      <w:r>
        <w:rPr>
          <w:rFonts w:hint="eastAsia"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中）。</w:t>
      </w:r>
    </w:p>
    <w:p w14:paraId="007DE5C3">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（5）参加采购活动前三年内，在经营活动中没有重大违法记录（提供南京市政府采购供应商信用记录表暨信用承诺书，扫描上传至电子</w:t>
      </w:r>
      <w:r>
        <w:rPr>
          <w:rFonts w:hint="eastAsia"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中）。</w:t>
      </w:r>
    </w:p>
    <w:p w14:paraId="6C6ACFB9">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（6）符合法律、行政法规规定的其他条件（提供南京市政府采购供应商信用记录表暨信用承诺书，扫描上传至电子</w:t>
      </w:r>
      <w:r>
        <w:rPr>
          <w:rFonts w:hint="eastAsia"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中）。</w:t>
      </w:r>
    </w:p>
    <w:p w14:paraId="31FDA5A6">
      <w:pPr>
        <w:pageBreakBefore w:val="0"/>
        <w:widowControl/>
        <w:kinsoku/>
        <w:wordWrap/>
        <w:overflowPunct/>
        <w:topLinePunct w:val="0"/>
        <w:autoSpaceDE/>
        <w:autoSpaceDN/>
        <w:bidi w:val="0"/>
        <w:adjustRightInd/>
        <w:spacing w:line="360" w:lineRule="auto"/>
        <w:ind w:right="0" w:rightChars="0" w:firstLine="482" w:firstLineChars="200"/>
        <w:textAlignment w:val="auto"/>
        <w:rPr>
          <w:rFonts w:hint="default"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（二）落实政府采购政策需满足的资格要求：</w:t>
      </w:r>
      <w:r>
        <w:rPr>
          <w:rFonts w:hint="eastAsia" w:cs="宋体"/>
          <w:b w:val="0"/>
          <w:bCs w:val="0"/>
          <w:color w:val="auto"/>
          <w:sz w:val="24"/>
          <w:szCs w:val="24"/>
          <w:highlight w:val="none"/>
          <w:lang w:val="en-US" w:eastAsia="zh-CN"/>
        </w:rPr>
        <w:t>无</w:t>
      </w:r>
      <w:r>
        <w:rPr>
          <w:rFonts w:hint="eastAsia" w:ascii="宋体" w:hAnsi="宋体" w:eastAsia="宋体" w:cs="宋体"/>
          <w:b w:val="0"/>
          <w:bCs w:val="0"/>
          <w:color w:val="auto"/>
          <w:sz w:val="24"/>
          <w:szCs w:val="24"/>
          <w:highlight w:val="none"/>
          <w:lang w:val="en-US" w:eastAsia="zh-CN"/>
        </w:rPr>
        <w:t>。</w:t>
      </w:r>
    </w:p>
    <w:p w14:paraId="738AB8A9">
      <w:pPr>
        <w:pageBreakBefore w:val="0"/>
        <w:widowControl/>
        <w:kinsoku/>
        <w:wordWrap/>
        <w:overflowPunct/>
        <w:topLinePunct w:val="0"/>
        <w:autoSpaceDE/>
        <w:autoSpaceDN/>
        <w:bidi w:val="0"/>
        <w:adjustRightInd/>
        <w:spacing w:line="360" w:lineRule="auto"/>
        <w:ind w:right="0" w:rightChars="0"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（三）本项目的特定资格要求：</w:t>
      </w:r>
      <w:r>
        <w:rPr>
          <w:rFonts w:hint="eastAsia" w:ascii="宋体" w:hAnsi="宋体" w:eastAsia="宋体" w:cs="宋体"/>
          <w:b w:val="0"/>
          <w:bCs w:val="0"/>
          <w:color w:val="auto"/>
          <w:sz w:val="24"/>
          <w:szCs w:val="24"/>
          <w:highlight w:val="none"/>
          <w:lang w:val="en-US" w:eastAsia="zh-CN"/>
        </w:rPr>
        <w:t>无。</w:t>
      </w:r>
    </w:p>
    <w:p w14:paraId="799B19E5">
      <w:pPr>
        <w:keepNext w:val="0"/>
        <w:keepLines w:val="0"/>
        <w:pageBreakBefore w:val="0"/>
        <w:widowControl w:val="0"/>
        <w:kinsoku/>
        <w:wordWrap/>
        <w:overflowPunct/>
        <w:topLinePunct w:val="0"/>
        <w:autoSpaceDE w:val="0"/>
        <w:autoSpaceDN w:val="0"/>
        <w:bidi w:val="0"/>
        <w:adjustRightInd/>
        <w:snapToGrid/>
        <w:spacing w:line="440" w:lineRule="exact"/>
        <w:ind w:left="0"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（四）拒绝下述</w:t>
      </w:r>
      <w:r>
        <w:rPr>
          <w:rFonts w:hint="eastAsia"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val="en-US" w:eastAsia="zh-CN"/>
        </w:rPr>
        <w:t>参加本次</w:t>
      </w:r>
      <w:r>
        <w:rPr>
          <w:rFonts w:hint="eastAsia"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val="en-US" w:eastAsia="zh-CN"/>
        </w:rPr>
        <w:t>活动</w:t>
      </w:r>
      <w:r>
        <w:rPr>
          <w:rFonts w:hint="eastAsia" w:ascii="宋体" w:hAnsi="宋体" w:eastAsia="宋体" w:cs="宋体"/>
          <w:b/>
          <w:bCs/>
          <w:color w:val="auto"/>
          <w:sz w:val="24"/>
          <w:szCs w:val="24"/>
          <w:highlight w:val="none"/>
        </w:rPr>
        <w:t>（符合并提供相关书面声明</w:t>
      </w:r>
      <w:r>
        <w:rPr>
          <w:rFonts w:hint="eastAsia" w:cs="宋体"/>
          <w:b/>
          <w:bCs/>
          <w:color w:val="auto"/>
          <w:sz w:val="24"/>
          <w:szCs w:val="24"/>
          <w:highlight w:val="none"/>
          <w:lang w:val="en-US" w:eastAsia="zh-CN"/>
        </w:rPr>
        <w:t>，加盖电子公章</w:t>
      </w:r>
      <w:r>
        <w:rPr>
          <w:rFonts w:hint="eastAsia" w:ascii="宋体" w:hAnsi="宋体" w:eastAsia="宋体" w:cs="宋体"/>
          <w:b/>
          <w:bCs/>
          <w:color w:val="auto"/>
          <w:sz w:val="24"/>
          <w:szCs w:val="24"/>
          <w:highlight w:val="none"/>
          <w:lang w:val="en-US" w:eastAsia="zh-CN"/>
        </w:rPr>
        <w:t>扫描上传至电子</w:t>
      </w:r>
      <w:r>
        <w:rPr>
          <w:rFonts w:hint="eastAsia" w:cs="宋体"/>
          <w:b/>
          <w:bCs/>
          <w:color w:val="auto"/>
          <w:sz w:val="24"/>
          <w:szCs w:val="24"/>
          <w:highlight w:val="none"/>
          <w:lang w:val="en-US" w:eastAsia="zh-CN"/>
        </w:rPr>
        <w:t>投标文件</w:t>
      </w:r>
      <w:r>
        <w:rPr>
          <w:rFonts w:hint="eastAsia" w:ascii="宋体" w:hAnsi="宋体" w:eastAsia="宋体" w:cs="宋体"/>
          <w:b/>
          <w:bCs/>
          <w:color w:val="auto"/>
          <w:sz w:val="24"/>
          <w:szCs w:val="24"/>
          <w:highlight w:val="none"/>
          <w:lang w:val="en-US" w:eastAsia="zh-CN"/>
        </w:rPr>
        <w:t>中</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p>
    <w:p w14:paraId="56F53FAF">
      <w:pPr>
        <w:keepNext w:val="0"/>
        <w:keepLines w:val="0"/>
        <w:pageBreakBefore w:val="0"/>
        <w:widowControl w:val="0"/>
        <w:kinsoku/>
        <w:wordWrap/>
        <w:overflowPunct/>
        <w:topLinePunct w:val="0"/>
        <w:autoSpaceDE w:val="0"/>
        <w:autoSpaceDN w:val="0"/>
        <w:bidi w:val="0"/>
        <w:adjustRightInd/>
        <w:snapToGrid/>
        <w:spacing w:line="440" w:lineRule="exact"/>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（1）单位负责人为同一人或者存在直接控股、管理关系的</w:t>
      </w:r>
      <w:r>
        <w:rPr>
          <w:rFonts w:hint="eastAsia" w:ascii="宋体" w:hAnsi="宋体" w:eastAsia="宋体" w:cs="Times New Roman"/>
          <w:color w:val="auto"/>
          <w:sz w:val="24"/>
          <w:szCs w:val="24"/>
          <w:highlight w:val="none"/>
        </w:rPr>
        <w:t>不同供应商</w:t>
      </w:r>
      <w:r>
        <w:rPr>
          <w:rFonts w:hint="eastAsia" w:ascii="宋体" w:hAnsi="宋体" w:eastAsia="宋体" w:cs="宋体"/>
          <w:b w:val="0"/>
          <w:bCs w:val="0"/>
          <w:color w:val="auto"/>
          <w:sz w:val="24"/>
          <w:szCs w:val="24"/>
          <w:highlight w:val="none"/>
          <w:lang w:val="en-US" w:eastAsia="zh-CN"/>
        </w:rPr>
        <w:t>，不得参加同一合同项下的</w:t>
      </w:r>
      <w:r>
        <w:rPr>
          <w:rFonts w:hint="eastAsia" w:ascii="宋体" w:hAnsi="宋体" w:eastAsia="宋体" w:cs="Times New Roman"/>
          <w:color w:val="auto"/>
          <w:sz w:val="24"/>
          <w:szCs w:val="24"/>
          <w:highlight w:val="none"/>
        </w:rPr>
        <w:t>政府采购活动</w:t>
      </w:r>
      <w:r>
        <w:rPr>
          <w:rFonts w:hint="eastAsia" w:ascii="宋体" w:hAnsi="宋体" w:eastAsia="宋体" w:cs="宋体"/>
          <w:b w:val="0"/>
          <w:bCs w:val="0"/>
          <w:color w:val="auto"/>
          <w:sz w:val="24"/>
          <w:szCs w:val="24"/>
          <w:highlight w:val="none"/>
          <w:lang w:val="en-US" w:eastAsia="zh-CN"/>
        </w:rPr>
        <w:t>。</w:t>
      </w:r>
    </w:p>
    <w:p w14:paraId="11D96595">
      <w:pPr>
        <w:keepNext w:val="0"/>
        <w:keepLines w:val="0"/>
        <w:pageBreakBefore w:val="0"/>
        <w:widowControl w:val="0"/>
        <w:kinsoku/>
        <w:wordWrap/>
        <w:overflowPunct/>
        <w:topLinePunct w:val="0"/>
        <w:autoSpaceDE w:val="0"/>
        <w:autoSpaceDN w:val="0"/>
        <w:bidi w:val="0"/>
        <w:adjustRightInd/>
        <w:snapToGrid/>
        <w:spacing w:line="440" w:lineRule="exact"/>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（2）为采购项目提供整体设计、规范编制或者项目管理、监理、检测等服务的</w:t>
      </w:r>
      <w:r>
        <w:rPr>
          <w:rFonts w:hint="eastAsia" w:ascii="宋体" w:hAnsi="宋体" w:eastAsia="宋体" w:cs="Times New Roman"/>
          <w:color w:val="auto"/>
          <w:sz w:val="24"/>
          <w:szCs w:val="24"/>
          <w:highlight w:val="none"/>
        </w:rPr>
        <w:t>供应商</w:t>
      </w:r>
      <w:r>
        <w:rPr>
          <w:rFonts w:hint="eastAsia" w:ascii="宋体" w:hAnsi="宋体" w:eastAsia="宋体" w:cs="宋体"/>
          <w:b w:val="0"/>
          <w:bCs w:val="0"/>
          <w:color w:val="auto"/>
          <w:sz w:val="24"/>
          <w:szCs w:val="24"/>
          <w:highlight w:val="none"/>
          <w:lang w:val="en-US" w:eastAsia="zh-CN"/>
        </w:rPr>
        <w:t>，不得参加本项目的</w:t>
      </w:r>
      <w:r>
        <w:rPr>
          <w:rFonts w:hint="eastAsia" w:ascii="宋体" w:hAnsi="宋体" w:eastAsia="宋体" w:cs="Times New Roman"/>
          <w:color w:val="auto"/>
          <w:sz w:val="24"/>
          <w:szCs w:val="24"/>
          <w:highlight w:val="none"/>
        </w:rPr>
        <w:t>采购活动</w:t>
      </w:r>
      <w:r>
        <w:rPr>
          <w:rFonts w:hint="eastAsia" w:ascii="宋体" w:hAnsi="宋体" w:eastAsia="宋体" w:cs="宋体"/>
          <w:b w:val="0"/>
          <w:bCs w:val="0"/>
          <w:color w:val="auto"/>
          <w:sz w:val="24"/>
          <w:szCs w:val="24"/>
          <w:highlight w:val="none"/>
          <w:lang w:val="en-US" w:eastAsia="zh-CN"/>
        </w:rPr>
        <w:t>。</w:t>
      </w:r>
    </w:p>
    <w:p w14:paraId="65360885">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（3）</w:t>
      </w:r>
      <w:r>
        <w:rPr>
          <w:rFonts w:hint="eastAsia"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被“信用中国”</w:t>
      </w:r>
      <w:r>
        <w:rPr>
          <w:rFonts w:hint="eastAsia"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b w:val="0"/>
          <w:bCs w:val="0"/>
          <w:color w:val="auto"/>
          <w:sz w:val="24"/>
          <w:szCs w:val="24"/>
          <w:highlight w:val="none"/>
          <w:lang w:val="en-US" w:eastAsia="zh-CN"/>
        </w:rPr>
        <w:t>网站列入失信被执行人、重大税收违法失信主体</w:t>
      </w:r>
      <w:r>
        <w:rPr>
          <w:rFonts w:hint="eastAsia" w:cs="宋体"/>
          <w:b w:val="0"/>
          <w:bCs w:val="0"/>
          <w:color w:val="auto"/>
          <w:sz w:val="24"/>
          <w:szCs w:val="24"/>
          <w:highlight w:val="none"/>
          <w:lang w:val="en-US" w:eastAsia="zh-CN"/>
        </w:rPr>
        <w:t>名单</w:t>
      </w:r>
      <w:r>
        <w:rPr>
          <w:rFonts w:hint="eastAsia" w:ascii="宋体" w:hAnsi="宋体" w:eastAsia="宋体" w:cs="宋体"/>
          <w:b w:val="0"/>
          <w:bCs w:val="0"/>
          <w:color w:val="auto"/>
          <w:sz w:val="24"/>
          <w:szCs w:val="24"/>
          <w:highlight w:val="none"/>
          <w:lang w:val="en-US" w:eastAsia="zh-CN"/>
        </w:rPr>
        <w:t>、政府采购严重失信行为记录名单。</w:t>
      </w:r>
    </w:p>
    <w:p w14:paraId="35D32D64">
      <w:pPr>
        <w:pStyle w:val="4"/>
        <w:pageBreakBefore w:val="0"/>
        <w:kinsoku/>
        <w:wordWrap/>
        <w:overflowPunct/>
        <w:topLinePunct w:val="0"/>
        <w:autoSpaceDE/>
        <w:autoSpaceDN/>
        <w:bidi w:val="0"/>
        <w:adjustRightInd/>
        <w:spacing w:before="0" w:after="0" w:line="360" w:lineRule="auto"/>
        <w:ind w:left="0" w:right="0" w:rightChars="0" w:firstLine="0" w:firstLineChars="0"/>
        <w:textAlignment w:val="auto"/>
        <w:rPr>
          <w:rFonts w:hint="eastAsia" w:ascii="宋体" w:hAnsi="宋体" w:eastAsia="宋体" w:cs="宋体"/>
          <w:b/>
          <w:bCs/>
          <w:color w:val="auto"/>
          <w:sz w:val="24"/>
          <w:szCs w:val="24"/>
          <w:highlight w:val="none"/>
          <w:lang w:eastAsia="zh-CN"/>
        </w:rPr>
      </w:pPr>
      <w:bookmarkStart w:id="81" w:name="_Toc19316"/>
      <w:bookmarkStart w:id="82" w:name="_Toc30429"/>
      <w:bookmarkStart w:id="83" w:name="_Toc5833"/>
      <w:bookmarkStart w:id="84" w:name="_Toc22027"/>
      <w:bookmarkStart w:id="85" w:name="_Toc35393792"/>
      <w:bookmarkStart w:id="86" w:name="_Toc16687"/>
      <w:bookmarkStart w:id="87" w:name="_Toc1377"/>
      <w:bookmarkStart w:id="88" w:name="_Toc100841903"/>
      <w:bookmarkStart w:id="89" w:name="_Toc35393623"/>
      <w:bookmarkStart w:id="90" w:name="_Toc12352"/>
      <w:bookmarkStart w:id="91" w:name="_Toc30406"/>
      <w:bookmarkStart w:id="92" w:name="_Toc5113"/>
      <w:bookmarkStart w:id="93" w:name="_Toc12440"/>
      <w:bookmarkStart w:id="94" w:name="_Toc29486"/>
      <w:bookmarkStart w:id="95" w:name="_Toc12338"/>
      <w:r>
        <w:rPr>
          <w:rFonts w:hint="eastAsia" w:ascii="宋体" w:hAnsi="宋体" w:eastAsia="宋体" w:cs="宋体"/>
          <w:b/>
          <w:bCs/>
          <w:color w:val="auto"/>
          <w:sz w:val="24"/>
          <w:szCs w:val="24"/>
          <w:highlight w:val="none"/>
        </w:rPr>
        <w:t>三、</w:t>
      </w:r>
      <w:bookmarkEnd w:id="79"/>
      <w:bookmarkEnd w:id="80"/>
      <w:bookmarkEnd w:id="81"/>
      <w:bookmarkEnd w:id="82"/>
      <w:bookmarkEnd w:id="83"/>
      <w:bookmarkEnd w:id="84"/>
      <w:bookmarkEnd w:id="85"/>
      <w:bookmarkEnd w:id="86"/>
      <w:bookmarkEnd w:id="87"/>
      <w:bookmarkEnd w:id="88"/>
      <w:bookmarkEnd w:id="89"/>
      <w:r>
        <w:rPr>
          <w:rFonts w:hint="eastAsia" w:ascii="宋体" w:hAnsi="宋体" w:eastAsia="宋体" w:cs="宋体"/>
          <w:b/>
          <w:bCs/>
          <w:color w:val="auto"/>
          <w:sz w:val="24"/>
          <w:szCs w:val="24"/>
          <w:highlight w:val="none"/>
        </w:rPr>
        <w:t>获取</w:t>
      </w:r>
      <w:r>
        <w:rPr>
          <w:rFonts w:hint="eastAsia" w:cs="宋体"/>
          <w:b/>
          <w:bCs/>
          <w:color w:val="auto"/>
          <w:sz w:val="24"/>
          <w:szCs w:val="24"/>
          <w:highlight w:val="none"/>
          <w:lang w:val="en-US" w:eastAsia="zh-CN"/>
        </w:rPr>
        <w:t>招标</w:t>
      </w:r>
      <w:r>
        <w:rPr>
          <w:rFonts w:hint="eastAsia" w:ascii="宋体" w:hAnsi="宋体" w:eastAsia="宋体" w:cs="宋体"/>
          <w:b/>
          <w:bCs/>
          <w:color w:val="auto"/>
          <w:sz w:val="24"/>
          <w:szCs w:val="24"/>
          <w:highlight w:val="none"/>
          <w:lang w:eastAsia="zh-CN"/>
        </w:rPr>
        <w:t>文件</w:t>
      </w:r>
      <w:bookmarkEnd w:id="90"/>
      <w:bookmarkEnd w:id="91"/>
      <w:bookmarkEnd w:id="92"/>
      <w:bookmarkEnd w:id="93"/>
      <w:bookmarkEnd w:id="94"/>
      <w:bookmarkEnd w:id="95"/>
    </w:p>
    <w:p w14:paraId="4F1BA2C4">
      <w:pPr>
        <w:pStyle w:val="4"/>
        <w:keepNext w:val="0"/>
        <w:keepLines w:val="0"/>
        <w:pageBreakBefore w:val="0"/>
        <w:kinsoku/>
        <w:wordWrap/>
        <w:overflowPunct/>
        <w:topLinePunct w:val="0"/>
        <w:autoSpaceDE/>
        <w:autoSpaceDN/>
        <w:bidi w:val="0"/>
        <w:adjustRightInd/>
        <w:snapToGrid w:val="0"/>
        <w:spacing w:before="0" w:after="0" w:line="360" w:lineRule="auto"/>
        <w:ind w:left="0" w:leftChars="0" w:right="0" w:rightChars="0" w:firstLine="480" w:firstLineChars="200"/>
        <w:textAlignment w:val="auto"/>
        <w:rPr>
          <w:rFonts w:hint="eastAsia" w:ascii="宋体" w:hAnsi="宋体" w:cs="宋体"/>
          <w:color w:val="auto"/>
          <w:sz w:val="24"/>
          <w:szCs w:val="24"/>
          <w:highlight w:val="none"/>
        </w:rPr>
      </w:pPr>
      <w:bookmarkStart w:id="96" w:name="_Toc8379"/>
      <w:bookmarkStart w:id="97" w:name="_Toc25725"/>
      <w:bookmarkStart w:id="98" w:name="_Toc28308"/>
      <w:bookmarkStart w:id="99" w:name="_Toc20348"/>
      <w:bookmarkStart w:id="100" w:name="_Toc16246"/>
      <w:bookmarkStart w:id="101" w:name="_Toc26469"/>
      <w:bookmarkStart w:id="102" w:name="_Toc28893"/>
      <w:bookmarkStart w:id="103" w:name="_Toc6102"/>
      <w:bookmarkStart w:id="104" w:name="_Toc18332"/>
      <w:bookmarkStart w:id="105" w:name="_Toc21775"/>
      <w:bookmarkStart w:id="106" w:name="_Toc20039"/>
      <w:bookmarkStart w:id="107" w:name="OLE_LINK7"/>
      <w:r>
        <w:rPr>
          <w:rFonts w:hint="eastAsia" w:ascii="宋体" w:hAnsi="宋体" w:eastAsia="宋体" w:cs="宋体"/>
          <w:b w:val="0"/>
          <w:bCs w:val="0"/>
          <w:color w:val="auto"/>
          <w:kern w:val="2"/>
          <w:sz w:val="24"/>
          <w:szCs w:val="24"/>
          <w:highlight w:val="none"/>
          <w:lang w:val="zh-CN" w:eastAsia="zh-CN" w:bidi="ar-SA"/>
        </w:rPr>
        <w:t>时间：</w:t>
      </w:r>
      <w:bookmarkEnd w:id="96"/>
      <w:bookmarkEnd w:id="97"/>
      <w:bookmarkEnd w:id="98"/>
      <w:bookmarkEnd w:id="99"/>
      <w:bookmarkEnd w:id="100"/>
      <w:bookmarkEnd w:id="101"/>
      <w:bookmarkEnd w:id="102"/>
      <w:bookmarkEnd w:id="103"/>
      <w:bookmarkEnd w:id="104"/>
      <w:bookmarkEnd w:id="105"/>
      <w:bookmarkStart w:id="108" w:name="_Toc17435"/>
      <w:bookmarkStart w:id="109" w:name="_Toc12222"/>
      <w:bookmarkStart w:id="110" w:name="_Toc23444"/>
      <w:bookmarkStart w:id="111" w:name="_Toc9499"/>
      <w:bookmarkStart w:id="112" w:name="_Toc24899"/>
      <w:bookmarkStart w:id="113" w:name="_Toc17139"/>
      <w:bookmarkStart w:id="114" w:name="_Toc20639"/>
      <w:bookmarkStart w:id="115" w:name="_Toc7847"/>
      <w:bookmarkStart w:id="116" w:name="_Toc102"/>
      <w:bookmarkStart w:id="117" w:name="_Toc7135"/>
      <w:r>
        <w:rPr>
          <w:rFonts w:hint="eastAsia" w:ascii="宋体" w:hAnsi="宋体" w:cs="宋体"/>
          <w:color w:val="auto"/>
          <w:sz w:val="24"/>
          <w:szCs w:val="24"/>
          <w:highlight w:val="none"/>
        </w:rPr>
        <w:t>自招标文件公告发布之日起。</w:t>
      </w:r>
      <w:bookmarkEnd w:id="106"/>
    </w:p>
    <w:p w14:paraId="51F9E08D">
      <w:pPr>
        <w:pStyle w:val="4"/>
        <w:keepNext w:val="0"/>
        <w:keepLines w:val="0"/>
        <w:pageBreakBefore w:val="0"/>
        <w:kinsoku/>
        <w:wordWrap/>
        <w:overflowPunct/>
        <w:topLinePunct w:val="0"/>
        <w:autoSpaceDE/>
        <w:autoSpaceDN/>
        <w:bidi w:val="0"/>
        <w:adjustRightInd/>
        <w:snapToGrid w:val="0"/>
        <w:spacing w:before="0" w:after="0" w:line="360" w:lineRule="auto"/>
        <w:ind w:left="0" w:leftChars="0" w:right="0" w:righ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pPr>
      <w:bookmarkStart w:id="118" w:name="_Toc11379"/>
      <w:r>
        <w:rPr>
          <w:rFonts w:hint="eastAsia" w:ascii="宋体" w:hAnsi="宋体" w:eastAsia="宋体" w:cs="宋体"/>
          <w:b w:val="0"/>
          <w:bCs w:val="0"/>
          <w:color w:val="auto"/>
          <w:kern w:val="2"/>
          <w:sz w:val="24"/>
          <w:szCs w:val="24"/>
          <w:highlight w:val="none"/>
          <w:lang w:val="zh-CN" w:eastAsia="zh-CN" w:bidi="ar-SA"/>
        </w:rPr>
        <w:t>地点：</w:t>
      </w:r>
      <w:bookmarkEnd w:id="108"/>
      <w:bookmarkEnd w:id="109"/>
      <w:bookmarkEnd w:id="110"/>
      <w:bookmarkEnd w:id="111"/>
      <w:bookmarkEnd w:id="112"/>
      <w:bookmarkStart w:id="119" w:name="_Toc16482"/>
      <w:r>
        <w:rPr>
          <w:rFonts w:hint="eastAsia" w:cs="宋体"/>
          <w:b w:val="0"/>
          <w:bCs w:val="0"/>
          <w:color w:val="auto"/>
          <w:kern w:val="2"/>
          <w:sz w:val="24"/>
          <w:szCs w:val="24"/>
          <w:highlight w:val="none"/>
          <w:lang w:val="en-US" w:eastAsia="zh-CN" w:bidi="ar-SA"/>
        </w:rPr>
        <w:t>投标人</w:t>
      </w:r>
      <w:r>
        <w:rPr>
          <w:rFonts w:hint="eastAsia" w:ascii="宋体" w:hAnsi="宋体" w:eastAsia="宋体" w:cs="宋体"/>
          <w:b w:val="0"/>
          <w:bCs w:val="0"/>
          <w:color w:val="auto"/>
          <w:kern w:val="2"/>
          <w:sz w:val="24"/>
          <w:szCs w:val="24"/>
          <w:highlight w:val="none"/>
          <w:lang w:val="zh-CN" w:eastAsia="zh-CN" w:bidi="ar-SA"/>
        </w:rPr>
        <w:t>用CA证书登录</w:t>
      </w:r>
      <w:r>
        <w:rPr>
          <w:rFonts w:hint="eastAsia" w:ascii="宋体" w:hAnsi="宋体" w:eastAsia="宋体" w:cs="宋体"/>
          <w:b w:val="0"/>
          <w:bCs/>
          <w:color w:val="auto"/>
          <w:sz w:val="24"/>
          <w:szCs w:val="24"/>
          <w:highlight w:val="none"/>
          <w:u w:val="none"/>
          <w:lang w:val="en-US" w:eastAsia="zh-CN"/>
        </w:rPr>
        <w:t>“江苏政府采购‘苏采云’系统”自行免费下载</w:t>
      </w:r>
      <w:bookmarkEnd w:id="113"/>
      <w:bookmarkEnd w:id="114"/>
      <w:bookmarkEnd w:id="115"/>
      <w:bookmarkEnd w:id="116"/>
      <w:bookmarkEnd w:id="117"/>
      <w:bookmarkEnd w:id="118"/>
    </w:p>
    <w:p w14:paraId="6F4E32C3">
      <w:pPr>
        <w:pStyle w:val="4"/>
        <w:keepNext w:val="0"/>
        <w:keepLines w:val="0"/>
        <w:pageBreakBefore w:val="0"/>
        <w:kinsoku/>
        <w:wordWrap/>
        <w:overflowPunct/>
        <w:topLinePunct w:val="0"/>
        <w:autoSpaceDE/>
        <w:autoSpaceDN/>
        <w:bidi w:val="0"/>
        <w:adjustRightInd/>
        <w:snapToGrid w:val="0"/>
        <w:spacing w:before="0" w:after="0" w:line="360" w:lineRule="auto"/>
        <w:ind w:left="0" w:leftChars="0" w:right="0" w:righ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pPr>
      <w:bookmarkStart w:id="120" w:name="_Toc21933"/>
      <w:bookmarkStart w:id="121" w:name="_Toc8989"/>
      <w:bookmarkStart w:id="122" w:name="_Toc22590"/>
      <w:bookmarkStart w:id="123" w:name="_Toc13496"/>
      <w:bookmarkStart w:id="124" w:name="_Toc308"/>
      <w:bookmarkStart w:id="125" w:name="_Toc27683"/>
      <w:bookmarkStart w:id="126" w:name="_Toc29730"/>
      <w:bookmarkStart w:id="127" w:name="_Toc12624"/>
      <w:bookmarkStart w:id="128" w:name="_Toc25661"/>
      <w:bookmarkStart w:id="129" w:name="_Toc9202"/>
      <w:r>
        <w:rPr>
          <w:rFonts w:hint="eastAsia" w:ascii="宋体" w:hAnsi="宋体" w:eastAsia="宋体" w:cs="宋体"/>
          <w:b w:val="0"/>
          <w:bCs w:val="0"/>
          <w:color w:val="auto"/>
          <w:kern w:val="2"/>
          <w:sz w:val="24"/>
          <w:szCs w:val="24"/>
          <w:highlight w:val="none"/>
          <w:lang w:val="zh-CN" w:eastAsia="zh-CN" w:bidi="ar-SA"/>
        </w:rPr>
        <w:t>方式：</w:t>
      </w:r>
      <w:bookmarkEnd w:id="119"/>
      <w:r>
        <w:rPr>
          <w:rFonts w:hint="eastAsia" w:cs="宋体"/>
          <w:b w:val="0"/>
          <w:bCs w:val="0"/>
          <w:color w:val="auto"/>
          <w:kern w:val="2"/>
          <w:sz w:val="24"/>
          <w:szCs w:val="24"/>
          <w:highlight w:val="none"/>
          <w:lang w:val="zh-CN" w:eastAsia="zh-CN" w:bidi="ar-SA"/>
        </w:rPr>
        <w:t>投标人</w:t>
      </w:r>
      <w:r>
        <w:rPr>
          <w:rFonts w:hint="eastAsia" w:ascii="宋体" w:hAnsi="宋体" w:eastAsia="宋体" w:cs="宋体"/>
          <w:b w:val="0"/>
          <w:bCs w:val="0"/>
          <w:color w:val="auto"/>
          <w:kern w:val="2"/>
          <w:sz w:val="24"/>
          <w:szCs w:val="24"/>
          <w:highlight w:val="none"/>
          <w:lang w:val="zh-CN" w:eastAsia="zh-CN" w:bidi="ar-SA"/>
        </w:rPr>
        <w:t>登陆“江苏政府采购网”，在网站首页点击“苏采云”，使用</w:t>
      </w:r>
      <w:r>
        <w:rPr>
          <w:rFonts w:hint="eastAsia" w:ascii="宋体" w:hAnsi="宋体" w:eastAsia="宋体" w:cs="宋体"/>
          <w:b w:val="0"/>
          <w:bCs w:val="0"/>
          <w:color w:val="auto"/>
          <w:kern w:val="2"/>
          <w:sz w:val="24"/>
          <w:szCs w:val="24"/>
          <w:highlight w:val="none"/>
          <w:lang w:val="en-US" w:eastAsia="zh-CN" w:bidi="ar-SA"/>
        </w:rPr>
        <w:t>CA</w:t>
      </w:r>
      <w:r>
        <w:rPr>
          <w:rFonts w:hint="eastAsia" w:ascii="宋体" w:hAnsi="宋体" w:eastAsia="宋体" w:cs="宋体"/>
          <w:b w:val="0"/>
          <w:bCs w:val="0"/>
          <w:color w:val="auto"/>
          <w:kern w:val="2"/>
          <w:sz w:val="24"/>
          <w:szCs w:val="24"/>
          <w:highlight w:val="none"/>
          <w:lang w:val="zh-CN" w:eastAsia="zh-CN" w:bidi="ar-SA"/>
        </w:rPr>
        <w:t>锁登录系统</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zh-CN" w:eastAsia="zh-CN" w:bidi="ar-SA"/>
        </w:rPr>
        <w:t>新用户需进行</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zh-CN" w:eastAsia="zh-CN" w:bidi="ar-SA"/>
        </w:rPr>
        <w:t>平台用户注册</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zh-CN" w:eastAsia="zh-CN" w:bidi="ar-SA"/>
        </w:rPr>
        <w:t>项目参与</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zh-CN" w:eastAsia="zh-CN" w:bidi="ar-SA"/>
        </w:rPr>
        <w:t>进行登记，在</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zh-CN" w:eastAsia="zh-CN" w:bidi="ar-SA"/>
        </w:rPr>
        <w:t>可参与项目</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zh-CN" w:eastAsia="zh-CN" w:bidi="ar-SA"/>
        </w:rPr>
        <w:t>中选择“我要参与”，参与成功后到“已参与项目”界面中找到该项目下载文件并进行操作。</w:t>
      </w:r>
      <w:bookmarkEnd w:id="120"/>
      <w:bookmarkEnd w:id="121"/>
      <w:bookmarkEnd w:id="122"/>
      <w:bookmarkEnd w:id="123"/>
      <w:bookmarkEnd w:id="124"/>
      <w:bookmarkEnd w:id="125"/>
      <w:bookmarkEnd w:id="126"/>
      <w:bookmarkEnd w:id="127"/>
      <w:bookmarkEnd w:id="128"/>
      <w:bookmarkEnd w:id="129"/>
    </w:p>
    <w:p w14:paraId="40733B0F">
      <w:pPr>
        <w:pStyle w:val="4"/>
        <w:keepNext w:val="0"/>
        <w:keepLines w:val="0"/>
        <w:pageBreakBefore w:val="0"/>
        <w:kinsoku/>
        <w:wordWrap/>
        <w:overflowPunct/>
        <w:topLinePunct w:val="0"/>
        <w:autoSpaceDE/>
        <w:autoSpaceDN/>
        <w:bidi w:val="0"/>
        <w:adjustRightInd/>
        <w:snapToGrid w:val="0"/>
        <w:spacing w:before="0" w:after="0" w:line="360" w:lineRule="auto"/>
        <w:ind w:left="0" w:leftChars="0" w:right="0" w:rightChars="0" w:firstLine="480" w:firstLineChars="200"/>
        <w:textAlignment w:val="auto"/>
        <w:rPr>
          <w:rFonts w:hint="eastAsia" w:ascii="宋体" w:hAnsi="宋体" w:eastAsia="宋体" w:cs="宋体"/>
          <w:b w:val="0"/>
          <w:bCs w:val="0"/>
          <w:snapToGrid/>
          <w:color w:val="auto"/>
          <w:kern w:val="2"/>
          <w:sz w:val="24"/>
          <w:szCs w:val="24"/>
          <w:highlight w:val="none"/>
          <w:lang w:val="zh-CN"/>
        </w:rPr>
      </w:pPr>
      <w:bookmarkStart w:id="130" w:name="_Toc16003"/>
      <w:bookmarkStart w:id="131" w:name="_Toc6716"/>
      <w:bookmarkStart w:id="132" w:name="_Toc30667"/>
      <w:bookmarkStart w:id="133" w:name="_Toc14891"/>
      <w:bookmarkStart w:id="134" w:name="_Toc12549"/>
      <w:bookmarkStart w:id="135" w:name="_Toc32648"/>
      <w:bookmarkStart w:id="136" w:name="_Toc23258"/>
      <w:bookmarkStart w:id="137" w:name="_Toc2023"/>
      <w:bookmarkStart w:id="138" w:name="_Toc3394"/>
      <w:bookmarkStart w:id="139" w:name="_Toc3482"/>
      <w:bookmarkStart w:id="140" w:name="_Toc23161"/>
      <w:r>
        <w:rPr>
          <w:rFonts w:hint="eastAsia" w:ascii="宋体" w:hAnsi="宋体" w:eastAsia="宋体" w:cs="宋体"/>
          <w:b w:val="0"/>
          <w:bCs w:val="0"/>
          <w:color w:val="auto"/>
          <w:kern w:val="2"/>
          <w:sz w:val="24"/>
          <w:szCs w:val="24"/>
          <w:highlight w:val="none"/>
          <w:lang w:val="zh-CN" w:eastAsia="zh-CN" w:bidi="ar-SA"/>
        </w:rPr>
        <w:t>文件售价：0.00元</w:t>
      </w:r>
      <w:bookmarkEnd w:id="130"/>
      <w:bookmarkEnd w:id="131"/>
      <w:bookmarkEnd w:id="132"/>
      <w:bookmarkEnd w:id="133"/>
      <w:bookmarkEnd w:id="134"/>
      <w:bookmarkEnd w:id="135"/>
      <w:bookmarkEnd w:id="136"/>
      <w:bookmarkEnd w:id="137"/>
      <w:bookmarkEnd w:id="138"/>
      <w:bookmarkEnd w:id="139"/>
      <w:bookmarkEnd w:id="140"/>
    </w:p>
    <w:bookmarkEnd w:id="107"/>
    <w:p w14:paraId="2F171F65">
      <w:pPr>
        <w:pStyle w:val="4"/>
        <w:pageBreakBefore w:val="0"/>
        <w:kinsoku/>
        <w:wordWrap/>
        <w:overflowPunct/>
        <w:topLinePunct w:val="0"/>
        <w:autoSpaceDE/>
        <w:autoSpaceDN/>
        <w:bidi w:val="0"/>
        <w:adjustRightInd/>
        <w:spacing w:before="0" w:after="0" w:line="360" w:lineRule="auto"/>
        <w:ind w:left="0" w:right="0" w:rightChars="0" w:firstLine="0" w:firstLineChars="0"/>
        <w:textAlignment w:val="auto"/>
        <w:rPr>
          <w:rFonts w:hint="eastAsia" w:ascii="宋体" w:hAnsi="宋体" w:eastAsia="宋体" w:cs="宋体"/>
          <w:b/>
          <w:bCs/>
          <w:color w:val="auto"/>
          <w:sz w:val="24"/>
          <w:szCs w:val="24"/>
          <w:highlight w:val="none"/>
        </w:rPr>
      </w:pPr>
      <w:bookmarkStart w:id="141" w:name="_Toc11283"/>
      <w:bookmarkStart w:id="142" w:name="_Toc19414"/>
      <w:bookmarkStart w:id="143" w:name="_Toc35393793"/>
      <w:bookmarkStart w:id="144" w:name="_Toc4748"/>
      <w:bookmarkStart w:id="145" w:name="_Toc28359005"/>
      <w:bookmarkStart w:id="146" w:name="_Toc32269"/>
      <w:bookmarkStart w:id="147" w:name="_Toc35393624"/>
      <w:bookmarkStart w:id="148" w:name="_Toc24145"/>
      <w:bookmarkStart w:id="149" w:name="_Toc910"/>
      <w:bookmarkStart w:id="150" w:name="_Toc27477"/>
      <w:bookmarkStart w:id="151" w:name="_Toc28359082"/>
      <w:bookmarkStart w:id="152" w:name="_Toc9301"/>
      <w:bookmarkStart w:id="153" w:name="_Toc25082"/>
      <w:bookmarkStart w:id="154" w:name="_Toc100841904"/>
      <w:bookmarkStart w:id="155" w:name="_Toc24521"/>
      <w:bookmarkStart w:id="156" w:name="_Toc25469"/>
      <w:bookmarkStart w:id="157" w:name="_Toc31400"/>
      <w:r>
        <w:rPr>
          <w:rFonts w:hint="eastAsia" w:ascii="宋体" w:hAnsi="宋体" w:eastAsia="宋体" w:cs="宋体"/>
          <w:b/>
          <w:bCs/>
          <w:color w:val="auto"/>
          <w:sz w:val="24"/>
          <w:szCs w:val="24"/>
          <w:highlight w:val="none"/>
        </w:rPr>
        <w:t>四、</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宋体" w:hAnsi="宋体" w:eastAsia="宋体" w:cs="宋体"/>
          <w:b/>
          <w:bCs/>
          <w:color w:val="auto"/>
          <w:sz w:val="24"/>
          <w:szCs w:val="24"/>
          <w:highlight w:val="none"/>
        </w:rPr>
        <w:t>提交投标文件截止时间、开标时间和地点</w:t>
      </w:r>
      <w:bookmarkEnd w:id="157"/>
    </w:p>
    <w:p w14:paraId="257E51A0">
      <w:pPr>
        <w:pStyle w:val="4"/>
        <w:keepNext w:val="0"/>
        <w:keepLines w:val="0"/>
        <w:pageBreakBefore w:val="0"/>
        <w:kinsoku/>
        <w:wordWrap/>
        <w:overflowPunct/>
        <w:topLinePunct w:val="0"/>
        <w:autoSpaceDE/>
        <w:autoSpaceDN/>
        <w:bidi w:val="0"/>
        <w:adjustRightInd/>
        <w:snapToGrid w:val="0"/>
        <w:spacing w:before="0" w:after="0" w:line="360" w:lineRule="auto"/>
        <w:ind w:left="0" w:leftChars="0" w:right="0" w:righ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1.提交投标文件截止时间、开标时间：</w:t>
      </w:r>
      <w:r>
        <w:rPr>
          <w:rFonts w:hint="eastAsia" w:ascii="宋体" w:hAnsi="宋体" w:eastAsia="宋体" w:cs="宋体"/>
          <w:b w:val="0"/>
          <w:bCs w:val="0"/>
          <w:color w:val="auto"/>
          <w:kern w:val="2"/>
          <w:sz w:val="24"/>
          <w:szCs w:val="24"/>
          <w:highlight w:val="none"/>
          <w:lang w:val="zh-CN" w:eastAsia="zh-CN" w:bidi="ar-SA"/>
        </w:rPr>
        <w:t>202</w:t>
      </w:r>
      <w:r>
        <w:rPr>
          <w:rFonts w:hint="eastAsia" w:ascii="宋体" w:hAnsi="宋体" w:eastAsia="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zh-CN" w:eastAsia="zh-CN" w:bidi="ar-SA"/>
        </w:rPr>
        <w:t>年</w:t>
      </w:r>
      <w:r>
        <w:rPr>
          <w:rFonts w:hint="eastAsia" w:cs="宋体"/>
          <w:b w:val="0"/>
          <w:bCs w:val="0"/>
          <w:color w:val="auto"/>
          <w:kern w:val="2"/>
          <w:sz w:val="24"/>
          <w:szCs w:val="24"/>
          <w:highlight w:val="none"/>
          <w:lang w:val="en-US" w:eastAsia="zh-CN" w:bidi="ar-SA"/>
        </w:rPr>
        <w:t>07</w:t>
      </w:r>
      <w:r>
        <w:rPr>
          <w:rFonts w:hint="eastAsia" w:ascii="宋体" w:hAnsi="宋体" w:eastAsia="宋体" w:cs="宋体"/>
          <w:b w:val="0"/>
          <w:bCs w:val="0"/>
          <w:color w:val="auto"/>
          <w:kern w:val="2"/>
          <w:sz w:val="24"/>
          <w:szCs w:val="24"/>
          <w:highlight w:val="none"/>
          <w:lang w:val="zh-CN" w:eastAsia="zh-CN" w:bidi="ar-SA"/>
        </w:rPr>
        <w:t>月</w:t>
      </w:r>
      <w:r>
        <w:rPr>
          <w:rFonts w:hint="eastAsia" w:cs="宋体"/>
          <w:b w:val="0"/>
          <w:bCs w:val="0"/>
          <w:color w:val="auto"/>
          <w:kern w:val="2"/>
          <w:sz w:val="24"/>
          <w:szCs w:val="24"/>
          <w:highlight w:val="none"/>
          <w:lang w:val="en-US" w:eastAsia="zh-CN" w:bidi="ar-SA"/>
        </w:rPr>
        <w:t>21</w:t>
      </w:r>
      <w:r>
        <w:rPr>
          <w:rFonts w:hint="eastAsia" w:ascii="宋体" w:hAnsi="宋体" w:eastAsia="宋体" w:cs="宋体"/>
          <w:b w:val="0"/>
          <w:bCs w:val="0"/>
          <w:color w:val="auto"/>
          <w:kern w:val="2"/>
          <w:sz w:val="24"/>
          <w:szCs w:val="24"/>
          <w:highlight w:val="none"/>
          <w:lang w:val="zh-CN" w:eastAsia="zh-CN" w:bidi="ar-SA"/>
        </w:rPr>
        <w:t>日</w:t>
      </w:r>
      <w:r>
        <w:rPr>
          <w:rFonts w:hint="eastAsia" w:cs="宋体"/>
          <w:b w:val="0"/>
          <w:bCs w:val="0"/>
          <w:color w:val="auto"/>
          <w:kern w:val="2"/>
          <w:sz w:val="24"/>
          <w:szCs w:val="24"/>
          <w:highlight w:val="none"/>
          <w:lang w:val="en-US" w:eastAsia="zh-CN" w:bidi="ar-SA"/>
        </w:rPr>
        <w:t>09</w:t>
      </w:r>
      <w:r>
        <w:rPr>
          <w:rFonts w:hint="eastAsia" w:ascii="宋体" w:hAnsi="宋体" w:eastAsia="宋体" w:cs="宋体"/>
          <w:b w:val="0"/>
          <w:bCs w:val="0"/>
          <w:color w:val="auto"/>
          <w:kern w:val="2"/>
          <w:sz w:val="24"/>
          <w:szCs w:val="24"/>
          <w:highlight w:val="none"/>
          <w:lang w:val="zh-CN" w:eastAsia="zh-CN" w:bidi="ar-SA"/>
        </w:rPr>
        <w:t>点</w:t>
      </w:r>
      <w:r>
        <w:rPr>
          <w:rFonts w:hint="eastAsia"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zh-CN" w:eastAsia="zh-CN" w:bidi="ar-SA"/>
        </w:rPr>
        <w:t>0分</w:t>
      </w:r>
      <w:r>
        <w:rPr>
          <w:rFonts w:hint="eastAsia" w:ascii="宋体" w:hAnsi="宋体" w:eastAsia="宋体" w:cs="宋体"/>
          <w:b w:val="0"/>
          <w:bCs w:val="0"/>
          <w:color w:val="auto"/>
          <w:kern w:val="2"/>
          <w:sz w:val="24"/>
          <w:szCs w:val="24"/>
          <w:highlight w:val="none"/>
          <w:lang w:val="zh-CN" w:eastAsia="zh-CN" w:bidi="ar-SA"/>
        </w:rPr>
        <w:t>（北京时间）</w:t>
      </w:r>
    </w:p>
    <w:p w14:paraId="31EA4043">
      <w:pPr>
        <w:pStyle w:val="4"/>
        <w:keepNext w:val="0"/>
        <w:keepLines w:val="0"/>
        <w:pageBreakBefore w:val="0"/>
        <w:kinsoku/>
        <w:wordWrap/>
        <w:overflowPunct/>
        <w:topLinePunct w:val="0"/>
        <w:autoSpaceDE/>
        <w:autoSpaceDN/>
        <w:bidi w:val="0"/>
        <w:adjustRightInd/>
        <w:snapToGrid w:val="0"/>
        <w:spacing w:before="0" w:after="0" w:line="360" w:lineRule="auto"/>
        <w:ind w:left="0" w:leftChars="0" w:right="0" w:rightChars="0" w:firstLine="480" w:firstLineChars="200"/>
        <w:textAlignment w:val="auto"/>
        <w:rPr>
          <w:rFonts w:hint="eastAsia" w:ascii="宋体" w:hAnsi="宋体" w:eastAsia="宋体" w:cs="宋体"/>
          <w:b w:val="0"/>
          <w:bCs w:val="0"/>
          <w:color w:val="auto"/>
          <w:kern w:val="2"/>
          <w:sz w:val="24"/>
          <w:szCs w:val="24"/>
          <w:highlight w:val="none"/>
          <w:lang w:val="zh-CN" w:eastAsia="zh-CN" w:bidi="ar-SA"/>
        </w:rPr>
      </w:pPr>
      <w:r>
        <w:rPr>
          <w:rFonts w:hint="eastAsia" w:ascii="宋体" w:hAnsi="宋体" w:eastAsia="宋体" w:cs="宋体"/>
          <w:b w:val="0"/>
          <w:bCs w:val="0"/>
          <w:color w:val="auto"/>
          <w:kern w:val="2"/>
          <w:sz w:val="24"/>
          <w:szCs w:val="24"/>
          <w:highlight w:val="none"/>
          <w:lang w:val="zh-CN" w:eastAsia="zh-CN" w:bidi="ar-SA"/>
        </w:rPr>
        <w:t>2.地点：</w:t>
      </w:r>
      <w:r>
        <w:rPr>
          <w:rFonts w:hint="eastAsia" w:ascii="宋体" w:hAnsi="宋体" w:eastAsia="宋体" w:cs="宋体"/>
          <w:b w:val="0"/>
          <w:bCs w:val="0"/>
          <w:color w:val="auto"/>
          <w:kern w:val="2"/>
          <w:sz w:val="24"/>
          <w:szCs w:val="24"/>
          <w:highlight w:val="none"/>
          <w:lang w:val="en-US" w:eastAsia="zh-CN" w:bidi="ar-SA"/>
        </w:rPr>
        <w:t>“江苏政府采购‘苏采云’系统”不见面开标大厅。</w:t>
      </w:r>
    </w:p>
    <w:p w14:paraId="512D3F33">
      <w:pPr>
        <w:pageBreakBefore w:val="0"/>
        <w:kinsoku/>
        <w:wordWrap/>
        <w:overflowPunct/>
        <w:topLinePunct w:val="0"/>
        <w:autoSpaceDE/>
        <w:autoSpaceDN/>
        <w:bidi w:val="0"/>
        <w:adjustRightInd/>
        <w:spacing w:line="360" w:lineRule="auto"/>
        <w:ind w:right="0" w:rightChars="0"/>
        <w:textAlignment w:val="auto"/>
        <w:rPr>
          <w:rFonts w:hint="eastAsia" w:ascii="宋体" w:hAnsi="宋体" w:eastAsia="宋体" w:cs="宋体"/>
          <w:bCs/>
          <w:color w:val="auto"/>
          <w:sz w:val="24"/>
          <w:szCs w:val="24"/>
          <w:highlight w:val="none"/>
          <w:u w:val="none"/>
          <w:lang w:eastAsia="zh-CN"/>
        </w:rPr>
      </w:pPr>
      <w:r>
        <w:rPr>
          <w:rFonts w:hint="eastAsia" w:cs="宋体"/>
          <w:b/>
          <w:bCs/>
          <w:color w:val="auto"/>
          <w:sz w:val="24"/>
          <w:szCs w:val="24"/>
          <w:highlight w:val="none"/>
          <w:u w:val="none"/>
          <w:lang w:val="en-US" w:eastAsia="zh-CN"/>
        </w:rPr>
        <w:t>五</w:t>
      </w:r>
      <w:r>
        <w:rPr>
          <w:rFonts w:hint="eastAsia" w:ascii="宋体" w:hAnsi="宋体" w:eastAsia="宋体" w:cs="宋体"/>
          <w:b/>
          <w:bCs/>
          <w:color w:val="auto"/>
          <w:sz w:val="24"/>
          <w:szCs w:val="24"/>
          <w:highlight w:val="none"/>
        </w:rPr>
        <w:t>、公告期限</w:t>
      </w:r>
    </w:p>
    <w:p w14:paraId="209AA239">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bCs/>
          <w:color w:val="auto"/>
          <w:sz w:val="24"/>
          <w:szCs w:val="24"/>
          <w:highlight w:val="none"/>
          <w:u w:val="none"/>
        </w:rPr>
      </w:pPr>
      <w:bookmarkStart w:id="158" w:name="_Toc35393795"/>
      <w:bookmarkStart w:id="159" w:name="_Toc100841906"/>
      <w:bookmarkStart w:id="160" w:name="_Toc8119"/>
      <w:bookmarkStart w:id="161" w:name="_Toc31372"/>
      <w:bookmarkStart w:id="162" w:name="_Toc1477"/>
      <w:bookmarkStart w:id="163" w:name="_Toc22628"/>
      <w:bookmarkStart w:id="164" w:name="_Toc35393626"/>
      <w:bookmarkStart w:id="165" w:name="_Toc22119"/>
      <w:bookmarkStart w:id="166" w:name="_Toc2253"/>
      <w:bookmarkStart w:id="167" w:name="_Toc75982382"/>
      <w:r>
        <w:rPr>
          <w:rFonts w:hint="eastAsia" w:ascii="宋体" w:hAnsi="宋体" w:eastAsia="宋体" w:cs="宋体"/>
          <w:bCs/>
          <w:color w:val="auto"/>
          <w:sz w:val="24"/>
          <w:szCs w:val="24"/>
          <w:highlight w:val="none"/>
          <w:u w:val="none"/>
        </w:rPr>
        <w:t>公告期限为</w:t>
      </w:r>
      <w:r>
        <w:rPr>
          <w:rFonts w:hint="eastAsia" w:cs="宋体"/>
          <w:bCs/>
          <w:color w:val="auto"/>
          <w:sz w:val="24"/>
          <w:szCs w:val="24"/>
          <w:highlight w:val="none"/>
          <w:u w:val="none"/>
          <w:lang w:eastAsia="zh-CN"/>
        </w:rPr>
        <w:t>：</w:t>
      </w:r>
      <w:r>
        <w:rPr>
          <w:rFonts w:hint="eastAsia" w:ascii="宋体" w:hAnsi="宋体" w:cs="宋体"/>
          <w:color w:val="auto"/>
          <w:kern w:val="0"/>
          <w:sz w:val="24"/>
          <w:szCs w:val="24"/>
          <w:highlight w:val="none"/>
        </w:rPr>
        <w:t>自本公告发布之日起5个工作日</w:t>
      </w:r>
      <w:r>
        <w:rPr>
          <w:rFonts w:hint="eastAsia" w:ascii="宋体" w:hAnsi="宋体" w:eastAsia="宋体" w:cs="宋体"/>
          <w:bCs/>
          <w:color w:val="auto"/>
          <w:sz w:val="24"/>
          <w:szCs w:val="24"/>
          <w:highlight w:val="none"/>
          <w:u w:val="none"/>
        </w:rPr>
        <w:t>。</w:t>
      </w:r>
    </w:p>
    <w:p w14:paraId="0FB286F3">
      <w:pPr>
        <w:pageBreakBefore w:val="0"/>
        <w:kinsoku/>
        <w:wordWrap/>
        <w:overflowPunct/>
        <w:topLinePunct w:val="0"/>
        <w:autoSpaceDE/>
        <w:autoSpaceDN/>
        <w:bidi w:val="0"/>
        <w:adjustRightInd/>
        <w:spacing w:line="360" w:lineRule="auto"/>
        <w:ind w:right="0" w:rightChars="0"/>
        <w:textAlignment w:val="auto"/>
        <w:rPr>
          <w:rFonts w:hint="eastAsia" w:ascii="宋体" w:hAnsi="宋体" w:eastAsia="宋体" w:cs="宋体"/>
          <w:b/>
          <w:bCs/>
          <w:color w:val="auto"/>
          <w:sz w:val="24"/>
          <w:szCs w:val="24"/>
          <w:highlight w:val="none"/>
          <w:u w:val="none"/>
          <w:lang w:val="en-US" w:eastAsia="zh-CN"/>
        </w:rPr>
      </w:pPr>
      <w:r>
        <w:rPr>
          <w:rFonts w:hint="eastAsia" w:cs="宋体"/>
          <w:b/>
          <w:bCs/>
          <w:color w:val="auto"/>
          <w:sz w:val="24"/>
          <w:szCs w:val="24"/>
          <w:highlight w:val="none"/>
          <w:u w:val="none"/>
          <w:lang w:val="en-US" w:eastAsia="zh-CN"/>
        </w:rPr>
        <w:t>六</w:t>
      </w:r>
      <w:r>
        <w:rPr>
          <w:rFonts w:hint="eastAsia" w:ascii="宋体" w:hAnsi="宋体" w:eastAsia="宋体" w:cs="宋体"/>
          <w:b/>
          <w:bCs/>
          <w:color w:val="auto"/>
          <w:sz w:val="24"/>
          <w:szCs w:val="24"/>
          <w:highlight w:val="none"/>
          <w:u w:val="none"/>
          <w:lang w:val="en-US" w:eastAsia="en-US"/>
        </w:rPr>
        <w:t>、</w:t>
      </w:r>
      <w:r>
        <w:rPr>
          <w:rFonts w:hint="eastAsia" w:ascii="宋体" w:hAnsi="宋体" w:eastAsia="宋体" w:cs="宋体"/>
          <w:b/>
          <w:bCs/>
          <w:color w:val="auto"/>
          <w:sz w:val="24"/>
          <w:szCs w:val="24"/>
          <w:highlight w:val="none"/>
          <w:u w:val="none"/>
          <w:lang w:val="en-US" w:eastAsia="zh-CN"/>
        </w:rPr>
        <w:t>其他补充事宜</w:t>
      </w:r>
      <w:bookmarkEnd w:id="158"/>
      <w:bookmarkEnd w:id="159"/>
      <w:bookmarkEnd w:id="160"/>
      <w:bookmarkEnd w:id="161"/>
      <w:bookmarkEnd w:id="162"/>
      <w:bookmarkEnd w:id="163"/>
      <w:bookmarkEnd w:id="164"/>
      <w:bookmarkEnd w:id="165"/>
      <w:bookmarkEnd w:id="166"/>
    </w:p>
    <w:p w14:paraId="00096659">
      <w:pPr>
        <w:pageBreakBefore w:val="0"/>
        <w:widowControl/>
        <w:numPr>
          <w:ilvl w:val="0"/>
          <w:numId w:val="0"/>
        </w:numPr>
        <w:kinsoku/>
        <w:wordWrap/>
        <w:overflowPunct/>
        <w:topLinePunct w:val="0"/>
        <w:autoSpaceDE/>
        <w:autoSpaceDN/>
        <w:bidi w:val="0"/>
        <w:adjustRightIn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rPr>
        <w:t>本项目在“江苏政府采购网”发布公告，有关本次采购的事项若存在变动或修改，请及时关注上述网站发布的信息更正公告。</w:t>
      </w:r>
      <w:bookmarkEnd w:id="167"/>
    </w:p>
    <w:p w14:paraId="3B88D5D3">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通过苏采云系统参与政府采购项目，需要办理江苏省政府采购数字证书及电子签章，具体详见苏采云系统登录页“新CA办理指南”。</w:t>
      </w:r>
      <w:r>
        <w:rPr>
          <w:rFonts w:hint="eastAsia"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按《苏采云系统供应商操作手册》（以下简称“操作手册”）进行注册，并制作上传电子</w:t>
      </w:r>
      <w:r>
        <w:rPr>
          <w:rFonts w:hint="eastAsia"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。《操作手册》下载地址：http//www.ccgpjiangsu.gov.cn/jiangsu/zlxz/ee/ee3a4bc5a3454aa2b0d9312230633ce9.html（“苏采云”南京地区客服热线025-83633744、025-83633743）。</w:t>
      </w:r>
    </w:p>
    <w:p w14:paraId="145D214F">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bookmarkStart w:id="168" w:name="_Toc75982383"/>
      <w:r>
        <w:rPr>
          <w:rFonts w:hint="eastAsia" w:ascii="宋体" w:hAnsi="宋体" w:eastAsia="宋体" w:cs="宋体"/>
          <w:color w:val="auto"/>
          <w:kern w:val="0"/>
          <w:sz w:val="24"/>
          <w:szCs w:val="24"/>
          <w:highlight w:val="none"/>
          <w:lang w:val="en-US" w:eastAsia="zh-CN"/>
        </w:rPr>
        <w:t>3</w:t>
      </w:r>
      <w:bookmarkEnd w:id="168"/>
      <w:bookmarkStart w:id="169" w:name="_Hlk86311268"/>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lang w:eastAsia="zh-CN"/>
        </w:rPr>
        <w:t>本项目通过“苏采云”系统进行电子采购，即</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lang w:eastAsia="zh-CN"/>
        </w:rPr>
        <w:t>从政府采购客户端工具制作并通过“苏采云”系统提交。</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应当通过“苏采云”系统提交数据电文形式的</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lang w:eastAsia="zh-CN"/>
        </w:rPr>
        <w:t>（即电子投标）。未进行线上</w:t>
      </w:r>
      <w:r>
        <w:rPr>
          <w:rFonts w:hint="eastAsia" w:ascii="宋体" w:hAnsi="宋体" w:eastAsia="宋体" w:cs="宋体"/>
          <w:color w:val="auto"/>
          <w:sz w:val="24"/>
          <w:szCs w:val="24"/>
          <w:highlight w:val="none"/>
          <w:lang w:val="en-US" w:eastAsia="zh-CN"/>
        </w:rPr>
        <w:t>提交</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lang w:eastAsia="zh-CN"/>
        </w:rPr>
        <w:t>并解密（因“苏采云”系统导致解密失败的除外）的</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无效。“CA数字证书”的获取：</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lang w:eastAsia="zh-CN"/>
        </w:rPr>
        <w:t>。即：使用“电子签名认证证书（CA数字证书）”登录“苏采云”系统（网址：http：//jszfcg.jsczt.cn/），按照要求通过互联网方式提交首次</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lang w:eastAsia="zh-CN"/>
        </w:rPr>
        <w:t>。</w:t>
      </w:r>
    </w:p>
    <w:p w14:paraId="022292B7">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“苏采云”系统使用要求：</w:t>
      </w:r>
    </w:p>
    <w:p w14:paraId="5C36F2CA">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）使用谷歌浏览器参与不见面开标环节。</w:t>
      </w:r>
    </w:p>
    <w:p w14:paraId="22EFBEA6">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）电脑需提前准备好麦克风、音响，摄像头，提前检查保证能够正常使用。</w:t>
      </w:r>
    </w:p>
    <w:p w14:paraId="3A19BE7A">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）操作系统至少win7以上，建议使用win10操作系统。</w:t>
      </w:r>
    </w:p>
    <w:bookmarkEnd w:id="169"/>
    <w:p w14:paraId="3C3E3A87">
      <w:pPr>
        <w:pStyle w:val="45"/>
        <w:autoSpaceDE/>
        <w:autoSpaceDN/>
        <w:ind w:firstLine="480" w:firstLineChars="200"/>
        <w:rPr>
          <w:rFonts w:hint="eastAsia" w:ascii="宋体" w:hAnsi="宋体" w:eastAsia="宋体" w:cs="宋体"/>
          <w:i w:val="0"/>
          <w:iCs w:val="0"/>
          <w:caps w:val="0"/>
          <w:color w:val="auto"/>
          <w:spacing w:val="0"/>
          <w:kern w:val="0"/>
          <w:sz w:val="24"/>
          <w:szCs w:val="24"/>
          <w:highlight w:val="none"/>
          <w:shd w:val="clear"/>
          <w:lang w:val="en-US" w:eastAsia="zh-CN" w:bidi="ar"/>
        </w:rPr>
      </w:pPr>
      <w:r>
        <w:rPr>
          <w:rFonts w:hint="eastAsia" w:ascii="宋体" w:hAnsi="宋体" w:eastAsia="宋体" w:cs="宋体"/>
          <w:i w:val="0"/>
          <w:iCs w:val="0"/>
          <w:caps w:val="0"/>
          <w:color w:val="auto"/>
          <w:spacing w:val="0"/>
          <w:kern w:val="0"/>
          <w:sz w:val="24"/>
          <w:szCs w:val="24"/>
          <w:highlight w:val="none"/>
          <w:shd w:val="clear"/>
          <w:lang w:val="en-US" w:eastAsia="zh-CN" w:bidi="ar"/>
        </w:rPr>
        <w:t>5.依据南京市财政局“关于在政府采购中推行信用承诺制的通知”，政府采购</w:t>
      </w:r>
      <w:r>
        <w:rPr>
          <w:rFonts w:hint="eastAsia" w:cs="宋体"/>
          <w:i w:val="0"/>
          <w:iCs w:val="0"/>
          <w:caps w:val="0"/>
          <w:color w:val="auto"/>
          <w:spacing w:val="0"/>
          <w:kern w:val="0"/>
          <w:sz w:val="24"/>
          <w:szCs w:val="24"/>
          <w:highlight w:val="none"/>
          <w:shd w:val="clear"/>
          <w:lang w:val="en-US" w:eastAsia="zh-CN" w:bidi="ar"/>
        </w:rPr>
        <w:t>投标人</w:t>
      </w:r>
      <w:r>
        <w:rPr>
          <w:rFonts w:hint="eastAsia" w:ascii="宋体" w:hAnsi="宋体" w:eastAsia="宋体" w:cs="宋体"/>
          <w:i w:val="0"/>
          <w:iCs w:val="0"/>
          <w:caps w:val="0"/>
          <w:color w:val="auto"/>
          <w:spacing w:val="0"/>
          <w:kern w:val="0"/>
          <w:sz w:val="24"/>
          <w:szCs w:val="24"/>
          <w:highlight w:val="none"/>
          <w:shd w:val="clear"/>
          <w:lang w:val="en-US" w:eastAsia="zh-CN" w:bidi="ar"/>
        </w:rPr>
        <w:t>只需在资格审查环节提供《南京市政府采购供应商信用记录表暨信用承诺书》，不再需要提供《中华人民共和国政府采购法》第二十二条规定：（2）-（</w:t>
      </w:r>
      <w:r>
        <w:rPr>
          <w:rFonts w:hint="eastAsia" w:cs="宋体"/>
          <w:i w:val="0"/>
          <w:iCs w:val="0"/>
          <w:caps w:val="0"/>
          <w:color w:val="auto"/>
          <w:spacing w:val="0"/>
          <w:kern w:val="0"/>
          <w:sz w:val="24"/>
          <w:szCs w:val="24"/>
          <w:highlight w:val="none"/>
          <w:shd w:val="clear"/>
          <w:lang w:val="en-US" w:eastAsia="zh-CN" w:bidi="ar"/>
        </w:rPr>
        <w:t>4</w:t>
      </w:r>
      <w:r>
        <w:rPr>
          <w:rFonts w:hint="eastAsia" w:ascii="宋体" w:hAnsi="宋体" w:eastAsia="宋体" w:cs="宋体"/>
          <w:i w:val="0"/>
          <w:iCs w:val="0"/>
          <w:caps w:val="0"/>
          <w:color w:val="auto"/>
          <w:spacing w:val="0"/>
          <w:kern w:val="0"/>
          <w:sz w:val="24"/>
          <w:szCs w:val="24"/>
          <w:highlight w:val="none"/>
          <w:shd w:val="clear"/>
          <w:lang w:val="en-US" w:eastAsia="zh-CN" w:bidi="ar"/>
        </w:rPr>
        <w:t>）证明材料。</w:t>
      </w:r>
      <w:r>
        <w:rPr>
          <w:rFonts w:hint="eastAsia" w:cs="宋体"/>
          <w:i w:val="0"/>
          <w:iCs w:val="0"/>
          <w:caps w:val="0"/>
          <w:color w:val="auto"/>
          <w:spacing w:val="0"/>
          <w:kern w:val="0"/>
          <w:sz w:val="24"/>
          <w:szCs w:val="24"/>
          <w:highlight w:val="none"/>
          <w:shd w:val="clear"/>
          <w:lang w:val="en-US" w:eastAsia="zh-CN" w:bidi="ar"/>
        </w:rPr>
        <w:t>投标人</w:t>
      </w:r>
      <w:r>
        <w:rPr>
          <w:rFonts w:hint="eastAsia" w:ascii="宋体" w:hAnsi="宋体" w:eastAsia="宋体" w:cs="宋体"/>
          <w:i w:val="0"/>
          <w:iCs w:val="0"/>
          <w:caps w:val="0"/>
          <w:color w:val="auto"/>
          <w:spacing w:val="0"/>
          <w:kern w:val="0"/>
          <w:sz w:val="24"/>
          <w:szCs w:val="24"/>
          <w:highlight w:val="none"/>
          <w:shd w:val="clear"/>
          <w:lang w:val="en-US" w:eastAsia="zh-CN" w:bidi="ar"/>
        </w:rPr>
        <w:t>在中标（成交）后，应按采购文件要求，将由信用承诺书替代的证明材料提交采购代理机构核验。经核验无误后，由采购人或采购代理机构发出中标（成交）通知书。</w:t>
      </w:r>
      <w:r>
        <w:rPr>
          <w:rFonts w:hint="eastAsia" w:cs="宋体"/>
          <w:i w:val="0"/>
          <w:iCs w:val="0"/>
          <w:caps w:val="0"/>
          <w:color w:val="auto"/>
          <w:spacing w:val="0"/>
          <w:kern w:val="0"/>
          <w:sz w:val="24"/>
          <w:szCs w:val="24"/>
          <w:highlight w:val="none"/>
          <w:shd w:val="clear"/>
          <w:lang w:val="en-US" w:eastAsia="zh-CN" w:bidi="ar"/>
        </w:rPr>
        <w:t>投标人</w:t>
      </w:r>
      <w:r>
        <w:rPr>
          <w:rFonts w:hint="eastAsia" w:ascii="宋体" w:hAnsi="宋体" w:eastAsia="宋体" w:cs="宋体"/>
          <w:i w:val="0"/>
          <w:iCs w:val="0"/>
          <w:caps w:val="0"/>
          <w:color w:val="auto"/>
          <w:spacing w:val="0"/>
          <w:kern w:val="0"/>
          <w:sz w:val="24"/>
          <w:szCs w:val="24"/>
          <w:highlight w:val="none"/>
          <w:shd w:val="clear"/>
          <w:lang w:val="en-US" w:eastAsia="zh-CN" w:bidi="ar"/>
        </w:rPr>
        <w:t>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17D38BD9">
      <w:pPr>
        <w:pStyle w:val="45"/>
        <w:autoSpaceDE/>
        <w:autoSpaceDN/>
        <w:ind w:firstLine="480" w:firstLineChars="20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i w:val="0"/>
          <w:iCs w:val="0"/>
          <w:caps w:val="0"/>
          <w:color w:val="auto"/>
          <w:spacing w:val="0"/>
          <w:kern w:val="0"/>
          <w:sz w:val="24"/>
          <w:szCs w:val="24"/>
          <w:highlight w:val="none"/>
          <w:shd w:val="clear"/>
          <w:lang w:val="en-US" w:eastAsia="zh-CN" w:bidi="ar"/>
        </w:rPr>
        <w:t>供应商涉及以下情形的，</w:t>
      </w:r>
      <w:r>
        <w:rPr>
          <w:rFonts w:hint="eastAsia" w:ascii="宋体" w:hAnsi="宋体" w:eastAsia="宋体" w:cs="宋体"/>
          <w:b/>
          <w:bCs/>
          <w:i w:val="0"/>
          <w:iCs w:val="0"/>
          <w:caps w:val="0"/>
          <w:color w:val="auto"/>
          <w:spacing w:val="0"/>
          <w:kern w:val="0"/>
          <w:sz w:val="24"/>
          <w:szCs w:val="24"/>
          <w:highlight w:val="none"/>
          <w:u w:val="double"/>
          <w:shd w:val="clear"/>
          <w:lang w:val="en-US" w:eastAsia="zh-CN" w:bidi="ar"/>
        </w:rPr>
        <w:t>不适用</w:t>
      </w:r>
      <w:r>
        <w:rPr>
          <w:rFonts w:hint="eastAsia" w:ascii="宋体" w:hAnsi="宋体" w:eastAsia="宋体" w:cs="宋体"/>
          <w:i w:val="0"/>
          <w:iCs w:val="0"/>
          <w:caps w:val="0"/>
          <w:color w:val="auto"/>
          <w:spacing w:val="0"/>
          <w:kern w:val="0"/>
          <w:sz w:val="24"/>
          <w:szCs w:val="24"/>
          <w:highlight w:val="none"/>
          <w:shd w:val="clear"/>
          <w:lang w:val="en-US" w:eastAsia="zh-CN" w:bidi="ar"/>
        </w:rPr>
        <w:t>信用承诺，</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lang w:eastAsia="zh-CN"/>
        </w:rPr>
        <w:t>审查环节</w:t>
      </w:r>
      <w:r>
        <w:rPr>
          <w:rFonts w:hint="eastAsia" w:cs="宋体"/>
          <w:color w:val="auto"/>
          <w:sz w:val="24"/>
          <w:szCs w:val="24"/>
          <w:highlight w:val="none"/>
          <w:lang w:val="en-US" w:eastAsia="zh-CN"/>
        </w:rPr>
        <w:t>投标文件中</w:t>
      </w:r>
      <w:r>
        <w:rPr>
          <w:rFonts w:hint="eastAsia" w:ascii="宋体" w:hAnsi="宋体" w:eastAsia="宋体" w:cs="宋体"/>
          <w:b/>
          <w:bCs/>
          <w:color w:val="auto"/>
          <w:sz w:val="24"/>
          <w:szCs w:val="24"/>
          <w:highlight w:val="none"/>
          <w:u w:val="double"/>
          <w:lang w:eastAsia="zh-CN"/>
        </w:rPr>
        <w:t>仍须提供</w:t>
      </w:r>
      <w:r>
        <w:rPr>
          <w:rFonts w:hint="eastAsia" w:ascii="宋体" w:hAnsi="宋体" w:eastAsia="宋体" w:cs="宋体"/>
          <w:color w:val="auto"/>
          <w:sz w:val="24"/>
          <w:szCs w:val="24"/>
          <w:highlight w:val="none"/>
          <w:lang w:val="en-US" w:eastAsia="zh-CN"/>
        </w:rPr>
        <w:t>申请人资格要求的</w:t>
      </w:r>
      <w:r>
        <w:rPr>
          <w:rFonts w:hint="eastAsia" w:ascii="宋体" w:hAnsi="宋体" w:eastAsia="宋体" w:cs="宋体"/>
          <w:color w:val="auto"/>
          <w:sz w:val="24"/>
          <w:szCs w:val="24"/>
          <w:highlight w:val="none"/>
          <w:lang w:eastAsia="zh-CN"/>
        </w:rPr>
        <w:t>证明材料</w:t>
      </w:r>
      <w:r>
        <w:rPr>
          <w:rFonts w:hint="eastAsia" w:ascii="宋体" w:hAnsi="宋体" w:eastAsia="宋体" w:cs="宋体"/>
          <w:i w:val="0"/>
          <w:iCs w:val="0"/>
          <w:caps w:val="0"/>
          <w:color w:val="auto"/>
          <w:spacing w:val="0"/>
          <w:kern w:val="0"/>
          <w:sz w:val="24"/>
          <w:szCs w:val="24"/>
          <w:highlight w:val="none"/>
          <w:shd w:val="clear"/>
          <w:lang w:val="en-US" w:eastAsia="zh-CN" w:bidi="ar"/>
        </w:rPr>
        <w:t>：</w:t>
      </w:r>
    </w:p>
    <w:p w14:paraId="1F43FA6A">
      <w:pPr>
        <w:pStyle w:val="45"/>
        <w:autoSpaceDE/>
        <w:autoSpaceDN/>
        <w:ind w:firstLine="480" w:firstLineChars="20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kern w:val="0"/>
          <w:sz w:val="24"/>
          <w:szCs w:val="24"/>
          <w:highlight w:val="none"/>
          <w:shd w:val="clear"/>
          <w:lang w:val="en-US" w:eastAsia="zh-CN" w:bidi="ar"/>
        </w:rPr>
        <w:t>（1）供应商被列入严重失信主体名单；</w:t>
      </w:r>
    </w:p>
    <w:p w14:paraId="7645DB85">
      <w:pPr>
        <w:pStyle w:val="45"/>
        <w:autoSpaceDE/>
        <w:autoSpaceDN/>
        <w:ind w:firstLine="480" w:firstLineChars="20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kern w:val="0"/>
          <w:sz w:val="24"/>
          <w:szCs w:val="24"/>
          <w:highlight w:val="none"/>
          <w:shd w:val="clear"/>
          <w:lang w:val="en-US" w:eastAsia="zh-CN" w:bidi="ar"/>
        </w:rPr>
        <w:t>（2）被相关监管部门作出行政处罚且尚在处罚有效期内；</w:t>
      </w:r>
    </w:p>
    <w:p w14:paraId="694D6C2B">
      <w:pPr>
        <w:pStyle w:val="45"/>
        <w:autoSpaceDE/>
        <w:autoSpaceDN/>
        <w:ind w:firstLine="480" w:firstLineChars="200"/>
        <w:rPr>
          <w:rFonts w:hint="eastAsia" w:ascii="宋体" w:hAnsi="宋体" w:eastAsia="宋体" w:cs="宋体"/>
          <w:i w:val="0"/>
          <w:iCs w:val="0"/>
          <w:caps w:val="0"/>
          <w:color w:val="auto"/>
          <w:spacing w:val="0"/>
          <w:kern w:val="0"/>
          <w:sz w:val="24"/>
          <w:szCs w:val="24"/>
          <w:highlight w:val="none"/>
          <w:shd w:val="clear"/>
          <w:lang w:val="en-US" w:eastAsia="zh-CN" w:bidi="ar"/>
        </w:rPr>
      </w:pPr>
      <w:r>
        <w:rPr>
          <w:rFonts w:hint="eastAsia" w:ascii="宋体" w:hAnsi="宋体" w:eastAsia="宋体" w:cs="宋体"/>
          <w:i w:val="0"/>
          <w:iCs w:val="0"/>
          <w:caps w:val="0"/>
          <w:color w:val="auto"/>
          <w:spacing w:val="0"/>
          <w:kern w:val="0"/>
          <w:sz w:val="24"/>
          <w:szCs w:val="24"/>
          <w:highlight w:val="none"/>
          <w:shd w:val="clear"/>
          <w:lang w:val="en-US" w:eastAsia="zh-CN" w:bidi="ar"/>
        </w:rPr>
        <w:t>（3）其他法律、行政法规规定的不适用信用承诺的情形。</w:t>
      </w:r>
    </w:p>
    <w:p w14:paraId="10C25D01">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供应商诚信档案注册登记</w:t>
      </w:r>
    </w:p>
    <w:p w14:paraId="0FB2DBF1">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p>
    <w:p w14:paraId="253999C0">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参加本次政府采购活动时，在</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文件发布之日起至递交</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lang w:eastAsia="zh-CN"/>
        </w:rPr>
        <w:t>截止日前，应先登录“南京市政府采购供应商诚信档案管理系统”在线打印其《南京市政府采购供应商信用记录表暨信用承诺书》，经法定代表人签字、加盖单位公章后作为投标文件的组成部分。</w:t>
      </w:r>
    </w:p>
    <w:p w14:paraId="6A91F593">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本次招标不收取投标保证金。</w:t>
      </w:r>
    </w:p>
    <w:p w14:paraId="23FAF6B3">
      <w:pPr>
        <w:pageBreakBefore w:val="0"/>
        <w:widowControl/>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9.本项目不组织</w:t>
      </w:r>
      <w:r>
        <w:rPr>
          <w:rFonts w:hint="eastAsia" w:ascii="宋体" w:hAnsi="宋体" w:eastAsia="宋体" w:cs="宋体"/>
          <w:color w:val="auto"/>
          <w:sz w:val="24"/>
          <w:szCs w:val="24"/>
          <w:highlight w:val="none"/>
          <w:lang w:eastAsia="zh-CN"/>
        </w:rPr>
        <w:t>勘察及答疑</w:t>
      </w:r>
      <w:r>
        <w:rPr>
          <w:rFonts w:hint="eastAsia" w:ascii="宋体" w:hAnsi="宋体" w:eastAsia="宋体" w:cs="宋体"/>
          <w:color w:val="auto"/>
          <w:sz w:val="24"/>
          <w:szCs w:val="24"/>
          <w:highlight w:val="none"/>
          <w:lang w:val="en-US" w:eastAsia="zh-CN"/>
        </w:rPr>
        <w:t xml:space="preserve">，投标人如对采购需求有疑问，请咨询采购单位联系人。 </w:t>
      </w:r>
    </w:p>
    <w:p w14:paraId="57FB81F6">
      <w:pPr>
        <w:pageBreakBefore w:val="0"/>
        <w:widowControl/>
        <w:shd w:val="clear" w:color="auto" w:fill="FFFFFF"/>
        <w:kinsoku/>
        <w:wordWrap/>
        <w:overflowPunct/>
        <w:topLinePunct w:val="0"/>
        <w:autoSpaceDE/>
        <w:autoSpaceDN/>
        <w:bidi w:val="0"/>
        <w:adjustRightInd/>
        <w:spacing w:line="360" w:lineRule="auto"/>
        <w:ind w:right="0" w:rightChars="0"/>
        <w:textAlignment w:val="auto"/>
        <w:rPr>
          <w:rFonts w:hint="eastAsia" w:ascii="宋体" w:hAnsi="宋体" w:eastAsia="宋体" w:cs="宋体"/>
          <w:b/>
          <w:bCs w:val="0"/>
          <w:color w:val="auto"/>
          <w:sz w:val="24"/>
          <w:szCs w:val="24"/>
          <w:highlight w:val="none"/>
        </w:rPr>
      </w:pPr>
      <w:bookmarkStart w:id="170" w:name="_Toc28359008"/>
      <w:bookmarkStart w:id="171" w:name="_Toc386"/>
      <w:bookmarkStart w:id="172" w:name="_Toc28359085"/>
      <w:bookmarkStart w:id="173" w:name="_Toc35393627"/>
      <w:bookmarkStart w:id="174" w:name="_Toc35393796"/>
      <w:r>
        <w:rPr>
          <w:rFonts w:hint="eastAsia"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rPr>
        <w:t>、对本次</w:t>
      </w:r>
      <w:r>
        <w:rPr>
          <w:rFonts w:hint="eastAsia" w:ascii="宋体" w:hAnsi="宋体" w:eastAsia="宋体" w:cs="宋体"/>
          <w:b/>
          <w:bCs w:val="0"/>
          <w:color w:val="auto"/>
          <w:sz w:val="24"/>
          <w:szCs w:val="24"/>
          <w:highlight w:val="none"/>
          <w:lang w:val="en-US" w:eastAsia="zh-CN"/>
        </w:rPr>
        <w:t>采购</w:t>
      </w:r>
      <w:r>
        <w:rPr>
          <w:rFonts w:hint="eastAsia" w:ascii="宋体" w:hAnsi="宋体" w:eastAsia="宋体" w:cs="宋体"/>
          <w:b/>
          <w:bCs w:val="0"/>
          <w:color w:val="auto"/>
          <w:sz w:val="24"/>
          <w:szCs w:val="24"/>
          <w:highlight w:val="none"/>
        </w:rPr>
        <w:t>提出询问，请按以下方式联系。</w:t>
      </w:r>
      <w:bookmarkEnd w:id="170"/>
      <w:bookmarkEnd w:id="171"/>
      <w:bookmarkEnd w:id="172"/>
      <w:bookmarkEnd w:id="173"/>
      <w:bookmarkEnd w:id="174"/>
    </w:p>
    <w:p w14:paraId="2F51F9E8">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采购人信息</w:t>
      </w:r>
    </w:p>
    <w:p w14:paraId="2A696076">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val="en-US" w:eastAsia="zh-CN"/>
        </w:rPr>
        <w:t>南京市浦口区人民政府汤泉街道办事处</w:t>
      </w:r>
    </w:p>
    <w:p w14:paraId="3FE4E041">
      <w:pPr>
        <w:autoSpaceDE/>
        <w:autoSpaceDN/>
        <w:snapToGrid w:val="0"/>
        <w:spacing w:line="360" w:lineRule="auto"/>
        <w:ind w:firstLine="480" w:firstLineChars="200"/>
        <w:jc w:val="both"/>
        <w:rPr>
          <w:rFonts w:hint="eastAsia" w:ascii="宋体" w:hAnsi="宋体" w:eastAsia="宋体" w:cs="宋体"/>
          <w:snapToGrid w:val="0"/>
          <w:color w:val="auto"/>
          <w:sz w:val="24"/>
          <w:szCs w:val="24"/>
          <w:highlight w:val="none"/>
          <w:lang w:eastAsia="zh-CN"/>
        </w:rPr>
      </w:pPr>
      <w:bookmarkStart w:id="175" w:name="OLE_LINK25"/>
      <w:r>
        <w:rPr>
          <w:rFonts w:hint="eastAsia" w:ascii="宋体" w:hAnsi="宋体" w:eastAsia="宋体" w:cs="宋体"/>
          <w:snapToGrid w:val="0"/>
          <w:color w:val="auto"/>
          <w:sz w:val="24"/>
          <w:szCs w:val="24"/>
          <w:highlight w:val="none"/>
          <w:lang w:eastAsia="zh-CN"/>
        </w:rPr>
        <w:t>地址：南京市浦口区汤泉街道</w:t>
      </w:r>
    </w:p>
    <w:p w14:paraId="0739A42A">
      <w:pPr>
        <w:snapToGrid w:val="0"/>
        <w:spacing w:line="360" w:lineRule="auto"/>
        <w:ind w:firstLine="480" w:firstLineChars="200"/>
        <w:jc w:val="both"/>
        <w:rPr>
          <w:rFonts w:hint="default"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eastAsia="zh-CN"/>
        </w:rPr>
        <w:t>联系人：</w:t>
      </w:r>
      <w:r>
        <w:rPr>
          <w:rFonts w:hint="eastAsia" w:cs="宋体"/>
          <w:snapToGrid w:val="0"/>
          <w:color w:val="auto"/>
          <w:sz w:val="24"/>
          <w:szCs w:val="24"/>
          <w:highlight w:val="none"/>
          <w:lang w:val="en-US" w:eastAsia="zh-CN"/>
        </w:rPr>
        <w:t>冯工</w:t>
      </w:r>
    </w:p>
    <w:p w14:paraId="2E2AF71F">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snapToGrid w:val="0"/>
          <w:color w:val="auto"/>
          <w:sz w:val="24"/>
          <w:szCs w:val="24"/>
          <w:highlight w:val="none"/>
          <w:lang w:eastAsia="zh-CN"/>
        </w:rPr>
      </w:pPr>
      <w:r>
        <w:rPr>
          <w:rFonts w:hint="eastAsia" w:ascii="宋体" w:hAnsi="宋体" w:eastAsia="宋体" w:cs="宋体"/>
          <w:snapToGrid w:val="0"/>
          <w:color w:val="auto"/>
          <w:sz w:val="24"/>
          <w:szCs w:val="24"/>
          <w:highlight w:val="none"/>
          <w:lang w:eastAsia="zh-CN"/>
        </w:rPr>
        <w:t>电 话：15195910230</w:t>
      </w:r>
    </w:p>
    <w:bookmarkEnd w:id="175"/>
    <w:p w14:paraId="0F48766C">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采购代理机构信息</w:t>
      </w:r>
    </w:p>
    <w:p w14:paraId="4990B090">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cs="宋体"/>
          <w:color w:val="auto"/>
          <w:sz w:val="24"/>
          <w:szCs w:val="24"/>
          <w:highlight w:val="none"/>
          <w:lang w:eastAsia="zh-CN"/>
        </w:rPr>
        <w:t>江苏全过程项目管理有限公司</w:t>
      </w:r>
    </w:p>
    <w:p w14:paraId="5E9110F2">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cs="宋体"/>
          <w:color w:val="auto"/>
          <w:sz w:val="24"/>
          <w:szCs w:val="24"/>
          <w:highlight w:val="none"/>
          <w:lang w:eastAsia="zh-CN"/>
        </w:rPr>
        <w:t>南京市秦淮区双龙科技创新产业园18-1幢</w:t>
      </w:r>
    </w:p>
    <w:p w14:paraId="130CDBF9">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cs="宋体"/>
          <w:color w:val="auto"/>
          <w:kern w:val="2"/>
          <w:sz w:val="24"/>
          <w:szCs w:val="24"/>
          <w:highlight w:val="none"/>
          <w:lang w:val="en-US" w:eastAsia="zh-CN"/>
        </w:rPr>
        <w:t>董杨萍</w:t>
      </w:r>
    </w:p>
    <w:p w14:paraId="2A44E32A">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cs="宋体"/>
          <w:color w:val="auto"/>
          <w:sz w:val="24"/>
          <w:szCs w:val="24"/>
          <w:highlight w:val="none"/>
          <w:lang w:val="en-US" w:eastAsia="zh-CN"/>
        </w:rPr>
        <w:t>17601558994</w:t>
      </w:r>
    </w:p>
    <w:p w14:paraId="6F585554">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项目联系方式</w:t>
      </w:r>
    </w:p>
    <w:p w14:paraId="36211CD8">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cs="宋体"/>
          <w:color w:val="auto"/>
          <w:kern w:val="2"/>
          <w:sz w:val="24"/>
          <w:szCs w:val="24"/>
          <w:highlight w:val="none"/>
          <w:lang w:val="en-US" w:eastAsia="zh-CN"/>
        </w:rPr>
        <w:t>董杨萍</w:t>
      </w:r>
    </w:p>
    <w:p w14:paraId="33B2BBA4">
      <w:pPr>
        <w:pageBreakBefore w:val="0"/>
        <w:widowControl/>
        <w:shd w:val="clear" w:color="auto" w:fill="FFFFFF"/>
        <w:kinsoku/>
        <w:wordWrap/>
        <w:overflowPunct/>
        <w:topLinePunct w:val="0"/>
        <w:autoSpaceDE/>
        <w:autoSpaceDN/>
        <w:bidi w:val="0"/>
        <w:adjustRightInd/>
        <w:spacing w:line="360" w:lineRule="auto"/>
        <w:ind w:right="0" w:rightChars="0" w:firstLine="480" w:firstLineChars="200"/>
        <w:textAlignment w:val="auto"/>
        <w:rPr>
          <w:rFonts w:hint="eastAsia" w:ascii="宋体" w:hAnsi="宋体" w:eastAsia="宋体" w:cs="宋体"/>
          <w:snapToGrid w:val="0"/>
          <w:color w:val="auto"/>
          <w:sz w:val="24"/>
          <w:szCs w:val="24"/>
          <w:highlight w:val="none"/>
          <w:lang w:eastAsia="zh-CN"/>
        </w:rPr>
      </w:pPr>
      <w:r>
        <w:rPr>
          <w:rFonts w:hint="eastAsia" w:ascii="宋体" w:hAnsi="宋体" w:eastAsia="宋体" w:cs="宋体"/>
          <w:color w:val="auto"/>
          <w:sz w:val="24"/>
          <w:szCs w:val="24"/>
          <w:highlight w:val="none"/>
        </w:rPr>
        <w:t>电　话：</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rFonts w:hint="eastAsia" w:ascii="宋体" w:hAnsi="宋体" w:eastAsia="宋体" w:cs="宋体"/>
          <w:color w:val="auto"/>
          <w:sz w:val="24"/>
          <w:szCs w:val="24"/>
          <w:highlight w:val="none"/>
          <w:lang w:val="en-US" w:eastAsia="zh-CN"/>
        </w:rPr>
        <w:t>17601558994</w:t>
      </w:r>
    </w:p>
    <w:p w14:paraId="6F171FC0">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r>
    </w:p>
    <w:p w14:paraId="3929AE4C">
      <w:pPr>
        <w:pStyle w:val="3"/>
        <w:autoSpaceDE/>
        <w:autoSpaceDN/>
        <w:spacing w:line="360" w:lineRule="auto"/>
        <w:jc w:val="center"/>
        <w:rPr>
          <w:b/>
          <w:bCs/>
          <w:color w:val="auto"/>
          <w:highlight w:val="none"/>
          <w:lang w:eastAsia="zh-CN"/>
        </w:rPr>
      </w:pPr>
      <w:bookmarkStart w:id="176" w:name="_Toc11605"/>
      <w:bookmarkStart w:id="177" w:name="_Toc17064"/>
      <w:r>
        <w:rPr>
          <w:rFonts w:hint="eastAsia"/>
          <w:b/>
          <w:bCs/>
          <w:color w:val="auto"/>
          <w:highlight w:val="none"/>
          <w:lang w:eastAsia="zh-CN"/>
        </w:rPr>
        <w:t xml:space="preserve">第二章 </w:t>
      </w:r>
      <w:r>
        <w:rPr>
          <w:rFonts w:hint="eastAsia"/>
          <w:b/>
          <w:bCs/>
          <w:color w:val="auto"/>
          <w:highlight w:val="none"/>
          <w:lang w:val="en-US" w:eastAsia="zh-CN"/>
        </w:rPr>
        <w:t>投标人</w:t>
      </w:r>
      <w:r>
        <w:rPr>
          <w:rFonts w:hint="eastAsia"/>
          <w:b/>
          <w:bCs/>
          <w:color w:val="auto"/>
          <w:highlight w:val="none"/>
          <w:lang w:eastAsia="zh-CN"/>
        </w:rPr>
        <w:t>须知</w:t>
      </w:r>
      <w:bookmarkEnd w:id="176"/>
      <w:bookmarkEnd w:id="177"/>
    </w:p>
    <w:p w14:paraId="4F5D0411">
      <w:pPr>
        <w:widowControl/>
        <w:autoSpaceDE/>
        <w:autoSpaceDN/>
        <w:spacing w:line="360" w:lineRule="auto"/>
        <w:jc w:val="center"/>
        <w:outlineLvl w:val="1"/>
        <w:rPr>
          <w:b/>
          <w:bCs/>
          <w:color w:val="auto"/>
          <w:spacing w:val="8"/>
          <w:sz w:val="24"/>
          <w:szCs w:val="24"/>
          <w:highlight w:val="none"/>
          <w:lang w:eastAsia="zh-CN"/>
        </w:rPr>
      </w:pPr>
      <w:bookmarkStart w:id="178" w:name="_Toc20830"/>
      <w:bookmarkStart w:id="179" w:name="_Toc17719"/>
      <w:bookmarkStart w:id="180" w:name="_Toc1460"/>
      <w:bookmarkStart w:id="181" w:name="_Toc29226"/>
      <w:bookmarkStart w:id="182" w:name="_Toc27714"/>
      <w:bookmarkStart w:id="183" w:name="_Toc16222"/>
      <w:bookmarkStart w:id="184" w:name="_Toc96264994"/>
      <w:bookmarkStart w:id="185" w:name="_Toc6731"/>
      <w:bookmarkStart w:id="186" w:name="_Toc9739"/>
      <w:bookmarkStart w:id="187" w:name="_Toc17488"/>
      <w:bookmarkStart w:id="188" w:name="_Toc6704"/>
      <w:r>
        <w:rPr>
          <w:rFonts w:hint="eastAsia"/>
          <w:b/>
          <w:bCs/>
          <w:color w:val="auto"/>
          <w:spacing w:val="8"/>
          <w:sz w:val="24"/>
          <w:szCs w:val="24"/>
          <w:highlight w:val="none"/>
          <w:lang w:val="en-US" w:eastAsia="zh-CN"/>
        </w:rPr>
        <w:t>投标人</w:t>
      </w:r>
      <w:r>
        <w:rPr>
          <w:rFonts w:hint="eastAsia"/>
          <w:b/>
          <w:bCs/>
          <w:color w:val="auto"/>
          <w:spacing w:val="8"/>
          <w:sz w:val="24"/>
          <w:szCs w:val="24"/>
          <w:highlight w:val="none"/>
          <w:lang w:eastAsia="zh-CN"/>
        </w:rPr>
        <w:t>须知前附表</w:t>
      </w:r>
      <w:bookmarkEnd w:id="178"/>
      <w:bookmarkEnd w:id="179"/>
      <w:bookmarkEnd w:id="180"/>
      <w:bookmarkEnd w:id="181"/>
      <w:bookmarkEnd w:id="182"/>
      <w:bookmarkEnd w:id="183"/>
      <w:bookmarkEnd w:id="184"/>
      <w:bookmarkEnd w:id="185"/>
      <w:bookmarkEnd w:id="186"/>
      <w:bookmarkEnd w:id="187"/>
      <w:bookmarkEnd w:id="188"/>
    </w:p>
    <w:p w14:paraId="7744B97A">
      <w:pPr>
        <w:autoSpaceDE/>
        <w:autoSpaceDN/>
        <w:adjustRightInd w:val="0"/>
        <w:spacing w:line="360" w:lineRule="auto"/>
        <w:ind w:firstLine="420"/>
        <w:jc w:val="both"/>
        <w:rPr>
          <w:color w:val="auto"/>
          <w:kern w:val="2"/>
          <w:sz w:val="24"/>
          <w:szCs w:val="24"/>
          <w:highlight w:val="none"/>
          <w:lang w:val="zh-CN" w:eastAsia="zh-CN"/>
        </w:rPr>
      </w:pPr>
      <w:r>
        <w:rPr>
          <w:rFonts w:hint="eastAsia"/>
          <w:color w:val="auto"/>
          <w:kern w:val="2"/>
          <w:sz w:val="24"/>
          <w:szCs w:val="24"/>
          <w:highlight w:val="none"/>
          <w:u w:val="single"/>
          <w:lang w:val="zh-CN" w:eastAsia="zh-CN"/>
        </w:rPr>
        <w:t>江苏全过程项目管理有限公司</w:t>
      </w:r>
      <w:r>
        <w:rPr>
          <w:rFonts w:hint="eastAsia"/>
          <w:color w:val="auto"/>
          <w:kern w:val="2"/>
          <w:sz w:val="24"/>
          <w:szCs w:val="24"/>
          <w:highlight w:val="none"/>
          <w:lang w:val="zh-CN" w:eastAsia="zh-CN"/>
        </w:rPr>
        <w:t>（以下简称“采购代理机构”）受</w:t>
      </w:r>
      <w:r>
        <w:rPr>
          <w:rFonts w:hint="eastAsia"/>
          <w:color w:val="auto"/>
          <w:kern w:val="2"/>
          <w:sz w:val="24"/>
          <w:szCs w:val="24"/>
          <w:highlight w:val="none"/>
          <w:u w:val="single"/>
          <w:lang w:val="zh-CN" w:eastAsia="zh-CN"/>
        </w:rPr>
        <w:t>南京市浦口区人民政府汤泉街道办事处</w:t>
      </w:r>
      <w:r>
        <w:rPr>
          <w:rFonts w:hint="eastAsia"/>
          <w:color w:val="auto"/>
          <w:kern w:val="2"/>
          <w:sz w:val="24"/>
          <w:szCs w:val="24"/>
          <w:highlight w:val="none"/>
          <w:lang w:val="zh-CN" w:eastAsia="zh-CN"/>
        </w:rPr>
        <w:t>（采购单位名称，以下简称“采购人”）委托，就</w:t>
      </w:r>
      <w:r>
        <w:rPr>
          <w:rFonts w:hint="eastAsia"/>
          <w:color w:val="auto"/>
          <w:kern w:val="2"/>
          <w:sz w:val="24"/>
          <w:szCs w:val="24"/>
          <w:highlight w:val="none"/>
          <w:u w:val="single"/>
          <w:lang w:val="zh-CN" w:eastAsia="zh-CN"/>
        </w:rPr>
        <w:t>“汤泉街道2026-2029年度九龙湖及周边地区景观绿化养护项目”</w:t>
      </w:r>
      <w:r>
        <w:rPr>
          <w:rFonts w:hint="eastAsia"/>
          <w:color w:val="auto"/>
          <w:kern w:val="2"/>
          <w:sz w:val="24"/>
          <w:szCs w:val="24"/>
          <w:highlight w:val="none"/>
          <w:lang w:val="zh-CN" w:eastAsia="zh-CN"/>
        </w:rPr>
        <w:t>采用</w:t>
      </w:r>
      <w:r>
        <w:rPr>
          <w:rFonts w:hint="eastAsia"/>
          <w:color w:val="auto"/>
          <w:kern w:val="2"/>
          <w:sz w:val="24"/>
          <w:szCs w:val="24"/>
          <w:highlight w:val="none"/>
          <w:u w:val="single"/>
          <w:lang w:val="en-US" w:eastAsia="zh-CN"/>
        </w:rPr>
        <w:t>公开招标</w:t>
      </w:r>
      <w:r>
        <w:rPr>
          <w:rFonts w:hint="eastAsia"/>
          <w:color w:val="auto"/>
          <w:kern w:val="2"/>
          <w:sz w:val="24"/>
          <w:szCs w:val="24"/>
          <w:highlight w:val="none"/>
          <w:lang w:val="zh-CN" w:eastAsia="zh-CN"/>
        </w:rPr>
        <w:t>方式采购，兹邀请符合资格条件的投标人</w:t>
      </w:r>
      <w:r>
        <w:rPr>
          <w:rFonts w:hint="eastAsia"/>
          <w:color w:val="auto"/>
          <w:kern w:val="2"/>
          <w:sz w:val="24"/>
          <w:szCs w:val="24"/>
          <w:highlight w:val="none"/>
          <w:lang w:val="en-US" w:eastAsia="zh-CN"/>
        </w:rPr>
        <w:t>参与投标</w:t>
      </w:r>
      <w:r>
        <w:rPr>
          <w:rFonts w:hint="eastAsia"/>
          <w:color w:val="auto"/>
          <w:kern w:val="2"/>
          <w:sz w:val="24"/>
          <w:szCs w:val="24"/>
          <w:highlight w:val="none"/>
          <w:lang w:val="zh-CN" w:eastAsia="zh-CN"/>
        </w:rPr>
        <w:t>。</w:t>
      </w:r>
    </w:p>
    <w:tbl>
      <w:tblPr>
        <w:tblStyle w:val="26"/>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1988"/>
        <w:gridCol w:w="7067"/>
      </w:tblGrid>
      <w:tr w14:paraId="7B79B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blHeader/>
          <w:jc w:val="center"/>
        </w:trPr>
        <w:tc>
          <w:tcPr>
            <w:tcW w:w="760" w:type="dxa"/>
            <w:vAlign w:val="center"/>
          </w:tcPr>
          <w:p w14:paraId="6AA02B0B">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序号</w:t>
            </w:r>
          </w:p>
        </w:tc>
        <w:tc>
          <w:tcPr>
            <w:tcW w:w="1988" w:type="dxa"/>
            <w:vAlign w:val="center"/>
          </w:tcPr>
          <w:p w14:paraId="128F2317">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项目</w:t>
            </w:r>
          </w:p>
        </w:tc>
        <w:tc>
          <w:tcPr>
            <w:tcW w:w="7067" w:type="dxa"/>
            <w:vAlign w:val="center"/>
          </w:tcPr>
          <w:p w14:paraId="5072CE77">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具体内容</w:t>
            </w:r>
          </w:p>
        </w:tc>
      </w:tr>
      <w:tr w14:paraId="1B9B4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blHeader/>
          <w:jc w:val="center"/>
        </w:trPr>
        <w:tc>
          <w:tcPr>
            <w:tcW w:w="760" w:type="dxa"/>
            <w:vAlign w:val="center"/>
          </w:tcPr>
          <w:p w14:paraId="04389E80">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w:t>
            </w:r>
          </w:p>
        </w:tc>
        <w:tc>
          <w:tcPr>
            <w:tcW w:w="1988" w:type="dxa"/>
            <w:vAlign w:val="center"/>
          </w:tcPr>
          <w:p w14:paraId="51834298">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项目名称</w:t>
            </w:r>
          </w:p>
        </w:tc>
        <w:tc>
          <w:tcPr>
            <w:tcW w:w="7067" w:type="dxa"/>
            <w:vAlign w:val="center"/>
          </w:tcPr>
          <w:p w14:paraId="55A12080">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zh-CN" w:eastAsia="zh-CN"/>
              </w:rPr>
              <w:t>汤泉街道2026-2029年度九龙湖及周边地区景观绿化养护项目</w:t>
            </w:r>
          </w:p>
        </w:tc>
      </w:tr>
      <w:tr w14:paraId="20D5E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blHeader/>
          <w:jc w:val="center"/>
        </w:trPr>
        <w:tc>
          <w:tcPr>
            <w:tcW w:w="760" w:type="dxa"/>
            <w:vAlign w:val="center"/>
          </w:tcPr>
          <w:p w14:paraId="527896B7">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2</w:t>
            </w:r>
          </w:p>
        </w:tc>
        <w:tc>
          <w:tcPr>
            <w:tcW w:w="1988" w:type="dxa"/>
            <w:vAlign w:val="center"/>
          </w:tcPr>
          <w:p w14:paraId="0087E407">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采购方式</w:t>
            </w:r>
          </w:p>
        </w:tc>
        <w:tc>
          <w:tcPr>
            <w:tcW w:w="7067" w:type="dxa"/>
            <w:vAlign w:val="center"/>
          </w:tcPr>
          <w:p w14:paraId="40B502EA">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公开招标</w:t>
            </w:r>
          </w:p>
        </w:tc>
      </w:tr>
      <w:tr w14:paraId="2E6E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blHeader/>
          <w:jc w:val="center"/>
        </w:trPr>
        <w:tc>
          <w:tcPr>
            <w:tcW w:w="760" w:type="dxa"/>
            <w:vAlign w:val="center"/>
          </w:tcPr>
          <w:p w14:paraId="6BA049BD">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3</w:t>
            </w:r>
          </w:p>
        </w:tc>
        <w:tc>
          <w:tcPr>
            <w:tcW w:w="1988" w:type="dxa"/>
            <w:vAlign w:val="center"/>
          </w:tcPr>
          <w:p w14:paraId="3D840CC7">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项目编号</w:t>
            </w:r>
          </w:p>
        </w:tc>
        <w:tc>
          <w:tcPr>
            <w:tcW w:w="7067" w:type="dxa"/>
            <w:vAlign w:val="center"/>
          </w:tcPr>
          <w:p w14:paraId="1D444389">
            <w:pPr>
              <w:autoSpaceDE/>
              <w:autoSpaceDN/>
              <w:spacing w:line="24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JSZC-320111-XMGL-G2026-0005</w:t>
            </w:r>
          </w:p>
        </w:tc>
      </w:tr>
      <w:tr w14:paraId="52920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tblHeader/>
          <w:jc w:val="center"/>
        </w:trPr>
        <w:tc>
          <w:tcPr>
            <w:tcW w:w="760" w:type="dxa"/>
            <w:vAlign w:val="center"/>
          </w:tcPr>
          <w:p w14:paraId="4F2D1029">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4</w:t>
            </w:r>
          </w:p>
        </w:tc>
        <w:tc>
          <w:tcPr>
            <w:tcW w:w="1988" w:type="dxa"/>
            <w:vAlign w:val="center"/>
          </w:tcPr>
          <w:p w14:paraId="27718043">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分包</w:t>
            </w:r>
          </w:p>
        </w:tc>
        <w:tc>
          <w:tcPr>
            <w:tcW w:w="7067" w:type="dxa"/>
            <w:vAlign w:val="center"/>
          </w:tcPr>
          <w:p w14:paraId="15FEFD61">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无</w:t>
            </w:r>
          </w:p>
        </w:tc>
      </w:tr>
      <w:tr w14:paraId="7EBC3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tblHeader/>
          <w:jc w:val="center"/>
        </w:trPr>
        <w:tc>
          <w:tcPr>
            <w:tcW w:w="760" w:type="dxa"/>
            <w:vAlign w:val="center"/>
          </w:tcPr>
          <w:p w14:paraId="2A8954E6">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5</w:t>
            </w:r>
          </w:p>
        </w:tc>
        <w:tc>
          <w:tcPr>
            <w:tcW w:w="1988" w:type="dxa"/>
            <w:vAlign w:val="center"/>
          </w:tcPr>
          <w:p w14:paraId="72722088">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采购代理机构</w:t>
            </w:r>
          </w:p>
        </w:tc>
        <w:tc>
          <w:tcPr>
            <w:tcW w:w="7067" w:type="dxa"/>
            <w:vAlign w:val="center"/>
          </w:tcPr>
          <w:p w14:paraId="5956CD3E">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名称：</w:t>
            </w:r>
            <w:r>
              <w:rPr>
                <w:rFonts w:hint="eastAsia" w:cs="宋体"/>
                <w:color w:val="auto"/>
                <w:sz w:val="24"/>
                <w:szCs w:val="24"/>
                <w:highlight w:val="none"/>
                <w:lang w:eastAsia="zh-CN"/>
              </w:rPr>
              <w:t>江苏全过程项目管理有限公司</w:t>
            </w:r>
          </w:p>
          <w:p w14:paraId="0D0B47BE">
            <w:pPr>
              <w:autoSpaceDE/>
              <w:autoSpaceDN/>
              <w:spacing w:line="24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zh-CN" w:eastAsia="zh-CN"/>
              </w:rPr>
              <w:t>联系人：</w:t>
            </w:r>
            <w:r>
              <w:rPr>
                <w:rFonts w:hint="eastAsia" w:cs="宋体"/>
                <w:color w:val="auto"/>
                <w:kern w:val="2"/>
                <w:sz w:val="24"/>
                <w:szCs w:val="24"/>
                <w:highlight w:val="none"/>
                <w:lang w:val="en-US" w:eastAsia="zh-CN"/>
              </w:rPr>
              <w:t>董杨萍</w:t>
            </w:r>
          </w:p>
          <w:p w14:paraId="3CCEE769">
            <w:pPr>
              <w:autoSpaceDE/>
              <w:autoSpaceDN/>
              <w:spacing w:line="240" w:lineRule="auto"/>
              <w:jc w:val="both"/>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zh-CN" w:eastAsia="zh-CN"/>
              </w:rPr>
              <w:t>联系方式：</w:t>
            </w:r>
            <w:r>
              <w:rPr>
                <w:rFonts w:hint="eastAsia" w:cs="宋体"/>
                <w:color w:val="auto"/>
                <w:kern w:val="2"/>
                <w:sz w:val="24"/>
                <w:szCs w:val="24"/>
                <w:highlight w:val="none"/>
                <w:lang w:val="en-US" w:eastAsia="zh-CN"/>
              </w:rPr>
              <w:t>17601558994</w:t>
            </w:r>
          </w:p>
        </w:tc>
      </w:tr>
      <w:tr w14:paraId="44B61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760" w:type="dxa"/>
            <w:vAlign w:val="center"/>
          </w:tcPr>
          <w:p w14:paraId="079D3338">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6</w:t>
            </w:r>
          </w:p>
        </w:tc>
        <w:tc>
          <w:tcPr>
            <w:tcW w:w="1988" w:type="dxa"/>
            <w:vAlign w:val="center"/>
          </w:tcPr>
          <w:p w14:paraId="51D24FD0">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采购人</w:t>
            </w:r>
          </w:p>
        </w:tc>
        <w:tc>
          <w:tcPr>
            <w:tcW w:w="7067" w:type="dxa"/>
            <w:vAlign w:val="center"/>
          </w:tcPr>
          <w:p w14:paraId="5191DAE7">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名称：</w:t>
            </w:r>
            <w:r>
              <w:rPr>
                <w:rFonts w:hint="eastAsia" w:ascii="宋体" w:hAnsi="宋体" w:eastAsia="宋体" w:cs="宋体"/>
                <w:color w:val="auto"/>
                <w:sz w:val="24"/>
                <w:szCs w:val="24"/>
                <w:highlight w:val="none"/>
                <w:lang w:val="en-US" w:eastAsia="zh-CN"/>
              </w:rPr>
              <w:t>南京市浦口区人民政府汤泉街道办事处</w:t>
            </w:r>
          </w:p>
          <w:p w14:paraId="1122A4B1">
            <w:pPr>
              <w:autoSpaceDE/>
              <w:autoSpaceDN/>
              <w:spacing w:line="240" w:lineRule="auto"/>
              <w:jc w:val="both"/>
              <w:rPr>
                <w:rFonts w:hint="eastAsia" w:ascii="宋体" w:hAnsi="宋体" w:eastAsia="宋体" w:cs="宋体"/>
                <w:snapToGrid w:val="0"/>
                <w:color w:val="auto"/>
                <w:sz w:val="24"/>
                <w:szCs w:val="24"/>
                <w:highlight w:val="none"/>
                <w:lang w:val="zh-CN" w:eastAsia="zh-CN"/>
              </w:rPr>
            </w:pPr>
            <w:r>
              <w:rPr>
                <w:rFonts w:hint="eastAsia" w:ascii="宋体" w:hAnsi="宋体" w:eastAsia="宋体" w:cs="宋体"/>
                <w:snapToGrid w:val="0"/>
                <w:color w:val="auto"/>
                <w:sz w:val="24"/>
                <w:szCs w:val="24"/>
                <w:highlight w:val="none"/>
                <w:lang w:eastAsia="zh-CN"/>
              </w:rPr>
              <w:t>联系</w:t>
            </w:r>
            <w:r>
              <w:rPr>
                <w:rFonts w:hint="eastAsia" w:ascii="宋体" w:hAnsi="宋体" w:eastAsia="宋体" w:cs="宋体"/>
                <w:snapToGrid w:val="0"/>
                <w:color w:val="auto"/>
                <w:sz w:val="24"/>
                <w:szCs w:val="24"/>
                <w:highlight w:val="none"/>
                <w:lang w:val="zh-CN" w:eastAsia="zh-CN"/>
              </w:rPr>
              <w:t>人：</w:t>
            </w:r>
            <w:r>
              <w:rPr>
                <w:rFonts w:hint="eastAsia" w:cs="宋体"/>
                <w:snapToGrid w:val="0"/>
                <w:color w:val="auto"/>
                <w:sz w:val="24"/>
                <w:szCs w:val="24"/>
                <w:highlight w:val="none"/>
                <w:lang w:val="en-US" w:eastAsia="zh-CN"/>
              </w:rPr>
              <w:t xml:space="preserve">冯工 </w:t>
            </w:r>
            <w:r>
              <w:rPr>
                <w:rFonts w:hint="eastAsia" w:ascii="宋体" w:hAnsi="宋体" w:eastAsia="宋体" w:cs="宋体"/>
                <w:snapToGrid w:val="0"/>
                <w:color w:val="auto"/>
                <w:sz w:val="24"/>
                <w:szCs w:val="24"/>
                <w:highlight w:val="none"/>
                <w:lang w:val="zh-CN" w:eastAsia="zh-CN"/>
              </w:rPr>
              <w:t xml:space="preserve"> </w:t>
            </w:r>
          </w:p>
          <w:p w14:paraId="7AB942C3">
            <w:pPr>
              <w:autoSpaceDE/>
              <w:autoSpaceDN/>
              <w:spacing w:line="240" w:lineRule="auto"/>
              <w:jc w:val="both"/>
              <w:rPr>
                <w:rFonts w:hint="default"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zh-CN" w:eastAsia="zh-CN"/>
              </w:rPr>
              <w:t>电 话：</w:t>
            </w:r>
            <w:r>
              <w:rPr>
                <w:rFonts w:hint="eastAsia" w:cs="宋体"/>
                <w:snapToGrid w:val="0"/>
                <w:color w:val="auto"/>
                <w:sz w:val="24"/>
                <w:szCs w:val="24"/>
                <w:highlight w:val="none"/>
                <w:lang w:val="en-US" w:eastAsia="zh-CN"/>
              </w:rPr>
              <w:t>15195910230</w:t>
            </w:r>
          </w:p>
        </w:tc>
      </w:tr>
      <w:tr w14:paraId="03A1D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blHeader/>
          <w:jc w:val="center"/>
        </w:trPr>
        <w:tc>
          <w:tcPr>
            <w:tcW w:w="760" w:type="dxa"/>
            <w:vAlign w:val="center"/>
          </w:tcPr>
          <w:p w14:paraId="66018AA3">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7</w:t>
            </w:r>
          </w:p>
        </w:tc>
        <w:tc>
          <w:tcPr>
            <w:tcW w:w="1988" w:type="dxa"/>
            <w:vAlign w:val="center"/>
          </w:tcPr>
          <w:p w14:paraId="11157318">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最高限价</w:t>
            </w:r>
          </w:p>
        </w:tc>
        <w:tc>
          <w:tcPr>
            <w:tcW w:w="7067" w:type="dxa"/>
            <w:vAlign w:val="center"/>
          </w:tcPr>
          <w:p w14:paraId="7A744E98">
            <w:pPr>
              <w:pageBreakBefore w:val="0"/>
              <w:kinsoku/>
              <w:wordWrap/>
              <w:overflowPunct/>
              <w:topLinePunct w:val="0"/>
              <w:autoSpaceDE/>
              <w:autoSpaceDN/>
              <w:bidi w:val="0"/>
              <w:adjustRightInd/>
              <w:spacing w:line="360" w:lineRule="auto"/>
              <w:ind w:right="0" w:rightChars="0"/>
              <w:textAlignment w:val="auto"/>
              <w:rPr>
                <w:rFonts w:hint="eastAsia"/>
                <w:color w:val="auto"/>
                <w:highlight w:val="none"/>
                <w:lang w:val="zh-CN" w:eastAsia="zh-CN"/>
              </w:rPr>
            </w:pPr>
            <w:r>
              <w:rPr>
                <w:rFonts w:hint="eastAsia"/>
                <w:color w:val="auto"/>
                <w:highlight w:val="none"/>
                <w:lang w:val="zh-CN" w:eastAsia="zh-CN"/>
              </w:rPr>
              <w:t>5</w:t>
            </w:r>
            <w:r>
              <w:rPr>
                <w:rFonts w:hint="eastAsia"/>
                <w:color w:val="auto"/>
                <w:highlight w:val="none"/>
                <w:lang w:val="en-US" w:eastAsia="zh-CN"/>
              </w:rPr>
              <w:t>41</w:t>
            </w:r>
            <w:r>
              <w:rPr>
                <w:rFonts w:hint="eastAsia"/>
                <w:color w:val="auto"/>
                <w:highlight w:val="none"/>
                <w:lang w:val="zh-CN" w:eastAsia="zh-CN"/>
              </w:rPr>
              <w:t>万元，本项目实行总价与年度双重限价控制。投标总报价不得高于最高限价5</w:t>
            </w:r>
            <w:r>
              <w:rPr>
                <w:rFonts w:hint="eastAsia"/>
                <w:color w:val="auto"/>
                <w:highlight w:val="none"/>
                <w:lang w:val="en-US" w:eastAsia="zh-CN"/>
              </w:rPr>
              <w:t>41</w:t>
            </w:r>
            <w:r>
              <w:rPr>
                <w:rFonts w:hint="eastAsia"/>
                <w:color w:val="auto"/>
                <w:highlight w:val="none"/>
                <w:lang w:val="zh-CN" w:eastAsia="zh-CN"/>
              </w:rPr>
              <w:t>万元;同时，第一年报价不得高于第一年控制价190万元，第二年养护资金不得高于180万元，第三年养护资金不得高于171万元，凡超出上述任一限额的投标报价，均作无效标处理。</w:t>
            </w:r>
          </w:p>
        </w:tc>
      </w:tr>
      <w:tr w14:paraId="1C4D4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blHeader/>
          <w:jc w:val="center"/>
        </w:trPr>
        <w:tc>
          <w:tcPr>
            <w:tcW w:w="760" w:type="dxa"/>
            <w:vAlign w:val="center"/>
          </w:tcPr>
          <w:p w14:paraId="4EC0620A">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8</w:t>
            </w:r>
          </w:p>
        </w:tc>
        <w:tc>
          <w:tcPr>
            <w:tcW w:w="1988" w:type="dxa"/>
            <w:vAlign w:val="center"/>
          </w:tcPr>
          <w:p w14:paraId="7B167421">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lang w:val="zh-CN" w:eastAsia="zh-CN"/>
              </w:rPr>
              <w:t>保证金</w:t>
            </w:r>
          </w:p>
        </w:tc>
        <w:tc>
          <w:tcPr>
            <w:tcW w:w="7067" w:type="dxa"/>
            <w:vAlign w:val="center"/>
          </w:tcPr>
          <w:p w14:paraId="7186ECF7">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无</w:t>
            </w:r>
          </w:p>
        </w:tc>
      </w:tr>
      <w:tr w14:paraId="4821B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blHeader/>
          <w:jc w:val="center"/>
        </w:trPr>
        <w:tc>
          <w:tcPr>
            <w:tcW w:w="760" w:type="dxa"/>
            <w:vAlign w:val="center"/>
          </w:tcPr>
          <w:p w14:paraId="2E6F3082">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9</w:t>
            </w:r>
          </w:p>
        </w:tc>
        <w:tc>
          <w:tcPr>
            <w:tcW w:w="1988" w:type="dxa"/>
            <w:vAlign w:val="center"/>
          </w:tcPr>
          <w:p w14:paraId="42FEF0AF">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zh-CN" w:eastAsia="zh-CN"/>
              </w:rPr>
              <w:t>招标文件</w:t>
            </w:r>
            <w:r>
              <w:rPr>
                <w:rFonts w:hint="eastAsia" w:ascii="宋体" w:hAnsi="宋体" w:eastAsia="宋体" w:cs="宋体"/>
                <w:color w:val="auto"/>
                <w:kern w:val="2"/>
                <w:sz w:val="24"/>
                <w:szCs w:val="24"/>
                <w:highlight w:val="none"/>
                <w:lang w:val="zh-CN" w:eastAsia="zh-CN"/>
              </w:rPr>
              <w:t>获取</w:t>
            </w:r>
          </w:p>
        </w:tc>
        <w:tc>
          <w:tcPr>
            <w:tcW w:w="7067" w:type="dxa"/>
            <w:vAlign w:val="center"/>
          </w:tcPr>
          <w:p w14:paraId="1E0A4204">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详见</w:t>
            </w:r>
            <w:r>
              <w:rPr>
                <w:rFonts w:hint="eastAsia"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lang w:val="zh-CN" w:eastAsia="zh-CN"/>
              </w:rPr>
              <w:t>公告</w:t>
            </w:r>
          </w:p>
        </w:tc>
      </w:tr>
      <w:tr w14:paraId="2BFC4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jc w:val="center"/>
        </w:trPr>
        <w:tc>
          <w:tcPr>
            <w:tcW w:w="760" w:type="dxa"/>
            <w:vAlign w:val="center"/>
          </w:tcPr>
          <w:p w14:paraId="3BDC01E2">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10</w:t>
            </w:r>
          </w:p>
        </w:tc>
        <w:tc>
          <w:tcPr>
            <w:tcW w:w="1988" w:type="dxa"/>
            <w:vAlign w:val="center"/>
          </w:tcPr>
          <w:p w14:paraId="5005B6EC">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勘察现场或答疑</w:t>
            </w:r>
          </w:p>
        </w:tc>
        <w:tc>
          <w:tcPr>
            <w:tcW w:w="7067" w:type="dxa"/>
            <w:vAlign w:val="center"/>
          </w:tcPr>
          <w:p w14:paraId="5299A079">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采购人不组织，</w:t>
            </w:r>
            <w:r>
              <w:rPr>
                <w:rFonts w:hint="eastAsia" w:cs="宋体"/>
                <w:color w:val="auto"/>
                <w:kern w:val="2"/>
                <w:sz w:val="24"/>
                <w:szCs w:val="24"/>
                <w:highlight w:val="none"/>
                <w:lang w:val="zh-CN" w:eastAsia="zh-CN"/>
              </w:rPr>
              <w:t>投标人</w:t>
            </w:r>
            <w:r>
              <w:rPr>
                <w:rFonts w:hint="eastAsia" w:ascii="宋体" w:hAnsi="宋体" w:eastAsia="宋体" w:cs="宋体"/>
                <w:color w:val="auto"/>
                <w:kern w:val="2"/>
                <w:sz w:val="24"/>
                <w:szCs w:val="24"/>
                <w:highlight w:val="none"/>
                <w:lang w:val="zh-CN" w:eastAsia="zh-CN"/>
              </w:rPr>
              <w:t>可自行踏勘。</w:t>
            </w:r>
          </w:p>
        </w:tc>
      </w:tr>
      <w:tr w14:paraId="60803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9" w:hRule="atLeast"/>
          <w:tblHeader/>
          <w:jc w:val="center"/>
        </w:trPr>
        <w:tc>
          <w:tcPr>
            <w:tcW w:w="760" w:type="dxa"/>
            <w:vAlign w:val="center"/>
          </w:tcPr>
          <w:p w14:paraId="355F7C3B">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11</w:t>
            </w:r>
          </w:p>
        </w:tc>
        <w:tc>
          <w:tcPr>
            <w:tcW w:w="1988" w:type="dxa"/>
            <w:vAlign w:val="center"/>
          </w:tcPr>
          <w:p w14:paraId="517437BE">
            <w:pPr>
              <w:autoSpaceDE/>
              <w:autoSpaceDN/>
              <w:spacing w:line="240" w:lineRule="auto"/>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zh-CN" w:eastAsia="zh-CN"/>
              </w:rPr>
              <w:t>提交投标文件截止时间、开标时间</w:t>
            </w:r>
            <w:r>
              <w:rPr>
                <w:rFonts w:hint="eastAsia" w:ascii="宋体" w:hAnsi="宋体" w:eastAsia="宋体" w:cs="宋体"/>
                <w:color w:val="auto"/>
                <w:kern w:val="2"/>
                <w:sz w:val="24"/>
                <w:szCs w:val="24"/>
                <w:highlight w:val="none"/>
                <w:lang w:val="en-US" w:eastAsia="zh-CN"/>
              </w:rPr>
              <w:t>及地点</w:t>
            </w:r>
          </w:p>
        </w:tc>
        <w:tc>
          <w:tcPr>
            <w:tcW w:w="7067" w:type="dxa"/>
            <w:vAlign w:val="center"/>
          </w:tcPr>
          <w:p w14:paraId="1D1C16B1">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截止时间、开标时间：</w:t>
            </w:r>
            <w:r>
              <w:rPr>
                <w:rFonts w:hint="eastAsia" w:ascii="宋体" w:hAnsi="宋体" w:eastAsia="宋体" w:cs="宋体"/>
                <w:color w:val="auto"/>
                <w:kern w:val="2"/>
                <w:sz w:val="24"/>
                <w:szCs w:val="24"/>
                <w:highlight w:val="none"/>
                <w:lang w:val="zh-CN" w:eastAsia="zh-CN"/>
              </w:rPr>
              <w:t>2026年</w:t>
            </w:r>
            <w:r>
              <w:rPr>
                <w:rFonts w:hint="eastAsia" w:cs="宋体"/>
                <w:color w:val="auto"/>
                <w:kern w:val="2"/>
                <w:sz w:val="24"/>
                <w:szCs w:val="24"/>
                <w:highlight w:val="none"/>
                <w:lang w:val="en-US" w:eastAsia="zh-CN"/>
              </w:rPr>
              <w:t>07</w:t>
            </w:r>
            <w:r>
              <w:rPr>
                <w:rFonts w:hint="eastAsia" w:ascii="宋体" w:hAnsi="宋体" w:eastAsia="宋体" w:cs="宋体"/>
                <w:color w:val="auto"/>
                <w:kern w:val="2"/>
                <w:sz w:val="24"/>
                <w:szCs w:val="24"/>
                <w:highlight w:val="none"/>
                <w:lang w:val="zh-CN" w:eastAsia="zh-CN"/>
              </w:rPr>
              <w:t>月</w:t>
            </w:r>
            <w:r>
              <w:rPr>
                <w:rFonts w:hint="eastAsia" w:cs="宋体"/>
                <w:color w:val="auto"/>
                <w:kern w:val="2"/>
                <w:sz w:val="24"/>
                <w:szCs w:val="24"/>
                <w:highlight w:val="none"/>
                <w:lang w:val="en-US" w:eastAsia="zh-CN"/>
              </w:rPr>
              <w:t>21</w:t>
            </w:r>
            <w:r>
              <w:rPr>
                <w:rFonts w:hint="eastAsia" w:ascii="宋体" w:hAnsi="宋体" w:eastAsia="宋体" w:cs="宋体"/>
                <w:color w:val="auto"/>
                <w:kern w:val="2"/>
                <w:sz w:val="24"/>
                <w:szCs w:val="24"/>
                <w:highlight w:val="none"/>
                <w:lang w:val="zh-CN" w:eastAsia="zh-CN"/>
              </w:rPr>
              <w:t>日</w:t>
            </w:r>
            <w:r>
              <w:rPr>
                <w:rFonts w:hint="eastAsia" w:cs="宋体"/>
                <w:color w:val="auto"/>
                <w:kern w:val="2"/>
                <w:sz w:val="24"/>
                <w:szCs w:val="24"/>
                <w:highlight w:val="none"/>
                <w:lang w:val="en-US" w:eastAsia="zh-CN"/>
              </w:rPr>
              <w:t>09</w:t>
            </w:r>
            <w:r>
              <w:rPr>
                <w:rFonts w:hint="eastAsia" w:ascii="宋体" w:hAnsi="宋体" w:eastAsia="宋体" w:cs="宋体"/>
                <w:color w:val="auto"/>
                <w:kern w:val="2"/>
                <w:sz w:val="24"/>
                <w:szCs w:val="24"/>
                <w:highlight w:val="none"/>
                <w:lang w:val="zh-CN" w:eastAsia="zh-CN"/>
              </w:rPr>
              <w:t>点</w:t>
            </w:r>
            <w:r>
              <w:rPr>
                <w:rFonts w:hint="eastAsia"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zh-CN" w:eastAsia="zh-CN"/>
              </w:rPr>
              <w:t>0分</w:t>
            </w:r>
            <w:r>
              <w:rPr>
                <w:rFonts w:hint="eastAsia" w:ascii="宋体" w:hAnsi="宋体" w:eastAsia="宋体" w:cs="宋体"/>
                <w:color w:val="auto"/>
                <w:kern w:val="2"/>
                <w:sz w:val="24"/>
                <w:szCs w:val="24"/>
                <w:highlight w:val="none"/>
                <w:lang w:val="zh-CN" w:eastAsia="zh-CN"/>
              </w:rPr>
              <w:t>（北京时间）</w:t>
            </w:r>
          </w:p>
          <w:p w14:paraId="7F1ED959">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地点：“江苏政府采购‘苏采云’系统”不见面开标大厅</w:t>
            </w:r>
          </w:p>
        </w:tc>
      </w:tr>
      <w:tr w14:paraId="0A486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1" w:hRule="atLeast"/>
          <w:tblHeader/>
          <w:jc w:val="center"/>
        </w:trPr>
        <w:tc>
          <w:tcPr>
            <w:tcW w:w="760" w:type="dxa"/>
            <w:vAlign w:val="center"/>
          </w:tcPr>
          <w:p w14:paraId="7219013E">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12</w:t>
            </w:r>
          </w:p>
        </w:tc>
        <w:tc>
          <w:tcPr>
            <w:tcW w:w="1988" w:type="dxa"/>
            <w:vAlign w:val="center"/>
          </w:tcPr>
          <w:p w14:paraId="1FDB44D4">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解密要求</w:t>
            </w:r>
          </w:p>
        </w:tc>
        <w:tc>
          <w:tcPr>
            <w:tcW w:w="7067" w:type="dxa"/>
            <w:vAlign w:val="center"/>
          </w:tcPr>
          <w:p w14:paraId="71119AE6">
            <w:pPr>
              <w:autoSpaceDE/>
              <w:autoSpaceDN/>
              <w:spacing w:line="240" w:lineRule="auto"/>
              <w:jc w:val="left"/>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首次</w:t>
            </w: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解密：到达开启时间，“苏采云”系统自动提取所有</w:t>
            </w: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w:t>
            </w:r>
            <w:r>
              <w:rPr>
                <w:rFonts w:hint="eastAsia" w:cs="宋体"/>
                <w:color w:val="auto"/>
                <w:kern w:val="2"/>
                <w:sz w:val="24"/>
                <w:szCs w:val="24"/>
                <w:highlight w:val="none"/>
                <w:lang w:val="zh-CN" w:eastAsia="zh-CN"/>
              </w:rPr>
              <w:t>投标人</w:t>
            </w:r>
            <w:r>
              <w:rPr>
                <w:rFonts w:hint="eastAsia" w:ascii="宋体" w:hAnsi="宋体" w:eastAsia="宋体" w:cs="宋体"/>
                <w:color w:val="auto"/>
                <w:kern w:val="2"/>
                <w:sz w:val="24"/>
                <w:szCs w:val="24"/>
                <w:highlight w:val="none"/>
                <w:lang w:val="zh-CN" w:eastAsia="zh-CN"/>
              </w:rPr>
              <w:t>按</w:t>
            </w:r>
            <w:r>
              <w:rPr>
                <w:rFonts w:hint="eastAsia"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lang w:val="zh-CN" w:eastAsia="zh-CN"/>
              </w:rPr>
              <w:t>文件规定方式按时在线解密。本项目</w:t>
            </w:r>
            <w:r>
              <w:rPr>
                <w:rFonts w:hint="eastAsia"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lang w:val="zh-CN" w:eastAsia="zh-CN"/>
              </w:rPr>
              <w:t>文件规定的</w:t>
            </w:r>
            <w:r>
              <w:rPr>
                <w:rFonts w:hint="eastAsia" w:cs="宋体"/>
                <w:color w:val="auto"/>
                <w:kern w:val="2"/>
                <w:sz w:val="24"/>
                <w:szCs w:val="24"/>
                <w:highlight w:val="none"/>
                <w:lang w:val="zh-CN" w:eastAsia="zh-CN"/>
              </w:rPr>
              <w:t>投标人</w:t>
            </w:r>
            <w:r>
              <w:rPr>
                <w:rFonts w:hint="eastAsia" w:ascii="宋体" w:hAnsi="宋体" w:eastAsia="宋体" w:cs="宋体"/>
                <w:color w:val="auto"/>
                <w:kern w:val="2"/>
                <w:sz w:val="24"/>
                <w:szCs w:val="24"/>
                <w:highlight w:val="none"/>
                <w:lang w:val="zh-CN" w:eastAsia="zh-CN"/>
              </w:rPr>
              <w:t>按时在线解密方式：开启时间后30分钟内，通过“苏采云”系统（使用“CA数字证书”）解密。</w:t>
            </w:r>
          </w:p>
        </w:tc>
      </w:tr>
      <w:tr w14:paraId="38104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blHeader/>
          <w:jc w:val="center"/>
        </w:trPr>
        <w:tc>
          <w:tcPr>
            <w:tcW w:w="760" w:type="dxa"/>
            <w:vAlign w:val="center"/>
          </w:tcPr>
          <w:p w14:paraId="5636B416">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w:t>
            </w:r>
            <w:r>
              <w:rPr>
                <w:rFonts w:hint="eastAsia" w:cs="宋体"/>
                <w:color w:val="auto"/>
                <w:kern w:val="2"/>
                <w:sz w:val="24"/>
                <w:szCs w:val="24"/>
                <w:highlight w:val="none"/>
                <w:lang w:val="en-US" w:eastAsia="zh-CN"/>
              </w:rPr>
              <w:t>3</w:t>
            </w:r>
          </w:p>
        </w:tc>
        <w:tc>
          <w:tcPr>
            <w:tcW w:w="1988" w:type="dxa"/>
            <w:vAlign w:val="center"/>
          </w:tcPr>
          <w:p w14:paraId="272352D6">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完整性</w:t>
            </w:r>
          </w:p>
        </w:tc>
        <w:tc>
          <w:tcPr>
            <w:tcW w:w="7067" w:type="dxa"/>
            <w:vAlign w:val="center"/>
          </w:tcPr>
          <w:p w14:paraId="48614495">
            <w:pPr>
              <w:autoSpaceDE/>
              <w:autoSpaceDN/>
              <w:spacing w:line="240" w:lineRule="auto"/>
              <w:jc w:val="both"/>
              <w:rPr>
                <w:rFonts w:hint="eastAsia" w:ascii="宋体" w:hAnsi="宋体" w:eastAsia="宋体" w:cs="宋体"/>
                <w:color w:val="auto"/>
                <w:kern w:val="2"/>
                <w:sz w:val="24"/>
                <w:szCs w:val="24"/>
                <w:highlight w:val="none"/>
                <w:lang w:val="zh-CN" w:eastAsia="zh-CN"/>
              </w:rPr>
            </w:pPr>
            <w:bookmarkStart w:id="189" w:name="OLE_LINK23"/>
            <w:r>
              <w:rPr>
                <w:rFonts w:hint="eastAsia" w:ascii="宋体" w:hAnsi="宋体" w:eastAsia="宋体" w:cs="宋体"/>
                <w:color w:val="auto"/>
                <w:sz w:val="24"/>
                <w:szCs w:val="24"/>
                <w:highlight w:val="none"/>
                <w:lang w:val="zh-CN"/>
              </w:rPr>
              <w:t>不接受不按要求</w:t>
            </w:r>
            <w:r>
              <w:rPr>
                <w:rFonts w:hint="eastAsia" w:cs="宋体"/>
                <w:color w:val="auto"/>
                <w:sz w:val="24"/>
                <w:szCs w:val="24"/>
                <w:highlight w:val="none"/>
                <w:lang w:val="zh-CN"/>
              </w:rPr>
              <w:t>加盖电子公章</w:t>
            </w:r>
            <w:r>
              <w:rPr>
                <w:rFonts w:hint="eastAsia" w:ascii="宋体" w:hAnsi="宋体" w:eastAsia="宋体" w:cs="宋体"/>
                <w:color w:val="auto"/>
                <w:sz w:val="24"/>
                <w:szCs w:val="24"/>
                <w:highlight w:val="none"/>
                <w:lang w:val="zh-CN"/>
              </w:rPr>
              <w:t>（电子签章）的首次</w:t>
            </w:r>
            <w:r>
              <w:rPr>
                <w:rFonts w:hint="eastAsia" w:cs="宋体"/>
                <w:color w:val="auto"/>
                <w:sz w:val="24"/>
                <w:szCs w:val="24"/>
                <w:highlight w:val="none"/>
                <w:lang w:val="zh-CN"/>
              </w:rPr>
              <w:t>投标文件</w:t>
            </w:r>
            <w:r>
              <w:rPr>
                <w:rFonts w:hint="eastAsia" w:ascii="宋体" w:hAnsi="宋体" w:eastAsia="宋体" w:cs="宋体"/>
                <w:color w:val="auto"/>
                <w:sz w:val="24"/>
                <w:szCs w:val="24"/>
                <w:highlight w:val="none"/>
                <w:lang w:val="zh-CN"/>
              </w:rPr>
              <w:t>。电子签章相关要求见“苏采云”系统</w:t>
            </w:r>
            <w:bookmarkEnd w:id="189"/>
            <w:r>
              <w:rPr>
                <w:rFonts w:hint="eastAsia" w:ascii="宋体" w:hAnsi="宋体" w:eastAsia="宋体" w:cs="宋体"/>
                <w:color w:val="auto"/>
                <w:sz w:val="24"/>
                <w:szCs w:val="24"/>
                <w:highlight w:val="none"/>
                <w:lang w:val="zh-CN"/>
              </w:rPr>
              <w:t>。</w:t>
            </w:r>
          </w:p>
        </w:tc>
      </w:tr>
      <w:tr w14:paraId="3EB38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760" w:type="dxa"/>
            <w:vAlign w:val="center"/>
          </w:tcPr>
          <w:p w14:paraId="70BDEB32">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w:t>
            </w:r>
            <w:r>
              <w:rPr>
                <w:rFonts w:hint="eastAsia" w:cs="宋体"/>
                <w:color w:val="auto"/>
                <w:kern w:val="2"/>
                <w:sz w:val="24"/>
                <w:szCs w:val="24"/>
                <w:highlight w:val="none"/>
                <w:lang w:val="en-US" w:eastAsia="zh-CN"/>
              </w:rPr>
              <w:t>4</w:t>
            </w:r>
          </w:p>
        </w:tc>
        <w:tc>
          <w:tcPr>
            <w:tcW w:w="1988" w:type="dxa"/>
            <w:vAlign w:val="center"/>
          </w:tcPr>
          <w:p w14:paraId="341D07B1">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有效期</w:t>
            </w:r>
          </w:p>
        </w:tc>
        <w:tc>
          <w:tcPr>
            <w:tcW w:w="7067" w:type="dxa"/>
            <w:vAlign w:val="center"/>
          </w:tcPr>
          <w:p w14:paraId="6E76653E">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lang w:val="zh-CN" w:eastAsia="zh-CN"/>
              </w:rPr>
              <w:t>0</w:t>
            </w:r>
            <w:r>
              <w:rPr>
                <w:rFonts w:hint="eastAsia" w:ascii="宋体" w:hAnsi="宋体" w:eastAsia="宋体" w:cs="宋体"/>
                <w:color w:val="auto"/>
                <w:kern w:val="2"/>
                <w:sz w:val="24"/>
                <w:szCs w:val="24"/>
                <w:highlight w:val="none"/>
                <w:lang w:val="en-US" w:eastAsia="zh-CN"/>
              </w:rPr>
              <w:t>日</w:t>
            </w:r>
            <w:r>
              <w:rPr>
                <w:rFonts w:hint="eastAsia" w:ascii="宋体" w:hAnsi="宋体" w:eastAsia="宋体" w:cs="宋体"/>
                <w:color w:val="auto"/>
                <w:kern w:val="2"/>
                <w:sz w:val="24"/>
                <w:szCs w:val="24"/>
                <w:highlight w:val="none"/>
                <w:lang w:val="zh-CN" w:eastAsia="zh-CN"/>
              </w:rPr>
              <w:t>，</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zh-CN"/>
              </w:rPr>
              <w:t>文件中承诺的</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zh-CN"/>
              </w:rPr>
              <w:t>有效期应当不少于</w:t>
            </w:r>
            <w:r>
              <w:rPr>
                <w:rFonts w:hint="eastAsia" w:cs="宋体"/>
                <w:color w:val="auto"/>
                <w:sz w:val="24"/>
                <w:szCs w:val="24"/>
                <w:highlight w:val="none"/>
                <w:lang w:val="zh-CN"/>
              </w:rPr>
              <w:t>招标文件</w:t>
            </w:r>
            <w:r>
              <w:rPr>
                <w:rFonts w:hint="eastAsia" w:ascii="宋体" w:hAnsi="宋体" w:eastAsia="宋体" w:cs="宋体"/>
                <w:color w:val="auto"/>
                <w:sz w:val="24"/>
                <w:szCs w:val="24"/>
                <w:highlight w:val="none"/>
                <w:lang w:val="zh-CN"/>
              </w:rPr>
              <w:t>中载明的</w:t>
            </w:r>
            <w:r>
              <w:rPr>
                <w:rFonts w:hint="eastAsia" w:cs="宋体"/>
                <w:color w:val="auto"/>
                <w:sz w:val="24"/>
                <w:szCs w:val="24"/>
                <w:highlight w:val="none"/>
                <w:lang w:val="en-US" w:eastAsia="zh-CN"/>
              </w:rPr>
              <w:t>投标</w:t>
            </w:r>
            <w:r>
              <w:rPr>
                <w:rFonts w:hint="eastAsia" w:ascii="宋体" w:hAnsi="宋体" w:eastAsia="宋体" w:cs="宋体"/>
                <w:color w:val="auto"/>
                <w:sz w:val="24"/>
                <w:szCs w:val="24"/>
                <w:highlight w:val="none"/>
                <w:lang w:val="zh-CN"/>
              </w:rPr>
              <w:t>有效期。</w:t>
            </w:r>
          </w:p>
        </w:tc>
      </w:tr>
      <w:tr w14:paraId="35397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blHeader/>
          <w:jc w:val="center"/>
        </w:trPr>
        <w:tc>
          <w:tcPr>
            <w:tcW w:w="760" w:type="dxa"/>
            <w:vAlign w:val="center"/>
          </w:tcPr>
          <w:p w14:paraId="32194EA6">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w:t>
            </w:r>
            <w:r>
              <w:rPr>
                <w:rFonts w:hint="eastAsia" w:cs="宋体"/>
                <w:color w:val="auto"/>
                <w:kern w:val="2"/>
                <w:sz w:val="24"/>
                <w:szCs w:val="24"/>
                <w:highlight w:val="none"/>
                <w:lang w:val="en-US" w:eastAsia="zh-CN"/>
              </w:rPr>
              <w:t>5</w:t>
            </w:r>
          </w:p>
        </w:tc>
        <w:tc>
          <w:tcPr>
            <w:tcW w:w="1988" w:type="dxa"/>
            <w:vAlign w:val="center"/>
          </w:tcPr>
          <w:p w14:paraId="0B5D32A6">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关于联合体</w:t>
            </w:r>
            <w:r>
              <w:rPr>
                <w:rFonts w:hint="eastAsia" w:cs="宋体"/>
                <w:color w:val="auto"/>
                <w:kern w:val="2"/>
                <w:sz w:val="24"/>
                <w:szCs w:val="24"/>
                <w:highlight w:val="none"/>
                <w:lang w:val="en-US" w:eastAsia="zh-CN"/>
              </w:rPr>
              <w:t>投标</w:t>
            </w:r>
          </w:p>
        </w:tc>
        <w:tc>
          <w:tcPr>
            <w:tcW w:w="7067" w:type="dxa"/>
            <w:vAlign w:val="center"/>
          </w:tcPr>
          <w:p w14:paraId="7EBC2DF6">
            <w:pPr>
              <w:autoSpaceDE/>
              <w:autoSpaceDN/>
              <w:spacing w:line="240" w:lineRule="auto"/>
              <w:jc w:val="both"/>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本项目不接受联合体</w:t>
            </w:r>
            <w:r>
              <w:rPr>
                <w:rFonts w:hint="eastAsia" w:cs="宋体"/>
                <w:color w:val="auto"/>
                <w:kern w:val="2"/>
                <w:sz w:val="24"/>
                <w:szCs w:val="24"/>
                <w:highlight w:val="none"/>
                <w:lang w:val="en-US" w:eastAsia="zh-CN"/>
              </w:rPr>
              <w:t>投标</w:t>
            </w:r>
          </w:p>
        </w:tc>
      </w:tr>
      <w:tr w14:paraId="0143E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blHeader/>
          <w:jc w:val="center"/>
        </w:trPr>
        <w:tc>
          <w:tcPr>
            <w:tcW w:w="760" w:type="dxa"/>
            <w:vAlign w:val="center"/>
          </w:tcPr>
          <w:p w14:paraId="4D94BF29">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w:t>
            </w:r>
            <w:r>
              <w:rPr>
                <w:rFonts w:hint="eastAsia" w:cs="宋体"/>
                <w:color w:val="auto"/>
                <w:kern w:val="2"/>
                <w:sz w:val="24"/>
                <w:szCs w:val="24"/>
                <w:highlight w:val="none"/>
                <w:lang w:val="en-US" w:eastAsia="zh-CN"/>
              </w:rPr>
              <w:t>6</w:t>
            </w:r>
          </w:p>
        </w:tc>
        <w:tc>
          <w:tcPr>
            <w:tcW w:w="1988" w:type="dxa"/>
            <w:shd w:val="clear" w:color="auto" w:fill="auto"/>
            <w:vAlign w:val="center"/>
          </w:tcPr>
          <w:p w14:paraId="30EDD07C">
            <w:pPr>
              <w:autoSpaceDE/>
              <w:autoSpaceDN/>
              <w:spacing w:line="24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rPr>
              <w:t>申请人的资格要求</w:t>
            </w:r>
          </w:p>
        </w:tc>
        <w:tc>
          <w:tcPr>
            <w:tcW w:w="7067" w:type="dxa"/>
            <w:shd w:val="clear" w:color="auto" w:fill="auto"/>
            <w:vAlign w:val="center"/>
          </w:tcPr>
          <w:p w14:paraId="3E0AEC80">
            <w:pPr>
              <w:pStyle w:val="15"/>
              <w:autoSpaceDE/>
              <w:autoSpaceDN/>
              <w:spacing w:line="240"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rPr>
              <w:t>详见第一章</w:t>
            </w:r>
            <w:r>
              <w:rPr>
                <w:rFonts w:hint="eastAsia" w:cs="宋体"/>
                <w:color w:val="auto"/>
                <w:kern w:val="2"/>
                <w:sz w:val="24"/>
                <w:szCs w:val="24"/>
                <w:highlight w:val="none"/>
                <w:lang w:val="en-US" w:eastAsia="zh-CN"/>
              </w:rPr>
              <w:t xml:space="preserve"> 投标邀请</w:t>
            </w:r>
            <w:r>
              <w:rPr>
                <w:rFonts w:hint="eastAsia" w:ascii="宋体" w:hAnsi="宋体" w:eastAsia="宋体" w:cs="宋体"/>
                <w:color w:val="auto"/>
                <w:kern w:val="2"/>
                <w:sz w:val="24"/>
                <w:szCs w:val="24"/>
                <w:highlight w:val="none"/>
                <w:lang w:val="en-US" w:eastAsia="zh-CN"/>
              </w:rPr>
              <w:t>“二、申请人的资格要求”</w:t>
            </w:r>
          </w:p>
        </w:tc>
      </w:tr>
      <w:tr w14:paraId="6C32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0" w:hRule="atLeast"/>
          <w:tblHeader/>
          <w:jc w:val="center"/>
        </w:trPr>
        <w:tc>
          <w:tcPr>
            <w:tcW w:w="760" w:type="dxa"/>
            <w:vAlign w:val="center"/>
          </w:tcPr>
          <w:p w14:paraId="24925941">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1</w:t>
            </w:r>
            <w:r>
              <w:rPr>
                <w:rFonts w:hint="eastAsia" w:cs="宋体"/>
                <w:color w:val="auto"/>
                <w:kern w:val="2"/>
                <w:sz w:val="24"/>
                <w:szCs w:val="24"/>
                <w:highlight w:val="none"/>
                <w:lang w:val="en-US" w:eastAsia="zh-CN"/>
              </w:rPr>
              <w:t>7</w:t>
            </w:r>
          </w:p>
        </w:tc>
        <w:tc>
          <w:tcPr>
            <w:tcW w:w="1988" w:type="dxa"/>
            <w:shd w:val="clear" w:color="auto" w:fill="auto"/>
            <w:vAlign w:val="center"/>
          </w:tcPr>
          <w:p w14:paraId="4287DF0D">
            <w:pPr>
              <w:autoSpaceDE/>
              <w:autoSpaceDN/>
              <w:spacing w:line="24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rPr>
              <w:t>代理服务费</w:t>
            </w:r>
          </w:p>
        </w:tc>
        <w:tc>
          <w:tcPr>
            <w:tcW w:w="7067" w:type="dxa"/>
            <w:shd w:val="clear" w:color="auto" w:fill="auto"/>
            <w:vAlign w:val="center"/>
          </w:tcPr>
          <w:p w14:paraId="4096E523">
            <w:pPr>
              <w:pStyle w:val="15"/>
              <w:autoSpaceDE/>
              <w:autoSpaceDN/>
              <w:spacing w:line="240"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招标代理费由中标单位代为缴纳。中标单位应在领取中标通知书前，向招标代理机构一次性足额支付招标代理服务费。招标代理服务费由投标人在投标报价中自行综合考虑，未单独填报的，视为该费用已包含在投标报价中，结算时不再单独计取。招标代理服务费以中标价为计算基数参照计委计价格〔2002〕1980号的文件规定80%计取；清单控制价编制费以第一年招标控制价为计算基数，按《江苏省工程造价咨询服务收费指导意见》苏建价协（2022)7号文规定80%计取。</w:t>
            </w:r>
          </w:p>
        </w:tc>
      </w:tr>
      <w:tr w14:paraId="4BDBB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blHeader/>
          <w:jc w:val="center"/>
        </w:trPr>
        <w:tc>
          <w:tcPr>
            <w:tcW w:w="760" w:type="dxa"/>
            <w:vAlign w:val="center"/>
          </w:tcPr>
          <w:p w14:paraId="6C3CDAEA">
            <w:pPr>
              <w:autoSpaceDE/>
              <w:autoSpaceDN/>
              <w:spacing w:line="24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r>
              <w:rPr>
                <w:rFonts w:hint="eastAsia" w:cs="宋体"/>
                <w:color w:val="auto"/>
                <w:kern w:val="2"/>
                <w:sz w:val="24"/>
                <w:szCs w:val="24"/>
                <w:highlight w:val="none"/>
                <w:lang w:val="en-US" w:eastAsia="zh-CN"/>
              </w:rPr>
              <w:t>8</w:t>
            </w:r>
          </w:p>
        </w:tc>
        <w:tc>
          <w:tcPr>
            <w:tcW w:w="1988" w:type="dxa"/>
            <w:shd w:val="clear" w:color="auto" w:fill="auto"/>
            <w:vAlign w:val="center"/>
          </w:tcPr>
          <w:p w14:paraId="53AC4C9C">
            <w:pPr>
              <w:autoSpaceDE/>
              <w:autoSpaceDN/>
              <w:spacing w:line="24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评审专家人数</w:t>
            </w:r>
          </w:p>
        </w:tc>
        <w:tc>
          <w:tcPr>
            <w:tcW w:w="7067" w:type="dxa"/>
            <w:shd w:val="clear" w:color="auto" w:fill="auto"/>
            <w:vAlign w:val="center"/>
          </w:tcPr>
          <w:p w14:paraId="5CA68D8C">
            <w:pPr>
              <w:pStyle w:val="15"/>
              <w:autoSpaceDE/>
              <w:autoSpaceDN/>
              <w:spacing w:line="240" w:lineRule="auto"/>
              <w:jc w:val="both"/>
              <w:rPr>
                <w:rFonts w:hint="eastAsia" w:ascii="宋体" w:hAnsi="宋体"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zh-CN" w:eastAsia="zh-CN" w:bidi="ar-SA"/>
              </w:rPr>
              <w:t>人以上单数。</w:t>
            </w:r>
          </w:p>
        </w:tc>
      </w:tr>
      <w:tr w14:paraId="357AB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760" w:type="dxa"/>
            <w:vAlign w:val="center"/>
          </w:tcPr>
          <w:p w14:paraId="4834DA8F">
            <w:pPr>
              <w:autoSpaceDE/>
              <w:autoSpaceDN/>
              <w:spacing w:line="240" w:lineRule="auto"/>
              <w:jc w:val="center"/>
              <w:rPr>
                <w:rFonts w:hint="default" w:ascii="宋体" w:hAnsi="宋体"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19</w:t>
            </w:r>
          </w:p>
        </w:tc>
        <w:tc>
          <w:tcPr>
            <w:tcW w:w="1988" w:type="dxa"/>
            <w:shd w:val="clear" w:color="auto" w:fill="auto"/>
            <w:vAlign w:val="center"/>
          </w:tcPr>
          <w:p w14:paraId="756CC02B">
            <w:pPr>
              <w:autoSpaceDE/>
              <w:autoSpaceDN/>
              <w:spacing w:line="240" w:lineRule="auto"/>
              <w:jc w:val="center"/>
              <w:rPr>
                <w:rFonts w:hint="eastAsia" w:ascii="宋体" w:hAnsi="宋体" w:eastAsia="宋体" w:cs="宋体"/>
                <w:color w:val="auto"/>
                <w:kern w:val="2"/>
                <w:sz w:val="24"/>
                <w:szCs w:val="24"/>
                <w:highlight w:val="none"/>
                <w:lang w:val="zh-CN" w:eastAsia="zh-CN" w:bidi="ar-SA"/>
              </w:rPr>
            </w:pPr>
            <w:r>
              <w:rPr>
                <w:rFonts w:hint="eastAsia" w:cs="宋体"/>
                <w:color w:val="auto"/>
                <w:kern w:val="2"/>
                <w:sz w:val="24"/>
                <w:szCs w:val="24"/>
                <w:highlight w:val="none"/>
                <w:lang w:val="zh-CN" w:eastAsia="zh-CN"/>
              </w:rPr>
              <w:t>招标文件</w:t>
            </w:r>
            <w:r>
              <w:rPr>
                <w:rFonts w:hint="eastAsia" w:ascii="宋体" w:hAnsi="宋体" w:eastAsia="宋体" w:cs="宋体"/>
                <w:color w:val="auto"/>
                <w:kern w:val="2"/>
                <w:sz w:val="24"/>
                <w:szCs w:val="24"/>
                <w:highlight w:val="none"/>
                <w:lang w:val="zh-CN" w:eastAsia="zh-CN"/>
              </w:rPr>
              <w:t>的澄清或者修改</w:t>
            </w:r>
          </w:p>
        </w:tc>
        <w:tc>
          <w:tcPr>
            <w:tcW w:w="7067" w:type="dxa"/>
            <w:shd w:val="clear" w:color="auto" w:fill="auto"/>
            <w:vAlign w:val="center"/>
          </w:tcPr>
          <w:p w14:paraId="21A70E18">
            <w:pPr>
              <w:pStyle w:val="15"/>
              <w:numPr>
                <w:ilvl w:val="0"/>
                <w:numId w:val="0"/>
              </w:numPr>
              <w:autoSpaceDE/>
              <w:autoSpaceDN/>
              <w:spacing w:line="240" w:lineRule="auto"/>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bidi="ar-SA"/>
              </w:rPr>
              <w:t>1、</w:t>
            </w:r>
            <w:r>
              <w:rPr>
                <w:rFonts w:hint="eastAsia" w:cs="宋体"/>
                <w:color w:val="auto"/>
                <w:kern w:val="2"/>
                <w:sz w:val="24"/>
                <w:szCs w:val="24"/>
                <w:highlight w:val="none"/>
                <w:lang w:val="zh-CN" w:eastAsia="zh-CN"/>
              </w:rPr>
              <w:t>投标人</w:t>
            </w:r>
            <w:r>
              <w:rPr>
                <w:rFonts w:hint="eastAsia" w:ascii="宋体" w:hAnsi="宋体" w:eastAsia="宋体" w:cs="宋体"/>
                <w:color w:val="auto"/>
                <w:kern w:val="2"/>
                <w:sz w:val="24"/>
                <w:szCs w:val="24"/>
                <w:highlight w:val="none"/>
                <w:lang w:val="zh-CN" w:eastAsia="zh-CN"/>
              </w:rPr>
              <w:t>首次提交</w:t>
            </w: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截止之日前，采购代理机构经采购人认可后可以对已发出的</w:t>
            </w:r>
            <w:r>
              <w:rPr>
                <w:rFonts w:hint="eastAsia" w:cs="宋体"/>
                <w:color w:val="auto"/>
                <w:kern w:val="2"/>
                <w:sz w:val="24"/>
                <w:szCs w:val="24"/>
                <w:highlight w:val="none"/>
                <w:lang w:val="zh-CN" w:eastAsia="zh-CN"/>
              </w:rPr>
              <w:t>招标文件</w:t>
            </w:r>
            <w:r>
              <w:rPr>
                <w:rFonts w:hint="eastAsia" w:ascii="宋体" w:hAnsi="宋体" w:eastAsia="宋体" w:cs="宋体"/>
                <w:color w:val="auto"/>
                <w:kern w:val="2"/>
                <w:sz w:val="24"/>
                <w:szCs w:val="24"/>
                <w:highlight w:val="none"/>
                <w:lang w:val="zh-CN" w:eastAsia="zh-CN"/>
              </w:rPr>
              <w:t>进行必要的澄清或者修改，澄清或者修改的内容作为</w:t>
            </w:r>
            <w:r>
              <w:rPr>
                <w:rFonts w:hint="eastAsia" w:cs="宋体"/>
                <w:color w:val="auto"/>
                <w:kern w:val="2"/>
                <w:sz w:val="24"/>
                <w:szCs w:val="24"/>
                <w:highlight w:val="none"/>
                <w:lang w:val="zh-CN" w:eastAsia="zh-CN"/>
              </w:rPr>
              <w:t>招标文件</w:t>
            </w:r>
            <w:r>
              <w:rPr>
                <w:rFonts w:hint="eastAsia" w:ascii="宋体" w:hAnsi="宋体" w:eastAsia="宋体" w:cs="宋体"/>
                <w:color w:val="auto"/>
                <w:kern w:val="2"/>
                <w:sz w:val="24"/>
                <w:szCs w:val="24"/>
                <w:highlight w:val="none"/>
                <w:lang w:val="zh-CN" w:eastAsia="zh-CN"/>
              </w:rPr>
              <w:t>的组成部分。澄清或者修改的内容可能影响</w:t>
            </w: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编制的，在首次提交</w:t>
            </w: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截止时间至少</w:t>
            </w:r>
            <w:r>
              <w:rPr>
                <w:rFonts w:hint="eastAsia"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zh-CN" w:eastAsia="zh-CN"/>
              </w:rPr>
              <w:t>5日前，以书面形式通知所有获取</w:t>
            </w:r>
            <w:r>
              <w:rPr>
                <w:rFonts w:hint="eastAsia" w:cs="宋体"/>
                <w:color w:val="auto"/>
                <w:kern w:val="2"/>
                <w:sz w:val="24"/>
                <w:szCs w:val="24"/>
                <w:highlight w:val="none"/>
                <w:lang w:val="zh-CN" w:eastAsia="zh-CN"/>
              </w:rPr>
              <w:t>招标文件</w:t>
            </w:r>
            <w:r>
              <w:rPr>
                <w:rFonts w:hint="eastAsia" w:ascii="宋体" w:hAnsi="宋体" w:eastAsia="宋体" w:cs="宋体"/>
                <w:color w:val="auto"/>
                <w:kern w:val="2"/>
                <w:sz w:val="24"/>
                <w:szCs w:val="24"/>
                <w:highlight w:val="none"/>
                <w:lang w:val="zh-CN" w:eastAsia="zh-CN"/>
              </w:rPr>
              <w:t>的</w:t>
            </w:r>
            <w:r>
              <w:rPr>
                <w:rFonts w:hint="eastAsia" w:cs="宋体"/>
                <w:color w:val="auto"/>
                <w:kern w:val="2"/>
                <w:sz w:val="24"/>
                <w:szCs w:val="24"/>
                <w:highlight w:val="none"/>
                <w:lang w:val="zh-CN" w:eastAsia="zh-CN"/>
              </w:rPr>
              <w:t>投标人</w:t>
            </w:r>
            <w:r>
              <w:rPr>
                <w:rFonts w:hint="eastAsia" w:ascii="宋体" w:hAnsi="宋体" w:eastAsia="宋体" w:cs="宋体"/>
                <w:color w:val="auto"/>
                <w:kern w:val="2"/>
                <w:sz w:val="24"/>
                <w:szCs w:val="24"/>
                <w:highlight w:val="none"/>
                <w:lang w:val="zh-CN" w:eastAsia="zh-CN"/>
              </w:rPr>
              <w:t>；不足</w:t>
            </w:r>
            <w:r>
              <w:rPr>
                <w:rFonts w:hint="eastAsia"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zh-CN" w:eastAsia="zh-CN"/>
              </w:rPr>
              <w:t>5日的，顺延提交首次</w:t>
            </w: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截止时间。</w:t>
            </w:r>
          </w:p>
          <w:p w14:paraId="6239743A">
            <w:pPr>
              <w:pStyle w:val="15"/>
              <w:numPr>
                <w:ilvl w:val="0"/>
                <w:numId w:val="0"/>
              </w:numPr>
              <w:autoSpaceDE/>
              <w:autoSpaceDN/>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zh-CN" w:eastAsia="zh-CN" w:bidi="ar-SA"/>
              </w:rPr>
              <w:t>2、</w:t>
            </w:r>
            <w:r>
              <w:rPr>
                <w:rFonts w:hint="eastAsia" w:cs="宋体"/>
                <w:color w:val="auto"/>
                <w:sz w:val="24"/>
                <w:szCs w:val="24"/>
                <w:highlight w:val="none"/>
                <w:lang w:val="zh-CN"/>
              </w:rPr>
              <w:t>投标人</w:t>
            </w:r>
            <w:r>
              <w:rPr>
                <w:rFonts w:hint="eastAsia" w:ascii="宋体" w:hAnsi="宋体" w:eastAsia="宋体" w:cs="宋体"/>
                <w:color w:val="auto"/>
                <w:sz w:val="24"/>
                <w:szCs w:val="24"/>
                <w:highlight w:val="none"/>
                <w:lang w:val="zh-CN"/>
              </w:rPr>
              <w:t>应及时登录“苏采云”系统获取澄清答疑文件（修改后</w:t>
            </w:r>
            <w:r>
              <w:rPr>
                <w:rFonts w:hint="eastAsia" w:cs="宋体"/>
                <w:color w:val="auto"/>
                <w:sz w:val="24"/>
                <w:szCs w:val="24"/>
                <w:highlight w:val="none"/>
                <w:lang w:val="zh-CN"/>
              </w:rPr>
              <w:t>招标文件</w:t>
            </w:r>
            <w:r>
              <w:rPr>
                <w:rFonts w:hint="eastAsia" w:ascii="宋体" w:hAnsi="宋体" w:eastAsia="宋体" w:cs="宋体"/>
                <w:color w:val="auto"/>
                <w:sz w:val="24"/>
                <w:szCs w:val="24"/>
                <w:highlight w:val="none"/>
                <w:lang w:val="zh-CN"/>
              </w:rPr>
              <w:t>），如因</w:t>
            </w:r>
            <w:r>
              <w:rPr>
                <w:rFonts w:hint="eastAsia" w:cs="宋体"/>
                <w:color w:val="auto"/>
                <w:sz w:val="24"/>
                <w:szCs w:val="24"/>
                <w:highlight w:val="none"/>
                <w:lang w:val="zh-CN"/>
              </w:rPr>
              <w:t>投标人</w:t>
            </w:r>
            <w:r>
              <w:rPr>
                <w:rFonts w:hint="eastAsia" w:ascii="宋体" w:hAnsi="宋体" w:eastAsia="宋体" w:cs="宋体"/>
                <w:color w:val="auto"/>
                <w:sz w:val="24"/>
                <w:szCs w:val="24"/>
                <w:highlight w:val="none"/>
                <w:lang w:val="zh-CN"/>
              </w:rPr>
              <w:t>原因未能及时下载澄清和修改后的</w:t>
            </w:r>
            <w:r>
              <w:rPr>
                <w:rFonts w:hint="eastAsia" w:cs="宋体"/>
                <w:color w:val="auto"/>
                <w:sz w:val="24"/>
                <w:szCs w:val="24"/>
                <w:highlight w:val="none"/>
                <w:lang w:val="zh-CN"/>
              </w:rPr>
              <w:t>招标文件</w:t>
            </w:r>
            <w:r>
              <w:rPr>
                <w:rFonts w:hint="eastAsia" w:ascii="宋体" w:hAnsi="宋体" w:eastAsia="宋体" w:cs="宋体"/>
                <w:color w:val="auto"/>
                <w:sz w:val="24"/>
                <w:szCs w:val="24"/>
                <w:highlight w:val="none"/>
                <w:lang w:val="zh-CN"/>
              </w:rPr>
              <w:t>，由此造成的相关责任，由</w:t>
            </w:r>
            <w:r>
              <w:rPr>
                <w:rFonts w:hint="eastAsia" w:cs="宋体"/>
                <w:color w:val="auto"/>
                <w:sz w:val="24"/>
                <w:szCs w:val="24"/>
                <w:highlight w:val="none"/>
                <w:lang w:val="zh-CN"/>
              </w:rPr>
              <w:t>投标人</w:t>
            </w:r>
            <w:r>
              <w:rPr>
                <w:rFonts w:hint="eastAsia" w:ascii="宋体" w:hAnsi="宋体" w:eastAsia="宋体" w:cs="宋体"/>
                <w:color w:val="auto"/>
                <w:sz w:val="24"/>
                <w:szCs w:val="24"/>
                <w:highlight w:val="none"/>
                <w:lang w:val="zh-CN"/>
              </w:rPr>
              <w:t>承担。</w:t>
            </w:r>
          </w:p>
        </w:tc>
      </w:tr>
      <w:tr w14:paraId="7DCE4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7" w:hRule="atLeast"/>
          <w:tblHeader/>
          <w:jc w:val="center"/>
        </w:trPr>
        <w:tc>
          <w:tcPr>
            <w:tcW w:w="760" w:type="dxa"/>
            <w:vAlign w:val="center"/>
          </w:tcPr>
          <w:p w14:paraId="654F69ED">
            <w:pPr>
              <w:autoSpaceDE/>
              <w:autoSpaceDN/>
              <w:spacing w:line="240" w:lineRule="auto"/>
              <w:jc w:val="center"/>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2</w:t>
            </w:r>
            <w:r>
              <w:rPr>
                <w:rFonts w:hint="eastAsia" w:cs="宋体"/>
                <w:color w:val="auto"/>
                <w:kern w:val="2"/>
                <w:sz w:val="24"/>
                <w:szCs w:val="24"/>
                <w:highlight w:val="none"/>
                <w:lang w:val="en-US" w:eastAsia="zh-CN"/>
              </w:rPr>
              <w:t>0</w:t>
            </w:r>
          </w:p>
        </w:tc>
        <w:tc>
          <w:tcPr>
            <w:tcW w:w="1988" w:type="dxa"/>
            <w:shd w:val="clear" w:color="auto" w:fill="auto"/>
            <w:vAlign w:val="center"/>
          </w:tcPr>
          <w:p w14:paraId="35813C55">
            <w:pPr>
              <w:keepNext w:val="0"/>
              <w:keepLines w:val="0"/>
              <w:pageBreakBefore w:val="0"/>
              <w:kinsoku/>
              <w:wordWrap/>
              <w:overflowPunct/>
              <w:topLinePunct w:val="0"/>
              <w:autoSpaceDE/>
              <w:autoSpaceDN/>
              <w:bidi w:val="0"/>
              <w:snapToGrid/>
              <w:spacing w:line="240" w:lineRule="auto"/>
              <w:ind w:firstLine="0" w:firstLineChars="0"/>
              <w:jc w:val="center"/>
              <w:textAlignment w:val="auto"/>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不见面交易</w:t>
            </w:r>
            <w:r>
              <w:rPr>
                <w:rFonts w:hint="eastAsia" w:cs="宋体"/>
                <w:color w:val="auto"/>
                <w:kern w:val="2"/>
                <w:sz w:val="24"/>
                <w:szCs w:val="24"/>
                <w:highlight w:val="none"/>
                <w:lang w:val="en-US" w:eastAsia="zh-CN"/>
              </w:rPr>
              <w:t>投标文件</w:t>
            </w:r>
            <w:r>
              <w:rPr>
                <w:rFonts w:hint="eastAsia" w:ascii="宋体" w:hAnsi="宋体" w:eastAsia="宋体" w:cs="宋体"/>
                <w:color w:val="auto"/>
                <w:kern w:val="2"/>
                <w:sz w:val="24"/>
                <w:szCs w:val="24"/>
                <w:highlight w:val="none"/>
                <w:lang w:val="en-US" w:eastAsia="zh-CN"/>
              </w:rPr>
              <w:t>制作提交说明</w:t>
            </w:r>
          </w:p>
        </w:tc>
        <w:tc>
          <w:tcPr>
            <w:tcW w:w="7067" w:type="dxa"/>
            <w:shd w:val="clear" w:color="auto" w:fill="auto"/>
            <w:vAlign w:val="center"/>
          </w:tcPr>
          <w:p w14:paraId="0A06B711">
            <w:pPr>
              <w:pStyle w:val="15"/>
              <w:keepNext w:val="0"/>
              <w:keepLines w:val="0"/>
              <w:pageBreakBefore w:val="0"/>
              <w:kinsoku/>
              <w:wordWrap/>
              <w:overflowPunct/>
              <w:topLinePunct w:val="0"/>
              <w:autoSpaceDE/>
              <w:autoSpaceDN/>
              <w:bidi w:val="0"/>
              <w:snapToGrid/>
              <w:spacing w:line="240" w:lineRule="auto"/>
              <w:ind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业务流程：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4"/>
                <w:szCs w:val="24"/>
                <w:highlight w:val="none"/>
                <w:lang w:val="en-US" w:eastAsia="zh-CN"/>
              </w:rPr>
              <w:t>投标文件</w:t>
            </w:r>
            <w:r>
              <w:rPr>
                <w:rFonts w:hint="eastAsia" w:ascii="宋体" w:hAnsi="宋体" w:eastAsia="宋体" w:cs="宋体"/>
                <w:b/>
                <w:bCs/>
                <w:color w:val="auto"/>
                <w:sz w:val="24"/>
                <w:szCs w:val="24"/>
                <w:highlight w:val="none"/>
                <w:lang w:val="en-US" w:eastAsia="zh-CN"/>
              </w:rPr>
              <w:t>--导出加密的</w:t>
            </w:r>
            <w:r>
              <w:rPr>
                <w:rFonts w:hint="eastAsia" w:cs="宋体"/>
                <w:b/>
                <w:bCs/>
                <w:color w:val="auto"/>
                <w:sz w:val="24"/>
                <w:szCs w:val="24"/>
                <w:highlight w:val="none"/>
                <w:lang w:val="en-US" w:eastAsia="zh-CN"/>
              </w:rPr>
              <w:t>投标文件</w:t>
            </w:r>
            <w:r>
              <w:rPr>
                <w:rFonts w:hint="eastAsia" w:ascii="宋体" w:hAnsi="宋体" w:eastAsia="宋体" w:cs="宋体"/>
                <w:b/>
                <w:bCs/>
                <w:color w:val="auto"/>
                <w:sz w:val="24"/>
                <w:szCs w:val="24"/>
                <w:highlight w:val="none"/>
                <w:lang w:val="en-US" w:eastAsia="zh-CN"/>
              </w:rPr>
              <w:t>（后缀名为zip）--通过“苏采云”系统上传</w:t>
            </w:r>
            <w:r>
              <w:rPr>
                <w:rFonts w:hint="eastAsia" w:cs="宋体"/>
                <w:b/>
                <w:bCs/>
                <w:color w:val="auto"/>
                <w:sz w:val="24"/>
                <w:szCs w:val="24"/>
                <w:highlight w:val="none"/>
                <w:lang w:val="en-US" w:eastAsia="zh-CN"/>
              </w:rPr>
              <w:t>投标文件</w:t>
            </w:r>
            <w:r>
              <w:rPr>
                <w:rFonts w:hint="eastAsia" w:ascii="宋体" w:hAnsi="宋体" w:eastAsia="宋体" w:cs="宋体"/>
                <w:b/>
                <w:bCs/>
                <w:color w:val="auto"/>
                <w:sz w:val="24"/>
                <w:szCs w:val="24"/>
                <w:highlight w:val="none"/>
                <w:lang w:val="en-US" w:eastAsia="zh-CN"/>
              </w:rPr>
              <w:t>。具体见《江苏省政府采购管理交易系统（苏采云）供应商操作手册》。</w:t>
            </w:r>
          </w:p>
          <w:p w14:paraId="0006BF53">
            <w:pPr>
              <w:pStyle w:val="15"/>
              <w:keepNext w:val="0"/>
              <w:keepLines w:val="0"/>
              <w:pageBreakBefore w:val="0"/>
              <w:kinsoku/>
              <w:wordWrap/>
              <w:overflowPunct/>
              <w:topLinePunct w:val="0"/>
              <w:autoSpaceDE/>
              <w:autoSpaceDN/>
              <w:bidi w:val="0"/>
              <w:snapToGrid/>
              <w:spacing w:line="240" w:lineRule="auto"/>
              <w:ind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p>
          <w:p w14:paraId="1023F5EA">
            <w:pPr>
              <w:pStyle w:val="15"/>
              <w:numPr>
                <w:ilvl w:val="0"/>
                <w:numId w:val="0"/>
              </w:numPr>
              <w:autoSpaceDE/>
              <w:autoSpaceDN/>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http：//czj.taizhou.gov.cn/col/col61762/index.html</w:t>
            </w:r>
          </w:p>
        </w:tc>
      </w:tr>
      <w:tr w14:paraId="43982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760" w:type="dxa"/>
            <w:vAlign w:val="center"/>
          </w:tcPr>
          <w:p w14:paraId="362EF2B8">
            <w:pPr>
              <w:autoSpaceDE/>
              <w:autoSpaceDN/>
              <w:spacing w:line="240" w:lineRule="auto"/>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r>
              <w:rPr>
                <w:rFonts w:hint="eastAsia" w:cs="宋体"/>
                <w:color w:val="auto"/>
                <w:kern w:val="2"/>
                <w:sz w:val="24"/>
                <w:szCs w:val="24"/>
                <w:highlight w:val="none"/>
                <w:lang w:val="en-US" w:eastAsia="zh-CN"/>
              </w:rPr>
              <w:t>1</w:t>
            </w:r>
          </w:p>
        </w:tc>
        <w:tc>
          <w:tcPr>
            <w:tcW w:w="1988" w:type="dxa"/>
            <w:vAlign w:val="center"/>
          </w:tcPr>
          <w:p w14:paraId="385F35D4">
            <w:pPr>
              <w:keepNext w:val="0"/>
              <w:keepLines w:val="0"/>
              <w:pageBreakBefore w:val="0"/>
              <w:kinsoku/>
              <w:wordWrap/>
              <w:overflowPunct/>
              <w:topLinePunct w:val="0"/>
              <w:autoSpaceDE/>
              <w:autoSpaceDN/>
              <w:bidi w:val="0"/>
              <w:snapToGrid/>
              <w:spacing w:line="240" w:lineRule="auto"/>
              <w:ind w:firstLine="0" w:firstLineChars="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报价须知</w:t>
            </w:r>
          </w:p>
        </w:tc>
        <w:tc>
          <w:tcPr>
            <w:tcW w:w="7067" w:type="dxa"/>
            <w:vAlign w:val="center"/>
          </w:tcPr>
          <w:p w14:paraId="05354BB9">
            <w:pPr>
              <w:pStyle w:val="15"/>
              <w:numPr>
                <w:ilvl w:val="0"/>
                <w:numId w:val="0"/>
              </w:numPr>
              <w:autoSpaceDE/>
              <w:autoSpaceDN/>
              <w:spacing w:line="240" w:lineRule="auto"/>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zh-CN" w:eastAsia="zh-CN"/>
              </w:rPr>
              <w:t>注：1、</w:t>
            </w:r>
            <w:r>
              <w:rPr>
                <w:rFonts w:hint="eastAsia" w:cs="宋体"/>
                <w:color w:val="auto"/>
                <w:kern w:val="2"/>
                <w:sz w:val="24"/>
                <w:szCs w:val="24"/>
                <w:highlight w:val="none"/>
                <w:lang w:val="en-US" w:eastAsia="zh-CN"/>
              </w:rPr>
              <w:t>投标人</w:t>
            </w:r>
            <w:r>
              <w:rPr>
                <w:rFonts w:hint="eastAsia" w:ascii="宋体" w:hAnsi="宋体" w:eastAsia="宋体" w:cs="宋体"/>
                <w:color w:val="auto"/>
                <w:kern w:val="2"/>
                <w:sz w:val="24"/>
                <w:szCs w:val="24"/>
                <w:highlight w:val="none"/>
                <w:lang w:val="zh-CN" w:eastAsia="zh-CN"/>
              </w:rPr>
              <w:t>须将本前附表第1</w:t>
            </w:r>
            <w:r>
              <w:rPr>
                <w:rFonts w:hint="eastAsia"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lang w:val="zh-CN" w:eastAsia="zh-CN"/>
              </w:rPr>
              <w:t>项所述</w:t>
            </w:r>
            <w:r>
              <w:rPr>
                <w:rFonts w:hint="eastAsia" w:cs="宋体"/>
                <w:color w:val="auto"/>
                <w:kern w:val="2"/>
                <w:sz w:val="24"/>
                <w:szCs w:val="24"/>
                <w:highlight w:val="none"/>
                <w:lang w:val="en-US" w:eastAsia="zh-CN"/>
              </w:rPr>
              <w:t>代理服务</w:t>
            </w:r>
            <w:r>
              <w:rPr>
                <w:rFonts w:hint="eastAsia" w:ascii="宋体" w:hAnsi="宋体" w:eastAsia="宋体" w:cs="宋体"/>
                <w:color w:val="auto"/>
                <w:kern w:val="2"/>
                <w:sz w:val="24"/>
                <w:szCs w:val="24"/>
                <w:highlight w:val="none"/>
                <w:lang w:val="zh-CN" w:eastAsia="zh-CN"/>
              </w:rPr>
              <w:t>费用计入</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lang w:val="zh-CN" w:eastAsia="zh-CN"/>
              </w:rPr>
              <w:t>报价中，不计视为优惠。</w:t>
            </w:r>
          </w:p>
          <w:p w14:paraId="0019D752">
            <w:pPr>
              <w:widowControl/>
              <w:shd w:val="clear" w:color="auto" w:fill="FFFFFF"/>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2、</w:t>
            </w:r>
            <w:r>
              <w:rPr>
                <w:rFonts w:hint="eastAsia" w:ascii="宋体" w:hAnsi="宋体" w:eastAsia="宋体" w:cs="宋体"/>
                <w:color w:val="auto"/>
                <w:kern w:val="2"/>
                <w:sz w:val="24"/>
                <w:szCs w:val="24"/>
                <w:highlight w:val="none"/>
                <w:lang w:val="en-US" w:eastAsia="zh-CN" w:bidi="ar-SA"/>
              </w:rPr>
              <w:t>响应</w:t>
            </w:r>
            <w:r>
              <w:rPr>
                <w:rFonts w:hint="eastAsia" w:ascii="宋体" w:hAnsi="宋体" w:eastAsia="宋体" w:cs="宋体"/>
                <w:color w:val="auto"/>
                <w:kern w:val="2"/>
                <w:sz w:val="24"/>
                <w:szCs w:val="24"/>
                <w:highlight w:val="none"/>
                <w:lang w:val="zh-CN" w:eastAsia="zh-CN" w:bidi="ar-SA"/>
              </w:rPr>
              <w:t>报价应是本</w:t>
            </w:r>
            <w:r>
              <w:rPr>
                <w:rFonts w:hint="eastAsia" w:cs="宋体"/>
                <w:color w:val="auto"/>
                <w:kern w:val="2"/>
                <w:sz w:val="24"/>
                <w:szCs w:val="24"/>
                <w:highlight w:val="none"/>
                <w:lang w:val="en-US" w:eastAsia="zh-CN" w:bidi="ar-SA"/>
              </w:rPr>
              <w:t>招标</w:t>
            </w:r>
            <w:r>
              <w:rPr>
                <w:rFonts w:hint="eastAsia" w:ascii="宋体" w:hAnsi="宋体" w:eastAsia="宋体" w:cs="宋体"/>
                <w:color w:val="auto"/>
                <w:kern w:val="2"/>
                <w:sz w:val="24"/>
                <w:szCs w:val="24"/>
                <w:highlight w:val="none"/>
                <w:lang w:val="zh-CN" w:eastAsia="zh-CN" w:bidi="ar-SA"/>
              </w:rPr>
              <w:t>文件所包含确定的全部工作内容及本</w:t>
            </w:r>
            <w:r>
              <w:rPr>
                <w:rFonts w:hint="eastAsia" w:cs="宋体"/>
                <w:color w:val="auto"/>
                <w:kern w:val="2"/>
                <w:sz w:val="24"/>
                <w:szCs w:val="24"/>
                <w:highlight w:val="none"/>
                <w:lang w:val="en-US" w:eastAsia="zh-CN" w:bidi="ar-SA"/>
              </w:rPr>
              <w:t>招标</w:t>
            </w:r>
            <w:r>
              <w:rPr>
                <w:rFonts w:hint="eastAsia" w:ascii="宋体" w:hAnsi="宋体" w:eastAsia="宋体" w:cs="宋体"/>
                <w:color w:val="auto"/>
                <w:kern w:val="2"/>
                <w:sz w:val="24"/>
                <w:szCs w:val="24"/>
                <w:highlight w:val="none"/>
                <w:lang w:val="zh-CN" w:eastAsia="zh-CN" w:bidi="ar-SA"/>
              </w:rPr>
              <w:t>文件未说明但完成该项目必须包含的所有全包的价格体现。应包含</w:t>
            </w:r>
            <w:r>
              <w:rPr>
                <w:rFonts w:hint="eastAsia" w:ascii="宋体" w:hAnsi="宋体" w:eastAsia="宋体" w:cs="宋体"/>
                <w:color w:val="auto"/>
                <w:kern w:val="2"/>
                <w:sz w:val="24"/>
                <w:szCs w:val="24"/>
                <w:highlight w:val="none"/>
                <w:lang w:val="en-US" w:eastAsia="zh-CN" w:bidi="ar-SA"/>
              </w:rPr>
              <w:t>但不限于</w:t>
            </w:r>
            <w:r>
              <w:rPr>
                <w:rFonts w:hint="eastAsia" w:ascii="宋体" w:hAnsi="宋体" w:eastAsia="宋体" w:cs="宋体"/>
                <w:color w:val="auto"/>
                <w:kern w:val="2"/>
                <w:sz w:val="24"/>
                <w:szCs w:val="24"/>
                <w:highlight w:val="none"/>
                <w:lang w:val="zh-CN" w:eastAsia="zh-CN" w:bidi="ar-SA"/>
              </w:rPr>
              <w:t>支付给员工的工资和国家强制缴纳的各种社会保障资金，以及</w:t>
            </w:r>
            <w:r>
              <w:rPr>
                <w:rFonts w:hint="eastAsia" w:cs="宋体"/>
                <w:color w:val="auto"/>
                <w:kern w:val="2"/>
                <w:sz w:val="24"/>
                <w:szCs w:val="24"/>
                <w:highlight w:val="none"/>
                <w:lang w:val="en-US" w:eastAsia="zh-CN" w:bidi="ar-SA"/>
              </w:rPr>
              <w:t>投标人</w:t>
            </w:r>
            <w:r>
              <w:rPr>
                <w:rFonts w:hint="eastAsia" w:ascii="宋体" w:hAnsi="宋体" w:eastAsia="宋体" w:cs="宋体"/>
                <w:color w:val="auto"/>
                <w:kern w:val="2"/>
                <w:sz w:val="24"/>
                <w:szCs w:val="24"/>
                <w:highlight w:val="none"/>
                <w:lang w:val="zh-CN" w:eastAsia="zh-CN" w:bidi="ar-SA"/>
              </w:rPr>
              <w:t>认为需要的其他费用等。</w:t>
            </w:r>
          </w:p>
          <w:p w14:paraId="3B77B87F">
            <w:pPr>
              <w:widowControl/>
              <w:shd w:val="clear" w:color="auto" w:fill="FFFFFF"/>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报价时应充分考虑所有可能影响到报价的市场风险和价格因素，一旦</w:t>
            </w:r>
            <w:r>
              <w:rPr>
                <w:rFonts w:hint="eastAsia" w:cs="宋体"/>
                <w:color w:val="auto"/>
                <w:sz w:val="24"/>
                <w:szCs w:val="24"/>
                <w:highlight w:val="none"/>
                <w:lang w:val="en-US" w:eastAsia="zh-CN"/>
              </w:rPr>
              <w:t>中标</w:t>
            </w:r>
            <w:r>
              <w:rPr>
                <w:rFonts w:hint="eastAsia" w:ascii="宋体" w:hAnsi="宋体" w:eastAsia="宋体" w:cs="宋体"/>
                <w:color w:val="auto"/>
                <w:sz w:val="24"/>
                <w:szCs w:val="24"/>
                <w:highlight w:val="none"/>
                <w:lang w:val="en-US" w:eastAsia="zh-CN"/>
              </w:rPr>
              <w:t>，价格将确定，不予调整。</w:t>
            </w:r>
          </w:p>
        </w:tc>
      </w:tr>
    </w:tbl>
    <w:p w14:paraId="60B0F1BF">
      <w:pPr>
        <w:pStyle w:val="5"/>
        <w:pageBreakBefore w:val="0"/>
        <w:widowControl w:val="0"/>
        <w:kinsoku/>
        <w:wordWrap/>
        <w:overflowPunct/>
        <w:topLinePunct w:val="0"/>
        <w:autoSpaceDE/>
        <w:autoSpaceDN/>
        <w:bidi w:val="0"/>
        <w:adjustRightInd/>
        <w:snapToGrid/>
        <w:spacing w:before="0" w:line="440" w:lineRule="exact"/>
        <w:ind w:left="0" w:leftChars="0" w:firstLine="420" w:firstLineChars="200"/>
        <w:textAlignment w:val="auto"/>
        <w:rPr>
          <w:rFonts w:hint="eastAsia" w:ascii="宋体" w:hAnsi="宋体" w:eastAsia="宋体" w:cs="宋体"/>
          <w:b/>
          <w:bCs/>
          <w:color w:val="auto"/>
          <w:sz w:val="28"/>
          <w:szCs w:val="28"/>
          <w:highlight w:val="none"/>
        </w:rPr>
      </w:pPr>
      <w:r>
        <w:rPr>
          <w:rFonts w:hint="eastAsia"/>
          <w:color w:val="auto"/>
          <w:kern w:val="2"/>
          <w:sz w:val="21"/>
          <w:szCs w:val="21"/>
          <w:highlight w:val="none"/>
          <w:lang w:val="zh-CN" w:eastAsia="zh-CN"/>
        </w:rPr>
        <w:br w:type="page"/>
      </w:r>
      <w:bookmarkStart w:id="190" w:name="_Toc552"/>
      <w:bookmarkStart w:id="191" w:name="_Toc31171"/>
      <w:bookmarkStart w:id="192" w:name="_Toc6185"/>
      <w:bookmarkStart w:id="193" w:name="_Toc21853"/>
      <w:bookmarkStart w:id="194" w:name="_Toc20823275"/>
      <w:bookmarkStart w:id="195" w:name="_Toc120614214"/>
      <w:bookmarkStart w:id="196" w:name="_Toc513029203"/>
      <w:bookmarkStart w:id="197" w:name="_Toc16938519"/>
      <w:r>
        <w:rPr>
          <w:rFonts w:hint="eastAsia" w:ascii="宋体" w:hAnsi="宋体" w:eastAsia="宋体" w:cs="宋体"/>
          <w:b/>
          <w:bCs/>
          <w:color w:val="auto"/>
          <w:sz w:val="28"/>
          <w:szCs w:val="28"/>
          <w:highlight w:val="none"/>
        </w:rPr>
        <w:t>一、总则</w:t>
      </w:r>
      <w:bookmarkEnd w:id="190"/>
      <w:bookmarkEnd w:id="191"/>
      <w:bookmarkEnd w:id="192"/>
      <w:bookmarkEnd w:id="193"/>
    </w:p>
    <w:p w14:paraId="372922F9">
      <w:pPr>
        <w:pStyle w:val="7"/>
        <w:pageBreakBefore w:val="0"/>
        <w:widowControl w:val="0"/>
        <w:kinsoku/>
        <w:wordWrap/>
        <w:overflowPunct/>
        <w:topLinePunct w:val="0"/>
        <w:autoSpaceDE/>
        <w:autoSpaceDN/>
        <w:bidi w:val="0"/>
        <w:adjustRightInd w:val="0"/>
        <w:snapToGrid w:val="0"/>
        <w:spacing w:before="0" w:after="0" w:line="240" w:lineRule="auto"/>
        <w:ind w:firstLine="560" w:firstLineChars="200"/>
        <w:textAlignment w:val="auto"/>
        <w:rPr>
          <w:rFonts w:hint="eastAsia" w:ascii="方正楷体_GBK" w:hAnsi="方正楷体_GBK" w:eastAsia="方正楷体_GBK" w:cs="方正楷体_GBK"/>
          <w:b/>
          <w:bCs/>
          <w:color w:val="auto"/>
          <w:kern w:val="2"/>
          <w:sz w:val="28"/>
          <w:szCs w:val="28"/>
          <w:highlight w:val="none"/>
        </w:rPr>
      </w:pPr>
      <w:bookmarkStart w:id="198" w:name="_Toc458694821"/>
      <w:bookmarkStart w:id="199" w:name="_Toc16938520"/>
      <w:bookmarkStart w:id="200" w:name="_Toc513029204"/>
      <w:bookmarkStart w:id="201" w:name="_Toc20823276"/>
      <w:r>
        <w:rPr>
          <w:rFonts w:hint="eastAsia" w:ascii="方正楷体_GBK" w:hAnsi="方正楷体_GBK" w:eastAsia="方正楷体_GBK" w:cs="方正楷体_GBK"/>
          <w:b/>
          <w:bCs/>
          <w:color w:val="auto"/>
          <w:kern w:val="2"/>
          <w:sz w:val="28"/>
          <w:szCs w:val="28"/>
          <w:highlight w:val="none"/>
        </w:rPr>
        <w:t>1</w:t>
      </w:r>
      <w:bookmarkEnd w:id="198"/>
      <w:r>
        <w:rPr>
          <w:rFonts w:hint="eastAsia" w:ascii="方正楷体_GBK" w:hAnsi="方正楷体_GBK" w:eastAsia="方正楷体_GBK" w:cs="方正楷体_GBK"/>
          <w:b/>
          <w:bCs/>
          <w:color w:val="auto"/>
          <w:kern w:val="2"/>
          <w:sz w:val="28"/>
          <w:szCs w:val="28"/>
          <w:highlight w:val="none"/>
          <w:lang w:val="en-US" w:eastAsia="zh-CN"/>
        </w:rPr>
        <w:t>.</w:t>
      </w:r>
      <w:r>
        <w:rPr>
          <w:rFonts w:hint="eastAsia" w:ascii="方正楷体_GBK" w:hAnsi="方正楷体_GBK" w:eastAsia="方正楷体_GBK" w:cs="方正楷体_GBK"/>
          <w:b/>
          <w:bCs/>
          <w:color w:val="auto"/>
          <w:kern w:val="2"/>
          <w:sz w:val="28"/>
          <w:szCs w:val="28"/>
          <w:highlight w:val="none"/>
        </w:rPr>
        <w:t>招标方式</w:t>
      </w:r>
      <w:bookmarkEnd w:id="199"/>
      <w:bookmarkEnd w:id="200"/>
      <w:bookmarkEnd w:id="201"/>
    </w:p>
    <w:p w14:paraId="7564E41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1.1本次招标采取公开招标方式</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本文件仅适用于招标公告中所述项目。</w:t>
      </w:r>
    </w:p>
    <w:p w14:paraId="41652317">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2.合格的</w:t>
      </w:r>
      <w:r>
        <w:rPr>
          <w:rFonts w:hint="eastAsia" w:ascii="宋体" w:hAnsi="宋体" w:cs="宋体"/>
          <w:color w:val="auto"/>
          <w:sz w:val="24"/>
          <w:szCs w:val="24"/>
          <w:highlight w:val="none"/>
          <w:lang w:eastAsia="zh-CN"/>
        </w:rPr>
        <w:t>投标人</w:t>
      </w:r>
    </w:p>
    <w:p w14:paraId="2151F766">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w:t>
      </w:r>
      <w:r>
        <w:rPr>
          <w:rFonts w:hint="eastAsia" w:cs="宋体"/>
          <w:color w:val="auto"/>
          <w:sz w:val="24"/>
          <w:szCs w:val="24"/>
          <w:highlight w:val="none"/>
          <w:lang w:val="en-US" w:eastAsia="zh-CN"/>
        </w:rPr>
        <w:t>招标</w:t>
      </w:r>
      <w:r>
        <w:rPr>
          <w:rFonts w:hint="eastAsia" w:ascii="宋体" w:hAnsi="宋体" w:eastAsia="宋体" w:cs="宋体"/>
          <w:color w:val="auto"/>
          <w:sz w:val="24"/>
          <w:szCs w:val="24"/>
          <w:highlight w:val="none"/>
        </w:rPr>
        <w:t>公告对</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资格要求的规定。</w:t>
      </w:r>
    </w:p>
    <w:p w14:paraId="3A6D5F43">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规定的实质性要求和条件。</w:t>
      </w:r>
    </w:p>
    <w:p w14:paraId="58280AB6">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3.适用法律</w:t>
      </w:r>
    </w:p>
    <w:p w14:paraId="1AE9A635">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3.1本次采购及由此产生的合同受中华人民共和国有关的法律法规制约和保护。</w:t>
      </w:r>
    </w:p>
    <w:p w14:paraId="328A359C">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3.2在本项目政府采购活动过程中，如果所执行的标准有更新的，按照最新标准执行。</w:t>
      </w:r>
    </w:p>
    <w:p w14:paraId="75FE197D">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费用</w:t>
      </w:r>
    </w:p>
    <w:p w14:paraId="1F716A52">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应自行承担所有与参加采购有关的费用，无论采购过程中的做法和结果如何，</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在任何情况下均无义务和责任承担这些费用。</w:t>
      </w:r>
    </w:p>
    <w:p w14:paraId="1E52C796">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的约束力</w:t>
      </w:r>
    </w:p>
    <w:p w14:paraId="2F39B990">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一旦参加本项目采购活动，即被认为接受了本文件的规定和约束。</w:t>
      </w:r>
    </w:p>
    <w:p w14:paraId="339A2058">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eastAsia" w:ascii="宋体" w:hAnsi="宋体" w:eastAsia="宋体" w:cs="宋体"/>
          <w:b/>
          <w:bCs/>
          <w:color w:val="auto"/>
          <w:sz w:val="28"/>
          <w:szCs w:val="28"/>
          <w:highlight w:val="none"/>
          <w:lang w:eastAsia="zh-CN"/>
        </w:rPr>
      </w:pPr>
      <w:bookmarkStart w:id="202" w:name="_Toc21887"/>
      <w:bookmarkStart w:id="203" w:name="_Toc10216"/>
      <w:bookmarkStart w:id="204" w:name="_Toc3373"/>
      <w:bookmarkStart w:id="205" w:name="_Toc17714"/>
      <w:r>
        <w:rPr>
          <w:rFonts w:hint="eastAsia" w:ascii="宋体" w:hAnsi="宋体" w:eastAsia="宋体" w:cs="宋体"/>
          <w:b/>
          <w:bCs/>
          <w:color w:val="auto"/>
          <w:sz w:val="28"/>
          <w:szCs w:val="28"/>
          <w:highlight w:val="none"/>
        </w:rPr>
        <w:t>二、</w:t>
      </w:r>
      <w:bookmarkEnd w:id="202"/>
      <w:bookmarkEnd w:id="203"/>
      <w:bookmarkEnd w:id="204"/>
      <w:r>
        <w:rPr>
          <w:rFonts w:hint="eastAsia" w:cs="宋体"/>
          <w:b/>
          <w:bCs/>
          <w:color w:val="auto"/>
          <w:sz w:val="28"/>
          <w:szCs w:val="28"/>
          <w:highlight w:val="none"/>
          <w:lang w:eastAsia="zh-CN"/>
        </w:rPr>
        <w:t>招标文件</w:t>
      </w:r>
      <w:bookmarkEnd w:id="205"/>
    </w:p>
    <w:p w14:paraId="68006060">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构成</w:t>
      </w:r>
    </w:p>
    <w:p w14:paraId="64378CC8">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由以下部分组成：</w:t>
      </w:r>
    </w:p>
    <w:p w14:paraId="56BDC270">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Times New Roman"/>
          <w:color w:val="auto"/>
          <w:sz w:val="24"/>
          <w:highlight w:val="none"/>
        </w:rPr>
        <w:t>投标邀请</w:t>
      </w:r>
    </w:p>
    <w:p w14:paraId="1133C000">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Times New Roman"/>
          <w:color w:val="auto"/>
          <w:sz w:val="24"/>
          <w:highlight w:val="none"/>
        </w:rPr>
        <w:t>投标人须知</w:t>
      </w:r>
    </w:p>
    <w:p w14:paraId="13BB9325">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C264E10">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99DD7D9">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0D90C44B">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Times New Roman"/>
          <w:color w:val="auto"/>
          <w:sz w:val="24"/>
          <w:highlight w:val="none"/>
        </w:rPr>
        <w:t>投标文件格式</w:t>
      </w:r>
    </w:p>
    <w:p w14:paraId="3269CE71">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应仔细检查</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是否齐全，如有缺漏请立即与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联系。</w:t>
      </w:r>
    </w:p>
    <w:p w14:paraId="0C0183EA">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r>
        <w:rPr>
          <w:rFonts w:hint="eastAsia" w:cs="宋体"/>
          <w:color w:val="auto"/>
          <w:sz w:val="24"/>
          <w:szCs w:val="24"/>
          <w:highlight w:val="none"/>
          <w:lang w:eastAsia="zh-CN"/>
        </w:rPr>
        <w:t>投标人</w:t>
      </w:r>
      <w:r>
        <w:rPr>
          <w:rFonts w:hint="eastAsia" w:ascii="宋体" w:hAnsi="宋体" w:eastAsia="宋体" w:cs="宋体"/>
          <w:color w:val="auto"/>
          <w:sz w:val="24"/>
          <w:szCs w:val="24"/>
          <w:highlight w:val="none"/>
        </w:rPr>
        <w:t>应认真阅读</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中所有的事项、格式、条款和规范等要求。按</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要求和规定编制</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rPr>
        <w:t>，并保证所提供的全部资料的真实性，以使其</w:t>
      </w:r>
      <w:r>
        <w:rPr>
          <w:rFonts w:hint="eastAsia" w:cs="宋体"/>
          <w:color w:val="auto"/>
          <w:sz w:val="24"/>
          <w:szCs w:val="24"/>
          <w:highlight w:val="none"/>
          <w:lang w:eastAsia="zh-CN"/>
        </w:rPr>
        <w:t>投标文件</w:t>
      </w:r>
      <w:r>
        <w:rPr>
          <w:rFonts w:hint="eastAsia" w:ascii="宋体" w:hAnsi="宋体" w:eastAsia="宋体" w:cs="宋体"/>
          <w:color w:val="auto"/>
          <w:sz w:val="24"/>
          <w:szCs w:val="24"/>
          <w:highlight w:val="none"/>
        </w:rPr>
        <w:t>对</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作出实质性响应，否则其风险由投标人自行承担。</w:t>
      </w:r>
    </w:p>
    <w:p w14:paraId="40438548">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的澄清</w:t>
      </w:r>
    </w:p>
    <w:p w14:paraId="7A5DC55F">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p>
    <w:p w14:paraId="5F81358E">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的修改</w:t>
      </w:r>
    </w:p>
    <w:p w14:paraId="6850DFD5">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可以对</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进行修改。</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的修改将在原公告媒体发布更正公告，更正内容将作为</w:t>
      </w:r>
      <w:r>
        <w:rPr>
          <w:rFonts w:hint="eastAsia" w:cs="宋体"/>
          <w:color w:val="auto"/>
          <w:sz w:val="24"/>
          <w:szCs w:val="24"/>
          <w:highlight w:val="none"/>
          <w:lang w:eastAsia="zh-CN"/>
        </w:rPr>
        <w:t>招标文件</w:t>
      </w:r>
      <w:r>
        <w:rPr>
          <w:rFonts w:hint="eastAsia" w:ascii="宋体" w:hAnsi="宋体" w:eastAsia="宋体" w:cs="宋体"/>
          <w:color w:val="auto"/>
          <w:sz w:val="24"/>
          <w:szCs w:val="24"/>
          <w:highlight w:val="none"/>
        </w:rPr>
        <w:t>的组成部分，并对</w:t>
      </w:r>
      <w:r>
        <w:rPr>
          <w:rFonts w:hint="eastAsia" w:ascii="宋体" w:hAnsi="宋体" w:eastAsia="宋体" w:cs="Times New Roman"/>
          <w:color w:val="auto"/>
          <w:sz w:val="24"/>
          <w:highlight w:val="none"/>
        </w:rPr>
        <w:t>投标人</w:t>
      </w:r>
      <w:r>
        <w:rPr>
          <w:rFonts w:hint="eastAsia" w:ascii="宋体" w:hAnsi="宋体" w:eastAsia="宋体" w:cs="宋体"/>
          <w:color w:val="auto"/>
          <w:sz w:val="24"/>
          <w:szCs w:val="24"/>
          <w:highlight w:val="none"/>
        </w:rPr>
        <w:t>具有约束力。</w:t>
      </w:r>
    </w:p>
    <w:p w14:paraId="44945C1C">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Times New Roman"/>
          <w:color w:val="auto"/>
          <w:sz w:val="24"/>
          <w:highlight w:val="none"/>
        </w:rPr>
        <w:t>投标人应在提交投标文件截止时间前</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关注原公告媒体有关本项目的更正公告</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根据更正公告内容自行决定是否需要重新制作和提交投标文件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并承担由此产生的相应责任。</w:t>
      </w:r>
    </w:p>
    <w:p w14:paraId="665C164D">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w:t>
      </w:r>
      <w:r>
        <w:rPr>
          <w:rFonts w:hint="eastAsia" w:ascii="宋体" w:hAnsi="宋体" w:eastAsia="宋体" w:cs="宋体"/>
          <w:color w:val="auto"/>
          <w:sz w:val="24"/>
          <w:szCs w:val="24"/>
          <w:highlight w:val="none"/>
          <w:lang w:eastAsia="zh-CN"/>
        </w:rPr>
        <w:t>采购代理机构</w:t>
      </w:r>
      <w:r>
        <w:rPr>
          <w:rFonts w:hint="eastAsia" w:ascii="宋体" w:hAnsi="宋体" w:eastAsia="宋体" w:cs="Times New Roman"/>
          <w:color w:val="auto"/>
          <w:sz w:val="24"/>
          <w:highlight w:val="none"/>
        </w:rPr>
        <w:t>有权按照法定的要求推迟投标截止日期和开标日期</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并在原公告媒体发布更正公告。</w:t>
      </w:r>
    </w:p>
    <w:p w14:paraId="5FE5C8C6">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eastAsia" w:ascii="宋体" w:hAnsi="宋体" w:eastAsia="宋体" w:cs="宋体"/>
          <w:b/>
          <w:bCs/>
          <w:color w:val="auto"/>
          <w:sz w:val="28"/>
          <w:szCs w:val="28"/>
          <w:highlight w:val="none"/>
        </w:rPr>
      </w:pPr>
      <w:bookmarkStart w:id="206" w:name="_Toc3685"/>
      <w:bookmarkStart w:id="207" w:name="_Toc739"/>
      <w:bookmarkStart w:id="208" w:name="_Toc30563"/>
      <w:bookmarkStart w:id="209" w:name="_Toc12674"/>
      <w:r>
        <w:rPr>
          <w:rFonts w:hint="eastAsia" w:ascii="宋体" w:hAnsi="宋体" w:eastAsia="宋体" w:cs="宋体"/>
          <w:b/>
          <w:bCs/>
          <w:color w:val="auto"/>
          <w:sz w:val="28"/>
          <w:szCs w:val="28"/>
          <w:highlight w:val="none"/>
        </w:rPr>
        <w:t>三、</w:t>
      </w:r>
      <w:r>
        <w:rPr>
          <w:rFonts w:hint="eastAsia" w:cs="宋体"/>
          <w:b/>
          <w:bCs/>
          <w:color w:val="auto"/>
          <w:sz w:val="28"/>
          <w:szCs w:val="28"/>
          <w:highlight w:val="none"/>
          <w:lang w:eastAsia="zh-CN"/>
        </w:rPr>
        <w:t>投标文件</w:t>
      </w:r>
      <w:r>
        <w:rPr>
          <w:rFonts w:hint="eastAsia" w:ascii="宋体" w:hAnsi="宋体" w:eastAsia="宋体" w:cs="宋体"/>
          <w:b/>
          <w:bCs/>
          <w:color w:val="auto"/>
          <w:sz w:val="28"/>
          <w:szCs w:val="28"/>
          <w:highlight w:val="none"/>
        </w:rPr>
        <w:t>的编制</w:t>
      </w:r>
      <w:bookmarkEnd w:id="206"/>
      <w:bookmarkEnd w:id="207"/>
      <w:bookmarkEnd w:id="208"/>
      <w:bookmarkEnd w:id="209"/>
    </w:p>
    <w:p w14:paraId="3D98E419">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的语言及度量衡单位</w:t>
      </w:r>
    </w:p>
    <w:p w14:paraId="28EA633F">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0" w:name="_Toc27993"/>
      <w:r>
        <w:rPr>
          <w:rFonts w:hint="eastAsia" w:ascii="宋体" w:hAnsi="宋体" w:eastAsia="宋体" w:cs="宋体"/>
          <w:b w:val="0"/>
          <w:bCs w:val="0"/>
          <w:color w:val="auto"/>
          <w:sz w:val="24"/>
          <w:szCs w:val="24"/>
          <w:highlight w:val="none"/>
        </w:rPr>
        <w:t>9.1投标人提交的投标文件以及投标人与</w:t>
      </w:r>
      <w:r>
        <w:rPr>
          <w:rFonts w:hint="eastAsia" w:cs="宋体"/>
          <w:b w:val="0"/>
          <w:bCs w:val="0"/>
          <w:color w:val="auto"/>
          <w:sz w:val="24"/>
          <w:szCs w:val="24"/>
          <w:highlight w:val="none"/>
          <w:lang w:eastAsia="zh-CN"/>
        </w:rPr>
        <w:t>采购代理机构</w:t>
      </w:r>
      <w:r>
        <w:rPr>
          <w:rFonts w:hint="eastAsia" w:ascii="宋体" w:hAnsi="宋体" w:eastAsia="宋体" w:cs="宋体"/>
          <w:b w:val="0"/>
          <w:bCs w:val="0"/>
          <w:color w:val="auto"/>
          <w:sz w:val="24"/>
          <w:szCs w:val="24"/>
          <w:highlight w:val="none"/>
        </w:rPr>
        <w:t>就有关投标的所有来往通知、函件和文件均应使用简体中文。</w:t>
      </w:r>
      <w:bookmarkEnd w:id="210"/>
    </w:p>
    <w:p w14:paraId="49ED3B6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1" w:name="_Toc10889"/>
      <w:r>
        <w:rPr>
          <w:rFonts w:hint="eastAsia" w:ascii="宋体" w:hAnsi="宋体" w:eastAsia="宋体" w:cs="宋体"/>
          <w:b w:val="0"/>
          <w:bCs w:val="0"/>
          <w:color w:val="auto"/>
          <w:sz w:val="24"/>
          <w:szCs w:val="24"/>
          <w:highlight w:val="none"/>
        </w:rPr>
        <w:t>9.2除技术性能另有规定外</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投标文件所使用的度量衡单位</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均须采用国家法定计量单位。</w:t>
      </w:r>
      <w:bookmarkEnd w:id="211"/>
    </w:p>
    <w:p w14:paraId="046028B3">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构成</w:t>
      </w:r>
    </w:p>
    <w:p w14:paraId="77690339">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2" w:name="_Toc1968"/>
      <w:r>
        <w:rPr>
          <w:rFonts w:hint="eastAsia" w:ascii="宋体" w:hAnsi="宋体" w:eastAsia="宋体" w:cs="宋体"/>
          <w:b w:val="0"/>
          <w:bCs w:val="0"/>
          <w:color w:val="auto"/>
          <w:sz w:val="24"/>
          <w:szCs w:val="24"/>
          <w:highlight w:val="none"/>
        </w:rPr>
        <w:t>10.1投标人编写的投标文件应包括资格证明文件、符合性证明文件、</w:t>
      </w:r>
      <w:r>
        <w:rPr>
          <w:rFonts w:hint="eastAsia" w:ascii="宋体" w:hAnsi="宋体" w:eastAsia="宋体" w:cs="宋体"/>
          <w:b w:val="0"/>
          <w:bCs w:val="0"/>
          <w:color w:val="auto"/>
          <w:sz w:val="24"/>
          <w:szCs w:val="24"/>
          <w:highlight w:val="none"/>
          <w:lang w:val="en-US" w:eastAsia="zh-CN"/>
        </w:rPr>
        <w:t>投标分项报价表</w:t>
      </w:r>
      <w:r>
        <w:rPr>
          <w:rFonts w:hint="eastAsia" w:ascii="宋体" w:hAnsi="宋体" w:eastAsia="宋体" w:cs="宋体"/>
          <w:b w:val="0"/>
          <w:bCs w:val="0"/>
          <w:color w:val="auto"/>
          <w:sz w:val="24"/>
          <w:szCs w:val="24"/>
          <w:highlight w:val="none"/>
        </w:rPr>
        <w:t>、响应及偏离表、其他证明文件、投标函、开标一览表等部分。</w:t>
      </w:r>
      <w:bookmarkEnd w:id="212"/>
    </w:p>
    <w:p w14:paraId="66F30F2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3" w:name="_Toc7244"/>
      <w:r>
        <w:rPr>
          <w:rFonts w:hint="eastAsia" w:ascii="宋体" w:hAnsi="宋体" w:eastAsia="宋体" w:cs="宋体"/>
          <w:b w:val="0"/>
          <w:bCs w:val="0"/>
          <w:color w:val="auto"/>
          <w:sz w:val="24"/>
          <w:szCs w:val="24"/>
          <w:highlight w:val="none"/>
        </w:rPr>
        <w:t>10.2如标书制作工具中格式和内容与“江苏政府采购网”发布的招标文件不一致</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以“江苏政府采购网”发布的招标文件为准。</w:t>
      </w:r>
      <w:bookmarkEnd w:id="213"/>
    </w:p>
    <w:p w14:paraId="7CC98770">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11.证明投标人及投标标的符合招标文件规定的文件</w:t>
      </w:r>
    </w:p>
    <w:p w14:paraId="445415E7">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4" w:name="_Toc23475"/>
      <w:r>
        <w:rPr>
          <w:rFonts w:hint="eastAsia" w:ascii="宋体" w:hAnsi="宋体" w:eastAsia="宋体" w:cs="宋体"/>
          <w:b w:val="0"/>
          <w:bCs w:val="0"/>
          <w:color w:val="auto"/>
          <w:sz w:val="24"/>
          <w:szCs w:val="24"/>
          <w:highlight w:val="none"/>
        </w:rPr>
        <w:t>11.1投标人应按照法律、法规、规章和规范性文件以及招标文件要求提交证明文件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证明其投标标的符合招标文件规定。</w:t>
      </w:r>
      <w:bookmarkEnd w:id="214"/>
    </w:p>
    <w:p w14:paraId="2133FA5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5" w:name="_Toc24955"/>
      <w:r>
        <w:rPr>
          <w:rFonts w:hint="eastAsia" w:ascii="宋体" w:hAnsi="宋体" w:eastAsia="宋体" w:cs="宋体"/>
          <w:b w:val="0"/>
          <w:bCs w:val="0"/>
          <w:color w:val="auto"/>
          <w:sz w:val="24"/>
          <w:szCs w:val="24"/>
          <w:highlight w:val="none"/>
        </w:rPr>
        <w:t>11.2招标文件对证明文件无明确形式要求的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证明文件可以以文字资料、图纸和数据等形式提交。</w:t>
      </w:r>
      <w:bookmarkEnd w:id="215"/>
    </w:p>
    <w:p w14:paraId="64E5673C">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分项报价表</w:t>
      </w:r>
      <w:r>
        <w:rPr>
          <w:rFonts w:hint="eastAsia" w:ascii="宋体" w:hAnsi="宋体" w:eastAsia="宋体" w:cs="宋体"/>
          <w:color w:val="auto"/>
          <w:sz w:val="24"/>
          <w:szCs w:val="24"/>
          <w:highlight w:val="none"/>
          <w:lang w:val="zh-CN"/>
        </w:rPr>
        <w:t>（如有）</w:t>
      </w:r>
    </w:p>
    <w:p w14:paraId="2E8D4A5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6" w:name="_Toc4376"/>
      <w:r>
        <w:rPr>
          <w:rFonts w:hint="eastAsia" w:ascii="宋体" w:hAnsi="宋体" w:eastAsia="宋体" w:cs="宋体"/>
          <w:b w:val="0"/>
          <w:bCs w:val="0"/>
          <w:color w:val="auto"/>
          <w:sz w:val="24"/>
          <w:szCs w:val="24"/>
          <w:highlight w:val="none"/>
        </w:rPr>
        <w:t>12.1投</w:t>
      </w:r>
      <w:bookmarkStart w:id="217" w:name="_Hlt26954840"/>
      <w:bookmarkEnd w:id="217"/>
      <w:r>
        <w:rPr>
          <w:rFonts w:hint="eastAsia" w:ascii="宋体" w:hAnsi="宋体" w:eastAsia="宋体" w:cs="宋体"/>
          <w:b w:val="0"/>
          <w:bCs w:val="0"/>
          <w:color w:val="auto"/>
          <w:sz w:val="24"/>
          <w:szCs w:val="24"/>
          <w:highlight w:val="none"/>
        </w:rPr>
        <w:t>标人应按照招标文件规定格式填报</w:t>
      </w:r>
      <w:bookmarkStart w:id="218" w:name="_Hlt26670399"/>
      <w:bookmarkEnd w:id="218"/>
      <w:r>
        <w:rPr>
          <w:rFonts w:hint="eastAsia" w:ascii="宋体" w:hAnsi="宋体" w:eastAsia="宋体" w:cs="宋体"/>
          <w:b w:val="0"/>
          <w:bCs w:val="0"/>
          <w:color w:val="auto"/>
          <w:sz w:val="24"/>
          <w:szCs w:val="24"/>
          <w:highlight w:val="none"/>
          <w:lang w:val="en-US" w:eastAsia="zh-CN"/>
        </w:rPr>
        <w:t>投标分项报价表</w:t>
      </w:r>
      <w:r>
        <w:rPr>
          <w:rFonts w:hint="eastAsia" w:ascii="宋体" w:hAnsi="宋体" w:eastAsia="宋体" w:cs="宋体"/>
          <w:b w:val="0"/>
          <w:bCs w:val="0"/>
          <w:color w:val="auto"/>
          <w:sz w:val="24"/>
          <w:szCs w:val="24"/>
          <w:highlight w:val="none"/>
        </w:rPr>
        <w:t>。</w:t>
      </w:r>
      <w:bookmarkEnd w:id="216"/>
    </w:p>
    <w:p w14:paraId="55405B2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rPr>
      </w:pPr>
      <w:bookmarkStart w:id="219" w:name="_Toc22675"/>
      <w:r>
        <w:rPr>
          <w:rFonts w:hint="eastAsia" w:ascii="宋体" w:hAnsi="宋体" w:eastAsia="宋体" w:cs="宋体"/>
          <w:b w:val="0"/>
          <w:bCs w:val="0"/>
          <w:color w:val="auto"/>
          <w:sz w:val="24"/>
          <w:szCs w:val="24"/>
          <w:highlight w:val="none"/>
        </w:rPr>
        <w:t>12.2投标文件中的单价和总价无特殊规定的采用人民币报价</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以元为单位标注。招标文件另有规定的按规定执行。</w:t>
      </w:r>
      <w:bookmarkEnd w:id="219"/>
    </w:p>
    <w:p w14:paraId="6CE9ACA7">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13.响应及偏离表</w:t>
      </w:r>
    </w:p>
    <w:p w14:paraId="4536D95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lang w:val="zh-CN"/>
        </w:rPr>
      </w:pPr>
      <w:bookmarkStart w:id="220" w:name="_Toc29597"/>
      <w:r>
        <w:rPr>
          <w:rFonts w:hint="eastAsia" w:ascii="宋体" w:hAnsi="宋体" w:eastAsia="宋体" w:cs="宋体"/>
          <w:b w:val="0"/>
          <w:bCs w:val="0"/>
          <w:color w:val="auto"/>
          <w:sz w:val="24"/>
          <w:szCs w:val="24"/>
          <w:highlight w:val="none"/>
          <w:lang w:val="zh-CN"/>
        </w:rPr>
        <w:t>13.1投标人需对招标文件中的技术要求与商务要求逐项作出响应</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CN"/>
        </w:rPr>
        <w:t>偏离说明。</w:t>
      </w:r>
      <w:bookmarkEnd w:id="220"/>
    </w:p>
    <w:p w14:paraId="41198E89">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val="0"/>
          <w:bCs w:val="0"/>
          <w:color w:val="auto"/>
          <w:sz w:val="24"/>
          <w:szCs w:val="24"/>
          <w:highlight w:val="none"/>
          <w:lang w:val="zh-CN"/>
        </w:rPr>
      </w:pPr>
      <w:bookmarkStart w:id="221" w:name="_Toc12484"/>
      <w:r>
        <w:rPr>
          <w:rFonts w:hint="eastAsia" w:ascii="宋体" w:hAnsi="宋体" w:eastAsia="宋体" w:cs="宋体"/>
          <w:b w:val="0"/>
          <w:bCs w:val="0"/>
          <w:color w:val="auto"/>
          <w:sz w:val="24"/>
          <w:szCs w:val="24"/>
          <w:highlight w:val="none"/>
          <w:lang w:val="zh-CN"/>
        </w:rPr>
        <w:t>13.2投标人可以在投标文件中提供认为需要的其他技术文件或说明。</w:t>
      </w:r>
      <w:bookmarkEnd w:id="221"/>
    </w:p>
    <w:p w14:paraId="620B900C">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bookmarkStart w:id="222" w:name="_Toc49090510"/>
      <w:bookmarkStart w:id="223" w:name="_Toc14577359"/>
      <w:bookmarkStart w:id="224" w:name="_Toc12918"/>
      <w:bookmarkStart w:id="225" w:name="_Toc12385"/>
      <w:bookmarkStart w:id="226" w:name="_Toc29859"/>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投标函和开标一览表</w:t>
      </w:r>
    </w:p>
    <w:p w14:paraId="443889A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rPr>
      </w:pPr>
      <w:bookmarkStart w:id="227" w:name="_Toc26222"/>
      <w:r>
        <w:rPr>
          <w:rFonts w:hint="eastAsia" w:ascii="宋体" w:hAnsi="宋体" w:eastAsia="宋体" w:cs="宋体"/>
          <w:color w:val="auto"/>
          <w:sz w:val="24"/>
          <w:szCs w:val="24"/>
          <w:highlight w:val="none"/>
          <w:lang w:val="zh-CN"/>
        </w:rPr>
        <w:t>14.1投标人应按照招标文件规定格式完整、正确填报投标函、开标一览表。</w:t>
      </w:r>
      <w:bookmarkEnd w:id="227"/>
    </w:p>
    <w:p w14:paraId="2D532CF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rPr>
      </w:pPr>
      <w:bookmarkStart w:id="228" w:name="_Toc30270"/>
      <w:r>
        <w:rPr>
          <w:rFonts w:hint="eastAsia" w:ascii="宋体" w:hAnsi="宋体" w:eastAsia="宋体" w:cs="宋体"/>
          <w:color w:val="auto"/>
          <w:sz w:val="24"/>
          <w:szCs w:val="24"/>
          <w:highlight w:val="none"/>
          <w:lang w:val="zh-CN"/>
        </w:rPr>
        <w:t>14.2对于采用货币报价的项目，开标一览表中的投标总报价应与</w:t>
      </w:r>
      <w:r>
        <w:rPr>
          <w:rFonts w:hint="eastAsia" w:ascii="宋体" w:hAnsi="宋体" w:eastAsia="宋体" w:cs="宋体"/>
          <w:color w:val="auto"/>
          <w:sz w:val="24"/>
          <w:szCs w:val="24"/>
          <w:highlight w:val="none"/>
          <w:lang w:val="en-US" w:eastAsia="zh-CN"/>
        </w:rPr>
        <w:t>投标分项报价表</w:t>
      </w:r>
      <w:r>
        <w:rPr>
          <w:rFonts w:hint="eastAsia" w:ascii="宋体" w:hAnsi="宋体" w:eastAsia="宋体" w:cs="宋体"/>
          <w:color w:val="auto"/>
          <w:sz w:val="24"/>
          <w:szCs w:val="24"/>
          <w:highlight w:val="none"/>
          <w:lang w:val="zh-CN"/>
        </w:rPr>
        <w:t>中的投标总报价一致，如不一致评标时以开标一览表中价格为准。</w:t>
      </w:r>
      <w:bookmarkEnd w:id="228"/>
    </w:p>
    <w:bookmarkEnd w:id="222"/>
    <w:bookmarkEnd w:id="223"/>
    <w:p w14:paraId="7C9E3CF1">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bookmarkStart w:id="229" w:name="_Hlt26954734"/>
      <w:bookmarkEnd w:id="229"/>
      <w:bookmarkStart w:id="230" w:name="_Hlt26670489"/>
      <w:bookmarkEnd w:id="230"/>
      <w:bookmarkStart w:id="231" w:name="_Hlt26954850"/>
      <w:bookmarkEnd w:id="231"/>
      <w:bookmarkStart w:id="232" w:name="_Toc14577360"/>
      <w:bookmarkStart w:id="233" w:name="_Toc49090511"/>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投标有效期</w:t>
      </w:r>
      <w:bookmarkEnd w:id="232"/>
      <w:bookmarkEnd w:id="233"/>
    </w:p>
    <w:p w14:paraId="511D9BE3">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rPr>
      </w:pPr>
      <w:bookmarkStart w:id="234" w:name="_Toc3025"/>
      <w:r>
        <w:rPr>
          <w:rFonts w:hint="eastAsia" w:ascii="宋体" w:hAnsi="宋体" w:eastAsia="宋体" w:cs="宋体"/>
          <w:color w:val="auto"/>
          <w:sz w:val="24"/>
          <w:szCs w:val="24"/>
          <w:highlight w:val="none"/>
          <w:lang w:val="zh-CN"/>
        </w:rPr>
        <w:t>15.1投标有效期为</w:t>
      </w:r>
      <w:r>
        <w:rPr>
          <w:rFonts w:hint="eastAsia" w:ascii="宋体" w:hAnsi="宋体" w:eastAsia="宋体" w:cs="宋体"/>
          <w:color w:val="auto"/>
          <w:sz w:val="24"/>
          <w:szCs w:val="24"/>
          <w:highlight w:val="none"/>
          <w:lang w:val="zh-CN" w:eastAsia="zh-CN"/>
        </w:rPr>
        <w:t>招标公告</w:t>
      </w:r>
      <w:r>
        <w:rPr>
          <w:rFonts w:hint="eastAsia" w:ascii="宋体" w:hAnsi="宋体" w:eastAsia="宋体" w:cs="宋体"/>
          <w:color w:val="auto"/>
          <w:sz w:val="24"/>
          <w:szCs w:val="24"/>
          <w:highlight w:val="none"/>
          <w:lang w:val="zh-CN"/>
        </w:rPr>
        <w:t>规定的开标之日起六十天。投标有效期比规定短的将被视为未实质性响应招标文件而被拒绝。</w:t>
      </w:r>
      <w:bookmarkEnd w:id="234"/>
    </w:p>
    <w:p w14:paraId="6000FC5A">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投标有效期的延长</w:t>
      </w:r>
    </w:p>
    <w:p w14:paraId="3B85E7BC">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rPr>
      </w:pPr>
      <w:bookmarkStart w:id="235" w:name="_Toc13762"/>
      <w:r>
        <w:rPr>
          <w:rFonts w:hint="eastAsia" w:ascii="宋体" w:hAnsi="宋体" w:eastAsia="宋体" w:cs="宋体"/>
          <w:color w:val="auto"/>
          <w:sz w:val="24"/>
          <w:szCs w:val="24"/>
          <w:highlight w:val="none"/>
          <w:lang w:val="zh-CN"/>
        </w:rPr>
        <w:t>16.1在特殊情况下，</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lang w:val="zh-CN"/>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auto"/>
          <w:sz w:val="24"/>
          <w:szCs w:val="24"/>
          <w:highlight w:val="none"/>
          <w:lang w:val="zh-CN" w:eastAsia="zh-CN"/>
        </w:rPr>
        <w:t>满</w:t>
      </w:r>
      <w:r>
        <w:rPr>
          <w:rFonts w:hint="eastAsia" w:ascii="宋体" w:hAnsi="宋体" w:eastAsia="宋体" w:cs="宋体"/>
          <w:color w:val="auto"/>
          <w:sz w:val="24"/>
          <w:szCs w:val="24"/>
          <w:highlight w:val="none"/>
          <w:lang w:val="zh-CN"/>
        </w:rPr>
        <w:t>。</w:t>
      </w:r>
      <w:bookmarkEnd w:id="235"/>
    </w:p>
    <w:p w14:paraId="75A1AC9C">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eastAsia" w:ascii="宋体" w:hAnsi="宋体" w:eastAsia="宋体" w:cs="宋体"/>
          <w:b/>
          <w:bCs/>
          <w:color w:val="auto"/>
          <w:sz w:val="28"/>
          <w:szCs w:val="28"/>
          <w:highlight w:val="none"/>
        </w:rPr>
      </w:pPr>
      <w:bookmarkStart w:id="236" w:name="_Toc2790"/>
      <w:r>
        <w:rPr>
          <w:rFonts w:hint="eastAsia" w:ascii="宋体" w:hAnsi="宋体" w:eastAsia="宋体" w:cs="宋体"/>
          <w:b/>
          <w:bCs/>
          <w:color w:val="auto"/>
          <w:sz w:val="28"/>
          <w:szCs w:val="28"/>
          <w:highlight w:val="none"/>
        </w:rPr>
        <w:t>四、</w:t>
      </w:r>
      <w:r>
        <w:rPr>
          <w:rFonts w:hint="eastAsia" w:cs="宋体"/>
          <w:b/>
          <w:bCs/>
          <w:color w:val="auto"/>
          <w:sz w:val="28"/>
          <w:szCs w:val="28"/>
          <w:highlight w:val="none"/>
          <w:lang w:eastAsia="zh-CN"/>
        </w:rPr>
        <w:t>投标文件</w:t>
      </w:r>
      <w:r>
        <w:rPr>
          <w:rFonts w:hint="eastAsia" w:ascii="宋体" w:hAnsi="宋体" w:eastAsia="宋体" w:cs="宋体"/>
          <w:b/>
          <w:bCs/>
          <w:color w:val="auto"/>
          <w:sz w:val="28"/>
          <w:szCs w:val="28"/>
          <w:highlight w:val="none"/>
        </w:rPr>
        <w:t>的递交</w:t>
      </w:r>
      <w:bookmarkEnd w:id="224"/>
      <w:bookmarkEnd w:id="225"/>
      <w:bookmarkEnd w:id="226"/>
      <w:bookmarkEnd w:id="236"/>
    </w:p>
    <w:p w14:paraId="2BE05648">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的递交</w:t>
      </w:r>
    </w:p>
    <w:p w14:paraId="45706DD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37" w:name="_Toc6594"/>
      <w:r>
        <w:rPr>
          <w:rFonts w:hint="eastAsia" w:ascii="宋体" w:hAnsi="宋体" w:eastAsia="宋体" w:cs="宋体"/>
          <w:color w:val="auto"/>
          <w:sz w:val="24"/>
          <w:szCs w:val="24"/>
          <w:highlight w:val="none"/>
          <w:lang w:val="zh-CN" w:eastAsia="en-US"/>
        </w:rPr>
        <w:t>17.1投标人应当按照《操作手册》规定，在招标公告规定的投标截止时间前制作并上传电子投标文件。</w:t>
      </w:r>
      <w:bookmarkEnd w:id="237"/>
      <w:bookmarkStart w:id="238" w:name="_Toc513029226"/>
      <w:bookmarkStart w:id="239" w:name="_Toc20823298"/>
      <w:bookmarkStart w:id="240" w:name="_Toc16938542"/>
    </w:p>
    <w:bookmarkEnd w:id="238"/>
    <w:bookmarkEnd w:id="239"/>
    <w:bookmarkEnd w:id="240"/>
    <w:p w14:paraId="60D73C9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41" w:name="_Toc27846"/>
      <w:r>
        <w:rPr>
          <w:rFonts w:hint="eastAsia" w:ascii="宋体" w:hAnsi="宋体" w:eastAsia="宋体" w:cs="宋体"/>
          <w:color w:val="auto"/>
          <w:sz w:val="24"/>
          <w:szCs w:val="24"/>
          <w:highlight w:val="none"/>
          <w:lang w:val="zh-CN" w:eastAsia="en-US"/>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en-US"/>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en-US"/>
        </w:rPr>
        <w:t>投标人应充分考虑网络环境、网络带宽等因素</w:t>
      </w:r>
      <w:r>
        <w:rPr>
          <w:rFonts w:hint="eastAsia" w:ascii="宋体" w:hAnsi="宋体" w:eastAsia="宋体" w:cs="宋体"/>
          <w:color w:val="auto"/>
          <w:sz w:val="24"/>
          <w:szCs w:val="24"/>
          <w:highlight w:val="none"/>
          <w:lang w:val="en-US" w:eastAsia="zh-CN"/>
        </w:rPr>
        <w:t>可能对投标产生的影响</w:t>
      </w:r>
      <w:r>
        <w:rPr>
          <w:rFonts w:hint="eastAsia" w:ascii="宋体" w:hAnsi="宋体" w:eastAsia="宋体" w:cs="宋体"/>
          <w:color w:val="auto"/>
          <w:sz w:val="24"/>
          <w:szCs w:val="24"/>
          <w:highlight w:val="none"/>
          <w:lang w:val="zh-CN" w:eastAsia="en-US"/>
        </w:rPr>
        <w:t>，如因投标人自身原因造成的电子投标文件上传不成功的，按照本招标文件第二章第2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en-US"/>
        </w:rPr>
        <w:t>.1条规定做无效投标处理。</w:t>
      </w:r>
      <w:bookmarkEnd w:id="241"/>
    </w:p>
    <w:p w14:paraId="714B444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42" w:name="_Toc13730"/>
      <w:r>
        <w:rPr>
          <w:rFonts w:hint="eastAsia" w:ascii="宋体" w:hAnsi="宋体" w:eastAsia="宋体" w:cs="宋体"/>
          <w:color w:val="auto"/>
          <w:sz w:val="24"/>
          <w:szCs w:val="24"/>
          <w:highlight w:val="none"/>
          <w:lang w:val="zh-CN" w:eastAsia="en-US"/>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en-US"/>
        </w:rPr>
        <w:t>.</w:t>
      </w:r>
      <w:r>
        <w:rPr>
          <w:rFonts w:hint="eastAsia" w:ascii="宋体" w:hAnsi="宋体" w:eastAsia="宋体" w:cs="宋体"/>
          <w:color w:val="auto"/>
          <w:sz w:val="24"/>
          <w:szCs w:val="24"/>
          <w:highlight w:val="none"/>
          <w:lang w:val="en-US" w:eastAsia="zh-CN"/>
        </w:rPr>
        <w:t>3采购代理机构</w:t>
      </w:r>
      <w:r>
        <w:rPr>
          <w:rFonts w:hint="eastAsia" w:ascii="宋体" w:hAnsi="宋体" w:eastAsia="宋体" w:cs="宋体"/>
          <w:color w:val="auto"/>
          <w:sz w:val="24"/>
          <w:szCs w:val="24"/>
          <w:highlight w:val="none"/>
          <w:lang w:val="zh-CN" w:eastAsia="en-US"/>
        </w:rPr>
        <w:t>可以按照规定，通过修改招标文件酌情延长投标截止时间，在此情况下，投标人的所有权利和义务均以延长后新的截止时间为准。</w:t>
      </w:r>
      <w:bookmarkEnd w:id="242"/>
    </w:p>
    <w:p w14:paraId="362EC339">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的拒收</w:t>
      </w:r>
    </w:p>
    <w:p w14:paraId="58610CF4">
      <w:pPr>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r>
        <w:rPr>
          <w:rFonts w:hint="eastAsia" w:ascii="宋体" w:hAnsi="宋体" w:eastAsia="宋体" w:cs="Times New Roman"/>
          <w:color w:val="auto"/>
          <w:sz w:val="24"/>
          <w:highlight w:val="none"/>
          <w:lang w:val="zh-CN"/>
        </w:rPr>
        <w:t>投标截止时间后上传的任何投标文件将被拒绝。</w:t>
      </w:r>
    </w:p>
    <w:p w14:paraId="7B1AC5CE">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的撤回和修改</w:t>
      </w:r>
    </w:p>
    <w:p w14:paraId="22D3A31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43" w:name="_Toc4937"/>
      <w:bookmarkStart w:id="244" w:name="_Toc24727"/>
      <w:bookmarkStart w:id="245" w:name="_Toc9252"/>
      <w:bookmarkStart w:id="246" w:name="_Toc12800"/>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eastAsia="en-US"/>
        </w:rPr>
        <w:t>.1投标文件的撤回</w:t>
      </w:r>
      <w:bookmarkEnd w:id="243"/>
    </w:p>
    <w:p w14:paraId="7ADFD7A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47" w:name="_Toc6097"/>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eastAsia="en-US"/>
        </w:rPr>
        <w:t>.1.1投标人可在投标截止时间前撤回其电子投标文件，具体操作方法见《操作手册》。</w:t>
      </w:r>
      <w:bookmarkEnd w:id="247"/>
    </w:p>
    <w:p w14:paraId="59829FA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48" w:name="_Toc7985"/>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eastAsia="en-US"/>
        </w:rPr>
        <w:t>.1.2投标人撤回电子投标文件，则认为其不再参与本项目投标活动。</w:t>
      </w:r>
      <w:bookmarkEnd w:id="248"/>
    </w:p>
    <w:p w14:paraId="1C1A449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49" w:name="_Toc16851"/>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eastAsia="en-US"/>
        </w:rPr>
        <w:t>.2投标文件的修改</w:t>
      </w:r>
      <w:bookmarkEnd w:id="249"/>
    </w:p>
    <w:p w14:paraId="64E07F1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50" w:name="_Toc2201"/>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eastAsia="en-US"/>
        </w:rPr>
        <w:t>.2.1投标人可在投标截止时间前对其电子投标文件进行修改，具体操作方法见《操作手册》。</w:t>
      </w:r>
      <w:bookmarkEnd w:id="250"/>
    </w:p>
    <w:p w14:paraId="7DB3121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51" w:name="_Toc23924"/>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eastAsia="en-US"/>
        </w:rPr>
        <w:t>.2.2投标截止时间之后，投标人不得对其电子投标文件作任何修改。</w:t>
      </w:r>
      <w:bookmarkEnd w:id="251"/>
    </w:p>
    <w:p w14:paraId="1E5DE14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en-US"/>
        </w:rPr>
      </w:pPr>
      <w:bookmarkStart w:id="252" w:name="_Toc973"/>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zh-CN" w:eastAsia="en-US"/>
        </w:rPr>
        <w:t>.3在投标截止时间至招标文件中规定的投标有效期满之间的这段时间内，投标人不得撤回其投标。</w:t>
      </w:r>
      <w:bookmarkEnd w:id="252"/>
    </w:p>
    <w:bookmarkEnd w:id="194"/>
    <w:bookmarkEnd w:id="195"/>
    <w:bookmarkEnd w:id="196"/>
    <w:bookmarkEnd w:id="197"/>
    <w:bookmarkEnd w:id="244"/>
    <w:bookmarkEnd w:id="245"/>
    <w:bookmarkEnd w:id="246"/>
    <w:p w14:paraId="624BF6C9">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eastAsia" w:ascii="宋体" w:hAnsi="宋体" w:eastAsia="宋体" w:cs="宋体"/>
          <w:b/>
          <w:bCs/>
          <w:color w:val="auto"/>
          <w:sz w:val="28"/>
          <w:szCs w:val="28"/>
          <w:highlight w:val="none"/>
          <w:lang w:val="en-US" w:eastAsia="zh-CN"/>
        </w:rPr>
      </w:pPr>
      <w:bookmarkStart w:id="253" w:name="_Toc186"/>
      <w:r>
        <w:rPr>
          <w:rFonts w:hint="eastAsia" w:ascii="宋体" w:hAnsi="宋体" w:eastAsia="宋体" w:cs="宋体"/>
          <w:b/>
          <w:bCs/>
          <w:color w:val="auto"/>
          <w:sz w:val="28"/>
          <w:szCs w:val="28"/>
          <w:highlight w:val="none"/>
          <w:lang w:val="en-US" w:eastAsia="zh-CN"/>
        </w:rPr>
        <w:t>五、开标与评标</w:t>
      </w:r>
      <w:bookmarkEnd w:id="253"/>
    </w:p>
    <w:p w14:paraId="16E0B09B">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bookmarkStart w:id="254" w:name="_Toc16938546"/>
      <w:bookmarkStart w:id="255" w:name="_Toc20823302"/>
      <w:bookmarkStart w:id="256" w:name="_Toc513029230"/>
      <w:r>
        <w:rPr>
          <w:rFonts w:hint="eastAsia" w:ascii="宋体" w:hAnsi="宋体" w:eastAsia="宋体" w:cs="宋体"/>
          <w:color w:val="auto"/>
          <w:sz w:val="24"/>
          <w:szCs w:val="24"/>
          <w:highlight w:val="none"/>
          <w:lang w:val="en-US" w:eastAsia="zh-CN"/>
        </w:rPr>
        <w:t>20.开标</w:t>
      </w:r>
      <w:bookmarkEnd w:id="254"/>
      <w:bookmarkEnd w:id="255"/>
      <w:bookmarkEnd w:id="256"/>
    </w:p>
    <w:p w14:paraId="35365875">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57" w:name="_Toc24056"/>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zh-CN" w:eastAsia="zh-CN"/>
        </w:rPr>
        <w:t>.1采购代理机构在招标公告中规定的时间和地点组织公开开标。投标人按照《操作手册》规定参加开标活动，并在苏采云系统规定的时间内对投标文件进行解密。苏采云系统公布各投标人名称和投标价格。</w:t>
      </w:r>
      <w:bookmarkEnd w:id="257"/>
    </w:p>
    <w:p w14:paraId="1377BAE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58" w:name="_Toc7769"/>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投标人在开标过程中涉及到的投标文件解密、开标结果确认等工作，应按照《操作手册》规定执行。</w:t>
      </w:r>
      <w:bookmarkEnd w:id="258"/>
    </w:p>
    <w:p w14:paraId="5E55698F">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59" w:name="_Toc6231"/>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投标人如果对开标过程和开标结果有疑义，应当根据《操作手册》规定提出，苏采云系统中《开标记录表》公布后5分钟内未提出的，视同认可开标结果。</w:t>
      </w:r>
      <w:bookmarkEnd w:id="259"/>
    </w:p>
    <w:p w14:paraId="100C81EA">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bookmarkStart w:id="260" w:name="_Toc16938547"/>
      <w:bookmarkStart w:id="261" w:name="_Toc20823303"/>
      <w:bookmarkStart w:id="262" w:name="_Toc513029231"/>
      <w:r>
        <w:rPr>
          <w:rFonts w:hint="eastAsia" w:ascii="宋体" w:hAnsi="宋体" w:eastAsia="宋体" w:cs="宋体"/>
          <w:color w:val="auto"/>
          <w:sz w:val="24"/>
          <w:szCs w:val="24"/>
          <w:highlight w:val="none"/>
          <w:lang w:val="en-US" w:eastAsia="zh-CN"/>
        </w:rPr>
        <w:t>21.评标</w:t>
      </w:r>
    </w:p>
    <w:p w14:paraId="3545D9B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63" w:name="_Toc28328"/>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评标由</w:t>
      </w:r>
      <w:r>
        <w:rPr>
          <w:rFonts w:hint="eastAsia" w:ascii="宋体" w:hAnsi="宋体" w:eastAsia="宋体" w:cs="宋体"/>
          <w:color w:val="auto"/>
          <w:sz w:val="24"/>
          <w:szCs w:val="24"/>
          <w:highlight w:val="none"/>
          <w:lang w:val="zh-CN" w:eastAsia="zh-CN"/>
        </w:rPr>
        <w:t>依法组建的评标委员会（以下简称“评委会”）进行。</w:t>
      </w:r>
      <w:bookmarkEnd w:id="263"/>
    </w:p>
    <w:p w14:paraId="1D1D3BA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64" w:name="_Toc32198"/>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.2评委会由采购人代表和有关方面专家组成，人员构成符合政府采购有关规定。</w:t>
      </w:r>
      <w:bookmarkEnd w:id="264"/>
    </w:p>
    <w:p w14:paraId="1FE6502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65" w:name="_Toc15726"/>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.3评委会独立工作，负责评审所有投标文件并</w:t>
      </w:r>
      <w:r>
        <w:rPr>
          <w:rFonts w:hint="eastAsia" w:ascii="宋体" w:hAnsi="宋体" w:eastAsia="宋体" w:cs="宋体"/>
          <w:color w:val="auto"/>
          <w:sz w:val="24"/>
          <w:szCs w:val="24"/>
          <w:highlight w:val="none"/>
          <w:lang w:val="en-US" w:eastAsia="zh-CN"/>
        </w:rPr>
        <w:t>推荐</w:t>
      </w:r>
      <w:r>
        <w:rPr>
          <w:rFonts w:hint="eastAsia" w:ascii="宋体" w:hAnsi="宋体" w:eastAsia="宋体" w:cs="宋体"/>
          <w:color w:val="auto"/>
          <w:sz w:val="24"/>
          <w:szCs w:val="24"/>
          <w:highlight w:val="none"/>
          <w:lang w:val="zh-CN" w:eastAsia="zh-CN"/>
        </w:rPr>
        <w:t>中标候选人，</w:t>
      </w:r>
      <w:r>
        <w:rPr>
          <w:rFonts w:hint="eastAsia" w:ascii="宋体" w:hAnsi="宋体" w:eastAsia="宋体" w:cs="宋体"/>
          <w:color w:val="auto"/>
          <w:sz w:val="24"/>
          <w:szCs w:val="24"/>
          <w:highlight w:val="none"/>
          <w:lang w:val="en-US" w:eastAsia="zh-CN"/>
        </w:rPr>
        <w:t>或根据采购人授权直接确定中标人</w:t>
      </w:r>
      <w:r>
        <w:rPr>
          <w:rFonts w:hint="eastAsia" w:ascii="宋体" w:hAnsi="宋体" w:eastAsia="宋体" w:cs="宋体"/>
          <w:color w:val="auto"/>
          <w:sz w:val="24"/>
          <w:szCs w:val="24"/>
          <w:highlight w:val="none"/>
          <w:lang w:val="zh-CN" w:eastAsia="zh-CN"/>
        </w:rPr>
        <w:t>。</w:t>
      </w:r>
      <w:bookmarkEnd w:id="265"/>
    </w:p>
    <w:p w14:paraId="7A758174">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22.评标过程的保密与公正</w:t>
      </w:r>
    </w:p>
    <w:bookmarkEnd w:id="260"/>
    <w:bookmarkEnd w:id="261"/>
    <w:bookmarkEnd w:id="262"/>
    <w:p w14:paraId="36DE959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66" w:name="_Toc3549"/>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.1凡是与审查、澄清、评价和比较投标的有关资料以及授标建议等，采购人、评委、采购代理机构均不得向投标人或与评标无关的其他人员透露。</w:t>
      </w:r>
      <w:bookmarkEnd w:id="266"/>
    </w:p>
    <w:p w14:paraId="687510E9">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67" w:name="_Toc11017"/>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.2投标人不得以任何方式影响评标，否则其投标文件将被作为无效投标文件。</w:t>
      </w:r>
      <w:bookmarkEnd w:id="267"/>
    </w:p>
    <w:p w14:paraId="4E234737">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68" w:name="_Toc12810"/>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.3采购代理机构和评委会不向未中标的投标人解释未中标原因，也不公布评标过程中的相关细节。</w:t>
      </w:r>
      <w:bookmarkEnd w:id="268"/>
    </w:p>
    <w:p w14:paraId="2991AA4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69" w:name="_Toc9135"/>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.4采用综合评分法的项目，未中标的投标人可于中标结果公告期限届满之日起通过苏采云系统查看本单位的评审得分及排名情况。</w:t>
      </w:r>
      <w:bookmarkEnd w:id="269"/>
    </w:p>
    <w:p w14:paraId="0CFD996C">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bookmarkStart w:id="270" w:name="_Toc16938548"/>
      <w:bookmarkStart w:id="271" w:name="_Toc513029232"/>
      <w:bookmarkStart w:id="272" w:name="_Toc20823304"/>
      <w:r>
        <w:rPr>
          <w:rFonts w:hint="eastAsia" w:ascii="宋体" w:hAnsi="宋体" w:eastAsia="宋体" w:cs="宋体"/>
          <w:color w:val="auto"/>
          <w:sz w:val="24"/>
          <w:szCs w:val="24"/>
          <w:highlight w:val="none"/>
          <w:lang w:val="en-US" w:eastAsia="zh-CN"/>
        </w:rPr>
        <w:t>23.投标文件的澄清</w:t>
      </w:r>
      <w:bookmarkEnd w:id="270"/>
      <w:bookmarkEnd w:id="271"/>
      <w:bookmarkEnd w:id="272"/>
    </w:p>
    <w:p w14:paraId="12BC43F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73" w:name="_Toc5177"/>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bookmarkEnd w:id="273"/>
    </w:p>
    <w:p w14:paraId="649F8C7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74" w:name="_Toc9694"/>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.2需要供应商进行澄清、说明和补正的，评委会将通过苏采云系统向</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发出《澄清要求函》，接到《澄清要求函》的</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应当按照要求在苏采云系统中提交《澄清响应函》并加盖电子公章。澄清、说明和补正的内容作为投标文件的补充部分，具体操作方式见《操作手册》。</w:t>
      </w:r>
      <w:bookmarkEnd w:id="274"/>
    </w:p>
    <w:p w14:paraId="4DF5728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75" w:name="_Toc27667"/>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.3接到评委会澄清、说明和补正要求的，投标人如未按规定作出澄清、说明和补正，其风险由投标人自行承担。</w:t>
      </w:r>
      <w:bookmarkEnd w:id="275"/>
    </w:p>
    <w:p w14:paraId="128CCA6A">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bookmarkStart w:id="276" w:name="_Toc16938549"/>
      <w:bookmarkStart w:id="277" w:name="_Toc20823305"/>
      <w:bookmarkStart w:id="278" w:name="_Toc513029233"/>
      <w:r>
        <w:rPr>
          <w:rFonts w:hint="eastAsia" w:ascii="宋体" w:hAnsi="宋体" w:eastAsia="宋体" w:cs="宋体"/>
          <w:color w:val="auto"/>
          <w:sz w:val="24"/>
          <w:szCs w:val="24"/>
          <w:highlight w:val="none"/>
          <w:lang w:val="en-US" w:eastAsia="zh-CN"/>
        </w:rPr>
        <w:t>24.投标文件的</w:t>
      </w:r>
      <w:bookmarkEnd w:id="276"/>
      <w:bookmarkEnd w:id="277"/>
      <w:bookmarkEnd w:id="278"/>
      <w:r>
        <w:rPr>
          <w:rFonts w:hint="eastAsia" w:ascii="宋体" w:hAnsi="宋体" w:eastAsia="宋体" w:cs="宋体"/>
          <w:color w:val="auto"/>
          <w:sz w:val="24"/>
          <w:szCs w:val="24"/>
          <w:highlight w:val="none"/>
          <w:lang w:val="en-US" w:eastAsia="zh-CN"/>
        </w:rPr>
        <w:t>审查</w:t>
      </w:r>
    </w:p>
    <w:p w14:paraId="620E92B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79" w:name="_Toc31035"/>
      <w:r>
        <w:rPr>
          <w:rFonts w:hint="eastAsia" w:ascii="宋体" w:hAnsi="宋体" w:eastAsia="宋体" w:cs="宋体"/>
          <w:color w:val="auto"/>
          <w:sz w:val="24"/>
          <w:szCs w:val="24"/>
          <w:highlight w:val="none"/>
          <w:lang w:val="zh-CN" w:eastAsia="zh-CN"/>
        </w:rPr>
        <w:t>24.1投标文件审查分为</w:t>
      </w:r>
      <w:r>
        <w:rPr>
          <w:rFonts w:hint="eastAsia" w:ascii="宋体" w:hAnsi="宋体" w:eastAsia="宋体" w:cs="宋体"/>
          <w:b/>
          <w:bCs/>
          <w:color w:val="auto"/>
          <w:sz w:val="24"/>
          <w:szCs w:val="24"/>
          <w:highlight w:val="none"/>
          <w:lang w:val="zh-CN" w:eastAsia="zh-CN"/>
        </w:rPr>
        <w:t>资格审查</w:t>
      </w:r>
      <w:r>
        <w:rPr>
          <w:rFonts w:hint="eastAsia" w:ascii="宋体" w:hAnsi="宋体" w:eastAsia="宋体" w:cs="宋体"/>
          <w:color w:val="auto"/>
          <w:sz w:val="24"/>
          <w:szCs w:val="24"/>
          <w:highlight w:val="none"/>
          <w:lang w:val="zh-CN" w:eastAsia="zh-CN"/>
        </w:rPr>
        <w:t>和</w:t>
      </w:r>
      <w:r>
        <w:rPr>
          <w:rFonts w:hint="eastAsia" w:ascii="宋体" w:hAnsi="宋体" w:eastAsia="宋体" w:cs="宋体"/>
          <w:b/>
          <w:bCs/>
          <w:color w:val="auto"/>
          <w:sz w:val="24"/>
          <w:szCs w:val="24"/>
          <w:highlight w:val="none"/>
          <w:lang w:val="zh-CN" w:eastAsia="zh-CN"/>
        </w:rPr>
        <w:t>符合性审查</w:t>
      </w:r>
      <w:r>
        <w:rPr>
          <w:rFonts w:hint="eastAsia" w:ascii="宋体" w:hAnsi="宋体" w:eastAsia="宋体" w:cs="宋体"/>
          <w:color w:val="auto"/>
          <w:sz w:val="24"/>
          <w:szCs w:val="24"/>
          <w:highlight w:val="none"/>
          <w:lang w:val="zh-CN" w:eastAsia="zh-CN"/>
        </w:rPr>
        <w:t>。</w:t>
      </w:r>
      <w:bookmarkEnd w:id="279"/>
    </w:p>
    <w:p w14:paraId="02E72BF3">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2" w:firstLineChars="200"/>
        <w:textAlignment w:val="auto"/>
        <w:rPr>
          <w:rFonts w:hint="eastAsia" w:ascii="宋体" w:hAnsi="宋体" w:eastAsia="宋体" w:cs="宋体"/>
          <w:b w:val="0"/>
          <w:bCs w:val="0"/>
          <w:color w:val="auto"/>
          <w:sz w:val="24"/>
          <w:szCs w:val="24"/>
          <w:highlight w:val="none"/>
          <w:u w:val="none"/>
          <w:lang w:val="zh-CN" w:eastAsia="zh-CN"/>
        </w:rPr>
      </w:pPr>
      <w:bookmarkStart w:id="280" w:name="_Toc32473"/>
      <w:r>
        <w:rPr>
          <w:rFonts w:hint="eastAsia" w:ascii="宋体" w:hAnsi="宋体" w:eastAsia="宋体" w:cs="宋体"/>
          <w:b/>
          <w:bCs/>
          <w:color w:val="auto"/>
          <w:sz w:val="24"/>
          <w:szCs w:val="24"/>
          <w:highlight w:val="none"/>
          <w:lang w:val="zh-CN" w:eastAsia="zh-CN"/>
        </w:rPr>
        <w:t>24.1.1资格审查。</w:t>
      </w:r>
      <w:r>
        <w:rPr>
          <w:rFonts w:hint="eastAsia" w:ascii="宋体" w:hAnsi="宋体" w:eastAsia="宋体" w:cs="宋体"/>
          <w:color w:val="auto"/>
          <w:sz w:val="24"/>
          <w:szCs w:val="24"/>
          <w:highlight w:val="none"/>
          <w:lang w:val="zh-CN" w:eastAsia="zh-CN"/>
        </w:rPr>
        <w:t>依据法律法规和招标文件规定，由采购人对投标文件中的资格证明文件进行审查，并向评委会反馈审查结论。采购人进行资格审查时，</w:t>
      </w:r>
      <w:r>
        <w:rPr>
          <w:rFonts w:hint="eastAsia" w:ascii="宋体" w:hAnsi="宋体" w:eastAsia="宋体" w:cs="宋体"/>
          <w:b/>
          <w:bCs/>
          <w:color w:val="auto"/>
          <w:sz w:val="24"/>
          <w:szCs w:val="24"/>
          <w:highlight w:val="none"/>
          <w:u w:val="single"/>
          <w:lang w:val="en-US" w:eastAsia="zh-CN"/>
        </w:rPr>
        <w:t>将在“信用中国”“中国政府</w:t>
      </w:r>
      <w:r>
        <w:rPr>
          <w:rFonts w:hint="eastAsia" w:ascii="宋体" w:hAnsi="宋体" w:eastAsia="宋体" w:cs="宋体"/>
          <w:b/>
          <w:bCs/>
          <w:color w:val="auto"/>
          <w:sz w:val="24"/>
          <w:szCs w:val="24"/>
          <w:highlight w:val="none"/>
          <w:u w:val="single"/>
          <w:lang w:val="en-US" w:eastAsia="zh-CN"/>
        </w:rPr>
        <w:t>采购网"网站查询供应商的信用记录以确定供应商是否列入“失信被执行人、重大税收违法失信主体、政府采购严重违法失信行为记录名单”，查询结果留存并归档</w:t>
      </w:r>
      <w:r>
        <w:rPr>
          <w:rFonts w:hint="eastAsia" w:ascii="宋体" w:hAnsi="宋体" w:eastAsia="宋体" w:cs="宋体"/>
          <w:b/>
          <w:bCs/>
          <w:color w:val="auto"/>
          <w:sz w:val="24"/>
          <w:szCs w:val="24"/>
          <w:highlight w:val="none"/>
          <w:u w:val="single"/>
          <w:lang w:val="zh-CN" w:eastAsia="zh-CN"/>
        </w:rPr>
        <w:t>。</w:t>
      </w:r>
      <w:r>
        <w:rPr>
          <w:rFonts w:hint="eastAsia" w:ascii="宋体" w:hAnsi="宋体" w:eastAsia="宋体" w:cs="宋体"/>
          <w:b w:val="0"/>
          <w:bCs w:val="0"/>
          <w:color w:val="auto"/>
          <w:sz w:val="24"/>
          <w:szCs w:val="24"/>
          <w:highlight w:val="none"/>
          <w:u w:val="none"/>
          <w:lang w:val="zh-CN" w:eastAsia="zh-CN"/>
        </w:rPr>
        <w:t>接受联合体的项目，联合体成员存在不</w:t>
      </w:r>
      <w:r>
        <w:rPr>
          <w:rFonts w:hint="eastAsia" w:ascii="宋体" w:hAnsi="宋体" w:eastAsia="宋体" w:cs="宋体"/>
          <w:b w:val="0"/>
          <w:bCs w:val="0"/>
          <w:color w:val="auto"/>
          <w:sz w:val="24"/>
          <w:szCs w:val="24"/>
          <w:highlight w:val="none"/>
          <w:u w:val="none"/>
          <w:lang w:val="zh-CN" w:eastAsia="zh-CN"/>
        </w:rPr>
        <w:t>良信用记录的，视同联合体存在不良信用记录。</w:t>
      </w:r>
      <w:bookmarkEnd w:id="280"/>
    </w:p>
    <w:p w14:paraId="4940148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2" w:firstLineChars="200"/>
        <w:textAlignment w:val="auto"/>
        <w:rPr>
          <w:rFonts w:hint="eastAsia" w:ascii="宋体" w:hAnsi="宋体" w:eastAsia="宋体" w:cs="宋体"/>
          <w:color w:val="auto"/>
          <w:sz w:val="24"/>
          <w:szCs w:val="24"/>
          <w:highlight w:val="none"/>
          <w:lang w:val="zh-CN" w:eastAsia="zh-CN"/>
        </w:rPr>
      </w:pPr>
      <w:bookmarkStart w:id="281" w:name="_Toc16749"/>
      <w:r>
        <w:rPr>
          <w:rFonts w:hint="eastAsia" w:ascii="宋体" w:hAnsi="宋体" w:eastAsia="宋体" w:cs="宋体"/>
          <w:b/>
          <w:bCs/>
          <w:color w:val="auto"/>
          <w:sz w:val="24"/>
          <w:szCs w:val="24"/>
          <w:highlight w:val="none"/>
          <w:lang w:val="zh-CN" w:eastAsia="zh-CN"/>
        </w:rPr>
        <w:t>24.1.2符合性审查。</w:t>
      </w:r>
      <w:r>
        <w:rPr>
          <w:rFonts w:hint="eastAsia" w:ascii="宋体" w:hAnsi="宋体" w:eastAsia="宋体" w:cs="宋体"/>
          <w:color w:val="auto"/>
          <w:sz w:val="24"/>
          <w:szCs w:val="24"/>
          <w:highlight w:val="none"/>
          <w:lang w:val="zh-CN" w:eastAsia="zh-CN"/>
        </w:rPr>
        <w:t>依据招标文件的规定，由评委会从有效性、完整性和对招标文件的响应程度等方面对投标文件进行审查，以确定是否对招标文件的实质性要求作出响应。</w:t>
      </w:r>
      <w:bookmarkEnd w:id="281"/>
    </w:p>
    <w:p w14:paraId="0091853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2" w:name="_Toc12127"/>
      <w:r>
        <w:rPr>
          <w:rFonts w:hint="eastAsia" w:ascii="宋体" w:hAnsi="宋体" w:eastAsia="宋体" w:cs="宋体"/>
          <w:color w:val="auto"/>
          <w:sz w:val="24"/>
          <w:szCs w:val="24"/>
          <w:highlight w:val="none"/>
          <w:lang w:val="zh-CN" w:eastAsia="zh-CN"/>
        </w:rPr>
        <w:t>24.1.3未通过资格审查或符合性审查的投标人，采购代理机构将通过苏采云系统告知其具体原因，评标结束后不再接受有关询问。</w:t>
      </w:r>
      <w:bookmarkEnd w:id="282"/>
    </w:p>
    <w:p w14:paraId="2481B7A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3" w:name="_Toc29870"/>
      <w:r>
        <w:rPr>
          <w:rFonts w:hint="eastAsia" w:ascii="宋体" w:hAnsi="宋体" w:eastAsia="宋体" w:cs="宋体"/>
          <w:color w:val="auto"/>
          <w:sz w:val="24"/>
          <w:szCs w:val="24"/>
          <w:highlight w:val="none"/>
          <w:lang w:val="zh-CN" w:eastAsia="zh-CN"/>
        </w:rPr>
        <w:t>24.2</w:t>
      </w:r>
      <w:r>
        <w:rPr>
          <w:rFonts w:hint="eastAsia" w:ascii="宋体" w:hAnsi="宋体" w:eastAsia="宋体" w:cs="宋体"/>
          <w:b/>
          <w:bCs/>
          <w:color w:val="auto"/>
          <w:sz w:val="24"/>
          <w:szCs w:val="24"/>
          <w:highlight w:val="none"/>
          <w:lang w:val="zh-CN" w:eastAsia="zh-CN"/>
        </w:rPr>
        <w:t>评委会仅对实质性响应招标文件要求的投标文件进行详细评审</w:t>
      </w:r>
      <w:r>
        <w:rPr>
          <w:rFonts w:hint="eastAsia" w:ascii="宋体" w:hAnsi="宋体" w:eastAsia="宋体" w:cs="宋体"/>
          <w:color w:val="auto"/>
          <w:sz w:val="24"/>
          <w:szCs w:val="24"/>
          <w:highlight w:val="none"/>
          <w:lang w:val="zh-CN" w:eastAsia="zh-CN"/>
        </w:rPr>
        <w:t>。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bookmarkEnd w:id="283"/>
    </w:p>
    <w:p w14:paraId="706DA14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4" w:name="_Toc9921"/>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.3如果投标文件实质上没有响应招标文件的要求，评委会将予以拒绝，投标人不得通过修改或撤销不合要求的偏离或保留而使其投标成为实质性响应的投标。</w:t>
      </w:r>
      <w:bookmarkEnd w:id="284"/>
    </w:p>
    <w:p w14:paraId="62F27D3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5" w:name="_Toc15414"/>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.4评委会将对确定为实质性响应的投标进行进一步审核，确定其是否有计算上或累加上的算术错误。修正错误的原则如下：</w:t>
      </w:r>
      <w:bookmarkEnd w:id="285"/>
    </w:p>
    <w:p w14:paraId="40B8FD1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6" w:name="_Toc9147"/>
      <w:r>
        <w:rPr>
          <w:rFonts w:hint="eastAsia" w:ascii="宋体" w:hAnsi="宋体" w:eastAsia="宋体" w:cs="宋体"/>
          <w:color w:val="auto"/>
          <w:sz w:val="24"/>
          <w:szCs w:val="24"/>
          <w:highlight w:val="none"/>
          <w:lang w:val="zh-CN" w:eastAsia="zh-CN"/>
        </w:rPr>
        <w:t>（1）投标文件中开标一览表内容与投标文件中相应内容不一致的，以开标一览表为准；</w:t>
      </w:r>
      <w:bookmarkEnd w:id="286"/>
    </w:p>
    <w:p w14:paraId="5049B79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7" w:name="_Toc13483"/>
      <w:r>
        <w:rPr>
          <w:rFonts w:hint="eastAsia" w:ascii="宋体" w:hAnsi="宋体" w:eastAsia="宋体" w:cs="宋体"/>
          <w:color w:val="auto"/>
          <w:sz w:val="24"/>
          <w:szCs w:val="24"/>
          <w:highlight w:val="none"/>
          <w:lang w:val="zh-CN" w:eastAsia="zh-CN"/>
        </w:rPr>
        <w:t>（2）大写金额和小写金额不一致的，以大写金额为准；</w:t>
      </w:r>
      <w:bookmarkEnd w:id="287"/>
    </w:p>
    <w:p w14:paraId="6EB3617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8" w:name="_Toc11730"/>
      <w:r>
        <w:rPr>
          <w:rFonts w:hint="eastAsia" w:ascii="宋体" w:hAnsi="宋体" w:eastAsia="宋体" w:cs="宋体"/>
          <w:color w:val="auto"/>
          <w:sz w:val="24"/>
          <w:szCs w:val="24"/>
          <w:highlight w:val="none"/>
          <w:lang w:val="zh-CN" w:eastAsia="zh-CN"/>
        </w:rPr>
        <w:t>（3）单价金额小数点或者百分比有明显错位的，以开标一览表的总价为准，并修改单价；</w:t>
      </w:r>
      <w:bookmarkEnd w:id="288"/>
    </w:p>
    <w:p w14:paraId="3CE32EF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89" w:name="_Toc30506"/>
      <w:r>
        <w:rPr>
          <w:rFonts w:hint="eastAsia" w:ascii="宋体" w:hAnsi="宋体" w:eastAsia="宋体" w:cs="宋体"/>
          <w:color w:val="auto"/>
          <w:sz w:val="24"/>
          <w:szCs w:val="24"/>
          <w:highlight w:val="none"/>
          <w:lang w:val="zh-CN" w:eastAsia="zh-CN"/>
        </w:rPr>
        <w:t>（4）总价金额与按单价汇总金额不一致的，以单价金额计算结果为准。</w:t>
      </w:r>
      <w:bookmarkEnd w:id="289"/>
    </w:p>
    <w:p w14:paraId="7AED555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90" w:name="_Toc4780"/>
      <w:r>
        <w:rPr>
          <w:rFonts w:hint="eastAsia" w:ascii="宋体" w:hAnsi="宋体" w:eastAsia="宋体" w:cs="宋体"/>
          <w:color w:val="auto"/>
          <w:sz w:val="24"/>
          <w:szCs w:val="24"/>
          <w:highlight w:val="none"/>
          <w:lang w:val="zh-CN" w:eastAsia="zh-CN"/>
        </w:rPr>
        <w:t>同时出现两种以上错误的，按照前款规定的顺序修正。</w:t>
      </w:r>
      <w:bookmarkEnd w:id="290"/>
    </w:p>
    <w:p w14:paraId="280F5C4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91" w:name="_Toc22456"/>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.5评委会将按上述修正错误的方法调整投标文件中的投标报价，并通过苏采云系统告知投标人，调整后的价格对投标人具有约束力。如果投标人不接受修正后的价格，则其投标将被拒绝。</w:t>
      </w:r>
      <w:bookmarkEnd w:id="291"/>
    </w:p>
    <w:p w14:paraId="46863D93">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292" w:name="_Toc1868"/>
      <w:bookmarkStart w:id="293" w:name="_Toc16938550"/>
      <w:bookmarkStart w:id="294" w:name="_Toc20823306"/>
      <w:bookmarkStart w:id="295" w:name="_Toc513029234"/>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.6投标人在开、评标全过程中应保持通讯畅通，及时登录苏采云系统查阅、答复相关信息，并安排专人与采购代理机构及评委会联系。</w:t>
      </w:r>
      <w:bookmarkEnd w:id="292"/>
    </w:p>
    <w:p w14:paraId="6D67BF91">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bookmarkEnd w:id="293"/>
      <w:bookmarkEnd w:id="294"/>
      <w:bookmarkEnd w:id="295"/>
      <w:r>
        <w:rPr>
          <w:rFonts w:hint="eastAsia" w:ascii="宋体" w:hAnsi="宋体" w:eastAsia="宋体" w:cs="宋体"/>
          <w:color w:val="auto"/>
          <w:sz w:val="24"/>
          <w:szCs w:val="24"/>
          <w:highlight w:val="none"/>
          <w:lang w:val="en-US" w:eastAsia="zh-CN"/>
        </w:rPr>
        <w:t>5.无效投标和废标</w:t>
      </w:r>
    </w:p>
    <w:p w14:paraId="6E6F69C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2" w:firstLineChars="200"/>
        <w:textAlignment w:val="auto"/>
        <w:rPr>
          <w:rFonts w:hint="eastAsia" w:ascii="宋体" w:hAnsi="宋体" w:eastAsia="宋体" w:cs="宋体"/>
          <w:b/>
          <w:bCs/>
          <w:color w:val="auto"/>
          <w:sz w:val="24"/>
          <w:szCs w:val="24"/>
          <w:highlight w:val="none"/>
          <w:lang w:val="zh-CN" w:eastAsia="zh-CN"/>
        </w:rPr>
      </w:pPr>
      <w:bookmarkStart w:id="296" w:name="_Toc27672"/>
      <w:bookmarkStart w:id="297" w:name="_Toc20823307"/>
      <w:bookmarkStart w:id="298" w:name="_Toc16938551"/>
      <w:bookmarkStart w:id="299" w:name="_Toc513029235"/>
      <w:r>
        <w:rPr>
          <w:rFonts w:hint="eastAsia" w:ascii="宋体" w:hAnsi="宋体" w:eastAsia="宋体" w:cs="宋体"/>
          <w:b/>
          <w:bCs/>
          <w:color w:val="auto"/>
          <w:sz w:val="24"/>
          <w:szCs w:val="24"/>
          <w:highlight w:val="none"/>
          <w:lang w:val="zh-CN" w:eastAsia="zh-CN"/>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zh-CN" w:eastAsia="zh-CN"/>
        </w:rPr>
        <w:t>.1无效投标</w:t>
      </w:r>
      <w:r>
        <w:rPr>
          <w:rFonts w:hint="eastAsia" w:ascii="宋体" w:hAnsi="宋体" w:eastAsia="宋体" w:cs="宋体"/>
          <w:b/>
          <w:bCs/>
          <w:color w:val="auto"/>
          <w:sz w:val="24"/>
          <w:szCs w:val="24"/>
          <w:highlight w:val="none"/>
          <w:lang w:val="en-US" w:eastAsia="zh-CN"/>
        </w:rPr>
        <w:t>情形</w:t>
      </w:r>
      <w:bookmarkEnd w:id="296"/>
    </w:p>
    <w:p w14:paraId="3A6AA6E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0" w:name="_Toc21518"/>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.1.1投标人在苏采云系统规定的时间内未成功解密电子投标文件。</w:t>
      </w:r>
      <w:bookmarkEnd w:id="300"/>
    </w:p>
    <w:p w14:paraId="3643434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1" w:name="_Toc17999"/>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.1.2投标人未按照招标文件要求上传电子投标文件。</w:t>
      </w:r>
      <w:bookmarkEnd w:id="301"/>
    </w:p>
    <w:p w14:paraId="282C14F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2" w:name="_Toc27026"/>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.1.3同一投标人提交两个（含两个）以上不同的投标报价。</w:t>
      </w:r>
      <w:bookmarkEnd w:id="302"/>
    </w:p>
    <w:p w14:paraId="2723C7F3">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3" w:name="_Toc26728"/>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.1.4投标人不具备招标文件中规定资格要求。</w:t>
      </w:r>
      <w:bookmarkEnd w:id="303"/>
    </w:p>
    <w:p w14:paraId="17742F9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4" w:name="_Toc28155"/>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.1.5投标人的报价超过了采购预算或最高限价</w:t>
      </w:r>
      <w:r>
        <w:rPr>
          <w:rFonts w:hint="eastAsia" w:ascii="宋体" w:hAnsi="宋体" w:eastAsia="宋体" w:cs="宋体"/>
          <w:color w:val="auto"/>
          <w:sz w:val="24"/>
          <w:szCs w:val="24"/>
          <w:highlight w:val="none"/>
          <w:lang w:val="en-US" w:eastAsia="zh-CN"/>
        </w:rPr>
        <w:t>或单价上限</w:t>
      </w:r>
      <w:r>
        <w:rPr>
          <w:rFonts w:hint="eastAsia" w:ascii="宋体" w:hAnsi="宋体" w:eastAsia="宋体" w:cs="宋体"/>
          <w:color w:val="auto"/>
          <w:sz w:val="24"/>
          <w:szCs w:val="24"/>
          <w:highlight w:val="none"/>
          <w:lang w:val="zh-CN" w:eastAsia="zh-CN"/>
        </w:rPr>
        <w:t>。</w:t>
      </w:r>
      <w:bookmarkEnd w:id="304"/>
    </w:p>
    <w:p w14:paraId="080D7EF7">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5" w:name="_Toc25393"/>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.1.6未通过符合性审查。</w:t>
      </w:r>
      <w:bookmarkEnd w:id="305"/>
    </w:p>
    <w:p w14:paraId="7892978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6" w:name="_Toc24587"/>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.1.7不符合招标文件中实质性要求和条件（本文件中打“</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”内容为实质性要求和条件）。</w:t>
      </w:r>
      <w:bookmarkEnd w:id="306"/>
    </w:p>
    <w:p w14:paraId="38859E3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bookmarkStart w:id="307" w:name="_Toc27630"/>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.1.8</w:t>
      </w:r>
      <w:r>
        <w:rPr>
          <w:rFonts w:hint="eastAsia" w:ascii="宋体" w:hAnsi="宋体" w:eastAsia="宋体" w:cs="宋体"/>
          <w:color w:val="auto"/>
          <w:sz w:val="24"/>
          <w:szCs w:val="24"/>
          <w:highlight w:val="none"/>
          <w:lang w:val="en-US" w:eastAsia="zh-CN"/>
        </w:rPr>
        <w:t>属于申请人资格要求中拒绝参加本次采购活动条件之一的。</w:t>
      </w:r>
      <w:bookmarkEnd w:id="307"/>
    </w:p>
    <w:p w14:paraId="61DE168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08" w:name="_Toc5630"/>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.1.9投标文件含有采购人不能接受的附加条件。</w:t>
      </w:r>
      <w:bookmarkEnd w:id="308"/>
    </w:p>
    <w:p w14:paraId="643D31D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2" w:firstLineChars="200"/>
        <w:textAlignment w:val="auto"/>
        <w:rPr>
          <w:rFonts w:hint="eastAsia" w:ascii="宋体" w:hAnsi="宋体" w:eastAsia="宋体" w:cs="宋体"/>
          <w:b/>
          <w:bCs/>
          <w:color w:val="auto"/>
          <w:sz w:val="24"/>
          <w:szCs w:val="24"/>
          <w:highlight w:val="none"/>
          <w:lang w:val="zh-CN" w:eastAsia="zh-CN"/>
        </w:rPr>
      </w:pPr>
      <w:bookmarkStart w:id="309" w:name="_Toc23828"/>
      <w:r>
        <w:rPr>
          <w:rFonts w:hint="eastAsia" w:ascii="宋体" w:hAnsi="宋体" w:eastAsia="宋体" w:cs="宋体"/>
          <w:b/>
          <w:bCs/>
          <w:color w:val="auto"/>
          <w:sz w:val="24"/>
          <w:szCs w:val="24"/>
          <w:highlight w:val="none"/>
          <w:lang w:val="zh-CN" w:eastAsia="zh-CN"/>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zh-CN" w:eastAsia="zh-CN"/>
        </w:rPr>
        <w:t>.1.10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bookmarkEnd w:id="309"/>
    </w:p>
    <w:p w14:paraId="3752ACD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0" w:name="_Toc27826"/>
      <w:r>
        <w:rPr>
          <w:rFonts w:hint="eastAsia" w:ascii="宋体" w:hAnsi="宋体" w:eastAsia="宋体" w:cs="宋体"/>
          <w:color w:val="auto"/>
          <w:sz w:val="24"/>
          <w:szCs w:val="24"/>
          <w:highlight w:val="none"/>
          <w:lang w:val="zh-CN" w:eastAsia="zh-CN"/>
        </w:rPr>
        <w:t>25.1.11采购产品被财政部、国家发改委、生态环境部等列入“节能产品品目清单”强制采购范围，而投标人提供的产品不在强制采购范围内。</w:t>
      </w:r>
      <w:bookmarkEnd w:id="310"/>
    </w:p>
    <w:p w14:paraId="575FCB5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bookmarkStart w:id="311" w:name="_Toc12584"/>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投标文件未按照招标文件要求加盖电子公章。</w:t>
      </w:r>
      <w:bookmarkEnd w:id="311"/>
    </w:p>
    <w:p w14:paraId="54CF7D07">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2" w:name="_Toc25603"/>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法律法规及本招标文件规定的</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lang w:val="zh-CN" w:eastAsia="zh-CN"/>
        </w:rPr>
        <w:t>无效投标情形。</w:t>
      </w:r>
      <w:bookmarkEnd w:id="312"/>
    </w:p>
    <w:p w14:paraId="684679A9">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2" w:firstLineChars="200"/>
        <w:textAlignment w:val="auto"/>
        <w:rPr>
          <w:rFonts w:hint="eastAsia" w:ascii="宋体" w:hAnsi="宋体" w:eastAsia="宋体" w:cs="宋体"/>
          <w:b/>
          <w:bCs/>
          <w:color w:val="auto"/>
          <w:sz w:val="24"/>
          <w:szCs w:val="24"/>
          <w:highlight w:val="none"/>
          <w:lang w:val="zh-CN" w:eastAsia="zh-CN"/>
        </w:rPr>
      </w:pPr>
      <w:bookmarkStart w:id="313" w:name="_Toc31786"/>
      <w:r>
        <w:rPr>
          <w:rFonts w:hint="eastAsia" w:ascii="宋体" w:hAnsi="宋体" w:eastAsia="宋体" w:cs="宋体"/>
          <w:b/>
          <w:bCs/>
          <w:color w:val="auto"/>
          <w:sz w:val="24"/>
          <w:szCs w:val="24"/>
          <w:highlight w:val="none"/>
          <w:lang w:val="zh-CN" w:eastAsia="zh-CN"/>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zh-CN" w:eastAsia="zh-CN"/>
        </w:rPr>
        <w:t>.2废标</w:t>
      </w:r>
      <w:r>
        <w:rPr>
          <w:rFonts w:hint="eastAsia" w:ascii="宋体" w:hAnsi="宋体" w:eastAsia="宋体" w:cs="宋体"/>
          <w:b/>
          <w:bCs/>
          <w:color w:val="auto"/>
          <w:sz w:val="24"/>
          <w:szCs w:val="24"/>
          <w:highlight w:val="none"/>
          <w:lang w:val="en-US" w:eastAsia="zh-CN"/>
        </w:rPr>
        <w:t>情形</w:t>
      </w:r>
      <w:bookmarkEnd w:id="313"/>
    </w:p>
    <w:p w14:paraId="64E8EDB7">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4" w:name="_Toc19774"/>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.2.1符合资格条件的供应商或者对招标文件作实质响应的供应商不足三家。</w:t>
      </w:r>
      <w:bookmarkEnd w:id="314"/>
    </w:p>
    <w:p w14:paraId="3DB2252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5" w:name="_Toc19027"/>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.2.2出现影响采购公正的违法、违规行为。</w:t>
      </w:r>
      <w:bookmarkEnd w:id="315"/>
    </w:p>
    <w:p w14:paraId="7687E0A3">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6" w:name="_Toc2899"/>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.2.3因重大变故采购任务取消。</w:t>
      </w:r>
      <w:bookmarkEnd w:id="316"/>
    </w:p>
    <w:p w14:paraId="7CFD0EA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7" w:name="_Toc17417"/>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.2.4评委会认定招标文件存在歧义、重大缺陷导致评审工作无法进行。</w:t>
      </w:r>
      <w:bookmarkEnd w:id="317"/>
    </w:p>
    <w:p w14:paraId="087EABFC">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8" w:name="_Toc31096"/>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.2.5因苏采云系统故障造成开标不成功。</w:t>
      </w:r>
      <w:bookmarkEnd w:id="318"/>
    </w:p>
    <w:p w14:paraId="2BD6AFB1">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19" w:name="_Toc614"/>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.3如出现投标截止时间后参加投标的供应商或者对招标文件作出实质</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lang w:val="zh-CN" w:eastAsia="zh-CN"/>
        </w:rPr>
        <w:t>响应的供应商不足三家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zh-CN" w:eastAsia="zh-CN"/>
        </w:rPr>
        <w:t>情况，按政府采购相关规定执行。</w:t>
      </w:r>
      <w:bookmarkEnd w:id="319"/>
    </w:p>
    <w:p w14:paraId="622CF4D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default" w:ascii="宋体" w:hAnsi="宋体" w:eastAsia="宋体" w:cs="宋体"/>
          <w:color w:val="auto"/>
          <w:sz w:val="24"/>
          <w:szCs w:val="24"/>
          <w:highlight w:val="none"/>
          <w:lang w:val="en-US" w:eastAsia="zh-CN"/>
        </w:rPr>
      </w:pPr>
      <w:bookmarkStart w:id="320" w:name="_Toc21529"/>
      <w:r>
        <w:rPr>
          <w:rFonts w:hint="eastAsia" w:ascii="宋体" w:hAnsi="宋体" w:eastAsia="宋体" w:cs="宋体"/>
          <w:color w:val="auto"/>
          <w:sz w:val="24"/>
          <w:szCs w:val="24"/>
          <w:highlight w:val="none"/>
          <w:lang w:val="zh-CN" w:eastAsia="zh-CN"/>
        </w:rPr>
        <w:t>25.4如出现25.2.1或25.3情形，招标活动失败，评审委员会</w:t>
      </w:r>
      <w:r>
        <w:rPr>
          <w:rFonts w:hint="eastAsia" w:ascii="宋体" w:hAnsi="宋体" w:eastAsia="宋体" w:cs="宋体"/>
          <w:color w:val="auto"/>
          <w:sz w:val="24"/>
          <w:szCs w:val="24"/>
          <w:highlight w:val="none"/>
          <w:lang w:val="en-US" w:eastAsia="zh-CN"/>
        </w:rPr>
        <w:t>应对</w:t>
      </w:r>
      <w:r>
        <w:rPr>
          <w:rFonts w:hint="eastAsia" w:ascii="宋体" w:hAnsi="宋体" w:eastAsia="宋体" w:cs="宋体"/>
          <w:color w:val="auto"/>
          <w:sz w:val="24"/>
          <w:szCs w:val="24"/>
          <w:highlight w:val="none"/>
          <w:lang w:val="zh-CN" w:eastAsia="zh-CN"/>
        </w:rPr>
        <w:t>招标文件是否存在不合理条款</w:t>
      </w:r>
      <w:r>
        <w:rPr>
          <w:rFonts w:hint="eastAsia" w:ascii="宋体" w:hAnsi="宋体" w:eastAsia="宋体" w:cs="宋体"/>
          <w:color w:val="auto"/>
          <w:sz w:val="24"/>
          <w:szCs w:val="24"/>
          <w:highlight w:val="none"/>
          <w:lang w:val="en-US" w:eastAsia="zh-CN"/>
        </w:rPr>
        <w:t>进行论证，并在评审报告中写明</w:t>
      </w:r>
      <w:r>
        <w:rPr>
          <w:rFonts w:hint="eastAsia" w:ascii="宋体" w:hAnsi="宋体" w:eastAsia="宋体" w:cs="宋体"/>
          <w:color w:val="auto"/>
          <w:sz w:val="24"/>
          <w:szCs w:val="24"/>
          <w:highlight w:val="none"/>
          <w:lang w:val="zh-CN" w:eastAsia="zh-CN"/>
        </w:rPr>
        <w:t>论证意见。</w:t>
      </w:r>
      <w:bookmarkEnd w:id="320"/>
    </w:p>
    <w:bookmarkEnd w:id="297"/>
    <w:bookmarkEnd w:id="298"/>
    <w:bookmarkEnd w:id="299"/>
    <w:p w14:paraId="17683D4E">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eastAsia" w:ascii="宋体" w:hAnsi="宋体" w:eastAsia="宋体" w:cs="宋体"/>
          <w:b/>
          <w:bCs/>
          <w:color w:val="auto"/>
          <w:sz w:val="28"/>
          <w:szCs w:val="28"/>
          <w:highlight w:val="none"/>
          <w:lang w:val="en-US" w:eastAsia="zh-CN"/>
        </w:rPr>
      </w:pPr>
      <w:bookmarkStart w:id="321" w:name="_Toc8446"/>
      <w:bookmarkStart w:id="322" w:name="_Toc120614219"/>
      <w:r>
        <w:rPr>
          <w:rFonts w:hint="eastAsia" w:ascii="宋体" w:hAnsi="宋体" w:eastAsia="宋体" w:cs="宋体"/>
          <w:b/>
          <w:bCs/>
          <w:color w:val="auto"/>
          <w:sz w:val="28"/>
          <w:szCs w:val="28"/>
          <w:highlight w:val="none"/>
          <w:lang w:val="en-US" w:eastAsia="zh-CN"/>
        </w:rPr>
        <w:t>六、定标</w:t>
      </w:r>
      <w:bookmarkEnd w:id="321"/>
      <w:bookmarkEnd w:id="322"/>
    </w:p>
    <w:p w14:paraId="0643192A">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bookmarkStart w:id="323" w:name="_Toc513029238"/>
      <w:bookmarkStart w:id="324" w:name="_Toc16938554"/>
      <w:bookmarkStart w:id="325" w:name="_Toc20823310"/>
      <w:r>
        <w:rPr>
          <w:rFonts w:hint="eastAsia" w:ascii="宋体" w:hAnsi="宋体" w:eastAsia="宋体" w:cs="宋体"/>
          <w:color w:val="auto"/>
          <w:sz w:val="24"/>
          <w:szCs w:val="24"/>
          <w:highlight w:val="none"/>
          <w:lang w:val="en-US" w:eastAsia="zh-CN"/>
        </w:rPr>
        <w:t>2</w:t>
      </w:r>
      <w:bookmarkEnd w:id="323"/>
      <w:r>
        <w:rPr>
          <w:rFonts w:hint="eastAsia" w:ascii="宋体" w:hAnsi="宋体" w:eastAsia="宋体" w:cs="宋体"/>
          <w:color w:val="auto"/>
          <w:sz w:val="24"/>
          <w:szCs w:val="24"/>
          <w:highlight w:val="none"/>
          <w:lang w:val="en-US" w:eastAsia="zh-CN"/>
        </w:rPr>
        <w:t>6.确定</w:t>
      </w:r>
      <w:bookmarkEnd w:id="324"/>
      <w:bookmarkEnd w:id="325"/>
      <w:r>
        <w:rPr>
          <w:rFonts w:hint="eastAsia" w:ascii="宋体" w:hAnsi="宋体" w:eastAsia="宋体" w:cs="宋体"/>
          <w:color w:val="auto"/>
          <w:sz w:val="24"/>
          <w:szCs w:val="24"/>
          <w:highlight w:val="none"/>
          <w:lang w:val="en-US" w:eastAsia="zh-CN"/>
        </w:rPr>
        <w:t>中标单位</w:t>
      </w:r>
    </w:p>
    <w:p w14:paraId="27364E8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26" w:name="_Toc7683"/>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.1中标候选人的</w:t>
      </w:r>
      <w:r>
        <w:rPr>
          <w:rFonts w:hint="eastAsia" w:ascii="宋体" w:hAnsi="宋体" w:eastAsia="宋体" w:cs="宋体"/>
          <w:color w:val="auto"/>
          <w:sz w:val="24"/>
          <w:szCs w:val="24"/>
          <w:highlight w:val="none"/>
          <w:lang w:val="en-US" w:eastAsia="zh-CN"/>
        </w:rPr>
        <w:t>确定</w:t>
      </w:r>
      <w:r>
        <w:rPr>
          <w:rFonts w:hint="eastAsia" w:ascii="宋体" w:hAnsi="宋体" w:eastAsia="宋体" w:cs="宋体"/>
          <w:color w:val="auto"/>
          <w:sz w:val="24"/>
          <w:szCs w:val="24"/>
          <w:highlight w:val="none"/>
          <w:lang w:val="zh-CN" w:eastAsia="zh-CN"/>
        </w:rPr>
        <w:t>原则和数量见招标文件第五章。</w:t>
      </w:r>
      <w:bookmarkEnd w:id="326"/>
    </w:p>
    <w:p w14:paraId="10088DD9">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27" w:name="_Toc16072"/>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.2按以下第</w:t>
      </w:r>
      <w:r>
        <w:rPr>
          <w:rFonts w:hint="eastAsia" w:ascii="宋体" w:hAnsi="宋体" w:eastAsia="宋体" w:cs="宋体"/>
          <w:b/>
          <w:bCs/>
          <w:color w:val="auto"/>
          <w:sz w:val="24"/>
          <w:szCs w:val="24"/>
          <w:highlight w:val="none"/>
          <w:u w:val="single"/>
          <w:lang w:val="zh-CN" w:eastAsia="zh-CN"/>
        </w:rPr>
        <w:t>（</w:t>
      </w:r>
      <w:r>
        <w:rPr>
          <w:rFonts w:hint="eastAsia" w:ascii="宋体" w:hAnsi="宋体" w:eastAsia="宋体" w:cs="宋体"/>
          <w:b/>
          <w:bCs/>
          <w:color w:val="auto"/>
          <w:sz w:val="24"/>
          <w:szCs w:val="24"/>
          <w:highlight w:val="none"/>
          <w:u w:val="single"/>
          <w:lang w:val="en-US" w:eastAsia="zh-CN"/>
        </w:rPr>
        <w:t>2</w:t>
      </w:r>
      <w:r>
        <w:rPr>
          <w:rFonts w:hint="eastAsia" w:ascii="宋体" w:hAnsi="宋体" w:eastAsia="宋体" w:cs="宋体"/>
          <w:b/>
          <w:bCs/>
          <w:color w:val="auto"/>
          <w:sz w:val="24"/>
          <w:szCs w:val="24"/>
          <w:highlight w:val="none"/>
          <w:u w:val="single"/>
          <w:lang w:val="zh-CN" w:eastAsia="zh-CN"/>
        </w:rPr>
        <w:t>）</w:t>
      </w:r>
      <w:r>
        <w:rPr>
          <w:rFonts w:hint="eastAsia" w:ascii="宋体" w:hAnsi="宋体" w:eastAsia="宋体" w:cs="宋体"/>
          <w:color w:val="auto"/>
          <w:sz w:val="24"/>
          <w:szCs w:val="24"/>
          <w:highlight w:val="none"/>
          <w:lang w:val="zh-CN" w:eastAsia="zh-CN"/>
        </w:rPr>
        <w:t>种方式确定中标人：</w:t>
      </w:r>
      <w:bookmarkEnd w:id="327"/>
    </w:p>
    <w:p w14:paraId="025A452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28" w:name="_Toc3116"/>
      <w:r>
        <w:rPr>
          <w:rFonts w:hint="eastAsia" w:ascii="宋体" w:hAnsi="宋体" w:eastAsia="宋体" w:cs="宋体"/>
          <w:color w:val="auto"/>
          <w:sz w:val="24"/>
          <w:szCs w:val="24"/>
          <w:highlight w:val="none"/>
          <w:lang w:val="zh-CN" w:eastAsia="zh-CN"/>
        </w:rPr>
        <w:t>（1）评委会直接确定排名第一的中标候选人为中标人；</w:t>
      </w:r>
      <w:bookmarkEnd w:id="328"/>
    </w:p>
    <w:p w14:paraId="35088A5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29" w:name="_Toc28500"/>
      <w:r>
        <w:rPr>
          <w:rFonts w:hint="eastAsia" w:ascii="宋体" w:hAnsi="宋体" w:eastAsia="宋体" w:cs="宋体"/>
          <w:color w:val="auto"/>
          <w:sz w:val="24"/>
          <w:szCs w:val="24"/>
          <w:highlight w:val="none"/>
          <w:lang w:val="zh-CN" w:eastAsia="zh-CN"/>
        </w:rPr>
        <w:t>（2）采购人在评委会推荐的中标候选人中按顺序确定中标人。</w:t>
      </w:r>
      <w:bookmarkEnd w:id="329"/>
    </w:p>
    <w:p w14:paraId="69B77BD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0" w:name="_Toc5263"/>
      <w:r>
        <w:rPr>
          <w:rFonts w:hint="eastAsia" w:ascii="宋体" w:hAnsi="宋体" w:eastAsia="宋体" w:cs="宋体"/>
          <w:color w:val="auto"/>
          <w:sz w:val="24"/>
          <w:szCs w:val="24"/>
          <w:highlight w:val="none"/>
          <w:lang w:val="zh-CN" w:eastAsia="zh-CN"/>
        </w:rPr>
        <w:t>按第二种方式确定中标人的，采购代理机构自评审结束之日起两个工作日内将评审报告送</w:t>
      </w:r>
      <w:r>
        <w:rPr>
          <w:rFonts w:hint="eastAsia" w:ascii="宋体" w:hAnsi="宋体" w:eastAsia="宋体" w:cs="宋体"/>
          <w:color w:val="auto"/>
          <w:sz w:val="24"/>
          <w:szCs w:val="24"/>
          <w:highlight w:val="none"/>
          <w:lang w:val="en-US" w:eastAsia="zh-CN"/>
        </w:rPr>
        <w:t>达</w:t>
      </w:r>
      <w:r>
        <w:rPr>
          <w:rFonts w:hint="eastAsia" w:ascii="宋体" w:hAnsi="宋体" w:eastAsia="宋体" w:cs="宋体"/>
          <w:color w:val="auto"/>
          <w:sz w:val="24"/>
          <w:szCs w:val="24"/>
          <w:highlight w:val="none"/>
          <w:lang w:val="zh-CN" w:eastAsia="zh-CN"/>
        </w:rPr>
        <w:t>采购人，采购人自收到评审报告之日起五个工作日内，在评审报告推荐的中标候选人中按顺序确定中标人。</w:t>
      </w:r>
      <w:bookmarkEnd w:id="330"/>
    </w:p>
    <w:p w14:paraId="057A092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1" w:name="_Toc26296"/>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.3采购代理机构将在“江苏政府采购网”发布中标公告，公告期限为1个工作日。</w:t>
      </w:r>
      <w:bookmarkEnd w:id="331"/>
    </w:p>
    <w:p w14:paraId="279ED5A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2" w:firstLineChars="200"/>
        <w:textAlignment w:val="auto"/>
        <w:rPr>
          <w:rFonts w:hint="eastAsia" w:ascii="宋体" w:hAnsi="宋体" w:eastAsia="宋体" w:cs="宋体"/>
          <w:b/>
          <w:bCs/>
          <w:color w:val="auto"/>
          <w:sz w:val="24"/>
          <w:szCs w:val="24"/>
          <w:highlight w:val="none"/>
          <w:lang w:val="zh-CN" w:eastAsia="zh-CN"/>
        </w:rPr>
      </w:pPr>
      <w:bookmarkStart w:id="332" w:name="_Toc24804"/>
      <w:r>
        <w:rPr>
          <w:rFonts w:hint="eastAsia" w:ascii="宋体" w:hAnsi="宋体" w:eastAsia="宋体" w:cs="宋体"/>
          <w:b/>
          <w:bCs/>
          <w:color w:val="auto"/>
          <w:sz w:val="24"/>
          <w:szCs w:val="24"/>
          <w:highlight w:val="none"/>
          <w:lang w:val="zh-CN" w:eastAsia="zh-CN"/>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zh-CN" w:eastAsia="zh-CN"/>
        </w:rPr>
        <w:t>.4若有充分证据证明中标人</w:t>
      </w:r>
      <w:r>
        <w:rPr>
          <w:rFonts w:hint="eastAsia" w:ascii="宋体" w:hAnsi="宋体" w:eastAsia="宋体" w:cs="宋体"/>
          <w:b/>
          <w:bCs/>
          <w:color w:val="auto"/>
          <w:sz w:val="24"/>
          <w:szCs w:val="24"/>
          <w:highlight w:val="none"/>
          <w:lang w:val="en-US" w:eastAsia="zh-CN"/>
        </w:rPr>
        <w:t>有</w:t>
      </w:r>
      <w:r>
        <w:rPr>
          <w:rFonts w:hint="eastAsia" w:ascii="宋体" w:hAnsi="宋体" w:eastAsia="宋体" w:cs="宋体"/>
          <w:b/>
          <w:bCs/>
          <w:color w:val="auto"/>
          <w:sz w:val="24"/>
          <w:szCs w:val="24"/>
          <w:highlight w:val="none"/>
          <w:lang w:val="zh-CN" w:eastAsia="zh-CN"/>
        </w:rPr>
        <w:t>下列情况之一的，一经查实将被取消中标资格：</w:t>
      </w:r>
      <w:bookmarkEnd w:id="332"/>
    </w:p>
    <w:p w14:paraId="57569705">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3" w:name="_Toc15830"/>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.4.1提供虚假材料谋取中标。</w:t>
      </w:r>
      <w:bookmarkEnd w:id="333"/>
    </w:p>
    <w:p w14:paraId="3F39FB1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4" w:name="_Toc11342"/>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.4.2向评审专家、采购人或采购代理机构工作人员行贿或者提供其他不正当利益。</w:t>
      </w:r>
      <w:bookmarkEnd w:id="334"/>
    </w:p>
    <w:p w14:paraId="64077516">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5" w:name="_Toc23020"/>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.4.3与其他供应商、评审专家、采购人或采购代理机构工作人员恶意串通。</w:t>
      </w:r>
      <w:bookmarkEnd w:id="335"/>
    </w:p>
    <w:p w14:paraId="16006FA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6" w:name="_Toc2861"/>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.4.4属于本文件规定的无效</w:t>
      </w:r>
      <w:r>
        <w:rPr>
          <w:rFonts w:hint="eastAsia" w:ascii="宋体" w:hAnsi="宋体" w:eastAsia="宋体" w:cs="宋体"/>
          <w:color w:val="auto"/>
          <w:sz w:val="24"/>
          <w:szCs w:val="24"/>
          <w:highlight w:val="none"/>
          <w:lang w:val="en-US" w:eastAsia="zh-CN"/>
        </w:rPr>
        <w:t>投标情形</w:t>
      </w:r>
      <w:r>
        <w:rPr>
          <w:rFonts w:hint="eastAsia" w:ascii="宋体" w:hAnsi="宋体" w:eastAsia="宋体" w:cs="宋体"/>
          <w:color w:val="auto"/>
          <w:sz w:val="24"/>
          <w:szCs w:val="24"/>
          <w:highlight w:val="none"/>
          <w:lang w:val="zh-CN" w:eastAsia="zh-CN"/>
        </w:rPr>
        <w:t>，但在评标过程中未被评委会发现。</w:t>
      </w:r>
      <w:bookmarkEnd w:id="336"/>
    </w:p>
    <w:p w14:paraId="589A90A9">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7" w:name="_Toc6543"/>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.4.5采取不正当手段诋毁、排挤其他供应商。</w:t>
      </w:r>
      <w:bookmarkEnd w:id="337"/>
    </w:p>
    <w:p w14:paraId="443D70F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38" w:name="_Toc22188"/>
      <w:bookmarkStart w:id="339" w:name="_Toc200451960"/>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.5有下列情形之一的视为投标人串通投标，投标无效：</w:t>
      </w:r>
      <w:bookmarkEnd w:id="338"/>
    </w:p>
    <w:p w14:paraId="4ED80BA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40" w:name="_Toc14968"/>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.5.1不同投标人的投标文件由同一单位或者个人编制。</w:t>
      </w:r>
      <w:bookmarkEnd w:id="340"/>
    </w:p>
    <w:p w14:paraId="0A0EBA9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41" w:name="_Toc473"/>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.5.2不同投标人委托同一单位或者个人办理投标事宜。</w:t>
      </w:r>
      <w:bookmarkEnd w:id="341"/>
    </w:p>
    <w:p w14:paraId="41BAC4B7">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42" w:name="_Toc18132"/>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.5.3不同投标人的投标文件载明的项目管理成员或者联系人员为同一人。</w:t>
      </w:r>
      <w:bookmarkEnd w:id="342"/>
    </w:p>
    <w:p w14:paraId="61512D5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43" w:name="_Toc3131"/>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.5.4不同投标人的投标文件异常一致或者投标报价呈规律性差异。</w:t>
      </w:r>
      <w:bookmarkEnd w:id="343"/>
    </w:p>
    <w:bookmarkEnd w:id="339"/>
    <w:p w14:paraId="296570A8">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27.中标通知书</w:t>
      </w:r>
    </w:p>
    <w:p w14:paraId="399198C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44" w:name="_Toc3570"/>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.l中标结果确定后，采购代理机构将向中标人发出《中标通知书》。中标人</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lang w:val="zh-CN" w:eastAsia="zh-CN"/>
        </w:rPr>
        <w:t>在中标结果公告届满之日起三十日内，登录苏采云系统下载。</w:t>
      </w:r>
      <w:bookmarkEnd w:id="344"/>
    </w:p>
    <w:p w14:paraId="70FD3DC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45" w:name="_Toc9787"/>
      <w:r>
        <w:rPr>
          <w:rFonts w:hint="eastAsia" w:ascii="宋体" w:hAnsi="宋体" w:eastAsia="宋体" w:cs="宋体"/>
          <w:color w:val="auto"/>
          <w:sz w:val="24"/>
          <w:szCs w:val="24"/>
          <w:highlight w:val="none"/>
          <w:lang w:val="zh-CN" w:eastAsia="zh-CN"/>
        </w:rPr>
        <w:t>因系统存储空间有限，中标结果公告届满之日起三十日后，苏采云系统不再保证提供下载《中标通知书》服务，因未及时下载而造成的不利后果由中标人自行承担。</w:t>
      </w:r>
      <w:bookmarkEnd w:id="345"/>
    </w:p>
    <w:p w14:paraId="6491DCE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46" w:name="_Toc2949"/>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中标通知书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是合同的一个组成部分，对采购人和中标人均具有法律效力。《中标通知书》发出后，采购人改变中标结果或者中标人放弃中标项目的，应当依法承担法律责任。</w:t>
      </w:r>
      <w:bookmarkEnd w:id="346"/>
    </w:p>
    <w:p w14:paraId="71A1DD28">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eastAsia" w:ascii="宋体" w:hAnsi="宋体" w:eastAsia="宋体" w:cs="宋体"/>
          <w:b/>
          <w:bCs/>
          <w:color w:val="auto"/>
          <w:sz w:val="28"/>
          <w:szCs w:val="28"/>
          <w:highlight w:val="none"/>
          <w:lang w:val="en-US" w:eastAsia="zh-CN"/>
        </w:rPr>
      </w:pPr>
      <w:bookmarkStart w:id="347" w:name="_Toc120614220"/>
      <w:bookmarkStart w:id="348" w:name="_Toc32236"/>
      <w:bookmarkStart w:id="349" w:name="_Toc20823308"/>
      <w:bookmarkStart w:id="350" w:name="_Toc16938552"/>
      <w:bookmarkStart w:id="351" w:name="_Toc513029236"/>
      <w:r>
        <w:rPr>
          <w:rFonts w:hint="eastAsia" w:ascii="宋体" w:hAnsi="宋体" w:eastAsia="宋体" w:cs="宋体"/>
          <w:b/>
          <w:bCs/>
          <w:color w:val="auto"/>
          <w:sz w:val="28"/>
          <w:szCs w:val="28"/>
          <w:highlight w:val="none"/>
          <w:lang w:val="en-US" w:eastAsia="zh-CN"/>
        </w:rPr>
        <w:t>七、授予合同</w:t>
      </w:r>
      <w:bookmarkEnd w:id="347"/>
      <w:bookmarkEnd w:id="348"/>
    </w:p>
    <w:bookmarkEnd w:id="349"/>
    <w:bookmarkEnd w:id="350"/>
    <w:bookmarkEnd w:id="351"/>
    <w:p w14:paraId="5A11BF77">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28.签订合同</w:t>
      </w:r>
    </w:p>
    <w:p w14:paraId="3B125587">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default" w:ascii="宋体" w:hAnsi="宋体" w:eastAsia="宋体" w:cs="宋体"/>
          <w:color w:val="auto"/>
          <w:sz w:val="24"/>
          <w:szCs w:val="24"/>
          <w:highlight w:val="none"/>
          <w:lang w:val="en-US" w:eastAsia="zh-CN"/>
        </w:rPr>
      </w:pPr>
      <w:bookmarkStart w:id="352" w:name="_Toc31188"/>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val="zh-CN" w:eastAsia="zh-CN"/>
        </w:rPr>
        <w:t>.l中标人应当</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lang w:val="zh-CN" w:eastAsia="zh-CN"/>
        </w:rPr>
        <w:t>《中标通知书》发出之日起三十日内，按照招标文件确定的事项与采购人签订政府采购合同。采购人于合同签订后2个工作日内通过苏采云系统进行公示。</w:t>
      </w:r>
      <w:bookmarkEnd w:id="352"/>
    </w:p>
    <w:p w14:paraId="73281CC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53" w:name="_Toc7921"/>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val="zh-CN" w:eastAsia="zh-CN"/>
        </w:rPr>
        <w:t>.2招标文件、中标人的投标文件及招标过程中有关澄清、承诺文件均作为合同附件。</w:t>
      </w:r>
      <w:bookmarkEnd w:id="353"/>
    </w:p>
    <w:p w14:paraId="0D114D33">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54" w:name="_Toc28303"/>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val="zh-CN" w:eastAsia="zh-CN"/>
        </w:rPr>
        <w:t>.3签订合同后，中标人不得将合同标的进行转包。未经采购人同意，中标人也不得采用分包的形式履行合同，否则采购人有权终止合同。转包或分包造成采购人损失的，中标人应承担相应赔偿责任。</w:t>
      </w:r>
      <w:bookmarkEnd w:id="354"/>
    </w:p>
    <w:p w14:paraId="3072369F">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55" w:name="_Toc26245"/>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val="zh-CN" w:eastAsia="zh-CN"/>
        </w:rPr>
        <w:t>.4中标人因自身原因拒绝与采购人签订合同的，不得参加采购人</w:t>
      </w:r>
      <w:r>
        <w:rPr>
          <w:rFonts w:hint="eastAsia" w:ascii="宋体" w:hAnsi="宋体" w:eastAsia="宋体" w:cs="宋体"/>
          <w:color w:val="auto"/>
          <w:sz w:val="24"/>
          <w:szCs w:val="24"/>
          <w:highlight w:val="none"/>
          <w:lang w:val="en-US" w:eastAsia="zh-CN"/>
        </w:rPr>
        <w:t>重新组织的</w:t>
      </w:r>
      <w:r>
        <w:rPr>
          <w:rFonts w:hint="eastAsia" w:ascii="宋体" w:hAnsi="宋体" w:eastAsia="宋体" w:cs="宋体"/>
          <w:color w:val="auto"/>
          <w:sz w:val="24"/>
          <w:szCs w:val="24"/>
          <w:highlight w:val="none"/>
          <w:lang w:val="zh-CN" w:eastAsia="zh-CN"/>
        </w:rPr>
        <w:t>采购活动</w:t>
      </w:r>
      <w:r>
        <w:rPr>
          <w:rFonts w:hint="eastAsia" w:ascii="宋体" w:hAnsi="宋体" w:eastAsia="宋体" w:cs="宋体"/>
          <w:color w:val="auto"/>
          <w:sz w:val="24"/>
          <w:szCs w:val="24"/>
          <w:highlight w:val="none"/>
          <w:lang w:val="en-US" w:eastAsia="zh-CN"/>
        </w:rPr>
        <w:t>，且将可能被拒绝参加该采购人</w:t>
      </w:r>
      <w:r>
        <w:rPr>
          <w:rFonts w:hint="eastAsia" w:ascii="宋体" w:hAnsi="宋体" w:eastAsia="宋体" w:cs="宋体"/>
          <w:color w:val="auto"/>
          <w:sz w:val="24"/>
          <w:szCs w:val="24"/>
          <w:highlight w:val="none"/>
          <w:lang w:val="zh-CN" w:eastAsia="zh-CN"/>
        </w:rPr>
        <w:t>一年内</w:t>
      </w:r>
      <w:r>
        <w:rPr>
          <w:rFonts w:hint="eastAsia" w:ascii="宋体" w:hAnsi="宋体" w:eastAsia="宋体" w:cs="宋体"/>
          <w:color w:val="auto"/>
          <w:sz w:val="24"/>
          <w:szCs w:val="24"/>
          <w:highlight w:val="none"/>
          <w:lang w:val="en-US" w:eastAsia="zh-CN"/>
        </w:rPr>
        <w:t>的其他</w:t>
      </w:r>
      <w:r>
        <w:rPr>
          <w:rFonts w:hint="eastAsia" w:ascii="宋体" w:hAnsi="宋体" w:eastAsia="宋体" w:cs="宋体"/>
          <w:color w:val="auto"/>
          <w:sz w:val="24"/>
          <w:szCs w:val="24"/>
          <w:highlight w:val="none"/>
          <w:lang w:val="zh-CN" w:eastAsia="zh-CN"/>
        </w:rPr>
        <w:t>政府采购活动。</w:t>
      </w:r>
      <w:bookmarkEnd w:id="355"/>
    </w:p>
    <w:p w14:paraId="79CD284C">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29.标的物的追加</w:t>
      </w:r>
    </w:p>
    <w:p w14:paraId="157F5291">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56" w:name="_Toc7969"/>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lang w:val="zh-CN" w:eastAsia="zh-CN"/>
        </w:rPr>
        <w:t>.1合同履行中，采购人需追加与合同标的相同的服务（包含与服务相关的货物），在不改变合同其他条款的前提下，可以与中标人协商签订补充合同，但所有补充合同的金额不超过原合同金额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zh-CN" w:eastAsia="zh-CN"/>
        </w:rPr>
        <w:t>10%。</w:t>
      </w:r>
      <w:bookmarkEnd w:id="356"/>
    </w:p>
    <w:p w14:paraId="11219FE4">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eastAsia" w:ascii="宋体" w:hAnsi="宋体" w:eastAsia="宋体" w:cs="宋体"/>
          <w:b/>
          <w:bCs/>
          <w:color w:val="auto"/>
          <w:sz w:val="28"/>
          <w:szCs w:val="28"/>
          <w:highlight w:val="none"/>
          <w:lang w:val="en-US" w:eastAsia="zh-CN"/>
        </w:rPr>
      </w:pPr>
      <w:bookmarkStart w:id="357" w:name="_Toc21761"/>
      <w:r>
        <w:rPr>
          <w:rFonts w:hint="eastAsia" w:ascii="宋体" w:hAnsi="宋体" w:eastAsia="宋体" w:cs="宋体"/>
          <w:b/>
          <w:bCs/>
          <w:color w:val="auto"/>
          <w:sz w:val="28"/>
          <w:szCs w:val="28"/>
          <w:highlight w:val="none"/>
          <w:lang w:val="en-US" w:eastAsia="zh-CN"/>
        </w:rPr>
        <w:t>八、质疑</w:t>
      </w:r>
      <w:bookmarkEnd w:id="357"/>
    </w:p>
    <w:p w14:paraId="0F0BDA3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58" w:name="_Toc4277"/>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zh-CN" w:eastAsia="zh-CN"/>
        </w:rPr>
        <w:t>提出质疑的供应商应当是参与所质疑项目采购活动的供应商，潜在供应商依法获取其可质疑的采购文件的，可以对采购文件提出质疑。</w:t>
      </w:r>
      <w:bookmarkEnd w:id="358"/>
    </w:p>
    <w:p w14:paraId="4832C922">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b/>
          <w:bCs/>
          <w:color w:val="auto"/>
          <w:sz w:val="24"/>
          <w:szCs w:val="24"/>
          <w:highlight w:val="none"/>
          <w:lang w:val="zh-CN" w:eastAsia="zh-CN" w:bidi="ar-SA"/>
        </w:rPr>
      </w:pPr>
      <w:bookmarkStart w:id="359" w:name="_Toc4175"/>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zh-CN" w:eastAsia="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lang w:val="en-US" w:eastAsia="zh-CN"/>
        </w:rPr>
        <w:t>按照第33条</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第34</w:t>
      </w:r>
      <w:r>
        <w:rPr>
          <w:rFonts w:hint="eastAsia" w:ascii="宋体" w:hAnsi="宋体" w:eastAsia="宋体" w:cs="宋体"/>
          <w:color w:val="auto"/>
          <w:sz w:val="24"/>
          <w:szCs w:val="24"/>
          <w:highlight w:val="none"/>
          <w:lang w:val="zh-CN" w:eastAsia="zh-CN"/>
        </w:rPr>
        <w:t>条</w:t>
      </w:r>
      <w:r>
        <w:rPr>
          <w:rFonts w:hint="eastAsia" w:ascii="宋体" w:hAnsi="宋体" w:eastAsia="宋体" w:cs="宋体"/>
          <w:color w:val="auto"/>
          <w:sz w:val="24"/>
          <w:szCs w:val="24"/>
          <w:highlight w:val="none"/>
          <w:lang w:val="en-US" w:eastAsia="zh-CN"/>
        </w:rPr>
        <w:t>之</w:t>
      </w:r>
      <w:r>
        <w:rPr>
          <w:rFonts w:hint="eastAsia" w:ascii="宋体" w:hAnsi="宋体" w:eastAsia="宋体" w:cs="宋体"/>
          <w:color w:val="auto"/>
          <w:sz w:val="24"/>
          <w:szCs w:val="24"/>
          <w:highlight w:val="none"/>
          <w:lang w:val="zh-CN" w:eastAsia="zh-CN"/>
        </w:rPr>
        <w:t>规定以书面形式向采购人或采购代理机构提出质疑。</w:t>
      </w:r>
      <w:r>
        <w:rPr>
          <w:rFonts w:hint="eastAsia" w:ascii="宋体" w:hAnsi="宋体" w:eastAsia="宋体" w:cs="宋体"/>
          <w:b/>
          <w:bCs/>
          <w:color w:val="auto"/>
          <w:sz w:val="24"/>
          <w:szCs w:val="24"/>
          <w:highlight w:val="none"/>
          <w:lang w:val="zh-CN" w:eastAsia="zh-CN" w:bidi="ar-SA"/>
        </w:rPr>
        <w:t>上述应知其权益受到损害之日是指：</w:t>
      </w:r>
      <w:bookmarkEnd w:id="359"/>
    </w:p>
    <w:p w14:paraId="06625D8F">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0" w:name="_Toc22860"/>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zh-CN" w:eastAsia="zh-CN"/>
        </w:rPr>
        <w:t>.1对采购文件提出质疑的，为收到采购文件之日或者采购文件公告期限届满之日。</w:t>
      </w:r>
      <w:bookmarkEnd w:id="360"/>
    </w:p>
    <w:p w14:paraId="522E6E8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1" w:name="_Toc18216"/>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zh-CN" w:eastAsia="zh-CN"/>
        </w:rPr>
        <w:t>.2对采购过程提出质疑的，为各采购程序环节结束之日。</w:t>
      </w:r>
      <w:bookmarkEnd w:id="361"/>
    </w:p>
    <w:p w14:paraId="102E4539">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2" w:name="_Toc657"/>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zh-CN" w:eastAsia="zh-CN"/>
        </w:rPr>
        <w:t>.3对中标或者成交结果提出质疑的，为中标或者成交结果公告期限届满之日。</w:t>
      </w:r>
      <w:bookmarkEnd w:id="362"/>
    </w:p>
    <w:p w14:paraId="445E7C5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3" w:name="_Toc25359"/>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lang w:val="zh-CN" w:eastAsia="zh-CN"/>
        </w:rPr>
        <w:t>供应商应当在法定质疑期内一次性提出针对同一采购程序环节的质疑。供应商如在法定期限内对同一采购程序环节提出多次质疑的，采购代理机构或采购人将只对供应商第一次质疑作出答复。</w:t>
      </w:r>
      <w:bookmarkEnd w:id="363"/>
    </w:p>
    <w:p w14:paraId="70C67DCC">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4" w:name="_Toc25685"/>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lang w:val="zh-CN" w:eastAsia="zh-CN"/>
        </w:rPr>
        <w:t>供应商提出质疑应提交《质疑函》原件，且尽可能通过邮寄方式送达，采购代理机构和采购人不接受无运单的快件。《质疑函》应按照本招标文件中《质疑函范本》</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val="zh-CN" w:eastAsia="zh-CN"/>
        </w:rPr>
        <w:t>格式和内容填写。</w:t>
      </w:r>
      <w:bookmarkEnd w:id="364"/>
    </w:p>
    <w:p w14:paraId="235FB215">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5" w:name="_Toc10094"/>
      <w:r>
        <w:rPr>
          <w:rFonts w:hint="eastAsia" w:ascii="宋体" w:hAnsi="宋体" w:eastAsia="宋体" w:cs="宋体"/>
          <w:color w:val="auto"/>
          <w:sz w:val="24"/>
          <w:szCs w:val="24"/>
          <w:highlight w:val="none"/>
          <w:lang w:val="zh-CN" w:eastAsia="zh-CN"/>
        </w:rPr>
        <w:t>供应商如组成联合体参加采购活动，《质疑函范本》中要求加盖公章之处，联合体各方均须按要求加盖公章。</w:t>
      </w:r>
      <w:bookmarkEnd w:id="365"/>
    </w:p>
    <w:p w14:paraId="291B2998">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bookmarkStart w:id="366" w:name="_Toc15317"/>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lang w:val="zh-CN" w:eastAsia="zh-CN"/>
        </w:rPr>
        <w:t>供应商（含潜在供应商）对采购方式、采购需求、供应商资格条件、评标方法和评标标准、合同文本的询问</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lang w:val="zh-CN" w:eastAsia="zh-CN"/>
        </w:rPr>
        <w:t>质疑向采购人提出，由采购人负责答复。</w:t>
      </w:r>
      <w:r>
        <w:rPr>
          <w:rFonts w:hint="eastAsia" w:ascii="宋体" w:hAnsi="宋体" w:eastAsia="宋体" w:cs="宋体"/>
          <w:color w:val="auto"/>
          <w:sz w:val="24"/>
          <w:szCs w:val="24"/>
          <w:highlight w:val="none"/>
          <w:lang w:val="en-US" w:eastAsia="zh-CN"/>
        </w:rPr>
        <w:t>供应商对采购过程、采购结果</w:t>
      </w:r>
      <w:r>
        <w:rPr>
          <w:rFonts w:hint="eastAsia" w:ascii="宋体" w:hAnsi="宋体" w:eastAsia="宋体" w:cs="宋体"/>
          <w:color w:val="auto"/>
          <w:sz w:val="24"/>
          <w:szCs w:val="24"/>
          <w:highlight w:val="none"/>
          <w:lang w:val="zh-CN" w:eastAsia="zh-CN"/>
        </w:rPr>
        <w:t>的询问</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lang w:val="zh-CN" w:eastAsia="zh-CN"/>
        </w:rPr>
        <w:t>质疑向采购代理机构提出，由采购代理机构负责答复。</w:t>
      </w:r>
      <w:bookmarkEnd w:id="366"/>
    </w:p>
    <w:p w14:paraId="29E4446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7" w:name="_Toc3640"/>
      <w:r>
        <w:rPr>
          <w:rFonts w:hint="eastAsia" w:ascii="宋体" w:hAnsi="宋体" w:eastAsia="宋体" w:cs="宋体"/>
          <w:color w:val="auto"/>
          <w:sz w:val="24"/>
          <w:szCs w:val="24"/>
          <w:highlight w:val="none"/>
          <w:lang w:val="en-US" w:eastAsia="zh-CN"/>
        </w:rPr>
        <w:t>由采购人负责答复的质疑，采购人将《质疑答复函》抄送采购代理机构。</w:t>
      </w:r>
      <w:bookmarkEnd w:id="367"/>
    </w:p>
    <w:p w14:paraId="06D523EC">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val="zh-CN" w:eastAsia="zh-CN"/>
        </w:rPr>
        <w:t>以下情形的质疑不予受理：</w:t>
      </w:r>
    </w:p>
    <w:p w14:paraId="55B6CF4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8" w:name="_Toc11829"/>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val="zh-CN" w:eastAsia="zh-CN"/>
        </w:rPr>
        <w:t>.1内容不符合《政府采购质疑和投诉办法》第十二条规定的质疑。</w:t>
      </w:r>
      <w:bookmarkEnd w:id="368"/>
    </w:p>
    <w:p w14:paraId="7DC65D2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69" w:name="_Toc30462"/>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val="zh-CN" w:eastAsia="zh-CN"/>
        </w:rPr>
        <w:t>.2超出政府采购法定期限的质疑。</w:t>
      </w:r>
      <w:bookmarkEnd w:id="369"/>
    </w:p>
    <w:p w14:paraId="4148BBB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0" w:name="_Toc6103"/>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val="zh-CN" w:eastAsia="zh-CN"/>
        </w:rPr>
        <w:t>.3以传真、电子邮件等方式递交的非原件形式的质疑。</w:t>
      </w:r>
      <w:bookmarkEnd w:id="370"/>
    </w:p>
    <w:p w14:paraId="70E47A5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1" w:name="_Toc9055"/>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val="zh-CN" w:eastAsia="zh-CN"/>
        </w:rPr>
        <w:t>.4未参加采购活动或在采购活动中自身权益未受到损害的供应商所提出的质疑。</w:t>
      </w:r>
      <w:bookmarkEnd w:id="371"/>
    </w:p>
    <w:p w14:paraId="00B70F25">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2" w:name="_Toc22396"/>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val="zh-CN" w:eastAsia="zh-CN"/>
        </w:rPr>
        <w:t>.5供应商组成联合体参加采购活动，联合体中任何一方或多方未按要求签字</w:t>
      </w:r>
      <w:r>
        <w:rPr>
          <w:rFonts w:hint="eastAsia" w:ascii="宋体" w:hAnsi="宋体" w:eastAsia="宋体" w:cs="宋体"/>
          <w:color w:val="auto"/>
          <w:sz w:val="24"/>
          <w:szCs w:val="24"/>
          <w:highlight w:val="none"/>
          <w:lang w:val="en-US" w:eastAsia="zh-CN"/>
        </w:rPr>
        <w:t>或签章</w:t>
      </w:r>
      <w:r>
        <w:rPr>
          <w:rFonts w:hint="eastAsia" w:ascii="宋体" w:hAnsi="宋体" w:eastAsia="宋体" w:cs="宋体"/>
          <w:color w:val="auto"/>
          <w:sz w:val="24"/>
          <w:szCs w:val="24"/>
          <w:highlight w:val="none"/>
          <w:lang w:val="zh-CN" w:eastAsia="zh-CN"/>
        </w:rPr>
        <w:t>、加盖公章的质疑。</w:t>
      </w:r>
      <w:bookmarkEnd w:id="372"/>
    </w:p>
    <w:p w14:paraId="485831CB">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3" w:name="_Toc5173"/>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法律法规规定的</w:t>
      </w:r>
      <w:r>
        <w:rPr>
          <w:rFonts w:hint="eastAsia" w:ascii="宋体" w:hAnsi="宋体" w:eastAsia="宋体" w:cs="宋体"/>
          <w:color w:val="auto"/>
          <w:sz w:val="24"/>
          <w:szCs w:val="24"/>
          <w:highlight w:val="none"/>
          <w:lang w:val="en-US" w:eastAsia="zh-CN"/>
        </w:rPr>
        <w:t>其他</w:t>
      </w:r>
      <w:r>
        <w:rPr>
          <w:rFonts w:hint="eastAsia" w:ascii="宋体" w:hAnsi="宋体" w:eastAsia="宋体" w:cs="宋体"/>
          <w:color w:val="auto"/>
          <w:sz w:val="24"/>
          <w:szCs w:val="24"/>
          <w:highlight w:val="none"/>
          <w:lang w:val="zh-CN" w:eastAsia="zh-CN"/>
        </w:rPr>
        <w:t>不予受理情形。</w:t>
      </w:r>
      <w:bookmarkEnd w:id="373"/>
    </w:p>
    <w:p w14:paraId="5EC4D8C0">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4" w:name="_Toc31565"/>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lang w:val="zh-CN" w:eastAsia="zh-CN"/>
        </w:rPr>
        <w:t>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bookmarkEnd w:id="374"/>
    </w:p>
    <w:p w14:paraId="63B07778">
      <w:pPr>
        <w:pStyle w:val="5"/>
        <w:pageBreakBefore w:val="0"/>
        <w:widowControl w:val="0"/>
        <w:kinsoku/>
        <w:wordWrap/>
        <w:overflowPunct/>
        <w:topLinePunct w:val="0"/>
        <w:autoSpaceDE/>
        <w:autoSpaceDN/>
        <w:bidi w:val="0"/>
        <w:adjustRightInd/>
        <w:snapToGrid/>
        <w:spacing w:before="0" w:line="440" w:lineRule="exact"/>
        <w:ind w:left="0" w:leftChars="0" w:firstLine="562" w:firstLineChars="200"/>
        <w:textAlignment w:val="auto"/>
        <w:rPr>
          <w:rFonts w:hint="default" w:ascii="宋体" w:hAnsi="宋体" w:eastAsia="宋体" w:cs="宋体"/>
          <w:b/>
          <w:bCs/>
          <w:color w:val="auto"/>
          <w:sz w:val="28"/>
          <w:szCs w:val="28"/>
          <w:highlight w:val="none"/>
          <w:lang w:val="en-US" w:eastAsia="zh-CN"/>
        </w:rPr>
      </w:pPr>
      <w:bookmarkStart w:id="375" w:name="_Toc13551"/>
      <w:r>
        <w:rPr>
          <w:rFonts w:hint="eastAsia" w:ascii="宋体" w:hAnsi="宋体" w:eastAsia="宋体" w:cs="宋体"/>
          <w:b/>
          <w:bCs/>
          <w:color w:val="auto"/>
          <w:sz w:val="28"/>
          <w:szCs w:val="28"/>
          <w:highlight w:val="none"/>
          <w:lang w:val="en-US" w:eastAsia="zh-CN"/>
        </w:rPr>
        <w:t>九、政策功能落实</w:t>
      </w:r>
      <w:bookmarkEnd w:id="375"/>
    </w:p>
    <w:p w14:paraId="75C069E5">
      <w:pPr>
        <w:pStyle w:val="7"/>
        <w:pageBreakBefore w:val="0"/>
        <w:widowControl w:val="0"/>
        <w:kinsoku/>
        <w:wordWrap/>
        <w:overflowPunct/>
        <w:topLinePunct w:val="0"/>
        <w:autoSpaceDE/>
        <w:autoSpaceDN/>
        <w:bidi w:val="0"/>
        <w:adjustRightInd/>
        <w:snapToGrid/>
        <w:spacing w:before="0" w:after="0" w:line="440" w:lineRule="exact"/>
        <w:ind w:left="0" w:firstLine="482"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.促进中小企业发展</w:t>
      </w:r>
    </w:p>
    <w:p w14:paraId="58E770E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6" w:name="_Toc10041"/>
      <w:r>
        <w:rPr>
          <w:rFonts w:hint="eastAsia" w:ascii="宋体" w:hAnsi="宋体" w:eastAsia="宋体" w:cs="宋体"/>
          <w:color w:val="auto"/>
          <w:sz w:val="24"/>
          <w:szCs w:val="24"/>
          <w:highlight w:val="none"/>
          <w:lang w:val="en-US" w:eastAsia="zh-CN"/>
        </w:rPr>
        <w:t>37.1本项目</w:t>
      </w:r>
      <w:r>
        <w:rPr>
          <w:rFonts w:hint="eastAsia" w:ascii="宋体" w:hAnsi="宋体" w:eastAsia="宋体" w:cs="宋体"/>
          <w:color w:val="auto"/>
          <w:sz w:val="24"/>
          <w:szCs w:val="24"/>
          <w:highlight w:val="none"/>
          <w:lang w:val="zh-CN" w:eastAsia="zh-CN"/>
        </w:rPr>
        <w:t>服务由中小企业承接的，</w:t>
      </w:r>
      <w:r>
        <w:rPr>
          <w:rFonts w:hint="eastAsia" w:ascii="宋体" w:hAnsi="宋体" w:eastAsia="宋体" w:cs="宋体"/>
          <w:color w:val="auto"/>
          <w:sz w:val="24"/>
          <w:szCs w:val="24"/>
          <w:highlight w:val="none"/>
          <w:lang w:val="en-US" w:eastAsia="zh-CN"/>
        </w:rPr>
        <w:t>投标供应商</w:t>
      </w:r>
      <w:r>
        <w:rPr>
          <w:rFonts w:hint="eastAsia" w:ascii="宋体" w:hAnsi="宋体" w:eastAsia="宋体" w:cs="宋体"/>
          <w:color w:val="auto"/>
          <w:sz w:val="24"/>
          <w:szCs w:val="24"/>
          <w:highlight w:val="none"/>
          <w:lang w:val="zh-CN" w:eastAsia="zh-CN"/>
        </w:rPr>
        <w:t>享受中小企业扶持政策。</w:t>
      </w:r>
      <w:bookmarkEnd w:id="376"/>
    </w:p>
    <w:p w14:paraId="553B6CEE">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7" w:name="_Toc28409"/>
      <w:r>
        <w:rPr>
          <w:rFonts w:hint="eastAsia" w:ascii="宋体" w:hAnsi="宋体" w:eastAsia="宋体" w:cs="宋体"/>
          <w:color w:val="auto"/>
          <w:sz w:val="24"/>
          <w:szCs w:val="24"/>
          <w:highlight w:val="none"/>
          <w:lang w:val="en-US" w:eastAsia="zh-CN"/>
        </w:rPr>
        <w:t>37.2</w:t>
      </w:r>
      <w:r>
        <w:rPr>
          <w:rFonts w:hint="eastAsia" w:ascii="宋体" w:hAnsi="宋体" w:eastAsia="宋体" w:cs="宋体"/>
          <w:color w:val="auto"/>
          <w:sz w:val="24"/>
          <w:szCs w:val="24"/>
          <w:highlight w:val="none"/>
          <w:lang w:val="zh-CN" w:eastAsia="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bookmarkEnd w:id="377"/>
    </w:p>
    <w:p w14:paraId="7B3DC24A">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8" w:name="_Toc1876"/>
      <w:r>
        <w:rPr>
          <w:rFonts w:hint="eastAsia" w:ascii="宋体" w:hAnsi="宋体" w:eastAsia="宋体" w:cs="宋体"/>
          <w:color w:val="auto"/>
          <w:sz w:val="24"/>
          <w:szCs w:val="24"/>
          <w:highlight w:val="none"/>
          <w:lang w:val="en-US" w:eastAsia="zh-CN"/>
        </w:rPr>
        <w:t>37.3</w:t>
      </w:r>
      <w:r>
        <w:rPr>
          <w:rFonts w:hint="eastAsia" w:ascii="宋体" w:hAnsi="宋体" w:eastAsia="宋体" w:cs="宋体"/>
          <w:color w:val="auto"/>
          <w:sz w:val="24"/>
          <w:szCs w:val="24"/>
          <w:highlight w:val="none"/>
          <w:lang w:val="zh-CN" w:eastAsia="zh-CN"/>
        </w:rPr>
        <w:t>中小企业参加政府采购活动，应当出具《中小企业声明函》，否则不享受相关中小企业</w:t>
      </w:r>
      <w:r>
        <w:rPr>
          <w:rFonts w:hint="eastAsia" w:ascii="宋体" w:hAnsi="宋体" w:eastAsia="宋体" w:cs="宋体"/>
          <w:color w:val="auto"/>
          <w:sz w:val="24"/>
          <w:szCs w:val="24"/>
          <w:highlight w:val="none"/>
          <w:lang w:val="en-US" w:eastAsia="zh-CN"/>
        </w:rPr>
        <w:t>支持</w:t>
      </w:r>
      <w:r>
        <w:rPr>
          <w:rFonts w:hint="eastAsia" w:ascii="宋体" w:hAnsi="宋体" w:eastAsia="宋体" w:cs="宋体"/>
          <w:color w:val="auto"/>
          <w:sz w:val="24"/>
          <w:szCs w:val="24"/>
          <w:highlight w:val="none"/>
          <w:lang w:val="zh-CN" w:eastAsia="zh-CN"/>
        </w:rPr>
        <w:t>政策。</w:t>
      </w:r>
      <w:bookmarkEnd w:id="378"/>
    </w:p>
    <w:p w14:paraId="4C065184">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79" w:name="_Toc19742"/>
      <w:r>
        <w:rPr>
          <w:rFonts w:hint="eastAsia" w:ascii="宋体" w:hAnsi="宋体" w:eastAsia="宋体" w:cs="宋体"/>
          <w:color w:val="auto"/>
          <w:sz w:val="24"/>
          <w:szCs w:val="24"/>
          <w:highlight w:val="none"/>
          <w:lang w:val="en-US" w:eastAsia="zh-CN"/>
        </w:rPr>
        <w:t>37.4</w:t>
      </w:r>
      <w:r>
        <w:rPr>
          <w:rFonts w:hint="eastAsia" w:ascii="宋体" w:hAnsi="宋体" w:eastAsia="宋体" w:cs="宋体"/>
          <w:color w:val="auto"/>
          <w:sz w:val="24"/>
          <w:szCs w:val="24"/>
          <w:highlight w:val="none"/>
          <w:lang w:val="zh-CN" w:eastAsia="zh-CN"/>
        </w:rPr>
        <w:t>以联合体形式参加政府采购活动，联合体各方均为中小企业的，联合体视同中小企业。其中，联合体各方均为小微企业的，联合体视同小微企业。</w:t>
      </w:r>
      <w:bookmarkEnd w:id="379"/>
    </w:p>
    <w:p w14:paraId="67AB5B61">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80" w:name="_Toc30234"/>
      <w:r>
        <w:rPr>
          <w:rFonts w:hint="eastAsia"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5监狱和戒毒企业（简称监狱企业）视同小型、微型企业</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lang w:val="zh-CN" w:eastAsia="zh-CN"/>
        </w:rPr>
        <w:t>《关于政府采购支持监狱企业发展有关问题的通知》（财库〔2014〕68号）</w:t>
      </w:r>
      <w:r>
        <w:rPr>
          <w:rFonts w:hint="eastAsia" w:ascii="宋体" w:hAnsi="宋体" w:eastAsia="宋体" w:cs="宋体"/>
          <w:color w:val="auto"/>
          <w:sz w:val="24"/>
          <w:szCs w:val="24"/>
          <w:highlight w:val="none"/>
          <w:lang w:val="en-US" w:eastAsia="zh-CN"/>
        </w:rPr>
        <w:t>规定，</w:t>
      </w:r>
      <w:r>
        <w:rPr>
          <w:rFonts w:hint="eastAsia" w:ascii="宋体" w:hAnsi="宋体" w:eastAsia="宋体" w:cs="宋体"/>
          <w:color w:val="auto"/>
          <w:sz w:val="24"/>
          <w:szCs w:val="24"/>
          <w:highlight w:val="none"/>
          <w:lang w:val="zh-CN" w:eastAsia="zh-CN"/>
        </w:rPr>
        <w:t>监狱企业需提供由省级以上监狱管理局、戒毒管理局(含新疆生产建设兵团)出具的属于监狱企业的证明文件。</w:t>
      </w:r>
      <w:bookmarkEnd w:id="380"/>
    </w:p>
    <w:p w14:paraId="6D03820D">
      <w:pPr>
        <w:pStyle w:val="5"/>
        <w:keepNext w:val="0"/>
        <w:keepLines w:val="0"/>
        <w:pageBreakBefore w:val="0"/>
        <w:widowControl w:val="0"/>
        <w:kinsoku/>
        <w:wordWrap/>
        <w:overflowPunct/>
        <w:topLinePunct w:val="0"/>
        <w:autoSpaceDE/>
        <w:autoSpaceDN/>
        <w:bidi w:val="0"/>
        <w:adjustRightInd/>
        <w:snapToGrid/>
        <w:spacing w:before="0" w:line="440" w:lineRule="exact"/>
        <w:ind w:left="0" w:leftChars="0" w:firstLine="480" w:firstLineChars="200"/>
        <w:textAlignment w:val="auto"/>
        <w:rPr>
          <w:rFonts w:hint="eastAsia" w:ascii="宋体" w:hAnsi="宋体" w:eastAsia="宋体" w:cs="宋体"/>
          <w:color w:val="auto"/>
          <w:sz w:val="24"/>
          <w:szCs w:val="24"/>
          <w:highlight w:val="none"/>
          <w:lang w:val="zh-CN" w:eastAsia="zh-CN"/>
        </w:rPr>
      </w:pPr>
      <w:bookmarkStart w:id="381" w:name="_Toc22348"/>
      <w:r>
        <w:rPr>
          <w:rFonts w:hint="eastAsia"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残疾人福利性单位</w:t>
      </w:r>
      <w:r>
        <w:rPr>
          <w:rFonts w:hint="eastAsia" w:ascii="宋体" w:hAnsi="宋体" w:eastAsia="宋体" w:cs="宋体"/>
          <w:color w:val="auto"/>
          <w:sz w:val="24"/>
          <w:szCs w:val="24"/>
          <w:highlight w:val="none"/>
          <w:lang w:val="en-US" w:eastAsia="zh-CN"/>
        </w:rPr>
        <w:t>视同小型、微型企业</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按照《关于促进残疾人就业政府采购政策的通知》（财库〔2017〕141号）规定，残疾人福利单位需</w:t>
      </w:r>
      <w:r>
        <w:rPr>
          <w:rFonts w:hint="eastAsia" w:ascii="宋体" w:hAnsi="宋体" w:eastAsia="宋体" w:cs="宋体"/>
          <w:color w:val="auto"/>
          <w:sz w:val="24"/>
          <w:szCs w:val="24"/>
          <w:highlight w:val="none"/>
          <w:lang w:val="zh-CN" w:eastAsia="zh-CN"/>
        </w:rPr>
        <w:t>提供《残疾人福利性单位声明函》。</w:t>
      </w:r>
      <w:bookmarkEnd w:id="381"/>
    </w:p>
    <w:p w14:paraId="01FA269F">
      <w:pPr>
        <w:pageBreakBefore w:val="0"/>
        <w:widowControl w:val="0"/>
        <w:kinsoku/>
        <w:wordWrap/>
        <w:overflowPunct/>
        <w:topLinePunct w:val="0"/>
        <w:bidi w:val="0"/>
        <w:adjustRightInd/>
        <w:snapToGrid/>
        <w:spacing w:line="440" w:lineRule="exact"/>
        <w:ind w:left="0" w:firstLine="542" w:firstLineChars="200"/>
        <w:textAlignment w:val="auto"/>
        <w:rPr>
          <w:rFonts w:hint="eastAsia" w:ascii="宋体" w:hAnsi="宋体" w:eastAsia="宋体" w:cs="宋体"/>
          <w:b/>
          <w:bCs/>
          <w:color w:val="auto"/>
          <w:sz w:val="27"/>
          <w:szCs w:val="27"/>
          <w:highlight w:val="none"/>
          <w:lang w:val="en-US" w:eastAsia="zh-CN" w:bidi="ar-SA"/>
        </w:rPr>
      </w:pPr>
      <w:r>
        <w:rPr>
          <w:rFonts w:hint="eastAsia" w:ascii="宋体" w:hAnsi="宋体" w:eastAsia="宋体" w:cs="宋体"/>
          <w:b/>
          <w:bCs/>
          <w:color w:val="auto"/>
          <w:sz w:val="27"/>
          <w:szCs w:val="27"/>
          <w:highlight w:val="none"/>
          <w:lang w:val="en-US" w:eastAsia="zh-CN" w:bidi="ar-SA"/>
        </w:rPr>
        <w:br w:type="page"/>
      </w:r>
    </w:p>
    <w:p w14:paraId="0D90661B">
      <w:pPr>
        <w:pStyle w:val="3"/>
        <w:numPr>
          <w:ilvl w:val="0"/>
          <w:numId w:val="1"/>
        </w:numPr>
        <w:autoSpaceDE/>
        <w:autoSpaceDN/>
        <w:spacing w:line="360" w:lineRule="auto"/>
        <w:ind w:left="100" w:leftChars="0"/>
        <w:jc w:val="center"/>
        <w:rPr>
          <w:rFonts w:hint="eastAsia" w:cs="宋体"/>
          <w:b/>
          <w:bCs/>
          <w:color w:val="auto"/>
          <w:sz w:val="27"/>
          <w:szCs w:val="27"/>
          <w:highlight w:val="none"/>
          <w:lang w:val="en-US" w:eastAsia="zh-CN" w:bidi="ar-SA"/>
        </w:rPr>
      </w:pPr>
      <w:bookmarkStart w:id="382" w:name="_Toc32184"/>
      <w:r>
        <w:rPr>
          <w:rFonts w:hint="eastAsia" w:cs="宋体"/>
          <w:b/>
          <w:bCs/>
          <w:color w:val="auto"/>
          <w:sz w:val="27"/>
          <w:szCs w:val="27"/>
          <w:highlight w:val="none"/>
          <w:lang w:val="en-US" w:eastAsia="zh-CN" w:bidi="ar-SA"/>
        </w:rPr>
        <w:t>合同文本</w:t>
      </w:r>
      <w:bookmarkEnd w:id="382"/>
    </w:p>
    <w:p w14:paraId="4806DF52">
      <w:pPr>
        <w:ind w:firstLine="960" w:firstLineChars="200"/>
        <w:jc w:val="center"/>
        <w:rPr>
          <w:rFonts w:hint="eastAsia"/>
          <w:color w:val="auto"/>
          <w:sz w:val="48"/>
          <w:szCs w:val="21"/>
          <w:highlight w:val="none"/>
          <w:lang w:eastAsia="zh-CN"/>
        </w:rPr>
      </w:pPr>
    </w:p>
    <w:p w14:paraId="4AB23337">
      <w:pPr>
        <w:ind w:firstLine="960" w:firstLineChars="200"/>
        <w:jc w:val="center"/>
        <w:rPr>
          <w:rFonts w:hint="eastAsia" w:ascii="仿宋" w:hAnsi="仿宋" w:eastAsia="仿宋"/>
          <w:color w:val="auto"/>
          <w:sz w:val="52"/>
          <w:highlight w:val="none"/>
          <w:lang w:eastAsia="zh-CN"/>
        </w:rPr>
      </w:pPr>
      <w:r>
        <w:rPr>
          <w:rFonts w:hint="eastAsia"/>
          <w:color w:val="auto"/>
          <w:sz w:val="48"/>
          <w:szCs w:val="21"/>
          <w:highlight w:val="none"/>
          <w:lang w:eastAsia="zh-CN"/>
        </w:rPr>
        <w:t>南京市政府采购合同</w:t>
      </w:r>
    </w:p>
    <w:p w14:paraId="3163AA6F">
      <w:pPr>
        <w:ind w:firstLine="1807" w:firstLineChars="500"/>
        <w:rPr>
          <w:rFonts w:hint="eastAsia" w:ascii="仿宋" w:hAnsi="仿宋" w:eastAsia="仿宋"/>
          <w:b/>
          <w:color w:val="auto"/>
          <w:sz w:val="36"/>
          <w:highlight w:val="none"/>
          <w:lang w:eastAsia="zh-CN"/>
        </w:rPr>
      </w:pPr>
    </w:p>
    <w:p w14:paraId="7D552F5C">
      <w:pPr>
        <w:spacing w:line="360" w:lineRule="auto"/>
        <w:ind w:firstLine="960" w:firstLineChars="200"/>
        <w:jc w:val="center"/>
        <w:rPr>
          <w:rFonts w:hint="eastAsia"/>
          <w:color w:val="auto"/>
          <w:sz w:val="48"/>
          <w:szCs w:val="21"/>
          <w:highlight w:val="none"/>
          <w:lang w:eastAsia="zh-CN"/>
        </w:rPr>
      </w:pPr>
    </w:p>
    <w:p w14:paraId="692D26D0">
      <w:pPr>
        <w:spacing w:line="360" w:lineRule="auto"/>
        <w:ind w:firstLine="48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发包方（以下简称甲方）：</w:t>
      </w:r>
      <w:r>
        <w:rPr>
          <w:rFonts w:hint="eastAsia" w:asciiTheme="minorEastAsia" w:hAnsiTheme="minorEastAsia" w:cstheme="minorEastAsia"/>
          <w:color w:val="auto"/>
          <w:sz w:val="24"/>
          <w:szCs w:val="24"/>
          <w:highlight w:val="none"/>
          <w:u w:val="single"/>
          <w:lang w:val="en-US" w:eastAsia="zh-CN"/>
        </w:rPr>
        <w:t>南京市浦口区人民政府汤泉街道办事处</w:t>
      </w:r>
      <w:r>
        <w:rPr>
          <w:rFonts w:hint="eastAsia" w:asciiTheme="minorEastAsia" w:hAnsiTheme="minorEastAsia" w:eastAsiaTheme="minorEastAsia" w:cstheme="minorEastAsia"/>
          <w:color w:val="auto"/>
          <w:sz w:val="24"/>
          <w:szCs w:val="24"/>
          <w:highlight w:val="none"/>
          <w:u w:val="single"/>
        </w:rPr>
        <w:t xml:space="preserve"> </w:t>
      </w:r>
    </w:p>
    <w:p w14:paraId="74D0D800">
      <w:pPr>
        <w:spacing w:line="360" w:lineRule="auto"/>
        <w:ind w:firstLine="480"/>
        <w:rPr>
          <w:rFonts w:asciiTheme="minorEastAsia" w:hAnsiTheme="minorEastAsia" w:eastAsiaTheme="minorEastAsia" w:cstheme="minorEastAsia"/>
          <w:color w:val="auto"/>
          <w:sz w:val="24"/>
          <w:szCs w:val="24"/>
          <w:highlight w:val="none"/>
          <w:u w:val="single"/>
          <w:lang w:val="en-US"/>
        </w:rPr>
      </w:pPr>
      <w:r>
        <w:rPr>
          <w:rFonts w:hint="eastAsia" w:asciiTheme="minorEastAsia" w:hAnsiTheme="minorEastAsia" w:eastAsiaTheme="minorEastAsia" w:cstheme="minorEastAsia"/>
          <w:color w:val="auto"/>
          <w:sz w:val="24"/>
          <w:szCs w:val="24"/>
          <w:highlight w:val="none"/>
        </w:rPr>
        <w:t>承包方（以下简称</w:t>
      </w:r>
      <w:bookmarkStart w:id="383" w:name="_Hlk26781315"/>
      <w:r>
        <w:rPr>
          <w:rFonts w:hint="eastAsia" w:asciiTheme="minorEastAsia" w:hAnsiTheme="minorEastAsia" w:eastAsiaTheme="minorEastAsia" w:cstheme="minorEastAsia"/>
          <w:color w:val="auto"/>
          <w:sz w:val="24"/>
          <w:szCs w:val="24"/>
          <w:highlight w:val="none"/>
        </w:rPr>
        <w:t>乙方</w:t>
      </w:r>
      <w:bookmarkEnd w:id="383"/>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p>
    <w:p w14:paraId="1CB73E94">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就乙方承包甲方</w:t>
      </w:r>
      <w:r>
        <w:rPr>
          <w:rFonts w:hint="eastAsia" w:asciiTheme="minorEastAsia" w:hAnsiTheme="minorEastAsia" w:eastAsiaTheme="minorEastAsia" w:cstheme="minorEastAsia"/>
          <w:color w:val="auto"/>
          <w:sz w:val="24"/>
          <w:szCs w:val="24"/>
          <w:highlight w:val="none"/>
          <w:u w:val="single"/>
          <w:lang w:eastAsia="zh-CN"/>
        </w:rPr>
        <w:t>汤泉街道2026-2029年度九龙湖及周边地区景观绿化养护项目</w:t>
      </w:r>
      <w:r>
        <w:rPr>
          <w:rFonts w:hint="eastAsia" w:asciiTheme="minorEastAsia" w:hAnsiTheme="minorEastAsia" w:eastAsiaTheme="minorEastAsia" w:cstheme="minorEastAsia"/>
          <w:color w:val="auto"/>
          <w:sz w:val="24"/>
          <w:szCs w:val="24"/>
          <w:highlight w:val="none"/>
        </w:rPr>
        <w:t>工作所提供的</w:t>
      </w:r>
      <w:r>
        <w:rPr>
          <w:rFonts w:hint="eastAsia" w:asciiTheme="minorEastAsia" w:hAnsiTheme="minorEastAsia" w:eastAsia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事项，经甲乙双方协商，达成如下协议：</w:t>
      </w:r>
    </w:p>
    <w:p w14:paraId="52D7E75F">
      <w:pPr>
        <w:numPr>
          <w:ilvl w:val="0"/>
          <w:numId w:val="2"/>
        </w:numPr>
        <w:spacing w:line="360" w:lineRule="auto"/>
        <w:rPr>
          <w:rFonts w:hint="eastAsia" w:ascii="宋体" w:hAnsi="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合同履行期限</w:t>
      </w:r>
    </w:p>
    <w:p w14:paraId="7F3B12DD">
      <w:pPr>
        <w:numPr>
          <w:ilvl w:val="0"/>
          <w:numId w:val="0"/>
        </w:num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考核不合格的情况，视为养护单位违约，甲方有权单方终止续签，终止合作关系。</w:t>
      </w:r>
    </w:p>
    <w:p w14:paraId="11068000">
      <w:pPr>
        <w:numPr>
          <w:ilvl w:val="0"/>
          <w:numId w:val="0"/>
        </w:num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w:t>
      </w:r>
      <w:r>
        <w:rPr>
          <w:rFonts w:hint="eastAsia" w:asciiTheme="minorEastAsia" w:hAnsiTheme="minorEastAsia" w:eastAsiaTheme="minorEastAsia" w:cstheme="minorEastAsia"/>
          <w:b/>
          <w:bCs/>
          <w:color w:val="auto"/>
          <w:sz w:val="24"/>
          <w:szCs w:val="24"/>
          <w:highlight w:val="none"/>
        </w:rPr>
        <w:t>合同包括以下内容</w:t>
      </w:r>
    </w:p>
    <w:p w14:paraId="34912D45">
      <w:pPr>
        <w:pageBreakBefore w:val="0"/>
        <w:kinsoku/>
        <w:wordWrap/>
        <w:overflowPunct/>
        <w:topLinePunct w:val="0"/>
        <w:autoSpaceDE/>
        <w:autoSpaceDN/>
        <w:bidi w:val="0"/>
        <w:adjustRightInd/>
        <w:spacing w:line="360" w:lineRule="auto"/>
        <w:ind w:right="0" w:rightChars="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汤泉街道2026-2029年度九龙湖及周边地区景观绿化养护项目，采购龙泉路以南片区九龙湖公园及周边区域绿地绿化养护服务。</w:t>
      </w:r>
      <w:r>
        <w:rPr>
          <w:rFonts w:hint="eastAsia" w:ascii="宋体" w:hAnsi="宋体" w:cs="宋体"/>
          <w:color w:val="auto"/>
          <w:kern w:val="0"/>
          <w:sz w:val="24"/>
          <w:szCs w:val="24"/>
          <w:highlight w:val="none"/>
        </w:rPr>
        <w:t>（详细内容</w:t>
      </w:r>
      <w:r>
        <w:rPr>
          <w:rFonts w:hint="eastAsia" w:asciiTheme="minorEastAsia" w:hAnsiTheme="minorEastAsia" w:eastAsiaTheme="minorEastAsia" w:cstheme="minorEastAsia"/>
          <w:color w:val="auto"/>
          <w:sz w:val="24"/>
          <w:szCs w:val="24"/>
          <w:highlight w:val="none"/>
          <w:lang w:val="en-US" w:eastAsia="zh-CN"/>
        </w:rPr>
        <w:t>详见养护清单）</w:t>
      </w:r>
    </w:p>
    <w:p w14:paraId="53D8EBA3">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三、绿化养护劳务安全协议</w:t>
      </w:r>
      <w:r>
        <w:rPr>
          <w:rFonts w:hint="eastAsia" w:asciiTheme="minorEastAsia" w:hAnsiTheme="minorEastAsia" w:eastAsiaTheme="minorEastAsia" w:cstheme="minorEastAsia"/>
          <w:color w:val="auto"/>
          <w:sz w:val="24"/>
          <w:szCs w:val="24"/>
          <w:highlight w:val="none"/>
        </w:rPr>
        <w:t xml:space="preserve"> </w:t>
      </w:r>
    </w:p>
    <w:p w14:paraId="47B10352">
      <w:pPr>
        <w:spacing w:line="360" w:lineRule="auto"/>
        <w:ind w:firstLine="48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见附件</w:t>
      </w:r>
      <w:r>
        <w:rPr>
          <w:rFonts w:hint="eastAsia" w:asciiTheme="minorEastAsia" w:hAnsiTheme="minorEastAsia" w:cstheme="minorEastAsia"/>
          <w:color w:val="auto"/>
          <w:sz w:val="24"/>
          <w:szCs w:val="24"/>
          <w:highlight w:val="none"/>
          <w:lang w:val="en-US" w:eastAsia="zh-CN"/>
        </w:rPr>
        <w:t>1</w:t>
      </w:r>
    </w:p>
    <w:p w14:paraId="1EA77B08">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四、绿化养护劳务作业标准</w:t>
      </w:r>
    </w:p>
    <w:p w14:paraId="5A4CA2BC">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江苏省城市园林绿化植物养护技术规定》、《南京市城市绿化养护质量等级标准》、《南京市城市绿化养护技术规程》等园林绿化养护质量标准、规程为主要标准，甲方可根据实际情况对相关作业标准进行调整。</w:t>
      </w:r>
    </w:p>
    <w:p w14:paraId="49DF3A82">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五、组成合同的文件</w:t>
      </w:r>
    </w:p>
    <w:p w14:paraId="01761B68">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组成本合同的文件包括：</w:t>
      </w:r>
    </w:p>
    <w:p w14:paraId="31F89259">
      <w:pPr>
        <w:widowControl w:val="0"/>
        <w:numPr>
          <w:ilvl w:val="0"/>
          <w:numId w:val="0"/>
        </w:numPr>
        <w:spacing w:line="360" w:lineRule="auto"/>
        <w:ind w:firstLine="480"/>
        <w:jc w:val="both"/>
        <w:rPr>
          <w:rFonts w:hint="eastAsia" w:asciiTheme="minorEastAsia" w:hAnsiTheme="minorEastAsia" w:eastAsia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本合同</w:t>
      </w:r>
    </w:p>
    <w:p w14:paraId="737AB9E4">
      <w:pPr>
        <w:widowControl w:val="0"/>
        <w:numPr>
          <w:ilvl w:val="0"/>
          <w:numId w:val="0"/>
        </w:numPr>
        <w:spacing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汤泉街道2026-2029年度九龙湖及周边地区景观绿化养护项目</w:t>
      </w:r>
      <w:r>
        <w:rPr>
          <w:rFonts w:hint="eastAsia" w:asciiTheme="minorEastAsia" w:hAnsiTheme="minorEastAsia" w:eastAsiaTheme="minorEastAsia" w:cstheme="minorEastAsia"/>
          <w:color w:val="auto"/>
          <w:sz w:val="24"/>
          <w:szCs w:val="24"/>
          <w:highlight w:val="none"/>
          <w:lang w:val="en-US" w:eastAsia="zh-CN"/>
        </w:rPr>
        <w:t>养护范围（见</w:t>
      </w:r>
      <w:r>
        <w:rPr>
          <w:rFonts w:hint="eastAsia" w:asciiTheme="minorEastAsia" w:hAnsiTheme="minorEastAsia" w:eastAsiaTheme="minorEastAsia" w:cstheme="minorEastAsia"/>
          <w:color w:val="auto"/>
          <w:sz w:val="24"/>
          <w:szCs w:val="24"/>
          <w:highlight w:val="none"/>
        </w:rPr>
        <w:t>附件</w:t>
      </w: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en-US" w:eastAsia="zh-CN"/>
        </w:rPr>
        <w:t>）</w:t>
      </w:r>
    </w:p>
    <w:p w14:paraId="7384B2D8">
      <w:pPr>
        <w:widowControl w:val="0"/>
        <w:numPr>
          <w:ilvl w:val="0"/>
          <w:numId w:val="0"/>
        </w:numPr>
        <w:spacing w:line="360" w:lineRule="auto"/>
        <w:ind w:firstLine="480"/>
        <w:jc w:val="both"/>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年劳务安全协议</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见</w:t>
      </w:r>
      <w:r>
        <w:rPr>
          <w:rFonts w:hint="eastAsia" w:eastAsia="宋体" w:asciiTheme="minorEastAsia" w:hAnsiTheme="minorEastAsia" w:cstheme="minorEastAsia"/>
          <w:color w:val="auto"/>
          <w:sz w:val="24"/>
          <w:szCs w:val="24"/>
          <w:highlight w:val="none"/>
          <w:lang w:val="en-US" w:eastAsia="zh-CN"/>
        </w:rPr>
        <w:t>附件</w:t>
      </w:r>
      <w:r>
        <w:rPr>
          <w:rFonts w:hint="eastAsia" w:asciiTheme="minorEastAsia" w:hAnsiTheme="minorEastAsia" w:cstheme="minorEastAsia"/>
          <w:color w:val="auto"/>
          <w:sz w:val="24"/>
          <w:szCs w:val="24"/>
          <w:highlight w:val="none"/>
          <w:lang w:val="en-US" w:eastAsia="zh-CN"/>
        </w:rPr>
        <w:t>1</w:t>
      </w:r>
      <w:r>
        <w:rPr>
          <w:rFonts w:hint="eastAsia" w:eastAsia="宋体" w:asciiTheme="minorEastAsia" w:hAnsiTheme="minorEastAsia" w:cstheme="minorEastAsia"/>
          <w:color w:val="auto"/>
          <w:sz w:val="24"/>
          <w:szCs w:val="24"/>
          <w:highlight w:val="none"/>
          <w:lang w:eastAsia="zh-CN"/>
        </w:rPr>
        <w:t>）</w:t>
      </w:r>
    </w:p>
    <w:p w14:paraId="3917667A">
      <w:pPr>
        <w:widowControl w:val="0"/>
        <w:numPr>
          <w:ilvl w:val="0"/>
          <w:numId w:val="0"/>
        </w:numPr>
        <w:spacing w:line="360" w:lineRule="auto"/>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汤泉街道2026-2029年度九龙湖及周边地区景观绿化养护项目</w:t>
      </w:r>
      <w:r>
        <w:rPr>
          <w:rFonts w:hint="eastAsia" w:asciiTheme="minorEastAsia" w:hAnsiTheme="minorEastAsia" w:eastAsiaTheme="minorEastAsia" w:cstheme="minorEastAsia"/>
          <w:color w:val="auto"/>
          <w:sz w:val="24"/>
          <w:szCs w:val="24"/>
          <w:highlight w:val="none"/>
          <w:lang w:val="en-US" w:eastAsia="zh-CN"/>
        </w:rPr>
        <w:t>考核表</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见</w:t>
      </w:r>
      <w:r>
        <w:rPr>
          <w:rFonts w:hint="eastAsia" w:asciiTheme="minorEastAsia" w:hAnsiTheme="minorEastAsia" w:eastAsiaTheme="minorEastAsia" w:cstheme="minorEastAsia"/>
          <w:color w:val="auto"/>
          <w:sz w:val="24"/>
          <w:szCs w:val="24"/>
          <w:highlight w:val="none"/>
        </w:rPr>
        <w:t>附件</w:t>
      </w: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p>
    <w:p w14:paraId="6BE0938B">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.双方有关的洽商、变更等书面协议或文件视为本合同的组成部分</w:t>
      </w:r>
    </w:p>
    <w:p w14:paraId="2805B538">
      <w:pPr>
        <w:spacing w:line="360" w:lineRule="auto"/>
        <w:ind w:firstLine="480"/>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6.招标文件、投标文件、中标通知书。</w:t>
      </w:r>
    </w:p>
    <w:p w14:paraId="0B14D528">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六、双方权利和义务</w:t>
      </w:r>
    </w:p>
    <w:p w14:paraId="68BB681D">
      <w:pPr>
        <w:spacing w:line="360" w:lineRule="auto"/>
        <w:ind w:right="-193" w:firstLine="24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（一）甲方权利和义务</w:t>
      </w:r>
    </w:p>
    <w:p w14:paraId="58459417">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1、甲方制定绿化综合劳务养护作业标准及考核办法，甲方派专人定期、不定期对绿化养护作业成果进行检查考核。</w:t>
      </w:r>
    </w:p>
    <w:p w14:paraId="3A37AEB0">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2、如遇防汛、防台、抗雪防冻、突发事件以及重大活动保障等工作，甲方负责协调乙方在作业过程中同其他部门的联系。</w:t>
      </w:r>
    </w:p>
    <w:p w14:paraId="348EECF0">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有权要求乙方进场后上报现场组织机构、人员配备、劳务养护作业方案等至甲方处审核备案，经甲方书面同意后方可实施，劳务养护作业方案可根据甲方要求进行合理调整，乙方不得以方案调整为由要求调整绿化养护劳务合同总价款。</w:t>
      </w:r>
    </w:p>
    <w:p w14:paraId="13BA9B70">
      <w:pPr>
        <w:pStyle w:val="95"/>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4、如遇绿化特殊工作需求时（如参观、创优检查等保障工作情况），甲方有权要求乙方及时安排人员进行相应工作，乙方需按甲方要求落实劳务人员，所需费用包括在合同总价款中，甲方不再另行支付费用。</w:t>
      </w:r>
    </w:p>
    <w:p w14:paraId="5F98C4EA">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5、甲方对乙方违规行为及现象、养护质量效果可开出《整改通知单》，且乙方需及时进行处理。</w:t>
      </w:r>
    </w:p>
    <w:p w14:paraId="0FF34359">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r>
        <w:rPr>
          <w:rFonts w:hint="eastAsia" w:eastAsia="宋体" w:asciiTheme="minorEastAsia" w:hAnsiTheme="minorEastAsia" w:cstheme="minorEastAsia"/>
          <w:color w:val="auto"/>
          <w:sz w:val="24"/>
          <w:szCs w:val="24"/>
          <w:highlight w:val="none"/>
          <w:lang w:val="en-US" w:eastAsia="zh-CN"/>
        </w:rPr>
        <w:t>乙</w:t>
      </w:r>
      <w:r>
        <w:rPr>
          <w:rFonts w:hint="eastAsia" w:asciiTheme="minorEastAsia" w:hAnsiTheme="minorEastAsia" w:eastAsiaTheme="minorEastAsia" w:cstheme="minorEastAsia"/>
          <w:color w:val="auto"/>
          <w:sz w:val="24"/>
          <w:szCs w:val="24"/>
          <w:highlight w:val="none"/>
        </w:rPr>
        <w:t>方每年</w:t>
      </w:r>
      <w:r>
        <w:rPr>
          <w:rFonts w:hint="eastAsia" w:eastAsia="宋体" w:asciiTheme="minorEastAsia" w:hAnsiTheme="minorEastAsia" w:cstheme="minorEastAsia"/>
          <w:color w:val="auto"/>
          <w:sz w:val="24"/>
          <w:szCs w:val="24"/>
          <w:highlight w:val="none"/>
          <w:lang w:val="en-US" w:eastAsia="zh-CN"/>
        </w:rPr>
        <w:t>进行</w:t>
      </w:r>
      <w:r>
        <w:rPr>
          <w:rFonts w:hint="eastAsia" w:asciiTheme="minorEastAsia" w:hAnsiTheme="minorEastAsia" w:eastAsiaTheme="minorEastAsia" w:cstheme="minorEastAsia"/>
          <w:color w:val="auto"/>
          <w:sz w:val="24"/>
          <w:szCs w:val="24"/>
          <w:highlight w:val="none"/>
        </w:rPr>
        <w:t>苗木补植，补植费用包括在合同总价款中，甲方不再另行支付，如一年中有苗木死亡，由乙方自行采购，费用由乙方承担。</w:t>
      </w:r>
    </w:p>
    <w:p w14:paraId="2E9239F2">
      <w:pPr>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val="en-US" w:eastAsia="zh-CN"/>
        </w:rPr>
        <w:t>管养服务期内范围内容成活率需保证为95%以上。投标人需考虑极端天气下出现的大面积补植等情况，所有的费用均含在本次报价范围内，甲方不另行支付绿化补换费用。绿化养护过程中产生的垃圾清理外运费用由各投标单位自行考虑，结算不再调整。</w:t>
      </w:r>
    </w:p>
    <w:p w14:paraId="61AF1328">
      <w:pPr>
        <w:spacing w:line="360" w:lineRule="auto"/>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8.本项目中所需的人工、材料、机械费用均包含在合同总价款中，甲方不再另行支付费用。</w:t>
      </w:r>
    </w:p>
    <w:p w14:paraId="784E2855">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（二）乙方权利和义务</w:t>
      </w:r>
    </w:p>
    <w:p w14:paraId="4E550F38">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1、乙方按照设施养护规范、规程的要求提供劳务人员实施并完成各项设施养护任务，达到甲方有关设施养护标准，保持所维护设施完好状况的水平，依据合同约定获得绿化养护费用。</w:t>
      </w:r>
    </w:p>
    <w:p w14:paraId="57A06653">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2、乙方必须严格按合同条款、绿化综合养护作业标准及相关规定，组织好符合要求的人力。</w:t>
      </w:r>
    </w:p>
    <w:p w14:paraId="6B9E461D">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3、乙方需确保绿化管养质量，承担设施、人员安全和公共安全责任，非因甲方原因造成的一切损失和责任由乙方全部承担。</w:t>
      </w:r>
    </w:p>
    <w:p w14:paraId="1412E34C">
      <w:pPr>
        <w:spacing w:line="360" w:lineRule="auto"/>
        <w:ind w:firstLine="48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乙方对所管养的设施有安排人员巡查的义务，如发现绿地占用、绿化设施被人为损坏或交通事故毁绿等事件时，应予以制止，及时向甲方报告或按照甲方要求处理。如因制止或上报不及时造成的绿化问题，由乙方自行恢复，甲方不提供额外费用。</w:t>
      </w:r>
    </w:p>
    <w:p w14:paraId="69D42AC7">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乙方自行准备管养工作必备的设备、工具及辅助材料，甲方现有水车可以在抗旱时免费借用，签订借用承诺书，甲方现有水车如不能满足养护需要时，乙方自行解决问题以达到养护需要，不得以未借到水车为由降低养护质量。</w:t>
      </w:r>
    </w:p>
    <w:p w14:paraId="382D0E72">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6、乙方应服从甲方的管理和指挥，遵守甲方各项管理制度。</w:t>
      </w:r>
    </w:p>
    <w:p w14:paraId="2333C938">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乙方应当与所雇佣的养护劳务人员签订书面协议，约定权利义务。其所雇人员与甲方无任何劳动或劳务关系，因履行工作职责造成的一切损害与甲方无关。乙方所雇人员必须身体健康、仪容端正、品德良好，无违法犯罪记录，乙方负责养护工人的培训、教育、统一着装上岗。 </w:t>
      </w:r>
    </w:p>
    <w:p w14:paraId="569662D0">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8、乙方可根据自身的工作特点自行安排工作程序，但工作时间必须与甲方的要求相符合。</w:t>
      </w:r>
    </w:p>
    <w:p w14:paraId="31CA50D0">
      <w:pPr>
        <w:spacing w:line="360" w:lineRule="auto"/>
        <w:ind w:firstLine="360"/>
        <w:rPr>
          <w:rFonts w:hint="eastAsia" w:eastAsia="宋体"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 9、乙方应遵循安全生产、文明作业的有关规定，在管理管养过程中，</w:t>
      </w:r>
      <w:r>
        <w:rPr>
          <w:rFonts w:hint="eastAsia" w:eastAsia="宋体" w:asciiTheme="minorEastAsia" w:hAnsiTheme="minorEastAsia" w:cstheme="minorEastAsia"/>
          <w:color w:val="auto"/>
          <w:sz w:val="24"/>
          <w:szCs w:val="24"/>
          <w:highlight w:val="none"/>
          <w:lang w:val="en-US" w:eastAsia="zh-CN"/>
        </w:rPr>
        <w:t>工作人员需具有相关的资质，如登高人员需取得登高作业证书、登高车辆需具有登高作业资质等，在作业中需</w:t>
      </w:r>
      <w:r>
        <w:rPr>
          <w:rFonts w:hint="eastAsia" w:asciiTheme="minorEastAsia" w:hAnsiTheme="minorEastAsia" w:eastAsiaTheme="minorEastAsia" w:cstheme="minorEastAsia"/>
          <w:color w:val="auto"/>
          <w:sz w:val="24"/>
          <w:szCs w:val="24"/>
          <w:highlight w:val="none"/>
        </w:rPr>
        <w:t>采取严格的安全措施，杜绝安全事故的发生</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乙方应组织人员参加由甲方或园林绿化相关部门组织的安全培训和应急</w:t>
      </w:r>
      <w:r>
        <w:rPr>
          <w:rFonts w:hint="eastAsia" w:eastAsia="宋体" w:asciiTheme="minorEastAsia" w:hAnsiTheme="minorEastAsia" w:cstheme="minorEastAsia"/>
          <w:b w:val="0"/>
          <w:bCs w:val="0"/>
          <w:color w:val="auto"/>
          <w:sz w:val="24"/>
          <w:szCs w:val="24"/>
          <w:highlight w:val="none"/>
          <w:lang w:val="en-US" w:eastAsia="zh-CN"/>
        </w:rPr>
        <w:t>演练。</w:t>
      </w:r>
      <w:r>
        <w:rPr>
          <w:rFonts w:hint="eastAsia" w:asciiTheme="minorEastAsia" w:hAnsiTheme="minorEastAsia" w:eastAsiaTheme="minorEastAsia" w:cstheme="minorEastAsia"/>
          <w:color w:val="auto"/>
          <w:sz w:val="24"/>
          <w:szCs w:val="24"/>
          <w:highlight w:val="none"/>
        </w:rPr>
        <w:t>如发生人身安全事故等造成的一切损失及责任由乙方承担，甲方不承担任何责任且</w:t>
      </w:r>
      <w:r>
        <w:rPr>
          <w:rFonts w:hint="eastAsia" w:asciiTheme="minorEastAsia" w:hAnsiTheme="minorEastAsia" w:eastAsiaTheme="minorEastAsia" w:cstheme="minorEastAsia"/>
          <w:b/>
          <w:bCs/>
          <w:color w:val="auto"/>
          <w:sz w:val="24"/>
          <w:szCs w:val="24"/>
          <w:highlight w:val="none"/>
        </w:rPr>
        <w:t>有权解除合同。</w:t>
      </w:r>
    </w:p>
    <w:p w14:paraId="477EBD30">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eastAsia="宋体" w:asciiTheme="minorEastAsia" w:hAnsi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、乙方需协助甲方调查、解决市民来信来访及投诉，并根据甲方要求及时处理。</w:t>
      </w:r>
    </w:p>
    <w:p w14:paraId="6D247A56">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eastAsia="宋体"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如遇防汛、防台、抗雪防冻、突发事件以及重大活动保障等，乙方必须服从甲方指挥与安排，甲方制定应急预案（防冻扫雪、防台等应急预案），乙方按照预案实施，如因未按照预案制定应对措施或措施实施不到位所造成的一切损失和责任由乙方承担。</w:t>
      </w:r>
    </w:p>
    <w:p w14:paraId="5A59F3E8">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eastAsia="宋体"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、乙方养护劳务作业过程中产生的所有垃圾必须自行合法处理，相应费用由乙方自行承担。</w:t>
      </w:r>
    </w:p>
    <w:p w14:paraId="194EBD12">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eastAsia="宋体"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、以绿化现场现有条件为基准，合同签订后应立即进场绿化养护作业，乙方无权要求甲方对现有条件进行整改后交给乙方。</w:t>
      </w:r>
    </w:p>
    <w:p w14:paraId="35C2E787">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eastAsia="宋体"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、乙方应当按照本合同的约定履行义务，完成养护任务。</w:t>
      </w:r>
    </w:p>
    <w:p w14:paraId="19939FD5">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eastAsia="宋体"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、合同期内乙方根据甲方要求提交完整的劳务养护台账。</w:t>
      </w:r>
    </w:p>
    <w:p w14:paraId="0434A604">
      <w:pPr>
        <w:spacing w:line="360" w:lineRule="auto"/>
        <w:ind w:firstLine="48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w:t>
      </w:r>
      <w:r>
        <w:rPr>
          <w:rFonts w:hint="eastAsia" w:eastAsia="宋体" w:asciiTheme="minorEastAsia" w:hAnsi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乙方必须为参加管养的劳务工人投意外伤害险，保障内容涉及意外身故、残疾等，给付不得低于50万元，其他社会保险由乙方根据相关法规自行缴纳，所有保险费均由乙方自行承担，与甲方无关。乙方需在合理期限内向甲方提供相应的保险材料。</w:t>
      </w:r>
    </w:p>
    <w:p w14:paraId="164123C6">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七、合同价款及付款方式</w:t>
      </w:r>
    </w:p>
    <w:p w14:paraId="2EC0FAA4">
      <w:pPr>
        <w:pStyle w:val="40"/>
        <w:ind w:left="0" w:firstLine="480" w:firstLineChars="200"/>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（一）履约保证金</w:t>
      </w:r>
    </w:p>
    <w:p w14:paraId="288A4C7B">
      <w:pPr>
        <w:pStyle w:val="40"/>
        <w:widowControl w:val="0"/>
        <w:numPr>
          <w:ilvl w:val="0"/>
          <w:numId w:val="0"/>
        </w:numPr>
        <w:spacing w:line="360" w:lineRule="auto"/>
        <w:ind w:firstLine="480"/>
        <w:jc w:val="both"/>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在签订合同后7天内，乙方向甲方缴纳中标价款的10%作为本项目的履约保证金，项目验收合格后，采购单位退还履约保证金。若乙方未按时交纳履约保证金，视为自动放弃中标资格。出现以下情形，履约保证金不予退还。</w:t>
      </w:r>
    </w:p>
    <w:p w14:paraId="175AB3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1.合同履行期限内，连续两次考核分数低于</w:t>
      </w:r>
      <w:r>
        <w:rPr>
          <w:rFonts w:hint="eastAsia" w:cs="宋体"/>
          <w:color w:val="auto"/>
          <w:sz w:val="24"/>
          <w:szCs w:val="24"/>
          <w:highlight w:val="none"/>
          <w:lang w:val="en-US" w:eastAsia="zh-CN"/>
        </w:rPr>
        <w:t>80</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w:t>
      </w:r>
    </w:p>
    <w:p w14:paraId="6130FE7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管理不善等原因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发生</w:t>
      </w:r>
      <w:r>
        <w:rPr>
          <w:rFonts w:hint="eastAsia" w:ascii="宋体" w:hAnsi="宋体" w:eastAsia="宋体" w:cs="宋体"/>
          <w:color w:val="auto"/>
          <w:sz w:val="24"/>
          <w:szCs w:val="24"/>
          <w:highlight w:val="none"/>
          <w:lang w:val="en-US" w:eastAsia="zh-CN"/>
        </w:rPr>
        <w:t>群众</w:t>
      </w:r>
      <w:r>
        <w:rPr>
          <w:rFonts w:hint="eastAsia" w:ascii="宋体" w:hAnsi="宋体" w:eastAsia="宋体" w:cs="宋体"/>
          <w:color w:val="auto"/>
          <w:sz w:val="24"/>
          <w:szCs w:val="24"/>
          <w:highlight w:val="none"/>
        </w:rPr>
        <w:t>到区级及以上部门上访或到街道</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次及以上上访的重大维稳事件。</w:t>
      </w:r>
    </w:p>
    <w:p w14:paraId="5BF650C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管理不善等原因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发生安全事故造成人员伤亡或被相关执法部门进行行政处罚的。</w:t>
      </w:r>
    </w:p>
    <w:p w14:paraId="7D03CBF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管理不善等原因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管理存在漏洞或疏忽造成的事故被媒体报道产生不良影响的。</w:t>
      </w:r>
    </w:p>
    <w:p w14:paraId="13F0BF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管理不善等原因</w:t>
      </w:r>
      <w:r>
        <w:rPr>
          <w:rFonts w:hint="eastAsia" w:ascii="宋体" w:hAnsi="宋体" w:eastAsia="宋体" w:cs="宋体"/>
          <w:color w:val="auto"/>
          <w:sz w:val="24"/>
          <w:szCs w:val="24"/>
          <w:highlight w:val="none"/>
          <w:lang w:val="en-US" w:eastAsia="zh-CN"/>
        </w:rPr>
        <w:t>，出现安全生产事故、环境污染等事故或矛盾等情况的，情节严重的情形</w:t>
      </w:r>
      <w:r>
        <w:rPr>
          <w:rFonts w:hint="eastAsia" w:ascii="宋体" w:hAnsi="宋体" w:eastAsia="宋体" w:cs="宋体"/>
          <w:color w:val="auto"/>
          <w:sz w:val="24"/>
          <w:szCs w:val="24"/>
          <w:highlight w:val="none"/>
        </w:rPr>
        <w:t>。</w:t>
      </w:r>
    </w:p>
    <w:p w14:paraId="3CE74DF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各种创建考评期间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由于乙方不配合、整改不到位，</w:t>
      </w:r>
      <w:r>
        <w:rPr>
          <w:rFonts w:hint="eastAsia" w:ascii="宋体" w:hAnsi="宋体" w:eastAsia="宋体" w:cs="宋体"/>
          <w:color w:val="auto"/>
          <w:sz w:val="24"/>
          <w:szCs w:val="24"/>
          <w:highlight w:val="none"/>
        </w:rPr>
        <w:t>影响</w:t>
      </w:r>
      <w:r>
        <w:rPr>
          <w:rFonts w:hint="eastAsia" w:ascii="宋体" w:hAnsi="宋体" w:eastAsia="宋体" w:cs="宋体"/>
          <w:color w:val="auto"/>
          <w:sz w:val="24"/>
          <w:szCs w:val="24"/>
          <w:highlight w:val="none"/>
          <w:lang w:val="en-US" w:eastAsia="zh-CN"/>
        </w:rPr>
        <w:t>街道排名、造成恶劣影响的情况</w:t>
      </w:r>
      <w:r>
        <w:rPr>
          <w:rFonts w:hint="eastAsia" w:ascii="宋体" w:hAnsi="宋体" w:eastAsia="宋体" w:cs="宋体"/>
          <w:color w:val="auto"/>
          <w:sz w:val="24"/>
          <w:szCs w:val="24"/>
          <w:highlight w:val="none"/>
        </w:rPr>
        <w:t>。</w:t>
      </w:r>
    </w:p>
    <w:p w14:paraId="45FD314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未经甲方同意</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乙方出现分包行为；经核实乙方出现转包行为</w:t>
      </w:r>
      <w:r>
        <w:rPr>
          <w:rFonts w:hint="eastAsia" w:ascii="宋体" w:hAnsi="宋体" w:eastAsia="宋体" w:cs="宋体"/>
          <w:color w:val="auto"/>
          <w:sz w:val="24"/>
          <w:szCs w:val="24"/>
          <w:highlight w:val="none"/>
        </w:rPr>
        <w:t>。</w:t>
      </w:r>
    </w:p>
    <w:p w14:paraId="4AE92E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8.连续两次区级</w:t>
      </w:r>
      <w:r>
        <w:rPr>
          <w:rFonts w:hint="eastAsia" w:ascii="宋体" w:hAnsi="宋体" w:eastAsia="宋体" w:cs="宋体"/>
          <w:color w:val="auto"/>
          <w:sz w:val="24"/>
          <w:szCs w:val="24"/>
          <w:highlight w:val="none"/>
          <w:lang w:val="en-US" w:eastAsia="zh-CN" w:bidi="ar-SA"/>
        </w:rPr>
        <w:t>考评结果在第三名以下。</w:t>
      </w:r>
    </w:p>
    <w:p w14:paraId="4F238B4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9.出现乙方以不正当理由拒绝按合同约定履约的情形。</w:t>
      </w:r>
    </w:p>
    <w:p w14:paraId="7B635E7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乙方在合同期限内擅自撤出本项目。</w:t>
      </w:r>
    </w:p>
    <w:p w14:paraId="350CF5D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乙方若不按照本合同承担相应的义务，甲方有权要求乙方限期整改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若乙方拒绝整改或经整改仍不能满足甲方的要求</w:t>
      </w:r>
      <w:r>
        <w:rPr>
          <w:rFonts w:hint="eastAsia" w:ascii="宋体" w:hAnsi="宋体" w:eastAsia="宋体" w:cs="宋体"/>
          <w:color w:val="auto"/>
          <w:sz w:val="24"/>
          <w:szCs w:val="24"/>
          <w:highlight w:val="none"/>
          <w:lang w:eastAsia="zh-CN"/>
        </w:rPr>
        <w:t>。</w:t>
      </w:r>
    </w:p>
    <w:p w14:paraId="19C3B0BF">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eastAsia="宋体" w:asciiTheme="minorEastAsia" w:hAnsi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）合同价款</w:t>
      </w:r>
    </w:p>
    <w:p w14:paraId="39DCC5B1">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1、合同价小写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val="en-US" w:eastAsia="zh-CN"/>
        </w:rPr>
        <w:t>/年</w:t>
      </w:r>
      <w:r>
        <w:rPr>
          <w:rFonts w:hint="eastAsia" w:asciiTheme="minorEastAsia" w:hAnsiTheme="minorEastAsia" w:eastAsiaTheme="minorEastAsia" w:cstheme="minorEastAsia"/>
          <w:color w:val="auto"/>
          <w:sz w:val="24"/>
          <w:szCs w:val="24"/>
          <w:highlight w:val="none"/>
        </w:rPr>
        <w:t xml:space="preserve"> （此价格为含税价格）。</w:t>
      </w:r>
    </w:p>
    <w:p w14:paraId="2D21D7D8">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人民币）。</w:t>
      </w:r>
    </w:p>
    <w:p w14:paraId="6C7B2087">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合同总价款是完成本项目所发生的所有含税费用、支付给员工的工资和国家强制缴纳的各种社会保障资金，以及乙方认为需要的其他费用等。除本合同另有约定以外，甲方就本合同不再向乙方支付任何其他款项。</w:t>
      </w:r>
    </w:p>
    <w:p w14:paraId="01FCC8EB">
      <w:pPr>
        <w:spacing w:line="360" w:lineRule="auto"/>
        <w:ind w:left="0" w:firstLine="480"/>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eastAsia="宋体" w:asciiTheme="minorEastAsia" w:hAnsi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）付款方式：</w:t>
      </w:r>
    </w:p>
    <w:p w14:paraId="715EF1CF">
      <w:pPr>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1.项目服务期满验收合格后，支付合同价的50%款项。</w:t>
      </w:r>
    </w:p>
    <w:p w14:paraId="0872EE68">
      <w:pPr>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2.项目完成后，根据服务考核情况，</w:t>
      </w:r>
      <w:r>
        <w:rPr>
          <w:rFonts w:hint="eastAsia" w:ascii="宋体" w:hAnsi="宋体" w:eastAsia="宋体" w:cs="宋体"/>
          <w:i w:val="0"/>
          <w:iCs w:val="0"/>
          <w:caps w:val="0"/>
          <w:color w:val="auto"/>
          <w:spacing w:val="0"/>
          <w:kern w:val="0"/>
          <w:sz w:val="24"/>
          <w:szCs w:val="24"/>
          <w:highlight w:val="none"/>
          <w:shd w:val="clear" w:fill="FFFFFF"/>
          <w:lang w:val="zh-CN" w:eastAsia="zh-CN" w:bidi="ar"/>
        </w:rPr>
        <w:t>一年后支付剩余的尾款。</w:t>
      </w:r>
    </w:p>
    <w:p w14:paraId="38689859">
      <w:pPr>
        <w:numPr>
          <w:ilvl w:val="0"/>
          <w:numId w:val="0"/>
        </w:numPr>
        <w:spacing w:line="360" w:lineRule="auto"/>
        <w:ind w:left="480" w:leftChars="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（四）考核结果运用</w:t>
      </w:r>
    </w:p>
    <w:p w14:paraId="0F6CE14E">
      <w:pPr>
        <w:numPr>
          <w:ilvl w:val="0"/>
          <w:numId w:val="0"/>
        </w:numPr>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1.甲方将在年度结束后，全年月度考核当中当月得分排名五个街道中，排第五名的扣除5000元服务费，排名第四名的扣除2000元服务费，排名前三名的不扣服务费。</w:t>
      </w:r>
    </w:p>
    <w:p w14:paraId="5FF8B9A9">
      <w:pPr>
        <w:numPr>
          <w:ilvl w:val="0"/>
          <w:numId w:val="0"/>
        </w:numPr>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2.每月或每季度考核中，得分在98分(含)以上的不扣服务费，98分以下按照每扣0.1分扣服务费100元标准计(每多1分扣1000元标准)。</w:t>
      </w:r>
    </w:p>
    <w:p w14:paraId="39B3F5EC">
      <w:pPr>
        <w:numPr>
          <w:ilvl w:val="0"/>
          <w:numId w:val="0"/>
        </w:numPr>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2.1、考核在98~100分(优秀);</w:t>
      </w:r>
    </w:p>
    <w:p w14:paraId="71A5DB11">
      <w:pPr>
        <w:numPr>
          <w:ilvl w:val="0"/>
          <w:numId w:val="0"/>
        </w:numPr>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2.2、考核在90~97分(良好);</w:t>
      </w:r>
    </w:p>
    <w:p w14:paraId="3A36942B">
      <w:pPr>
        <w:numPr>
          <w:ilvl w:val="0"/>
          <w:numId w:val="0"/>
        </w:numPr>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2.3、考核在80~89分(合格);</w:t>
      </w:r>
    </w:p>
    <w:p w14:paraId="137801BA">
      <w:pPr>
        <w:numPr>
          <w:ilvl w:val="0"/>
          <w:numId w:val="0"/>
        </w:numPr>
        <w:spacing w:line="360" w:lineRule="auto"/>
        <w:ind w:firstLine="480"/>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2.4、考核在80分以下的(不合格)。</w:t>
      </w:r>
    </w:p>
    <w:p w14:paraId="18796A2D">
      <w:pPr>
        <w:numPr>
          <w:ilvl w:val="0"/>
          <w:numId w:val="0"/>
        </w:numPr>
        <w:spacing w:line="360" w:lineRule="auto"/>
        <w:ind w:firstLine="480"/>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五</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内容以外发生的新增项目单价由甲方负责审核确认，新增量劳务作业、零星用工款项于结算审计完成后一并支付。</w:t>
      </w:r>
    </w:p>
    <w:p w14:paraId="3401CDD2">
      <w:pPr>
        <w:pStyle w:val="95"/>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val="en-US" w:eastAsia="zh-CN"/>
        </w:rPr>
        <w:t>六</w:t>
      </w:r>
      <w:r>
        <w:rPr>
          <w:rFonts w:hint="eastAsia" w:asciiTheme="minorEastAsia" w:hAnsiTheme="minorEastAsia" w:eastAsiaTheme="minorEastAsia" w:cstheme="minorEastAsia"/>
          <w:color w:val="auto"/>
          <w:sz w:val="24"/>
          <w:szCs w:val="24"/>
          <w:highlight w:val="none"/>
        </w:rPr>
        <w:t>）乙方收款信息</w:t>
      </w:r>
    </w:p>
    <w:p w14:paraId="45253945">
      <w:pPr>
        <w:pStyle w:val="95"/>
        <w:spacing w:line="360" w:lineRule="auto"/>
        <w:ind w:firstLine="480"/>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账户名： </w:t>
      </w:r>
      <w:r>
        <w:rPr>
          <w:rFonts w:hint="eastAsia" w:asciiTheme="minorEastAsia" w:hAnsiTheme="minorEastAsia" w:eastAsiaTheme="minorEastAsia" w:cstheme="minorEastAsia"/>
          <w:color w:val="auto"/>
          <w:sz w:val="24"/>
          <w:szCs w:val="24"/>
          <w:highlight w:val="none"/>
          <w:u w:val="single"/>
          <w:lang w:val="en-US"/>
        </w:rPr>
        <w:t xml:space="preserve">                                     </w:t>
      </w:r>
    </w:p>
    <w:p w14:paraId="4EB28D31">
      <w:pPr>
        <w:spacing w:line="360" w:lineRule="auto"/>
        <w:ind w:firstLine="480"/>
        <w:rPr>
          <w:rFonts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sz w:val="24"/>
          <w:szCs w:val="24"/>
          <w:highlight w:val="none"/>
        </w:rPr>
        <w:t>开户行：</w:t>
      </w:r>
      <w:r>
        <w:rPr>
          <w:rFonts w:hint="eastAsia" w:asciiTheme="minorEastAsia" w:hAnsiTheme="minorEastAsia" w:eastAsiaTheme="minorEastAsia" w:cstheme="minorEastAsia"/>
          <w:color w:val="auto"/>
          <w:sz w:val="24"/>
          <w:szCs w:val="24"/>
          <w:highlight w:val="none"/>
          <w:lang w:val="en-US"/>
        </w:rPr>
        <w:t xml:space="preserve"> </w:t>
      </w:r>
      <w:r>
        <w:rPr>
          <w:rFonts w:hint="eastAsia" w:eastAsiaTheme="minorEastAsia"/>
          <w:color w:val="auto"/>
          <w:sz w:val="24"/>
          <w:szCs w:val="24"/>
          <w:highlight w:val="none"/>
          <w:u w:val="single"/>
          <w:lang w:val="en-US"/>
        </w:rPr>
        <w:t xml:space="preserve">                                     </w:t>
      </w:r>
    </w:p>
    <w:p w14:paraId="328145D5">
      <w:pPr>
        <w:spacing w:line="360" w:lineRule="auto"/>
        <w:ind w:firstLine="48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银行账号：</w:t>
      </w:r>
      <w:r>
        <w:rPr>
          <w:rFonts w:hint="eastAsia" w:asciiTheme="minorEastAsia" w:hAnsiTheme="minorEastAsia" w:eastAsiaTheme="minorEastAsia" w:cstheme="minorEastAsia"/>
          <w:color w:val="auto"/>
          <w:sz w:val="24"/>
          <w:szCs w:val="24"/>
          <w:highlight w:val="none"/>
          <w:u w:val="single"/>
          <w:lang w:val="en-US"/>
        </w:rPr>
        <w:t xml:space="preserve">                                                                 </w:t>
      </w:r>
    </w:p>
    <w:p w14:paraId="0500854B">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八、合同解除及违约责任</w:t>
      </w:r>
    </w:p>
    <w:p w14:paraId="7D233929">
      <w:pPr>
        <w:spacing w:line="360" w:lineRule="auto"/>
        <w:ind w:firstLine="480"/>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乙方未按本合同约提供服务的，经有关部门发出整改通知书或者甲方要求限期整改后仍不整改或整改不到位的，合同期一年内累计达到两次的，甲方可单方解除合同，自解除通知到达乙方之日起生效，已产生的劳务费用按实结算，乙方不得主张赔偿。</w:t>
      </w:r>
    </w:p>
    <w:p w14:paraId="4F98D8F9">
      <w:pPr>
        <w:spacing w:line="360" w:lineRule="auto"/>
        <w:ind w:firstLine="480"/>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、发生</w:t>
      </w:r>
      <w:r>
        <w:rPr>
          <w:rFonts w:hint="eastAsia" w:eastAsia="宋体" w:asciiTheme="minorEastAsia" w:hAnsiTheme="minorEastAsia" w:cstheme="minorEastAsia"/>
          <w:color w:val="auto"/>
          <w:sz w:val="24"/>
          <w:szCs w:val="24"/>
          <w:highlight w:val="none"/>
          <w:lang w:val="en-US" w:eastAsia="zh-CN"/>
        </w:rPr>
        <w:t>亡人</w:t>
      </w:r>
      <w:r>
        <w:rPr>
          <w:rFonts w:hint="eastAsia" w:asciiTheme="minorEastAsia" w:hAnsiTheme="minorEastAsia" w:eastAsiaTheme="minorEastAsia" w:cstheme="minorEastAsia"/>
          <w:color w:val="auto"/>
          <w:sz w:val="24"/>
          <w:szCs w:val="24"/>
          <w:highlight w:val="none"/>
        </w:rPr>
        <w:t>生产安全事故的，甲方可单方解除合同，自解除通知到达乙方之日起生效，已产生的</w:t>
      </w:r>
      <w:r>
        <w:rPr>
          <w:rFonts w:hint="eastAsia" w:eastAsia="宋体" w:asciiTheme="minorEastAsia" w:hAnsi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费用</w:t>
      </w:r>
      <w:r>
        <w:rPr>
          <w:rFonts w:hint="eastAsia" w:eastAsia="宋体" w:asciiTheme="minorEastAsia" w:hAnsiTheme="minorEastAsia" w:cstheme="minorEastAsia"/>
          <w:color w:val="auto"/>
          <w:sz w:val="24"/>
          <w:szCs w:val="24"/>
          <w:highlight w:val="none"/>
          <w:lang w:eastAsia="zh-CN"/>
        </w:rPr>
        <w:t>，</w:t>
      </w:r>
      <w:r>
        <w:rPr>
          <w:rFonts w:hint="eastAsia" w:eastAsia="宋体" w:asciiTheme="minorEastAsia" w:hAnsiTheme="minorEastAsia" w:cstheme="minorEastAsia"/>
          <w:color w:val="auto"/>
          <w:sz w:val="24"/>
          <w:szCs w:val="24"/>
          <w:highlight w:val="none"/>
          <w:lang w:val="en-US" w:eastAsia="zh-CN"/>
        </w:rPr>
        <w:t>甲方有权扣</w:t>
      </w:r>
      <w:r>
        <w:rPr>
          <w:rFonts w:hint="eastAsia" w:asciiTheme="minorEastAsia" w:hAnsiTheme="minorEastAsia" w:cstheme="minorEastAsia"/>
          <w:color w:val="auto"/>
          <w:sz w:val="24"/>
          <w:szCs w:val="24"/>
          <w:highlight w:val="none"/>
          <w:lang w:val="en-US" w:eastAsia="zh-CN"/>
        </w:rPr>
        <w:t>除</w:t>
      </w:r>
      <w:r>
        <w:rPr>
          <w:rFonts w:hint="eastAsia" w:eastAsia="宋体" w:asciiTheme="minorEastAsia" w:hAnsiTheme="minorEastAsia" w:cstheme="minorEastAsia"/>
          <w:color w:val="auto"/>
          <w:sz w:val="24"/>
          <w:szCs w:val="24"/>
          <w:highlight w:val="none"/>
          <w:lang w:val="en-US" w:eastAsia="zh-CN"/>
        </w:rPr>
        <w:t>50%服务费后，剩余部分支付给乙方，</w:t>
      </w:r>
      <w:r>
        <w:rPr>
          <w:rFonts w:hint="eastAsia" w:asciiTheme="minorEastAsia" w:hAnsiTheme="minorEastAsia" w:eastAsiaTheme="minorEastAsia" w:cstheme="minorEastAsia"/>
          <w:color w:val="auto"/>
          <w:sz w:val="24"/>
          <w:szCs w:val="24"/>
          <w:highlight w:val="none"/>
        </w:rPr>
        <w:t>乙方不得主张赔偿。</w:t>
      </w:r>
    </w:p>
    <w:p w14:paraId="622B0E65">
      <w:pPr>
        <w:spacing w:line="360" w:lineRule="auto"/>
        <w:ind w:firstLine="480"/>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、如遇设施量提档改造或上级政策调整，造成养护范围变更，则甲方有权终止合同，自通知到达乙方之日起生效，已产生的劳务费用按实结算，乙方不得主张赔偿。</w:t>
      </w:r>
    </w:p>
    <w:p w14:paraId="105E5331">
      <w:pPr>
        <w:spacing w:line="360" w:lineRule="auto"/>
        <w:ind w:firstLine="480"/>
        <w:rPr>
          <w:rFonts w:asciiTheme="minorEastAsia" w:hAnsiTheme="minorEastAsia" w:eastAsiaTheme="minorEastAsia" w:cstheme="minorEastAsia"/>
          <w:color w:val="auto"/>
          <w:sz w:val="24"/>
          <w:szCs w:val="24"/>
          <w:highlight w:val="none"/>
        </w:rPr>
      </w:pPr>
      <w:bookmarkStart w:id="384" w:name="_Hlk130392041"/>
      <w:r>
        <w:rPr>
          <w:rFonts w:hint="eastAsia" w:eastAsia="宋体"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乙方违反本合同约定的，除应承担上述违约责任外，还应当赔偿因此给甲方造成的一切直接和间接损失，包括但不限于甲方的实际损失、预期可得利益损失以及因实现债权而产生的诉讼费、仲裁费、保全费、鉴定费、交通费、律师费、公证费等。</w:t>
      </w:r>
    </w:p>
    <w:p w14:paraId="086DA4DE">
      <w:pPr>
        <w:spacing w:line="360" w:lineRule="auto"/>
        <w:ind w:firstLine="480"/>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、乙方在承担违约责任后，仍应继续履行合同规定的义务（甲方解除合同的除外）。甲方未能及时追究乙方的任何一项违约责任并不表明甲方放弃追究乙方该项或其他违约责任。</w:t>
      </w:r>
    </w:p>
    <w:p w14:paraId="4772DDC7">
      <w:pPr>
        <w:pStyle w:val="95"/>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、乙方不得已任何形式件服务进行转包，如甲方发现乙未能自行履行合同相关服务将外包服务进行转包，甲方有权终止履行合同，已产生的服务费用甲方有权决绝支付。</w:t>
      </w:r>
    </w:p>
    <w:p w14:paraId="7939AE1E">
      <w:pPr>
        <w:pStyle w:val="95"/>
        <w:spacing w:line="360" w:lineRule="auto"/>
        <w:ind w:firstLine="480"/>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7、出现不退还履约保证金的情形，</w:t>
      </w:r>
      <w:r>
        <w:rPr>
          <w:rFonts w:hint="eastAsia" w:asciiTheme="minorEastAsia" w:hAnsiTheme="minorEastAsia" w:eastAsiaTheme="minorEastAsia" w:cstheme="minorEastAsia"/>
          <w:color w:val="auto"/>
          <w:sz w:val="24"/>
          <w:szCs w:val="24"/>
          <w:highlight w:val="none"/>
        </w:rPr>
        <w:t>甲方有权终止履行合同，已产生的服务费用甲方有权</w:t>
      </w:r>
      <w:r>
        <w:rPr>
          <w:rFonts w:hint="eastAsia" w:eastAsia="宋体" w:asciiTheme="minorEastAsia" w:hAnsiTheme="minorEastAsia" w:cstheme="minorEastAsia"/>
          <w:color w:val="auto"/>
          <w:sz w:val="24"/>
          <w:szCs w:val="24"/>
          <w:highlight w:val="none"/>
          <w:lang w:eastAsia="zh-CN"/>
        </w:rPr>
        <w:t>拒绝</w:t>
      </w:r>
      <w:r>
        <w:rPr>
          <w:rFonts w:hint="eastAsia" w:asciiTheme="minorEastAsia" w:hAnsiTheme="minorEastAsia" w:eastAsiaTheme="minorEastAsia" w:cstheme="minorEastAsia"/>
          <w:color w:val="auto"/>
          <w:sz w:val="24"/>
          <w:szCs w:val="24"/>
          <w:highlight w:val="none"/>
        </w:rPr>
        <w:t>支付。</w:t>
      </w:r>
    </w:p>
    <w:bookmarkEnd w:id="384"/>
    <w:p w14:paraId="679D4956">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九、其它事项</w:t>
      </w:r>
    </w:p>
    <w:p w14:paraId="7149B8CB">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如遇不可抗拒自然灾害（如强台风、冰雹等），乙方已做好应对措施，但仍造成损失的，乙方需第一时间将具体数据告知甲方，由甲乙双方商议解决补救办法，费用由甲方承担，否则由乙方承担因此产生的一切损失和责任。</w:t>
      </w:r>
    </w:p>
    <w:p w14:paraId="0FC99084">
      <w:pPr>
        <w:spacing w:line="360" w:lineRule="auto"/>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2、由乙方工作失误造成的一切损失和责任由乙方自负。</w:t>
      </w:r>
    </w:p>
    <w:p w14:paraId="3992E317">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十、如遇特殊情况，且不在乙方管养范围内，甲方要求乙方增加人员、机械配合，乙方必须无条件服从，增加的劳务费用按实结算，期间发生的一切安全及责任事故等由乙方全部承担。</w:t>
      </w:r>
    </w:p>
    <w:p w14:paraId="3FBCC442">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十一、本合同未尽事宜由甲、乙双方协商解决，协商不成，任何一方均可向甲方所在地人民法院起诉。</w:t>
      </w:r>
    </w:p>
    <w:p w14:paraId="0C389B4C">
      <w:pPr>
        <w:pStyle w:val="95"/>
        <w:spacing w:line="360" w:lineRule="auto"/>
        <w:ind w:firstLine="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十二、双方通讯地址</w:t>
      </w:r>
    </w:p>
    <w:p w14:paraId="1E59B290">
      <w:pPr>
        <w:pStyle w:val="95"/>
        <w:tabs>
          <w:tab w:val="left" w:pos="5109"/>
        </w:tabs>
        <w:spacing w:line="360" w:lineRule="auto"/>
        <w:ind w:firstLine="0"/>
        <w:rPr>
          <w:rFonts w:hint="default" w:eastAsia="宋体" w:asciiTheme="minorEastAsia" w:hAnsi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甲方地址：</w:t>
      </w:r>
      <w:r>
        <w:rPr>
          <w:rFonts w:hint="eastAsia" w:asciiTheme="minorEastAsia" w:hAnsiTheme="minorEastAsia"/>
          <w:color w:val="auto"/>
          <w:sz w:val="24"/>
          <w:szCs w:val="24"/>
          <w:highlight w:val="none"/>
          <w:u w:val="single"/>
          <w:lang w:val="en-US" w:eastAsia="zh-CN"/>
        </w:rPr>
        <w:t xml:space="preserve">                              </w:t>
      </w:r>
    </w:p>
    <w:p w14:paraId="37301359">
      <w:pPr>
        <w:pStyle w:val="95"/>
        <w:tabs>
          <w:tab w:val="left" w:pos="5109"/>
        </w:tabs>
        <w:spacing w:line="360" w:lineRule="auto"/>
        <w:ind w:firstLine="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甲方联系方式：</w:t>
      </w:r>
      <w:r>
        <w:rPr>
          <w:rFonts w:hint="eastAsia" w:eastAsiaTheme="minorEastAsia"/>
          <w:color w:val="auto"/>
          <w:sz w:val="24"/>
          <w:szCs w:val="24"/>
          <w:highlight w:val="none"/>
          <w:u w:val="single"/>
        </w:rPr>
        <w:t xml:space="preserve">  </w:t>
      </w:r>
      <w:r>
        <w:rPr>
          <w:rFonts w:hint="eastAsia" w:eastAsia="宋体"/>
          <w:color w:val="auto"/>
          <w:sz w:val="24"/>
          <w:szCs w:val="24"/>
          <w:highlight w:val="none"/>
          <w:u w:val="single"/>
          <w:lang w:val="en-US" w:eastAsia="zh-CN"/>
        </w:rPr>
        <w:t xml:space="preserve">                     </w:t>
      </w:r>
      <w:r>
        <w:rPr>
          <w:rFonts w:hint="eastAsia" w:eastAsiaTheme="minorEastAsia"/>
          <w:color w:val="auto"/>
          <w:sz w:val="24"/>
          <w:szCs w:val="24"/>
          <w:highlight w:val="none"/>
          <w:u w:val="single"/>
          <w:lang w:val="en-US"/>
        </w:rPr>
        <w:t xml:space="preserve">  </w:t>
      </w:r>
      <w:r>
        <w:rPr>
          <w:rFonts w:hint="eastAsia" w:eastAsiaTheme="minorEastAsia"/>
          <w:color w:val="auto"/>
          <w:sz w:val="24"/>
          <w:szCs w:val="24"/>
          <w:highlight w:val="none"/>
          <w:u w:val="single"/>
        </w:rPr>
        <w:t xml:space="preserve">  </w:t>
      </w:r>
    </w:p>
    <w:p w14:paraId="6E5FC07D">
      <w:pPr>
        <w:spacing w:line="360" w:lineRule="auto"/>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szCs w:val="24"/>
          <w:highlight w:val="none"/>
        </w:rPr>
        <w:t>乙方地址：</w:t>
      </w:r>
      <w:r>
        <w:rPr>
          <w:rFonts w:hint="eastAsia" w:eastAsiaTheme="minorEastAsia"/>
          <w:color w:val="auto"/>
          <w:sz w:val="24"/>
          <w:szCs w:val="24"/>
          <w:highlight w:val="none"/>
          <w:u w:val="single"/>
          <w:lang w:val="en-US"/>
        </w:rPr>
        <w:t xml:space="preserve">                            </w:t>
      </w:r>
    </w:p>
    <w:p w14:paraId="754BB3B7">
      <w:pPr>
        <w:spacing w:line="360" w:lineRule="auto"/>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乙方联系方式：</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sz w:val="24"/>
          <w:szCs w:val="24"/>
          <w:highlight w:val="none"/>
          <w:u w:val="single"/>
          <w:lang w:val="en-US"/>
        </w:rPr>
        <w:t xml:space="preserve">                    </w:t>
      </w:r>
      <w:r>
        <w:rPr>
          <w:rFonts w:hint="eastAsia"/>
          <w:color w:val="auto"/>
          <w:sz w:val="24"/>
          <w:szCs w:val="24"/>
          <w:highlight w:val="none"/>
          <w:u w:val="single"/>
        </w:rPr>
        <w:t xml:space="preserve">  </w:t>
      </w:r>
    </w:p>
    <w:p w14:paraId="3F8DD70F">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十三、本协议一式肆份，甲方贰份，乙方贰份，自双方法定代表人或者授权代表签字并加盖单位公章后生效。 </w:t>
      </w:r>
    </w:p>
    <w:p w14:paraId="7FB7CF4B">
      <w:pPr>
        <w:tabs>
          <w:tab w:val="left" w:pos="0"/>
          <w:tab w:val="left" w:pos="993"/>
          <w:tab w:val="left" w:pos="1134"/>
        </w:tabs>
        <w:spacing w:line="400" w:lineRule="exact"/>
        <w:ind w:firstLine="600"/>
        <w:rPr>
          <w:rFonts w:asciiTheme="minorEastAsia" w:hAnsiTheme="minorEastAsia" w:eastAsiaTheme="minorEastAsia" w:cstheme="minorEastAsia"/>
          <w:color w:val="auto"/>
          <w:sz w:val="24"/>
          <w:szCs w:val="24"/>
          <w:highlight w:val="none"/>
        </w:rPr>
      </w:pPr>
    </w:p>
    <w:tbl>
      <w:tblPr>
        <w:tblStyle w:val="26"/>
        <w:tblW w:w="5000" w:type="pct"/>
        <w:tblInd w:w="0" w:type="dxa"/>
        <w:tblLayout w:type="autofit"/>
        <w:tblCellMar>
          <w:top w:w="0" w:type="dxa"/>
          <w:left w:w="108" w:type="dxa"/>
          <w:bottom w:w="0" w:type="dxa"/>
          <w:right w:w="108" w:type="dxa"/>
        </w:tblCellMar>
      </w:tblPr>
      <w:tblGrid>
        <w:gridCol w:w="5037"/>
        <w:gridCol w:w="5037"/>
      </w:tblGrid>
      <w:tr w14:paraId="0B6ADC27">
        <w:tblPrEx>
          <w:tblCellMar>
            <w:top w:w="0" w:type="dxa"/>
            <w:left w:w="108" w:type="dxa"/>
            <w:bottom w:w="0" w:type="dxa"/>
            <w:right w:w="108" w:type="dxa"/>
          </w:tblCellMar>
        </w:tblPrEx>
        <w:trPr>
          <w:trHeight w:val="732" w:hRule="atLeast"/>
        </w:trPr>
        <w:tc>
          <w:tcPr>
            <w:tcW w:w="2500" w:type="pct"/>
            <w:tcBorders>
              <w:top w:val="nil"/>
              <w:left w:val="nil"/>
              <w:bottom w:val="nil"/>
              <w:right w:val="nil"/>
            </w:tcBorders>
            <w:noWrap w:val="0"/>
          </w:tcPr>
          <w:p w14:paraId="6B42AD6D">
            <w:pPr>
              <w:spacing w:line="400" w:lineRule="exact"/>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cstheme="minorEastAsia"/>
                <w:color w:val="auto"/>
                <w:sz w:val="24"/>
                <w:szCs w:val="24"/>
                <w:highlight w:val="none"/>
                <w:lang w:eastAsia="zh-CN"/>
              </w:rPr>
              <w:t>南京市浦口区人民政府汤泉街道办事处</w:t>
            </w:r>
          </w:p>
          <w:p w14:paraId="24802867">
            <w:pPr>
              <w:spacing w:line="400" w:lineRule="exact"/>
              <w:rPr>
                <w:rFonts w:asciiTheme="minorEastAsia" w:hAnsiTheme="minorEastAsia" w:eastAsiaTheme="minorEastAsia" w:cstheme="minorEastAsia"/>
                <w:color w:val="auto"/>
                <w:sz w:val="24"/>
                <w:szCs w:val="24"/>
                <w:highlight w:val="none"/>
              </w:rPr>
            </w:pPr>
          </w:p>
        </w:tc>
        <w:tc>
          <w:tcPr>
            <w:tcW w:w="2500" w:type="pct"/>
            <w:tcBorders>
              <w:top w:val="nil"/>
              <w:left w:val="nil"/>
              <w:bottom w:val="nil"/>
              <w:right w:val="nil"/>
            </w:tcBorders>
            <w:noWrap w:val="0"/>
          </w:tcPr>
          <w:p w14:paraId="0DF4F38F">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w:t>
            </w:r>
          </w:p>
        </w:tc>
      </w:tr>
      <w:tr w14:paraId="03AE6DA0">
        <w:tblPrEx>
          <w:tblCellMar>
            <w:top w:w="0" w:type="dxa"/>
            <w:left w:w="108" w:type="dxa"/>
            <w:bottom w:w="0" w:type="dxa"/>
            <w:right w:w="108" w:type="dxa"/>
          </w:tblCellMar>
        </w:tblPrEx>
        <w:trPr>
          <w:trHeight w:val="1044" w:hRule="atLeast"/>
        </w:trPr>
        <w:tc>
          <w:tcPr>
            <w:tcW w:w="2500" w:type="pct"/>
            <w:tcBorders>
              <w:top w:val="nil"/>
              <w:left w:val="nil"/>
              <w:bottom w:val="nil"/>
              <w:right w:val="nil"/>
            </w:tcBorders>
            <w:noWrap w:val="0"/>
          </w:tcPr>
          <w:p w14:paraId="460A21A5">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p w14:paraId="37FE29C2">
            <w:pPr>
              <w:pStyle w:val="95"/>
              <w:ind w:firstLine="480"/>
              <w:rPr>
                <w:rFonts w:asciiTheme="minorEastAsia" w:hAnsiTheme="minorEastAsia" w:eastAsiaTheme="minorEastAsia" w:cstheme="minorEastAsia"/>
                <w:color w:val="auto"/>
                <w:sz w:val="24"/>
                <w:szCs w:val="24"/>
                <w:highlight w:val="none"/>
              </w:rPr>
            </w:pPr>
          </w:p>
          <w:p w14:paraId="39901C6D">
            <w:pPr>
              <w:pStyle w:val="95"/>
              <w:ind w:firstLine="0"/>
              <w:rPr>
                <w:rFonts w:asciiTheme="minorEastAsia" w:hAnsiTheme="minorEastAsia" w:eastAsiaTheme="minorEastAsia" w:cstheme="minorEastAsia"/>
                <w:color w:val="auto"/>
                <w:highlight w:val="none"/>
              </w:rPr>
            </w:pPr>
          </w:p>
        </w:tc>
        <w:tc>
          <w:tcPr>
            <w:tcW w:w="2500" w:type="pct"/>
            <w:tcBorders>
              <w:top w:val="nil"/>
              <w:left w:val="nil"/>
              <w:bottom w:val="nil"/>
              <w:right w:val="nil"/>
            </w:tcBorders>
            <w:noWrap w:val="0"/>
          </w:tcPr>
          <w:p w14:paraId="5E5EB77A">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p w14:paraId="74707EAE">
            <w:pPr>
              <w:spacing w:line="400" w:lineRule="exact"/>
              <w:rPr>
                <w:rFonts w:asciiTheme="minorEastAsia" w:hAnsiTheme="minorEastAsia" w:eastAsiaTheme="minorEastAsia" w:cstheme="minorEastAsia"/>
                <w:color w:val="auto"/>
                <w:sz w:val="24"/>
                <w:szCs w:val="24"/>
                <w:highlight w:val="none"/>
              </w:rPr>
            </w:pPr>
          </w:p>
          <w:p w14:paraId="451B9074">
            <w:pPr>
              <w:spacing w:line="400" w:lineRule="exact"/>
              <w:rPr>
                <w:rFonts w:asciiTheme="minorEastAsia" w:hAnsiTheme="minorEastAsia" w:eastAsiaTheme="minorEastAsia" w:cstheme="minorEastAsia"/>
                <w:color w:val="auto"/>
                <w:sz w:val="24"/>
                <w:szCs w:val="24"/>
                <w:highlight w:val="none"/>
              </w:rPr>
            </w:pPr>
          </w:p>
        </w:tc>
      </w:tr>
      <w:tr w14:paraId="6C2CA58B">
        <w:tblPrEx>
          <w:tblCellMar>
            <w:top w:w="0" w:type="dxa"/>
            <w:left w:w="108" w:type="dxa"/>
            <w:bottom w:w="0" w:type="dxa"/>
            <w:right w:w="108" w:type="dxa"/>
          </w:tblCellMar>
        </w:tblPrEx>
        <w:tc>
          <w:tcPr>
            <w:tcW w:w="2500" w:type="pct"/>
            <w:tcBorders>
              <w:top w:val="nil"/>
              <w:left w:val="nil"/>
              <w:bottom w:val="nil"/>
              <w:right w:val="nil"/>
            </w:tcBorders>
            <w:noWrap w:val="0"/>
          </w:tcPr>
          <w:p w14:paraId="17EE460C">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c>
          <w:tcPr>
            <w:tcW w:w="2500" w:type="pct"/>
            <w:tcBorders>
              <w:top w:val="nil"/>
              <w:left w:val="nil"/>
              <w:bottom w:val="nil"/>
              <w:right w:val="nil"/>
            </w:tcBorders>
            <w:noWrap w:val="0"/>
          </w:tcPr>
          <w:p w14:paraId="74A2E1E3">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5CFFEE96">
        <w:tblPrEx>
          <w:tblCellMar>
            <w:top w:w="0" w:type="dxa"/>
            <w:left w:w="108" w:type="dxa"/>
            <w:bottom w:w="0" w:type="dxa"/>
            <w:right w:w="108" w:type="dxa"/>
          </w:tblCellMar>
        </w:tblPrEx>
        <w:tc>
          <w:tcPr>
            <w:tcW w:w="2500" w:type="pct"/>
            <w:tcBorders>
              <w:top w:val="nil"/>
              <w:left w:val="nil"/>
              <w:bottom w:val="nil"/>
              <w:right w:val="nil"/>
            </w:tcBorders>
            <w:noWrap w:val="0"/>
          </w:tcPr>
          <w:p w14:paraId="1335DCA7">
            <w:pPr>
              <w:spacing w:line="400" w:lineRule="exact"/>
              <w:rPr>
                <w:rFonts w:asciiTheme="minorEastAsia" w:hAnsiTheme="minorEastAsia" w:eastAsiaTheme="minorEastAsia" w:cstheme="minorEastAsia"/>
                <w:color w:val="auto"/>
                <w:sz w:val="24"/>
                <w:szCs w:val="24"/>
                <w:highlight w:val="none"/>
              </w:rPr>
            </w:pPr>
          </w:p>
        </w:tc>
        <w:tc>
          <w:tcPr>
            <w:tcW w:w="2500" w:type="pct"/>
            <w:tcBorders>
              <w:top w:val="nil"/>
              <w:left w:val="nil"/>
              <w:bottom w:val="nil"/>
              <w:right w:val="nil"/>
            </w:tcBorders>
            <w:noWrap w:val="0"/>
          </w:tcPr>
          <w:p w14:paraId="55FC0100">
            <w:pPr>
              <w:spacing w:line="400" w:lineRule="exact"/>
              <w:rPr>
                <w:rFonts w:asciiTheme="minorEastAsia" w:hAnsiTheme="minorEastAsia" w:eastAsiaTheme="minorEastAsia" w:cstheme="minorEastAsia"/>
                <w:color w:val="auto"/>
                <w:sz w:val="24"/>
                <w:szCs w:val="24"/>
                <w:highlight w:val="none"/>
              </w:rPr>
            </w:pPr>
          </w:p>
        </w:tc>
      </w:tr>
      <w:tr w14:paraId="119B9413">
        <w:tblPrEx>
          <w:tblCellMar>
            <w:top w:w="0" w:type="dxa"/>
            <w:left w:w="108" w:type="dxa"/>
            <w:bottom w:w="0" w:type="dxa"/>
            <w:right w:w="108" w:type="dxa"/>
          </w:tblCellMar>
        </w:tblPrEx>
        <w:tc>
          <w:tcPr>
            <w:tcW w:w="2500" w:type="pct"/>
            <w:tcBorders>
              <w:top w:val="nil"/>
              <w:left w:val="nil"/>
              <w:bottom w:val="nil"/>
              <w:right w:val="nil"/>
            </w:tcBorders>
            <w:noWrap w:val="0"/>
          </w:tcPr>
          <w:p w14:paraId="1873E464">
            <w:pPr>
              <w:pStyle w:val="95"/>
              <w:ind w:firstLine="0"/>
              <w:rPr>
                <w:rFonts w:asciiTheme="minorEastAsia" w:hAnsiTheme="minorEastAsia" w:eastAsiaTheme="minorEastAsia" w:cstheme="minorEastAsia"/>
                <w:color w:val="auto"/>
                <w:highlight w:val="none"/>
              </w:rPr>
            </w:pPr>
          </w:p>
        </w:tc>
        <w:tc>
          <w:tcPr>
            <w:tcW w:w="2500" w:type="pct"/>
            <w:tcBorders>
              <w:top w:val="nil"/>
              <w:left w:val="nil"/>
              <w:bottom w:val="nil"/>
              <w:right w:val="nil"/>
            </w:tcBorders>
            <w:noWrap w:val="0"/>
          </w:tcPr>
          <w:p w14:paraId="7C5C8FBC">
            <w:pPr>
              <w:spacing w:line="400" w:lineRule="exact"/>
              <w:rPr>
                <w:rFonts w:asciiTheme="minorEastAsia" w:hAnsiTheme="minorEastAsia" w:eastAsiaTheme="minorEastAsia" w:cstheme="minorEastAsia"/>
                <w:color w:val="auto"/>
                <w:sz w:val="24"/>
                <w:szCs w:val="24"/>
                <w:highlight w:val="none"/>
              </w:rPr>
            </w:pPr>
          </w:p>
        </w:tc>
      </w:tr>
    </w:tbl>
    <w:p w14:paraId="7206C32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lang w:val="en-US" w:eastAsia="zh-CN"/>
        </w:rPr>
        <w:t>附件1：</w:t>
      </w:r>
    </w:p>
    <w:p w14:paraId="04773EBB">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202</w:t>
      </w:r>
      <w:r>
        <w:rPr>
          <w:rFonts w:hint="eastAsia" w:asciiTheme="minorEastAsia" w:hAnsiTheme="minorEastAsia" w:cstheme="minorEastAsia"/>
          <w:b/>
          <w:bCs/>
          <w:color w:val="auto"/>
          <w:sz w:val="32"/>
          <w:szCs w:val="32"/>
          <w:highlight w:val="none"/>
          <w:lang w:val="en-US" w:eastAsia="zh-CN"/>
        </w:rPr>
        <w:t>6</w:t>
      </w:r>
      <w:r>
        <w:rPr>
          <w:rFonts w:hint="eastAsia" w:asciiTheme="minorEastAsia" w:hAnsiTheme="minorEastAsia" w:eastAsiaTheme="minorEastAsia" w:cstheme="minorEastAsia"/>
          <w:b/>
          <w:bCs/>
          <w:color w:val="auto"/>
          <w:sz w:val="32"/>
          <w:szCs w:val="32"/>
          <w:highlight w:val="none"/>
        </w:rPr>
        <w:t>年劳务安全协议</w:t>
      </w:r>
    </w:p>
    <w:p w14:paraId="37BAD967">
      <w:pPr>
        <w:pStyle w:val="95"/>
        <w:ind w:firstLine="440"/>
        <w:rPr>
          <w:color w:val="auto"/>
          <w:highlight w:val="none"/>
        </w:rPr>
      </w:pPr>
    </w:p>
    <w:p w14:paraId="69B1269A">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甲方</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南京市浦口区人民政府</w:t>
      </w:r>
      <w:r>
        <w:rPr>
          <w:rFonts w:hint="eastAsia" w:asciiTheme="minorEastAsia" w:hAnsiTheme="minorEastAsia" w:cstheme="minorEastAsia"/>
          <w:color w:val="auto"/>
          <w:sz w:val="24"/>
          <w:szCs w:val="24"/>
          <w:highlight w:val="none"/>
          <w:u w:val="single"/>
          <w:lang w:val="en-US" w:eastAsia="zh-CN"/>
        </w:rPr>
        <w:t>汤泉</w:t>
      </w:r>
      <w:r>
        <w:rPr>
          <w:rFonts w:hint="eastAsia" w:asciiTheme="minorEastAsia" w:hAnsiTheme="minorEastAsia" w:eastAsiaTheme="minorEastAsia" w:cstheme="minorEastAsia"/>
          <w:color w:val="auto"/>
          <w:sz w:val="24"/>
          <w:szCs w:val="24"/>
          <w:highlight w:val="none"/>
          <w:u w:val="single"/>
        </w:rPr>
        <w:t>街道办事处</w:t>
      </w:r>
      <w:r>
        <w:rPr>
          <w:rFonts w:hint="eastAsia" w:asciiTheme="minorEastAsia" w:hAnsiTheme="minorEastAsia" w:eastAsiaTheme="minorEastAsia" w:cstheme="minorEastAsia"/>
          <w:color w:val="auto"/>
          <w:sz w:val="24"/>
          <w:szCs w:val="24"/>
          <w:highlight w:val="none"/>
        </w:rPr>
        <w:t>（以下简称甲方）</w:t>
      </w:r>
    </w:p>
    <w:p w14:paraId="0E58CC73">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乙方</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（以下简称乙方）</w:t>
      </w:r>
    </w:p>
    <w:p w14:paraId="12856610">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根据有关法律、法规及相关安全管理文件精神，结合绿化养护特点及现场安全作业、文明施工、疫情防控等要求，双方签订本协议。本协议作为甲乙双方养护劳务合同的附件。</w:t>
      </w:r>
    </w:p>
    <w:p w14:paraId="2FBA216A">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一、工程概况：见甲乙双方养护劳务合同。</w:t>
      </w:r>
    </w:p>
    <w:p w14:paraId="1833B9B0">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二、安全生产目标：杜绝安全隐患、安全文明施工、安全生产无事故。</w:t>
      </w:r>
    </w:p>
    <w:p w14:paraId="3A2F95F3">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三、甲方职责：</w:t>
      </w:r>
    </w:p>
    <w:p w14:paraId="50019448">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1、甲方根据相关安全法律法规和上级关于安全管理的相关要求对乙方安全管理工作开展指导、检查、监督和考核。</w:t>
      </w:r>
    </w:p>
    <w:p w14:paraId="06C4FBA2">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2、甲方及时传达上级关于安全生产的相关文件精神和工作要求，指导乙方贯彻落实。</w:t>
      </w:r>
    </w:p>
    <w:p w14:paraId="3AEA190B">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3、对乙方作业过程中，关于安全管理方面不明确事项，甲方积极协助给予解答，帮助乙方提高安全管理水平。</w:t>
      </w:r>
    </w:p>
    <w:p w14:paraId="278208D1">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四、乙方职责：</w:t>
      </w:r>
    </w:p>
    <w:p w14:paraId="5E27B4B5">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1、乙方严格落实有关安全生产的法律法规和上级文件精神以及甲方针对绿化养护行业特点提出安全管理要求。</w:t>
      </w:r>
    </w:p>
    <w:p w14:paraId="58A3D2C9">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2、乙方自行承担安全生产管理包括法律、经济等全部责任。</w:t>
      </w:r>
    </w:p>
    <w:p w14:paraId="1A7320EB">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3、乙方自觉、主动地接受甲方的安全生产指导、监督和考核，对甲方提出的安全问题及时落实整改。</w:t>
      </w:r>
    </w:p>
    <w:p w14:paraId="04364E22">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4、乙方根据相关规定，配齐有执业资格的项目负责人、现场安全员、电工、登高作业人员、专用机械操作人员等；</w:t>
      </w:r>
    </w:p>
    <w:p w14:paraId="339702F8">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5、乙方使用的劳务人员为身体健康且年龄不大于70周岁人员，为参加甲方养护劳务作业人员购买保险。</w:t>
      </w:r>
    </w:p>
    <w:p w14:paraId="038C1ED9">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6、根据绿化养护季节性特点，适时对劳务人员开展防中暑、防冻伤、防蛇、防蜂等专项安全教育和培训</w:t>
      </w:r>
      <w:r>
        <w:rPr>
          <w:rFonts w:hint="eastAsia" w:eastAsia="宋体" w:asciiTheme="minorEastAsia" w:hAnsiTheme="minorEastAsia" w:cstheme="minorEastAsia"/>
          <w:color w:val="auto"/>
          <w:sz w:val="24"/>
          <w:szCs w:val="24"/>
          <w:highlight w:val="none"/>
          <w:lang w:eastAsia="zh-CN"/>
        </w:rPr>
        <w:t>，</w:t>
      </w:r>
      <w:r>
        <w:rPr>
          <w:rFonts w:hint="eastAsia" w:eastAsia="宋体" w:asciiTheme="minorEastAsia" w:hAnsiTheme="minorEastAsia" w:cstheme="minorEastAsia"/>
          <w:color w:val="auto"/>
          <w:sz w:val="24"/>
          <w:szCs w:val="24"/>
          <w:highlight w:val="none"/>
          <w:lang w:val="en-US" w:eastAsia="zh-CN"/>
        </w:rPr>
        <w:t>并配备相应的药品等</w:t>
      </w:r>
      <w:r>
        <w:rPr>
          <w:rFonts w:hint="eastAsia" w:asciiTheme="minorEastAsia" w:hAnsiTheme="minorEastAsia" w:eastAsiaTheme="minorEastAsia" w:cstheme="minorEastAsia"/>
          <w:color w:val="auto"/>
          <w:sz w:val="24"/>
          <w:szCs w:val="24"/>
          <w:highlight w:val="none"/>
        </w:rPr>
        <w:t>。</w:t>
      </w:r>
    </w:p>
    <w:p w14:paraId="2033F013">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7、根据具体养护劳务内容，适时开展登高作业、水面作业、运输作业、道路作业、农药喷洒等专项安全教育和培训</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适时开展应急演练。</w:t>
      </w:r>
    </w:p>
    <w:p w14:paraId="66BC3530">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8、加强车辆、机械设备等安全管理，使用有资质的特种作业设备</w:t>
      </w:r>
      <w:r>
        <w:rPr>
          <w:rFonts w:hint="eastAsia" w:eastAsia="宋体"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加强车辆、机械操作人员的安全管理，完全符合国家相关安全法律要求。</w:t>
      </w:r>
    </w:p>
    <w:p w14:paraId="49870435">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9、加强农药、燃油等危化品的管理，确保危化品的采购、运输、使用、登记管理等完全符合国家相关法律规定和相关行业要求。</w:t>
      </w:r>
    </w:p>
    <w:p w14:paraId="3C23304D">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10、根据不同的作业内容、季节、时间、地点等实际情况，按规范和要求组织好安全管理人员，落实好针对性的安全防护措施。</w:t>
      </w:r>
    </w:p>
    <w:p w14:paraId="2201ECD2">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五、违约责任</w:t>
      </w:r>
    </w:p>
    <w:p w14:paraId="20E488B8">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乙双方应严格执行国家相关安全管理法律法规和上级相关要求，甲方根据本协议和考核细则中关于安全管理方面的处罚明细对乙方安全工作实行管理，乙方必须限时整改。对乙方未按要求及时整改，甲方有权终止合同。</w:t>
      </w:r>
    </w:p>
    <w:p w14:paraId="510C8031">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如发生争议，甲方双方应友好协商解决，协商未达成一致的可采取向浦口区人民法院起诉的司法途径解决。</w:t>
      </w:r>
    </w:p>
    <w:p w14:paraId="00A9FA6E">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六、本协议一式肆份，甲乙双方各执贰份，具有同等法律效力。本合同自签订之日起生效。</w:t>
      </w:r>
    </w:p>
    <w:p w14:paraId="69A9D999">
      <w:pPr>
        <w:spacing w:line="400" w:lineRule="exact"/>
        <w:rPr>
          <w:rFonts w:asciiTheme="minorEastAsia" w:hAnsiTheme="minorEastAsia" w:eastAsiaTheme="minorEastAsia" w:cstheme="minorEastAsia"/>
          <w:color w:val="auto"/>
          <w:sz w:val="24"/>
          <w:szCs w:val="24"/>
          <w:highlight w:val="none"/>
        </w:rPr>
      </w:pPr>
    </w:p>
    <w:p w14:paraId="58FD2A18">
      <w:pPr>
        <w:spacing w:line="400" w:lineRule="exact"/>
        <w:rPr>
          <w:rFonts w:asciiTheme="minorEastAsia" w:hAnsiTheme="minorEastAsia" w:eastAsiaTheme="minorEastAsia" w:cstheme="minorEastAsia"/>
          <w:color w:val="auto"/>
          <w:sz w:val="24"/>
          <w:szCs w:val="24"/>
          <w:highlight w:val="none"/>
        </w:rPr>
      </w:pPr>
    </w:p>
    <w:p w14:paraId="359369D8">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   方：（盖章）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乙  方：（盖章）</w:t>
      </w:r>
    </w:p>
    <w:p w14:paraId="0A33353E">
      <w:pPr>
        <w:spacing w:line="400" w:lineRule="exact"/>
        <w:ind w:firstLine="480"/>
        <w:rPr>
          <w:rFonts w:asciiTheme="minorEastAsia" w:hAnsiTheme="minorEastAsia" w:eastAsiaTheme="minorEastAsia" w:cstheme="minorEastAsia"/>
          <w:color w:val="auto"/>
          <w:sz w:val="24"/>
          <w:szCs w:val="24"/>
          <w:highlight w:val="none"/>
        </w:rPr>
      </w:pPr>
    </w:p>
    <w:p w14:paraId="34243EE9">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法定代表人：（签字）</w:t>
      </w:r>
    </w:p>
    <w:p w14:paraId="7B37E30F">
      <w:pPr>
        <w:spacing w:line="400" w:lineRule="exact"/>
        <w:ind w:firstLine="480"/>
        <w:rPr>
          <w:rFonts w:asciiTheme="minorEastAsia" w:hAnsiTheme="minorEastAsia" w:eastAsiaTheme="minorEastAsia" w:cstheme="minorEastAsia"/>
          <w:color w:val="auto"/>
          <w:sz w:val="24"/>
          <w:szCs w:val="24"/>
          <w:highlight w:val="none"/>
        </w:rPr>
      </w:pPr>
    </w:p>
    <w:p w14:paraId="0EF1FD1A">
      <w:pPr>
        <w:spacing w:line="400" w:lineRule="exact"/>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或委托代理人：（签字）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或委托代理人：（签字）</w:t>
      </w:r>
    </w:p>
    <w:p w14:paraId="47AA33A7">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p w14:paraId="77FA2A60">
      <w:pPr>
        <w:spacing w:line="400" w:lineRule="exact"/>
        <w:rPr>
          <w:rFonts w:asciiTheme="minorEastAsia" w:hAnsiTheme="minorEastAsia" w:eastAsiaTheme="minorEastAsia" w:cstheme="minorEastAsia"/>
          <w:color w:val="auto"/>
          <w:sz w:val="24"/>
          <w:szCs w:val="24"/>
          <w:highlight w:val="none"/>
        </w:rPr>
      </w:pPr>
    </w:p>
    <w:p w14:paraId="49C929E2">
      <w:pPr>
        <w:spacing w:line="400" w:lineRule="exact"/>
        <w:ind w:firstLine="3513"/>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签订时间：    年  月  日</w:t>
      </w:r>
    </w:p>
    <w:p w14:paraId="2BFC7246">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44439195">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4724A243">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18A0B97D">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25A5901A">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73673680">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4B203AE7">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6AA5072D">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6D5F2B47">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359B3E55">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6DD1CF77">
      <w:pPr>
        <w:spacing w:line="400" w:lineRule="exact"/>
        <w:ind w:firstLine="3513"/>
        <w:jc w:val="right"/>
        <w:rPr>
          <w:rFonts w:hint="eastAsia" w:asciiTheme="minorEastAsia" w:hAnsiTheme="minorEastAsia" w:eastAsiaTheme="minorEastAsia" w:cstheme="minorEastAsia"/>
          <w:color w:val="auto"/>
          <w:sz w:val="24"/>
          <w:szCs w:val="24"/>
          <w:highlight w:val="none"/>
        </w:rPr>
      </w:pPr>
    </w:p>
    <w:p w14:paraId="53616140">
      <w:pPr>
        <w:rPr>
          <w:rFonts w:hint="eastAsia"/>
          <w:color w:val="auto"/>
          <w:sz w:val="48"/>
          <w:szCs w:val="21"/>
          <w:highlight w:val="none"/>
          <w:lang w:eastAsia="zh-CN"/>
        </w:rPr>
      </w:pPr>
      <w:r>
        <w:rPr>
          <w:rFonts w:hint="eastAsia"/>
          <w:color w:val="auto"/>
          <w:sz w:val="48"/>
          <w:szCs w:val="21"/>
          <w:highlight w:val="none"/>
          <w:lang w:eastAsia="zh-CN"/>
        </w:rPr>
        <w:br w:type="page"/>
      </w:r>
    </w:p>
    <w:p w14:paraId="69D5A96D">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附件</w:t>
      </w:r>
      <w:r>
        <w:rPr>
          <w:rFonts w:hint="eastAsia"/>
          <w:b/>
          <w:bCs/>
          <w:color w:val="auto"/>
          <w:sz w:val="24"/>
          <w:szCs w:val="24"/>
          <w:highlight w:val="none"/>
          <w:lang w:val="en-US" w:eastAsia="zh-CN"/>
        </w:rPr>
        <w:t>2</w:t>
      </w:r>
      <w:r>
        <w:rPr>
          <w:rFonts w:hint="eastAsia"/>
          <w:b/>
          <w:bCs/>
          <w:color w:val="auto"/>
          <w:sz w:val="24"/>
          <w:szCs w:val="24"/>
          <w:highlight w:val="none"/>
          <w:lang w:eastAsia="zh-CN"/>
        </w:rPr>
        <w:t>：</w:t>
      </w:r>
    </w:p>
    <w:tbl>
      <w:tblPr>
        <w:tblStyle w:val="26"/>
        <w:tblW w:w="103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1470"/>
        <w:gridCol w:w="5385"/>
        <w:gridCol w:w="1605"/>
        <w:gridCol w:w="1080"/>
      </w:tblGrid>
      <w:tr w14:paraId="20412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0320" w:type="dxa"/>
            <w:gridSpan w:val="5"/>
            <w:tcBorders>
              <w:top w:val="nil"/>
              <w:left w:val="nil"/>
              <w:bottom w:val="nil"/>
              <w:right w:val="nil"/>
            </w:tcBorders>
            <w:shd w:val="clear" w:color="auto" w:fill="auto"/>
            <w:vAlign w:val="center"/>
          </w:tcPr>
          <w:p w14:paraId="33822BD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绿化养护服务质量考核表</w:t>
            </w:r>
          </w:p>
        </w:tc>
      </w:tr>
      <w:tr w14:paraId="3E0BD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05C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9E2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考核项目</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86A1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扣分细节</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8811">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项目检查结果</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（不符合宗数）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A0F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扣分</w:t>
            </w:r>
          </w:p>
        </w:tc>
      </w:tr>
      <w:tr w14:paraId="52F4A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0EF8D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1470" w:type="dxa"/>
            <w:vMerge w:val="restart"/>
            <w:tcBorders>
              <w:top w:val="single" w:color="000000" w:sz="4" w:space="0"/>
              <w:left w:val="single" w:color="000000" w:sz="4" w:space="0"/>
              <w:bottom w:val="nil"/>
              <w:right w:val="single" w:color="000000" w:sz="4" w:space="0"/>
            </w:tcBorders>
            <w:shd w:val="clear" w:color="auto" w:fill="auto"/>
            <w:vAlign w:val="center"/>
          </w:tcPr>
          <w:p w14:paraId="784B3DC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作业人员的行为规范</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C36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工作中不按规定着装每宗扣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23F1">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6E732">
            <w:pPr>
              <w:jc w:val="center"/>
              <w:rPr>
                <w:rFonts w:hint="eastAsia" w:ascii="宋体" w:hAnsi="宋体" w:eastAsia="宋体" w:cs="宋体"/>
                <w:b w:val="0"/>
                <w:bCs w:val="0"/>
                <w:i w:val="0"/>
                <w:iCs w:val="0"/>
                <w:color w:val="auto"/>
                <w:sz w:val="21"/>
                <w:szCs w:val="21"/>
                <w:highlight w:val="none"/>
                <w:u w:val="none"/>
              </w:rPr>
            </w:pPr>
          </w:p>
        </w:tc>
      </w:tr>
      <w:tr w14:paraId="167E2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4BB03">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59EFDE2A">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01C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服装不整齐、干净整洁的每宗扣</w:t>
            </w:r>
            <w:r>
              <w:rPr>
                <w:rFonts w:hint="eastAsia" w:ascii="宋体" w:hAnsi="宋体" w:eastAsia="宋体" w:cs="宋体"/>
                <w:b w:val="0"/>
                <w:bCs w:val="0"/>
                <w:i w:val="0"/>
                <w:iCs w:val="0"/>
                <w:color w:val="auto"/>
                <w:kern w:val="0"/>
                <w:sz w:val="21"/>
                <w:szCs w:val="21"/>
                <w:highlight w:val="none"/>
                <w:u w:val="none"/>
                <w:lang w:val="en-US" w:eastAsia="zh-CN" w:bidi="ar"/>
              </w:rPr>
              <w:t>0.2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F383">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C2C77">
            <w:pPr>
              <w:jc w:val="center"/>
              <w:rPr>
                <w:rFonts w:hint="eastAsia" w:ascii="宋体" w:hAnsi="宋体" w:eastAsia="宋体" w:cs="宋体"/>
                <w:b w:val="0"/>
                <w:bCs w:val="0"/>
                <w:i w:val="0"/>
                <w:iCs w:val="0"/>
                <w:color w:val="auto"/>
                <w:sz w:val="21"/>
                <w:szCs w:val="21"/>
                <w:highlight w:val="none"/>
                <w:u w:val="none"/>
              </w:rPr>
            </w:pPr>
          </w:p>
        </w:tc>
      </w:tr>
      <w:tr w14:paraId="64E3D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FAB0D">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057D2194">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F41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工作中与甲方争吵或不服从甲方指令扣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BD20">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A1A5">
            <w:pPr>
              <w:jc w:val="center"/>
              <w:rPr>
                <w:rFonts w:hint="eastAsia" w:ascii="宋体" w:hAnsi="宋体" w:eastAsia="宋体" w:cs="宋体"/>
                <w:b w:val="0"/>
                <w:bCs w:val="0"/>
                <w:i w:val="0"/>
                <w:iCs w:val="0"/>
                <w:color w:val="auto"/>
                <w:sz w:val="21"/>
                <w:szCs w:val="21"/>
                <w:highlight w:val="none"/>
                <w:u w:val="none"/>
              </w:rPr>
            </w:pPr>
          </w:p>
        </w:tc>
      </w:tr>
      <w:tr w14:paraId="7830C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77222">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0BC7AFF8">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29CDFCC9">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作业人员防护措施不足，每宗扣</w:t>
            </w:r>
            <w:r>
              <w:rPr>
                <w:rFonts w:hint="eastAsia" w:ascii="宋体" w:hAnsi="宋体" w:eastAsia="宋体" w:cs="宋体"/>
                <w:b w:val="0"/>
                <w:bCs w:val="0"/>
                <w:i w:val="0"/>
                <w:iCs w:val="0"/>
                <w:color w:val="auto"/>
                <w:kern w:val="0"/>
                <w:sz w:val="21"/>
                <w:szCs w:val="21"/>
                <w:highlight w:val="none"/>
                <w:u w:val="none"/>
                <w:lang w:val="en-US" w:eastAsia="zh-CN" w:bidi="ar"/>
              </w:rPr>
              <w:t>0.2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01B3">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FBEE">
            <w:pPr>
              <w:jc w:val="center"/>
              <w:rPr>
                <w:rFonts w:hint="eastAsia" w:ascii="宋体" w:hAnsi="宋体" w:eastAsia="宋体" w:cs="宋体"/>
                <w:b w:val="0"/>
                <w:bCs w:val="0"/>
                <w:i w:val="0"/>
                <w:iCs w:val="0"/>
                <w:color w:val="auto"/>
                <w:sz w:val="21"/>
                <w:szCs w:val="21"/>
                <w:highlight w:val="none"/>
                <w:u w:val="none"/>
              </w:rPr>
            </w:pPr>
          </w:p>
        </w:tc>
      </w:tr>
      <w:tr w14:paraId="38D37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F05A2">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5BE9C7F5">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7B397A51">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特种作业人员未持证上岗，每发现一次扣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22E13">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D9EB5">
            <w:pPr>
              <w:jc w:val="center"/>
              <w:rPr>
                <w:rFonts w:hint="eastAsia" w:ascii="宋体" w:hAnsi="宋体" w:eastAsia="宋体" w:cs="宋体"/>
                <w:b w:val="0"/>
                <w:bCs w:val="0"/>
                <w:i w:val="0"/>
                <w:iCs w:val="0"/>
                <w:color w:val="auto"/>
                <w:sz w:val="21"/>
                <w:szCs w:val="21"/>
                <w:highlight w:val="none"/>
                <w:u w:val="none"/>
              </w:rPr>
            </w:pPr>
          </w:p>
        </w:tc>
      </w:tr>
      <w:tr w14:paraId="4C69A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829DB">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1B228079">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33D09867">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未能及时响应相关工作安排，每次扣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分，如造成严重后果的扣</w:t>
            </w:r>
            <w:r>
              <w:rPr>
                <w:rFonts w:hint="eastAsia" w:ascii="宋体" w:hAnsi="宋体" w:eastAsia="宋体" w:cs="宋体"/>
                <w:b w:val="0"/>
                <w:bCs w:val="0"/>
                <w:i w:val="0"/>
                <w:iCs w:val="0"/>
                <w:color w:val="auto"/>
                <w:kern w:val="0"/>
                <w:sz w:val="21"/>
                <w:szCs w:val="21"/>
                <w:highlight w:val="none"/>
                <w:u w:val="none"/>
                <w:lang w:val="en-US" w:eastAsia="zh-CN" w:bidi="ar"/>
              </w:rPr>
              <w:t>2</w:t>
            </w:r>
            <w:r>
              <w:rPr>
                <w:rStyle w:val="86"/>
                <w:rFonts w:hint="eastAsia" w:ascii="宋体" w:hAnsi="宋体" w:eastAsia="宋体" w:cs="宋体"/>
                <w:b w:val="0"/>
                <w:bCs w:val="0"/>
                <w:color w:val="auto"/>
                <w:sz w:val="21"/>
                <w:szCs w:val="21"/>
                <w:highlight w:val="none"/>
                <w:lang w:val="en-US" w:eastAsia="zh-CN" w:bidi="ar"/>
              </w:rPr>
              <w:t>分（雨雪大风天气应急预案情况等）</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777B6">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F761">
            <w:pPr>
              <w:jc w:val="center"/>
              <w:rPr>
                <w:rFonts w:hint="eastAsia" w:ascii="宋体" w:hAnsi="宋体" w:eastAsia="宋体" w:cs="宋体"/>
                <w:b w:val="0"/>
                <w:bCs w:val="0"/>
                <w:i w:val="0"/>
                <w:iCs w:val="0"/>
                <w:color w:val="auto"/>
                <w:sz w:val="21"/>
                <w:szCs w:val="21"/>
                <w:highlight w:val="none"/>
                <w:u w:val="none"/>
              </w:rPr>
            </w:pPr>
          </w:p>
        </w:tc>
      </w:tr>
      <w:tr w14:paraId="24A2E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E575F">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0E0B5E2B">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494F202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对已检查出的问题未能按要求做出整改，每次扣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分，如造成严重后果的扣</w:t>
            </w:r>
            <w:r>
              <w:rPr>
                <w:rFonts w:hint="eastAsia" w:ascii="宋体" w:hAnsi="宋体" w:eastAsia="宋体" w:cs="宋体"/>
                <w:b w:val="0"/>
                <w:bCs w:val="0"/>
                <w:i w:val="0"/>
                <w:iCs w:val="0"/>
                <w:color w:val="auto"/>
                <w:kern w:val="0"/>
                <w:sz w:val="21"/>
                <w:szCs w:val="21"/>
                <w:highlight w:val="none"/>
                <w:u w:val="none"/>
                <w:lang w:val="en-US" w:eastAsia="zh-CN" w:bidi="ar"/>
              </w:rPr>
              <w:t>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8AE5">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76C7">
            <w:pPr>
              <w:jc w:val="center"/>
              <w:rPr>
                <w:rFonts w:hint="eastAsia" w:ascii="宋体" w:hAnsi="宋体" w:eastAsia="宋体" w:cs="宋体"/>
                <w:b w:val="0"/>
                <w:bCs w:val="0"/>
                <w:i w:val="0"/>
                <w:iCs w:val="0"/>
                <w:color w:val="auto"/>
                <w:sz w:val="21"/>
                <w:szCs w:val="21"/>
                <w:highlight w:val="none"/>
                <w:u w:val="none"/>
              </w:rPr>
            </w:pPr>
          </w:p>
        </w:tc>
      </w:tr>
      <w:tr w14:paraId="62F9B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15DF9">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6FF36F22">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56F43F47">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未及时报送相关台账资料，每延迟一次，扣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98BB">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4C44">
            <w:pPr>
              <w:jc w:val="center"/>
              <w:rPr>
                <w:rFonts w:hint="eastAsia" w:ascii="宋体" w:hAnsi="宋体" w:eastAsia="宋体" w:cs="宋体"/>
                <w:b w:val="0"/>
                <w:bCs w:val="0"/>
                <w:i w:val="0"/>
                <w:iCs w:val="0"/>
                <w:color w:val="auto"/>
                <w:sz w:val="21"/>
                <w:szCs w:val="21"/>
                <w:highlight w:val="none"/>
                <w:u w:val="none"/>
              </w:rPr>
            </w:pPr>
          </w:p>
        </w:tc>
      </w:tr>
      <w:tr w14:paraId="49BBB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CDA56">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675117C8">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4BB17AB7">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因自身问题造成社会不良影响，影响街道形象，每次扣</w:t>
            </w:r>
            <w:r>
              <w:rPr>
                <w:rFonts w:hint="eastAsia" w:ascii="宋体" w:hAnsi="宋体" w:eastAsia="宋体" w:cs="宋体"/>
                <w:b w:val="0"/>
                <w:bCs w:val="0"/>
                <w:i w:val="0"/>
                <w:iCs w:val="0"/>
                <w:color w:val="auto"/>
                <w:kern w:val="0"/>
                <w:sz w:val="21"/>
                <w:szCs w:val="21"/>
                <w:highlight w:val="none"/>
                <w:u w:val="none"/>
                <w:lang w:val="en-US" w:eastAsia="zh-CN" w:bidi="ar"/>
              </w:rPr>
              <w:t>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BABC">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8D1FC">
            <w:pPr>
              <w:jc w:val="center"/>
              <w:rPr>
                <w:rFonts w:hint="eastAsia" w:ascii="宋体" w:hAnsi="宋体" w:eastAsia="宋体" w:cs="宋体"/>
                <w:b w:val="0"/>
                <w:bCs w:val="0"/>
                <w:i w:val="0"/>
                <w:iCs w:val="0"/>
                <w:color w:val="auto"/>
                <w:sz w:val="21"/>
                <w:szCs w:val="21"/>
                <w:highlight w:val="none"/>
                <w:u w:val="none"/>
              </w:rPr>
            </w:pPr>
          </w:p>
        </w:tc>
      </w:tr>
      <w:tr w14:paraId="5575F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0" w:type="auto"/>
            <w:vMerge w:val="restart"/>
            <w:tcBorders>
              <w:top w:val="nil"/>
              <w:left w:val="single" w:color="000000" w:sz="4" w:space="0"/>
              <w:bottom w:val="nil"/>
              <w:right w:val="single" w:color="000000" w:sz="4" w:space="0"/>
            </w:tcBorders>
            <w:shd w:val="clear" w:color="auto" w:fill="auto"/>
            <w:noWrap/>
            <w:vAlign w:val="center"/>
          </w:tcPr>
          <w:p w14:paraId="21787BB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1470" w:type="dxa"/>
            <w:vMerge w:val="restart"/>
            <w:tcBorders>
              <w:top w:val="single" w:color="000000" w:sz="4" w:space="0"/>
              <w:left w:val="single" w:color="000000" w:sz="4" w:space="0"/>
              <w:bottom w:val="nil"/>
              <w:right w:val="single" w:color="000000" w:sz="4" w:space="0"/>
            </w:tcBorders>
            <w:shd w:val="clear" w:color="auto" w:fill="auto"/>
            <w:vAlign w:val="center"/>
          </w:tcPr>
          <w:p w14:paraId="1D80F2A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安全</w:t>
            </w: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0AFAD32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警示牌、安全锥桶摆放不到位或数量明显不足每次扣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分，情节严重扣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448D">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A6CF0">
            <w:pPr>
              <w:jc w:val="center"/>
              <w:rPr>
                <w:rFonts w:hint="eastAsia" w:ascii="宋体" w:hAnsi="宋体" w:eastAsia="宋体" w:cs="宋体"/>
                <w:b w:val="0"/>
                <w:bCs w:val="0"/>
                <w:i w:val="0"/>
                <w:iCs w:val="0"/>
                <w:color w:val="auto"/>
                <w:sz w:val="21"/>
                <w:szCs w:val="21"/>
                <w:highlight w:val="none"/>
                <w:u w:val="none"/>
              </w:rPr>
            </w:pPr>
          </w:p>
        </w:tc>
      </w:tr>
      <w:tr w14:paraId="29B5C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0" w:type="auto"/>
            <w:vMerge w:val="continue"/>
            <w:tcBorders>
              <w:top w:val="nil"/>
              <w:left w:val="single" w:color="000000" w:sz="4" w:space="0"/>
              <w:bottom w:val="nil"/>
              <w:right w:val="single" w:color="000000" w:sz="4" w:space="0"/>
            </w:tcBorders>
            <w:shd w:val="clear" w:color="auto" w:fill="auto"/>
            <w:noWrap/>
            <w:vAlign w:val="center"/>
          </w:tcPr>
          <w:p w14:paraId="01A3D153">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282BB2FF">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1089D3F1">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工作时间内发生事故未及时上报，每次扣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A59EF">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C09B">
            <w:pPr>
              <w:jc w:val="center"/>
              <w:rPr>
                <w:rFonts w:hint="eastAsia" w:ascii="宋体" w:hAnsi="宋体" w:eastAsia="宋体" w:cs="宋体"/>
                <w:b w:val="0"/>
                <w:bCs w:val="0"/>
                <w:i w:val="0"/>
                <w:iCs w:val="0"/>
                <w:color w:val="auto"/>
                <w:sz w:val="21"/>
                <w:szCs w:val="21"/>
                <w:highlight w:val="none"/>
                <w:u w:val="none"/>
              </w:rPr>
            </w:pPr>
          </w:p>
        </w:tc>
      </w:tr>
      <w:tr w14:paraId="151B0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0" w:type="auto"/>
            <w:vMerge w:val="continue"/>
            <w:tcBorders>
              <w:top w:val="nil"/>
              <w:left w:val="single" w:color="000000" w:sz="4" w:space="0"/>
              <w:bottom w:val="nil"/>
              <w:right w:val="single" w:color="000000" w:sz="4" w:space="0"/>
            </w:tcBorders>
            <w:shd w:val="clear" w:color="auto" w:fill="auto"/>
            <w:noWrap/>
            <w:vAlign w:val="center"/>
          </w:tcPr>
          <w:p w14:paraId="4B9B830E">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555F8956">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0539C09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高空作业时，未佩戴安全帽、安全绳等防具时，每发现一次扣</w:t>
            </w:r>
            <w:r>
              <w:rPr>
                <w:rFonts w:hint="eastAsia" w:ascii="宋体" w:hAnsi="宋体" w:eastAsia="宋体" w:cs="宋体"/>
                <w:b w:val="0"/>
                <w:bCs w:val="0"/>
                <w:i w:val="0"/>
                <w:iCs w:val="0"/>
                <w:color w:val="auto"/>
                <w:kern w:val="0"/>
                <w:sz w:val="21"/>
                <w:szCs w:val="21"/>
                <w:highlight w:val="none"/>
                <w:u w:val="none"/>
                <w:lang w:val="en-US" w:eastAsia="zh-CN" w:bidi="ar"/>
              </w:rPr>
              <w:t>1~3</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ECAD">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A5969">
            <w:pPr>
              <w:jc w:val="center"/>
              <w:rPr>
                <w:rFonts w:hint="eastAsia" w:ascii="宋体" w:hAnsi="宋体" w:eastAsia="宋体" w:cs="宋体"/>
                <w:b w:val="0"/>
                <w:bCs w:val="0"/>
                <w:i w:val="0"/>
                <w:iCs w:val="0"/>
                <w:color w:val="auto"/>
                <w:sz w:val="21"/>
                <w:szCs w:val="21"/>
                <w:highlight w:val="none"/>
                <w:u w:val="none"/>
              </w:rPr>
            </w:pPr>
          </w:p>
        </w:tc>
      </w:tr>
      <w:tr w14:paraId="4D235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0" w:type="auto"/>
            <w:vMerge w:val="continue"/>
            <w:tcBorders>
              <w:top w:val="nil"/>
              <w:left w:val="single" w:color="000000" w:sz="4" w:space="0"/>
              <w:bottom w:val="nil"/>
              <w:right w:val="single" w:color="000000" w:sz="4" w:space="0"/>
            </w:tcBorders>
            <w:shd w:val="clear" w:color="auto" w:fill="auto"/>
            <w:noWrap/>
            <w:vAlign w:val="center"/>
          </w:tcPr>
          <w:p w14:paraId="02B9E949">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4AC13286">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7DF1729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因管理防护措施不到位，造成人员伤亡和财产损失的，给予本次考核不合格并承担相应责任</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2B53">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58BDF">
            <w:pPr>
              <w:jc w:val="center"/>
              <w:rPr>
                <w:rFonts w:hint="eastAsia" w:ascii="宋体" w:hAnsi="宋体" w:eastAsia="宋体" w:cs="宋体"/>
                <w:b w:val="0"/>
                <w:bCs w:val="0"/>
                <w:i w:val="0"/>
                <w:iCs w:val="0"/>
                <w:color w:val="auto"/>
                <w:sz w:val="21"/>
                <w:szCs w:val="21"/>
                <w:highlight w:val="none"/>
                <w:u w:val="none"/>
              </w:rPr>
            </w:pPr>
          </w:p>
        </w:tc>
      </w:tr>
      <w:tr w14:paraId="122C5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79CDE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5A23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植物长势</w:t>
            </w: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6C750CE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枯枝死叉，枯黄，萎蔫，每宗扣</w:t>
            </w:r>
            <w:r>
              <w:rPr>
                <w:rFonts w:hint="eastAsia" w:ascii="宋体" w:hAnsi="宋体" w:eastAsia="宋体" w:cs="宋体"/>
                <w:b w:val="0"/>
                <w:bCs w:val="0"/>
                <w:i w:val="0"/>
                <w:iCs w:val="0"/>
                <w:color w:val="auto"/>
                <w:kern w:val="0"/>
                <w:sz w:val="21"/>
                <w:szCs w:val="21"/>
                <w:highlight w:val="none"/>
                <w:u w:val="none"/>
                <w:lang w:val="en-US" w:eastAsia="zh-CN" w:bidi="ar"/>
              </w:rPr>
              <w:t>0.2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22C5">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18EB3">
            <w:pPr>
              <w:jc w:val="center"/>
              <w:rPr>
                <w:rFonts w:hint="eastAsia" w:ascii="宋体" w:hAnsi="宋体" w:eastAsia="宋体" w:cs="宋体"/>
                <w:b w:val="0"/>
                <w:bCs w:val="0"/>
                <w:i w:val="0"/>
                <w:iCs w:val="0"/>
                <w:color w:val="auto"/>
                <w:sz w:val="21"/>
                <w:szCs w:val="21"/>
                <w:highlight w:val="none"/>
                <w:u w:val="none"/>
              </w:rPr>
            </w:pPr>
          </w:p>
        </w:tc>
      </w:tr>
      <w:tr w14:paraId="0F194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E313E">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2037">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78E24AC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植物枯死的，每宗扣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1B07">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93AAB">
            <w:pPr>
              <w:jc w:val="center"/>
              <w:rPr>
                <w:rFonts w:hint="eastAsia" w:ascii="宋体" w:hAnsi="宋体" w:eastAsia="宋体" w:cs="宋体"/>
                <w:b w:val="0"/>
                <w:bCs w:val="0"/>
                <w:i w:val="0"/>
                <w:iCs w:val="0"/>
                <w:color w:val="auto"/>
                <w:sz w:val="21"/>
                <w:szCs w:val="21"/>
                <w:highlight w:val="none"/>
                <w:u w:val="none"/>
              </w:rPr>
            </w:pPr>
          </w:p>
        </w:tc>
      </w:tr>
      <w:tr w14:paraId="60873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E0EEC">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4350F">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0651E6E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植物歪斜、倒伏未及时扶正，每次扣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分，情节严重扣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2F34">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56E2">
            <w:pPr>
              <w:jc w:val="center"/>
              <w:rPr>
                <w:rFonts w:hint="eastAsia" w:ascii="宋体" w:hAnsi="宋体" w:eastAsia="宋体" w:cs="宋体"/>
                <w:b w:val="0"/>
                <w:bCs w:val="0"/>
                <w:i w:val="0"/>
                <w:iCs w:val="0"/>
                <w:color w:val="auto"/>
                <w:sz w:val="21"/>
                <w:szCs w:val="21"/>
                <w:highlight w:val="none"/>
                <w:u w:val="none"/>
              </w:rPr>
            </w:pPr>
          </w:p>
        </w:tc>
      </w:tr>
      <w:tr w14:paraId="25A15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restart"/>
            <w:tcBorders>
              <w:top w:val="single" w:color="000000" w:sz="4" w:space="0"/>
              <w:left w:val="single" w:color="000000" w:sz="4" w:space="0"/>
              <w:bottom w:val="nil"/>
              <w:right w:val="single" w:color="000000" w:sz="4" w:space="0"/>
            </w:tcBorders>
            <w:shd w:val="clear" w:color="auto" w:fill="auto"/>
            <w:vAlign w:val="center"/>
          </w:tcPr>
          <w:p w14:paraId="304F630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091DB80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水肥管理</w:t>
            </w: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569EEC0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植物出现明显缺水枯黄的，每宗扣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DCC2F">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87210">
            <w:pPr>
              <w:jc w:val="center"/>
              <w:rPr>
                <w:rFonts w:hint="eastAsia" w:ascii="宋体" w:hAnsi="宋体" w:eastAsia="宋体" w:cs="宋体"/>
                <w:b w:val="0"/>
                <w:bCs w:val="0"/>
                <w:i w:val="0"/>
                <w:iCs w:val="0"/>
                <w:color w:val="auto"/>
                <w:sz w:val="21"/>
                <w:szCs w:val="21"/>
                <w:highlight w:val="none"/>
                <w:u w:val="none"/>
              </w:rPr>
            </w:pPr>
          </w:p>
        </w:tc>
      </w:tr>
      <w:tr w14:paraId="6FE3D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53955634">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DB411C2">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7C7FCDB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植物出现涝害的，每宗扣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5BFD">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FD4F">
            <w:pPr>
              <w:jc w:val="center"/>
              <w:rPr>
                <w:rFonts w:hint="eastAsia" w:ascii="宋体" w:hAnsi="宋体" w:eastAsia="宋体" w:cs="宋体"/>
                <w:b w:val="0"/>
                <w:bCs w:val="0"/>
                <w:i w:val="0"/>
                <w:iCs w:val="0"/>
                <w:color w:val="auto"/>
                <w:sz w:val="21"/>
                <w:szCs w:val="21"/>
                <w:highlight w:val="none"/>
                <w:u w:val="none"/>
              </w:rPr>
            </w:pPr>
          </w:p>
        </w:tc>
      </w:tr>
      <w:tr w14:paraId="3F53D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4AA167A7">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289F784">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4B95DCB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不规范浇水，浪费水资源的，每宗扣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分，情节严重扣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8D58">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B777">
            <w:pPr>
              <w:jc w:val="center"/>
              <w:rPr>
                <w:rFonts w:hint="eastAsia" w:ascii="宋体" w:hAnsi="宋体" w:eastAsia="宋体" w:cs="宋体"/>
                <w:b w:val="0"/>
                <w:bCs w:val="0"/>
                <w:i w:val="0"/>
                <w:iCs w:val="0"/>
                <w:color w:val="auto"/>
                <w:sz w:val="21"/>
                <w:szCs w:val="21"/>
                <w:highlight w:val="none"/>
                <w:u w:val="none"/>
              </w:rPr>
            </w:pPr>
          </w:p>
        </w:tc>
      </w:tr>
      <w:tr w14:paraId="038F1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6F2FD057">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C166F8A">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0868371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没按计划施肥的，每宗扣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7D0A">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4F39">
            <w:pPr>
              <w:jc w:val="center"/>
              <w:rPr>
                <w:rFonts w:hint="eastAsia" w:ascii="宋体" w:hAnsi="宋体" w:eastAsia="宋体" w:cs="宋体"/>
                <w:b w:val="0"/>
                <w:bCs w:val="0"/>
                <w:i w:val="0"/>
                <w:iCs w:val="0"/>
                <w:color w:val="auto"/>
                <w:sz w:val="21"/>
                <w:szCs w:val="21"/>
                <w:highlight w:val="none"/>
                <w:u w:val="none"/>
              </w:rPr>
            </w:pPr>
          </w:p>
        </w:tc>
      </w:tr>
      <w:tr w14:paraId="5BAB4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59AAE3C7">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954AE16">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18DDD84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植物干旱缺水，每次扣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E9A5">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4095">
            <w:pPr>
              <w:jc w:val="center"/>
              <w:rPr>
                <w:rFonts w:hint="eastAsia" w:ascii="宋体" w:hAnsi="宋体" w:eastAsia="宋体" w:cs="宋体"/>
                <w:b w:val="0"/>
                <w:bCs w:val="0"/>
                <w:i w:val="0"/>
                <w:iCs w:val="0"/>
                <w:color w:val="auto"/>
                <w:sz w:val="21"/>
                <w:szCs w:val="21"/>
                <w:highlight w:val="none"/>
                <w:u w:val="none"/>
              </w:rPr>
            </w:pPr>
          </w:p>
        </w:tc>
      </w:tr>
      <w:tr w14:paraId="0B2A0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A9202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E4F5B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病虫害防治</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B34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没有使用规定的环保农药的，每宗扣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E6E9">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2478">
            <w:pPr>
              <w:jc w:val="center"/>
              <w:rPr>
                <w:rFonts w:hint="eastAsia" w:ascii="宋体" w:hAnsi="宋体" w:eastAsia="宋体" w:cs="宋体"/>
                <w:b w:val="0"/>
                <w:bCs w:val="0"/>
                <w:i w:val="0"/>
                <w:iCs w:val="0"/>
                <w:color w:val="auto"/>
                <w:sz w:val="21"/>
                <w:szCs w:val="21"/>
                <w:highlight w:val="none"/>
                <w:u w:val="none"/>
              </w:rPr>
            </w:pPr>
          </w:p>
        </w:tc>
      </w:tr>
      <w:tr w14:paraId="5B51A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DD05F">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48C7E">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D42F">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没按规范进行预防病虫害的，每宗扣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0EC0">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B67C">
            <w:pPr>
              <w:jc w:val="center"/>
              <w:rPr>
                <w:rFonts w:hint="eastAsia" w:ascii="宋体" w:hAnsi="宋体" w:eastAsia="宋体" w:cs="宋体"/>
                <w:b w:val="0"/>
                <w:bCs w:val="0"/>
                <w:i w:val="0"/>
                <w:iCs w:val="0"/>
                <w:color w:val="auto"/>
                <w:sz w:val="21"/>
                <w:szCs w:val="21"/>
                <w:highlight w:val="none"/>
                <w:u w:val="none"/>
              </w:rPr>
            </w:pPr>
          </w:p>
        </w:tc>
      </w:tr>
      <w:tr w14:paraId="6F916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40BF5">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65BA8">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A73A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出现防病虫害不治理的，每宗扣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BCFC">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21C2">
            <w:pPr>
              <w:jc w:val="center"/>
              <w:rPr>
                <w:rFonts w:hint="eastAsia" w:ascii="宋体" w:hAnsi="宋体" w:eastAsia="宋体" w:cs="宋体"/>
                <w:b w:val="0"/>
                <w:bCs w:val="0"/>
                <w:i w:val="0"/>
                <w:iCs w:val="0"/>
                <w:color w:val="auto"/>
                <w:sz w:val="21"/>
                <w:szCs w:val="21"/>
                <w:highlight w:val="none"/>
                <w:u w:val="none"/>
              </w:rPr>
            </w:pPr>
          </w:p>
        </w:tc>
      </w:tr>
      <w:tr w14:paraId="08357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CBC5E">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1E92A">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3A86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病虫害在植株超</w:t>
            </w:r>
            <w:r>
              <w:rPr>
                <w:rFonts w:hint="eastAsia" w:ascii="宋体" w:hAnsi="宋体" w:eastAsia="宋体" w:cs="宋体"/>
                <w:b w:val="0"/>
                <w:bCs w:val="0"/>
                <w:i w:val="0"/>
                <w:iCs w:val="0"/>
                <w:color w:val="auto"/>
                <w:kern w:val="0"/>
                <w:sz w:val="21"/>
                <w:szCs w:val="21"/>
                <w:highlight w:val="none"/>
                <w:u w:val="none"/>
                <w:lang w:val="en-US" w:eastAsia="zh-CN" w:bidi="ar"/>
              </w:rPr>
              <w:t>2%</w:t>
            </w:r>
            <w:r>
              <w:rPr>
                <w:rStyle w:val="86"/>
                <w:rFonts w:hint="eastAsia" w:ascii="宋体" w:hAnsi="宋体" w:eastAsia="宋体" w:cs="宋体"/>
                <w:b w:val="0"/>
                <w:bCs w:val="0"/>
                <w:color w:val="auto"/>
                <w:sz w:val="21"/>
                <w:szCs w:val="21"/>
                <w:highlight w:val="none"/>
                <w:lang w:val="en-US" w:eastAsia="zh-CN" w:bidi="ar"/>
              </w:rPr>
              <w:t>以上的，扣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0441">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A4FB">
            <w:pPr>
              <w:jc w:val="center"/>
              <w:rPr>
                <w:rFonts w:hint="eastAsia" w:ascii="宋体" w:hAnsi="宋体" w:eastAsia="宋体" w:cs="宋体"/>
                <w:b w:val="0"/>
                <w:bCs w:val="0"/>
                <w:i w:val="0"/>
                <w:iCs w:val="0"/>
                <w:color w:val="auto"/>
                <w:sz w:val="21"/>
                <w:szCs w:val="21"/>
                <w:highlight w:val="none"/>
                <w:u w:val="none"/>
              </w:rPr>
            </w:pPr>
          </w:p>
        </w:tc>
      </w:tr>
      <w:tr w14:paraId="42388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780" w:type="dxa"/>
            <w:vMerge w:val="restart"/>
            <w:tcBorders>
              <w:top w:val="single" w:color="000000" w:sz="4" w:space="0"/>
              <w:left w:val="single" w:color="000000" w:sz="4" w:space="0"/>
              <w:bottom w:val="nil"/>
              <w:right w:val="single" w:color="000000" w:sz="4" w:space="0"/>
            </w:tcBorders>
            <w:shd w:val="clear" w:color="auto" w:fill="auto"/>
            <w:vAlign w:val="center"/>
          </w:tcPr>
          <w:p w14:paraId="5B3BFA4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4E577C4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修剪造型</w:t>
            </w: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434A89C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不及时修剪，植物枝长达</w:t>
            </w:r>
            <w:r>
              <w:rPr>
                <w:rFonts w:hint="eastAsia" w:ascii="宋体" w:hAnsi="宋体" w:eastAsia="宋体" w:cs="宋体"/>
                <w:b w:val="0"/>
                <w:bCs w:val="0"/>
                <w:i w:val="0"/>
                <w:iCs w:val="0"/>
                <w:color w:val="auto"/>
                <w:kern w:val="0"/>
                <w:sz w:val="21"/>
                <w:szCs w:val="21"/>
                <w:highlight w:val="none"/>
                <w:u w:val="none"/>
                <w:lang w:val="en-US" w:eastAsia="zh-CN" w:bidi="ar"/>
              </w:rPr>
              <w:t>15</w:t>
            </w:r>
            <w:r>
              <w:rPr>
                <w:rStyle w:val="86"/>
                <w:rFonts w:hint="eastAsia" w:ascii="宋体" w:hAnsi="宋体" w:eastAsia="宋体" w:cs="宋体"/>
                <w:b w:val="0"/>
                <w:bCs w:val="0"/>
                <w:color w:val="auto"/>
                <w:sz w:val="21"/>
                <w:szCs w:val="21"/>
                <w:highlight w:val="none"/>
                <w:lang w:val="en-US" w:eastAsia="zh-CN" w:bidi="ar"/>
              </w:rPr>
              <w:t>厘米以上的，每宗扣</w:t>
            </w:r>
            <w:r>
              <w:rPr>
                <w:rFonts w:hint="eastAsia" w:ascii="宋体" w:hAnsi="宋体" w:eastAsia="宋体" w:cs="宋体"/>
                <w:b w:val="0"/>
                <w:bCs w:val="0"/>
                <w:i w:val="0"/>
                <w:iCs w:val="0"/>
                <w:color w:val="auto"/>
                <w:kern w:val="0"/>
                <w:sz w:val="21"/>
                <w:szCs w:val="21"/>
                <w:highlight w:val="none"/>
                <w:u w:val="none"/>
                <w:lang w:val="en-US" w:eastAsia="zh-CN" w:bidi="ar"/>
              </w:rPr>
              <w:t>0.2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22B5">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D27B6">
            <w:pPr>
              <w:jc w:val="center"/>
              <w:rPr>
                <w:rFonts w:hint="eastAsia" w:ascii="宋体" w:hAnsi="宋体" w:eastAsia="宋体" w:cs="宋体"/>
                <w:b w:val="0"/>
                <w:bCs w:val="0"/>
                <w:i w:val="0"/>
                <w:iCs w:val="0"/>
                <w:color w:val="auto"/>
                <w:sz w:val="21"/>
                <w:szCs w:val="21"/>
                <w:highlight w:val="none"/>
                <w:u w:val="none"/>
              </w:rPr>
            </w:pPr>
          </w:p>
        </w:tc>
      </w:tr>
      <w:tr w14:paraId="40201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4846E9E4">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D74C730">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61FFDBF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枯黄枝、阴枝不及时修剪的，每宗扣</w:t>
            </w:r>
            <w:r>
              <w:rPr>
                <w:rFonts w:hint="eastAsia" w:ascii="宋体" w:hAnsi="宋体" w:eastAsia="宋体" w:cs="宋体"/>
                <w:b w:val="0"/>
                <w:bCs w:val="0"/>
                <w:i w:val="0"/>
                <w:iCs w:val="0"/>
                <w:color w:val="auto"/>
                <w:kern w:val="0"/>
                <w:sz w:val="21"/>
                <w:szCs w:val="21"/>
                <w:highlight w:val="none"/>
                <w:u w:val="none"/>
                <w:lang w:val="en-US" w:eastAsia="zh-CN" w:bidi="ar"/>
              </w:rPr>
              <w:t>0.2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B3FF">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B5207">
            <w:pPr>
              <w:jc w:val="center"/>
              <w:rPr>
                <w:rFonts w:hint="eastAsia" w:ascii="宋体" w:hAnsi="宋体" w:eastAsia="宋体" w:cs="宋体"/>
                <w:b w:val="0"/>
                <w:bCs w:val="0"/>
                <w:i w:val="0"/>
                <w:iCs w:val="0"/>
                <w:color w:val="auto"/>
                <w:sz w:val="21"/>
                <w:szCs w:val="21"/>
                <w:highlight w:val="none"/>
                <w:u w:val="none"/>
              </w:rPr>
            </w:pPr>
          </w:p>
        </w:tc>
      </w:tr>
      <w:tr w14:paraId="0B39E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53043A59">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7BFB6A6">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46866067">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修剪大枝，截面不规范的，每宗扣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FCE7">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AF8B">
            <w:pPr>
              <w:jc w:val="center"/>
              <w:rPr>
                <w:rFonts w:hint="eastAsia" w:ascii="宋体" w:hAnsi="宋体" w:eastAsia="宋体" w:cs="宋体"/>
                <w:b w:val="0"/>
                <w:bCs w:val="0"/>
                <w:i w:val="0"/>
                <w:iCs w:val="0"/>
                <w:color w:val="auto"/>
                <w:sz w:val="21"/>
                <w:szCs w:val="21"/>
                <w:highlight w:val="none"/>
                <w:u w:val="none"/>
              </w:rPr>
            </w:pPr>
          </w:p>
        </w:tc>
      </w:tr>
      <w:tr w14:paraId="38C81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25D4F5E3">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92EC098">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3A9FE45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草坪高度</w:t>
            </w:r>
            <w:r>
              <w:rPr>
                <w:rFonts w:hint="eastAsia" w:ascii="宋体" w:hAnsi="宋体" w:eastAsia="宋体" w:cs="宋体"/>
                <w:b w:val="0"/>
                <w:bCs w:val="0"/>
                <w:i w:val="0"/>
                <w:iCs w:val="0"/>
                <w:color w:val="auto"/>
                <w:kern w:val="0"/>
                <w:sz w:val="21"/>
                <w:szCs w:val="21"/>
                <w:highlight w:val="none"/>
                <w:u w:val="none"/>
                <w:lang w:val="en-US" w:eastAsia="zh-CN" w:bidi="ar"/>
              </w:rPr>
              <w:t>8</w:t>
            </w:r>
            <w:r>
              <w:rPr>
                <w:rStyle w:val="86"/>
                <w:rFonts w:hint="eastAsia" w:ascii="宋体" w:hAnsi="宋体" w:eastAsia="宋体" w:cs="宋体"/>
                <w:b w:val="0"/>
                <w:bCs w:val="0"/>
                <w:color w:val="auto"/>
                <w:sz w:val="21"/>
                <w:szCs w:val="21"/>
                <w:highlight w:val="none"/>
                <w:lang w:val="en-US" w:eastAsia="zh-CN" w:bidi="ar"/>
              </w:rPr>
              <w:t>厘米以上不修剪的扣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FDF9">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DD21">
            <w:pPr>
              <w:jc w:val="center"/>
              <w:rPr>
                <w:rFonts w:hint="eastAsia" w:ascii="宋体" w:hAnsi="宋体" w:eastAsia="宋体" w:cs="宋体"/>
                <w:b w:val="0"/>
                <w:bCs w:val="0"/>
                <w:i w:val="0"/>
                <w:iCs w:val="0"/>
                <w:color w:val="auto"/>
                <w:sz w:val="21"/>
                <w:szCs w:val="21"/>
                <w:highlight w:val="none"/>
                <w:u w:val="none"/>
              </w:rPr>
            </w:pPr>
          </w:p>
        </w:tc>
      </w:tr>
      <w:tr w14:paraId="57448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34D0E985">
            <w:pPr>
              <w:jc w:val="center"/>
              <w:rPr>
                <w:rFonts w:hint="eastAsia" w:ascii="宋体" w:hAnsi="宋体" w:eastAsia="宋体" w:cs="宋体"/>
                <w:b w:val="0"/>
                <w:bCs w:val="0"/>
                <w:i w:val="0"/>
                <w:iCs w:val="0"/>
                <w:color w:val="auto"/>
                <w:sz w:val="21"/>
                <w:szCs w:val="21"/>
                <w:highlight w:val="none"/>
                <w:u w:val="none"/>
              </w:rPr>
            </w:pPr>
          </w:p>
        </w:tc>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CC84EF9">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nil"/>
              <w:bottom w:val="single" w:color="000000" w:sz="4" w:space="0"/>
              <w:right w:val="single" w:color="000000" w:sz="4" w:space="0"/>
            </w:tcBorders>
            <w:shd w:val="clear" w:color="auto" w:fill="auto"/>
            <w:vAlign w:val="center"/>
          </w:tcPr>
          <w:p w14:paraId="08ACC2A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有存在安全隐患的枯枝烂头或树洞，每次扣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66FA">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65F79">
            <w:pPr>
              <w:jc w:val="center"/>
              <w:rPr>
                <w:rFonts w:hint="eastAsia" w:ascii="宋体" w:hAnsi="宋体" w:eastAsia="宋体" w:cs="宋体"/>
                <w:b w:val="0"/>
                <w:bCs w:val="0"/>
                <w:i w:val="0"/>
                <w:iCs w:val="0"/>
                <w:color w:val="auto"/>
                <w:sz w:val="21"/>
                <w:szCs w:val="21"/>
                <w:highlight w:val="none"/>
                <w:u w:val="none"/>
              </w:rPr>
            </w:pPr>
          </w:p>
        </w:tc>
      </w:tr>
      <w:tr w14:paraId="7C6EC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5D022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8FC37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中耕除草</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1B6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出现板结的，每宗扣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1F7C">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DCE76">
            <w:pPr>
              <w:jc w:val="center"/>
              <w:rPr>
                <w:rFonts w:hint="eastAsia" w:ascii="宋体" w:hAnsi="宋体" w:eastAsia="宋体" w:cs="宋体"/>
                <w:b w:val="0"/>
                <w:bCs w:val="0"/>
                <w:i w:val="0"/>
                <w:iCs w:val="0"/>
                <w:color w:val="auto"/>
                <w:sz w:val="21"/>
                <w:szCs w:val="21"/>
                <w:highlight w:val="none"/>
                <w:u w:val="none"/>
              </w:rPr>
            </w:pPr>
          </w:p>
        </w:tc>
      </w:tr>
      <w:tr w14:paraId="4170F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51105C">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67483">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691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有明显的杂草，纯度低于</w:t>
            </w:r>
            <w:r>
              <w:rPr>
                <w:rFonts w:hint="eastAsia" w:ascii="宋体" w:hAnsi="宋体" w:eastAsia="宋体" w:cs="宋体"/>
                <w:b w:val="0"/>
                <w:bCs w:val="0"/>
                <w:i w:val="0"/>
                <w:iCs w:val="0"/>
                <w:color w:val="auto"/>
                <w:kern w:val="0"/>
                <w:sz w:val="21"/>
                <w:szCs w:val="21"/>
                <w:highlight w:val="none"/>
                <w:u w:val="none"/>
                <w:lang w:val="en-US" w:eastAsia="zh-CN" w:bidi="ar"/>
              </w:rPr>
              <w:t>90%</w:t>
            </w:r>
            <w:r>
              <w:rPr>
                <w:rStyle w:val="86"/>
                <w:rFonts w:hint="eastAsia" w:ascii="宋体" w:hAnsi="宋体" w:eastAsia="宋体" w:cs="宋体"/>
                <w:b w:val="0"/>
                <w:bCs w:val="0"/>
                <w:color w:val="auto"/>
                <w:sz w:val="21"/>
                <w:szCs w:val="21"/>
                <w:highlight w:val="none"/>
                <w:lang w:val="en-US" w:eastAsia="zh-CN" w:bidi="ar"/>
              </w:rPr>
              <w:t>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9E8B">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7294E">
            <w:pPr>
              <w:jc w:val="center"/>
              <w:rPr>
                <w:rFonts w:hint="eastAsia" w:ascii="宋体" w:hAnsi="宋体" w:eastAsia="宋体" w:cs="宋体"/>
                <w:b w:val="0"/>
                <w:bCs w:val="0"/>
                <w:i w:val="0"/>
                <w:iCs w:val="0"/>
                <w:color w:val="auto"/>
                <w:sz w:val="21"/>
                <w:szCs w:val="21"/>
                <w:highlight w:val="none"/>
                <w:u w:val="none"/>
              </w:rPr>
            </w:pPr>
          </w:p>
        </w:tc>
      </w:tr>
      <w:tr w14:paraId="6C50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restart"/>
            <w:tcBorders>
              <w:top w:val="nil"/>
              <w:left w:val="single" w:color="000000" w:sz="4" w:space="0"/>
              <w:bottom w:val="single" w:color="000000" w:sz="4" w:space="0"/>
              <w:right w:val="single" w:color="000000" w:sz="4" w:space="0"/>
            </w:tcBorders>
            <w:shd w:val="clear" w:color="auto" w:fill="auto"/>
            <w:vAlign w:val="center"/>
          </w:tcPr>
          <w:p w14:paraId="3566379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w:t>
            </w:r>
          </w:p>
        </w:tc>
        <w:tc>
          <w:tcPr>
            <w:tcW w:w="1470" w:type="dxa"/>
            <w:vMerge w:val="restart"/>
            <w:tcBorders>
              <w:top w:val="nil"/>
              <w:left w:val="single" w:color="000000" w:sz="4" w:space="0"/>
              <w:bottom w:val="single" w:color="000000" w:sz="4" w:space="0"/>
              <w:right w:val="single" w:color="000000" w:sz="4" w:space="0"/>
            </w:tcBorders>
            <w:shd w:val="clear" w:color="auto" w:fill="auto"/>
            <w:vAlign w:val="center"/>
          </w:tcPr>
          <w:p w14:paraId="6D1427D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补种补栽</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3388">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苗木缺株，未及时上报及补植，每次扣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3483">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7759">
            <w:pPr>
              <w:jc w:val="center"/>
              <w:rPr>
                <w:rFonts w:hint="eastAsia" w:ascii="宋体" w:hAnsi="宋体" w:eastAsia="宋体" w:cs="宋体"/>
                <w:b w:val="0"/>
                <w:bCs w:val="0"/>
                <w:i w:val="0"/>
                <w:iCs w:val="0"/>
                <w:color w:val="auto"/>
                <w:sz w:val="21"/>
                <w:szCs w:val="21"/>
                <w:highlight w:val="none"/>
                <w:u w:val="none"/>
              </w:rPr>
            </w:pPr>
          </w:p>
        </w:tc>
      </w:tr>
      <w:tr w14:paraId="4BC0B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nil"/>
              <w:left w:val="single" w:color="000000" w:sz="4" w:space="0"/>
              <w:bottom w:val="single" w:color="000000" w:sz="4" w:space="0"/>
              <w:right w:val="single" w:color="000000" w:sz="4" w:space="0"/>
            </w:tcBorders>
            <w:shd w:val="clear" w:color="auto" w:fill="auto"/>
            <w:vAlign w:val="center"/>
          </w:tcPr>
          <w:p w14:paraId="7F5C94B0">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nil"/>
              <w:left w:val="single" w:color="000000" w:sz="4" w:space="0"/>
              <w:bottom w:val="single" w:color="000000" w:sz="4" w:space="0"/>
              <w:right w:val="single" w:color="000000" w:sz="4" w:space="0"/>
            </w:tcBorders>
            <w:shd w:val="clear" w:color="auto" w:fill="auto"/>
            <w:vAlign w:val="center"/>
          </w:tcPr>
          <w:p w14:paraId="29114E7D">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AAE3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0.4</w:t>
            </w:r>
            <w:r>
              <w:rPr>
                <w:rStyle w:val="86"/>
                <w:rFonts w:hint="eastAsia" w:ascii="宋体" w:hAnsi="宋体" w:eastAsia="宋体" w:cs="宋体"/>
                <w:b w:val="0"/>
                <w:bCs w:val="0"/>
                <w:color w:val="auto"/>
                <w:sz w:val="21"/>
                <w:szCs w:val="21"/>
                <w:highlight w:val="none"/>
                <w:lang w:val="en-US" w:eastAsia="zh-CN" w:bidi="ar"/>
              </w:rPr>
              <w:t>平方米以下未补植的，每宗扣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7B3D">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A8DB">
            <w:pPr>
              <w:jc w:val="center"/>
              <w:rPr>
                <w:rFonts w:hint="eastAsia" w:ascii="宋体" w:hAnsi="宋体" w:eastAsia="宋体" w:cs="宋体"/>
                <w:b w:val="0"/>
                <w:bCs w:val="0"/>
                <w:i w:val="0"/>
                <w:iCs w:val="0"/>
                <w:color w:val="auto"/>
                <w:sz w:val="21"/>
                <w:szCs w:val="21"/>
                <w:highlight w:val="none"/>
                <w:u w:val="none"/>
              </w:rPr>
            </w:pPr>
          </w:p>
        </w:tc>
      </w:tr>
      <w:tr w14:paraId="7332F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nil"/>
              <w:left w:val="single" w:color="000000" w:sz="4" w:space="0"/>
              <w:bottom w:val="single" w:color="000000" w:sz="4" w:space="0"/>
              <w:right w:val="single" w:color="000000" w:sz="4" w:space="0"/>
            </w:tcBorders>
            <w:shd w:val="clear" w:color="auto" w:fill="auto"/>
            <w:vAlign w:val="center"/>
          </w:tcPr>
          <w:p w14:paraId="253A363C">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nil"/>
              <w:left w:val="single" w:color="000000" w:sz="4" w:space="0"/>
              <w:bottom w:val="single" w:color="000000" w:sz="4" w:space="0"/>
              <w:right w:val="single" w:color="000000" w:sz="4" w:space="0"/>
            </w:tcBorders>
            <w:shd w:val="clear" w:color="auto" w:fill="auto"/>
            <w:vAlign w:val="center"/>
          </w:tcPr>
          <w:p w14:paraId="3946B5DB">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F3CE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裸露面积占总面积的</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，超出扣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2DEF7">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72D56">
            <w:pPr>
              <w:jc w:val="center"/>
              <w:rPr>
                <w:rFonts w:hint="eastAsia" w:ascii="宋体" w:hAnsi="宋体" w:eastAsia="宋体" w:cs="宋体"/>
                <w:b w:val="0"/>
                <w:bCs w:val="0"/>
                <w:i w:val="0"/>
                <w:iCs w:val="0"/>
                <w:color w:val="auto"/>
                <w:sz w:val="21"/>
                <w:szCs w:val="21"/>
                <w:highlight w:val="none"/>
                <w:u w:val="none"/>
              </w:rPr>
            </w:pPr>
          </w:p>
        </w:tc>
      </w:tr>
      <w:tr w14:paraId="478C2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nil"/>
              <w:left w:val="single" w:color="000000" w:sz="4" w:space="0"/>
              <w:bottom w:val="single" w:color="000000" w:sz="4" w:space="0"/>
              <w:right w:val="single" w:color="000000" w:sz="4" w:space="0"/>
            </w:tcBorders>
            <w:shd w:val="clear" w:color="auto" w:fill="auto"/>
            <w:vAlign w:val="center"/>
          </w:tcPr>
          <w:p w14:paraId="11EAD387">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nil"/>
              <w:left w:val="single" w:color="000000" w:sz="4" w:space="0"/>
              <w:bottom w:val="single" w:color="000000" w:sz="4" w:space="0"/>
              <w:right w:val="single" w:color="000000" w:sz="4" w:space="0"/>
            </w:tcBorders>
            <w:shd w:val="clear" w:color="auto" w:fill="auto"/>
            <w:vAlign w:val="center"/>
          </w:tcPr>
          <w:p w14:paraId="395058EE">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3044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r>
              <w:rPr>
                <w:rStyle w:val="86"/>
                <w:rFonts w:hint="eastAsia" w:ascii="宋体" w:hAnsi="宋体" w:eastAsia="宋体" w:cs="宋体"/>
                <w:b w:val="0"/>
                <w:bCs w:val="0"/>
                <w:color w:val="auto"/>
                <w:sz w:val="21"/>
                <w:szCs w:val="21"/>
                <w:highlight w:val="none"/>
                <w:lang w:val="en-US" w:eastAsia="zh-CN" w:bidi="ar"/>
              </w:rPr>
              <w:t>㎡范围内不得超过</w:t>
            </w:r>
            <w:r>
              <w:rPr>
                <w:rFonts w:hint="eastAsia" w:ascii="宋体" w:hAnsi="宋体" w:eastAsia="宋体" w:cs="宋体"/>
                <w:b w:val="0"/>
                <w:bCs w:val="0"/>
                <w:i w:val="0"/>
                <w:iCs w:val="0"/>
                <w:color w:val="auto"/>
                <w:kern w:val="0"/>
                <w:sz w:val="21"/>
                <w:szCs w:val="21"/>
                <w:highlight w:val="none"/>
                <w:u w:val="none"/>
                <w:lang w:val="en-US" w:eastAsia="zh-CN" w:bidi="ar"/>
              </w:rPr>
              <w:t>3</w:t>
            </w:r>
            <w:r>
              <w:rPr>
                <w:rStyle w:val="86"/>
                <w:rFonts w:hint="eastAsia" w:ascii="宋体" w:hAnsi="宋体" w:eastAsia="宋体" w:cs="宋体"/>
                <w:b w:val="0"/>
                <w:bCs w:val="0"/>
                <w:color w:val="auto"/>
                <w:sz w:val="21"/>
                <w:szCs w:val="21"/>
                <w:highlight w:val="none"/>
                <w:lang w:val="en-US" w:eastAsia="zh-CN" w:bidi="ar"/>
              </w:rPr>
              <w:t>处缺株断档，超出每宗扣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8C1FE">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BCC0">
            <w:pPr>
              <w:jc w:val="center"/>
              <w:rPr>
                <w:rFonts w:hint="eastAsia" w:ascii="宋体" w:hAnsi="宋体" w:eastAsia="宋体" w:cs="宋体"/>
                <w:b w:val="0"/>
                <w:bCs w:val="0"/>
                <w:i w:val="0"/>
                <w:iCs w:val="0"/>
                <w:color w:val="auto"/>
                <w:sz w:val="21"/>
                <w:szCs w:val="21"/>
                <w:highlight w:val="none"/>
                <w:u w:val="none"/>
              </w:rPr>
            </w:pPr>
          </w:p>
        </w:tc>
      </w:tr>
      <w:tr w14:paraId="693F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2D11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E29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防风抗涝</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61C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做好防风抗涝措施，措施不规范的每宗扣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3047">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640D">
            <w:pPr>
              <w:jc w:val="center"/>
              <w:rPr>
                <w:rFonts w:hint="eastAsia" w:ascii="宋体" w:hAnsi="宋体" w:eastAsia="宋体" w:cs="宋体"/>
                <w:b w:val="0"/>
                <w:bCs w:val="0"/>
                <w:i w:val="0"/>
                <w:iCs w:val="0"/>
                <w:color w:val="auto"/>
                <w:sz w:val="21"/>
                <w:szCs w:val="21"/>
                <w:highlight w:val="none"/>
                <w:u w:val="none"/>
              </w:rPr>
            </w:pPr>
          </w:p>
        </w:tc>
      </w:tr>
      <w:tr w14:paraId="48864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780" w:type="dxa"/>
            <w:vMerge w:val="restart"/>
            <w:tcBorders>
              <w:top w:val="single" w:color="000000" w:sz="4" w:space="0"/>
              <w:left w:val="single" w:color="000000" w:sz="4" w:space="0"/>
              <w:bottom w:val="nil"/>
              <w:right w:val="single" w:color="000000" w:sz="4" w:space="0"/>
            </w:tcBorders>
            <w:shd w:val="clear" w:color="auto" w:fill="auto"/>
            <w:vAlign w:val="center"/>
          </w:tcPr>
          <w:p w14:paraId="2614F9D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w:t>
            </w:r>
          </w:p>
        </w:tc>
        <w:tc>
          <w:tcPr>
            <w:tcW w:w="1470" w:type="dxa"/>
            <w:vMerge w:val="restart"/>
            <w:tcBorders>
              <w:top w:val="single" w:color="000000" w:sz="4" w:space="0"/>
              <w:left w:val="single" w:color="000000" w:sz="4" w:space="0"/>
              <w:bottom w:val="nil"/>
              <w:right w:val="single" w:color="000000" w:sz="4" w:space="0"/>
            </w:tcBorders>
            <w:shd w:val="clear" w:color="auto" w:fill="auto"/>
            <w:vAlign w:val="center"/>
          </w:tcPr>
          <w:p w14:paraId="373D168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绿地卫生</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0A77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绿地清洁不及时、不按要求清理到指定地点每宗扣</w:t>
            </w:r>
            <w:r>
              <w:rPr>
                <w:rFonts w:hint="eastAsia" w:ascii="宋体" w:hAnsi="宋体" w:eastAsia="宋体" w:cs="宋体"/>
                <w:b w:val="0"/>
                <w:bCs w:val="0"/>
                <w:i w:val="0"/>
                <w:iCs w:val="0"/>
                <w:color w:val="auto"/>
                <w:kern w:val="0"/>
                <w:sz w:val="21"/>
                <w:szCs w:val="21"/>
                <w:highlight w:val="none"/>
                <w:u w:val="none"/>
                <w:lang w:val="en-US" w:eastAsia="zh-CN" w:bidi="ar"/>
              </w:rPr>
              <w:t>0.2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7B85">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67B7">
            <w:pPr>
              <w:jc w:val="center"/>
              <w:rPr>
                <w:rFonts w:hint="eastAsia" w:ascii="宋体" w:hAnsi="宋体" w:eastAsia="宋体" w:cs="宋体"/>
                <w:b w:val="0"/>
                <w:bCs w:val="0"/>
                <w:i w:val="0"/>
                <w:iCs w:val="0"/>
                <w:color w:val="auto"/>
                <w:sz w:val="21"/>
                <w:szCs w:val="21"/>
                <w:highlight w:val="none"/>
                <w:u w:val="none"/>
              </w:rPr>
            </w:pPr>
          </w:p>
        </w:tc>
      </w:tr>
      <w:tr w14:paraId="496A6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10A0E085">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35A0B612">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EE78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绿化垃圾或货物拖运不规范，每次扣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86051">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60C5">
            <w:pPr>
              <w:jc w:val="center"/>
              <w:rPr>
                <w:rFonts w:hint="eastAsia" w:ascii="宋体" w:hAnsi="宋体" w:eastAsia="宋体" w:cs="宋体"/>
                <w:b w:val="0"/>
                <w:bCs w:val="0"/>
                <w:i w:val="0"/>
                <w:iCs w:val="0"/>
                <w:color w:val="auto"/>
                <w:sz w:val="21"/>
                <w:szCs w:val="21"/>
                <w:highlight w:val="none"/>
                <w:u w:val="none"/>
              </w:rPr>
            </w:pPr>
          </w:p>
        </w:tc>
      </w:tr>
      <w:tr w14:paraId="2E828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7C88DBB3">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7EB015D3">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7126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树体有钉挂物、垃圾等，每次扣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3733">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FBB5">
            <w:pPr>
              <w:jc w:val="center"/>
              <w:rPr>
                <w:rFonts w:hint="eastAsia" w:ascii="宋体" w:hAnsi="宋体" w:eastAsia="宋体" w:cs="宋体"/>
                <w:b w:val="0"/>
                <w:bCs w:val="0"/>
                <w:i w:val="0"/>
                <w:iCs w:val="0"/>
                <w:color w:val="auto"/>
                <w:sz w:val="21"/>
                <w:szCs w:val="21"/>
                <w:highlight w:val="none"/>
                <w:u w:val="none"/>
              </w:rPr>
            </w:pPr>
          </w:p>
        </w:tc>
      </w:tr>
      <w:tr w14:paraId="4D1B0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80" w:type="dxa"/>
            <w:vMerge w:val="continue"/>
            <w:tcBorders>
              <w:top w:val="single" w:color="000000" w:sz="4" w:space="0"/>
              <w:left w:val="single" w:color="000000" w:sz="4" w:space="0"/>
              <w:bottom w:val="nil"/>
              <w:right w:val="single" w:color="000000" w:sz="4" w:space="0"/>
            </w:tcBorders>
            <w:shd w:val="clear" w:color="auto" w:fill="auto"/>
            <w:vAlign w:val="center"/>
          </w:tcPr>
          <w:p w14:paraId="5435672E">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nil"/>
              <w:right w:val="single" w:color="000000" w:sz="4" w:space="0"/>
            </w:tcBorders>
            <w:shd w:val="clear" w:color="auto" w:fill="auto"/>
            <w:vAlign w:val="center"/>
          </w:tcPr>
          <w:p w14:paraId="0DFDD2AB">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0524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绿化内杂草、杂藤、杂树、垃圾多，未及时清理，每次扣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0DCA">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7B927">
            <w:pPr>
              <w:jc w:val="center"/>
              <w:rPr>
                <w:rFonts w:hint="eastAsia" w:ascii="宋体" w:hAnsi="宋体" w:eastAsia="宋体" w:cs="宋体"/>
                <w:b w:val="0"/>
                <w:bCs w:val="0"/>
                <w:i w:val="0"/>
                <w:iCs w:val="0"/>
                <w:color w:val="auto"/>
                <w:sz w:val="21"/>
                <w:szCs w:val="21"/>
                <w:highlight w:val="none"/>
                <w:u w:val="none"/>
              </w:rPr>
            </w:pPr>
          </w:p>
        </w:tc>
      </w:tr>
      <w:tr w14:paraId="3445C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02292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57CD1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其他</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806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不按要求提供器材</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86"/>
                <w:rFonts w:hint="eastAsia" w:ascii="宋体" w:hAnsi="宋体" w:eastAsia="宋体" w:cs="宋体"/>
                <w:b w:val="0"/>
                <w:bCs w:val="0"/>
                <w:color w:val="auto"/>
                <w:sz w:val="21"/>
                <w:szCs w:val="21"/>
                <w:highlight w:val="none"/>
                <w:lang w:val="en-US" w:eastAsia="zh-CN" w:bidi="ar"/>
              </w:rPr>
              <w:t>物料的每项扣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1F911">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B9B6">
            <w:pPr>
              <w:jc w:val="center"/>
              <w:rPr>
                <w:rFonts w:hint="eastAsia" w:ascii="宋体" w:hAnsi="宋体" w:eastAsia="宋体" w:cs="宋体"/>
                <w:b w:val="0"/>
                <w:bCs w:val="0"/>
                <w:i w:val="0"/>
                <w:iCs w:val="0"/>
                <w:color w:val="auto"/>
                <w:sz w:val="21"/>
                <w:szCs w:val="21"/>
                <w:highlight w:val="none"/>
                <w:u w:val="none"/>
              </w:rPr>
            </w:pPr>
          </w:p>
        </w:tc>
      </w:tr>
      <w:tr w14:paraId="63309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D7B30">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1B304">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31C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绿化工具摆放不整齐的每项扣</w:t>
            </w:r>
            <w:r>
              <w:rPr>
                <w:rFonts w:hint="eastAsia" w:ascii="宋体" w:hAnsi="宋体" w:eastAsia="宋体" w:cs="宋体"/>
                <w:b w:val="0"/>
                <w:bCs w:val="0"/>
                <w:i w:val="0"/>
                <w:iCs w:val="0"/>
                <w:color w:val="auto"/>
                <w:kern w:val="0"/>
                <w:sz w:val="21"/>
                <w:szCs w:val="21"/>
                <w:highlight w:val="none"/>
                <w:u w:val="none"/>
                <w:lang w:val="en-US" w:eastAsia="zh-CN" w:bidi="ar"/>
              </w:rPr>
              <w:t>0.2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50B0">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54D8">
            <w:pPr>
              <w:jc w:val="center"/>
              <w:rPr>
                <w:rFonts w:hint="eastAsia" w:ascii="宋体" w:hAnsi="宋体" w:eastAsia="宋体" w:cs="宋体"/>
                <w:b w:val="0"/>
                <w:bCs w:val="0"/>
                <w:i w:val="0"/>
                <w:iCs w:val="0"/>
                <w:color w:val="auto"/>
                <w:sz w:val="21"/>
                <w:szCs w:val="21"/>
                <w:highlight w:val="none"/>
                <w:u w:val="none"/>
              </w:rPr>
            </w:pPr>
          </w:p>
        </w:tc>
      </w:tr>
      <w:tr w14:paraId="33ED0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8F36D">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9573E">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303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养护作业中不注重节能降耗和环境保护的每次扣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7B21">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D353">
            <w:pPr>
              <w:jc w:val="center"/>
              <w:rPr>
                <w:rFonts w:hint="eastAsia" w:ascii="宋体" w:hAnsi="宋体" w:eastAsia="宋体" w:cs="宋体"/>
                <w:b w:val="0"/>
                <w:bCs w:val="0"/>
                <w:i w:val="0"/>
                <w:iCs w:val="0"/>
                <w:color w:val="auto"/>
                <w:sz w:val="21"/>
                <w:szCs w:val="21"/>
                <w:highlight w:val="none"/>
                <w:u w:val="none"/>
              </w:rPr>
            </w:pPr>
          </w:p>
        </w:tc>
      </w:tr>
      <w:tr w14:paraId="644AB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0ED6C">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9D756">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C3B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工作不当造成公共设施损坏的扣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5</w:t>
            </w:r>
            <w:r>
              <w:rPr>
                <w:rStyle w:val="86"/>
                <w:rFonts w:hint="eastAsia" w:ascii="宋体" w:hAnsi="宋体" w:eastAsia="宋体" w:cs="宋体"/>
                <w:b w:val="0"/>
                <w:bCs w:val="0"/>
                <w:color w:val="auto"/>
                <w:sz w:val="21"/>
                <w:szCs w:val="21"/>
                <w:highlight w:val="none"/>
                <w:lang w:val="en-US" w:eastAsia="zh-CN" w:bidi="ar"/>
              </w:rPr>
              <w:t>分，并负责赔偿或修复</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C56A">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16ADD">
            <w:pPr>
              <w:jc w:val="center"/>
              <w:rPr>
                <w:rFonts w:hint="eastAsia" w:ascii="宋体" w:hAnsi="宋体" w:eastAsia="宋体" w:cs="宋体"/>
                <w:b w:val="0"/>
                <w:bCs w:val="0"/>
                <w:i w:val="0"/>
                <w:iCs w:val="0"/>
                <w:color w:val="auto"/>
                <w:sz w:val="21"/>
                <w:szCs w:val="21"/>
                <w:highlight w:val="none"/>
                <w:u w:val="none"/>
              </w:rPr>
            </w:pPr>
          </w:p>
        </w:tc>
      </w:tr>
      <w:tr w14:paraId="3DE4B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E9A82">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14E0A">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303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不按要求设置工作提示牌的扣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，造成他人伤害的扣</w:t>
            </w:r>
            <w:r>
              <w:rPr>
                <w:rFonts w:hint="eastAsia" w:ascii="宋体" w:hAnsi="宋体" w:eastAsia="宋体" w:cs="宋体"/>
                <w:b w:val="0"/>
                <w:bCs w:val="0"/>
                <w:i w:val="0"/>
                <w:iCs w:val="0"/>
                <w:color w:val="auto"/>
                <w:kern w:val="0"/>
                <w:sz w:val="21"/>
                <w:szCs w:val="21"/>
                <w:highlight w:val="none"/>
                <w:u w:val="none"/>
                <w:lang w:val="en-US" w:eastAsia="zh-CN" w:bidi="ar"/>
              </w:rPr>
              <w:t>20</w:t>
            </w:r>
            <w:r>
              <w:rPr>
                <w:rStyle w:val="86"/>
                <w:rFonts w:hint="eastAsia" w:ascii="宋体" w:hAnsi="宋体" w:eastAsia="宋体" w:cs="宋体"/>
                <w:b w:val="0"/>
                <w:bCs w:val="0"/>
                <w:color w:val="auto"/>
                <w:sz w:val="21"/>
                <w:szCs w:val="21"/>
                <w:highlight w:val="none"/>
                <w:lang w:val="en-US" w:eastAsia="zh-CN" w:bidi="ar"/>
              </w:rPr>
              <w:t>分，并负责承担相应责任。</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DFAD">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0A0D">
            <w:pPr>
              <w:jc w:val="center"/>
              <w:rPr>
                <w:rFonts w:hint="eastAsia" w:ascii="宋体" w:hAnsi="宋体" w:eastAsia="宋体" w:cs="宋体"/>
                <w:b w:val="0"/>
                <w:bCs w:val="0"/>
                <w:i w:val="0"/>
                <w:iCs w:val="0"/>
                <w:color w:val="auto"/>
                <w:sz w:val="21"/>
                <w:szCs w:val="21"/>
                <w:highlight w:val="none"/>
                <w:u w:val="none"/>
              </w:rPr>
            </w:pPr>
          </w:p>
        </w:tc>
      </w:tr>
      <w:tr w14:paraId="7A89F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32A38">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37F71">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0E9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同一问题连续两个月出现扣</w:t>
            </w:r>
            <w:r>
              <w:rPr>
                <w:rFonts w:hint="eastAsia" w:ascii="宋体" w:hAnsi="宋体" w:eastAsia="宋体" w:cs="宋体"/>
                <w:b w:val="0"/>
                <w:bCs w:val="0"/>
                <w:i w:val="0"/>
                <w:iCs w:val="0"/>
                <w:color w:val="auto"/>
                <w:kern w:val="0"/>
                <w:sz w:val="21"/>
                <w:szCs w:val="21"/>
                <w:highlight w:val="none"/>
                <w:u w:val="none"/>
                <w:lang w:val="en-US" w:eastAsia="zh-CN" w:bidi="ar"/>
              </w:rPr>
              <w:t>5</w:t>
            </w:r>
            <w:r>
              <w:rPr>
                <w:rStyle w:val="86"/>
                <w:rFonts w:hint="eastAsia" w:ascii="宋体" w:hAnsi="宋体" w:eastAsia="宋体" w:cs="宋体"/>
                <w:b w:val="0"/>
                <w:bCs w:val="0"/>
                <w:color w:val="auto"/>
                <w:sz w:val="21"/>
                <w:szCs w:val="21"/>
                <w:highlight w:val="none"/>
                <w:lang w:val="en-US" w:eastAsia="zh-CN" w:bidi="ar"/>
              </w:rPr>
              <w:t>分，连续三个月出现扣</w:t>
            </w:r>
            <w:r>
              <w:rPr>
                <w:rFonts w:hint="eastAsia" w:ascii="宋体" w:hAnsi="宋体" w:eastAsia="宋体" w:cs="宋体"/>
                <w:b w:val="0"/>
                <w:bCs w:val="0"/>
                <w:i w:val="0"/>
                <w:iCs w:val="0"/>
                <w:color w:val="auto"/>
                <w:kern w:val="0"/>
                <w:sz w:val="21"/>
                <w:szCs w:val="21"/>
                <w:highlight w:val="none"/>
                <w:u w:val="none"/>
                <w:lang w:val="en-US" w:eastAsia="zh-CN" w:bidi="ar"/>
              </w:rPr>
              <w:t>10</w:t>
            </w:r>
            <w:r>
              <w:rPr>
                <w:rStyle w:val="86"/>
                <w:rFonts w:hint="eastAsia" w:ascii="宋体" w:hAnsi="宋体" w:eastAsia="宋体" w:cs="宋体"/>
                <w:b w:val="0"/>
                <w:bCs w:val="0"/>
                <w:color w:val="auto"/>
                <w:sz w:val="21"/>
                <w:szCs w:val="21"/>
                <w:highlight w:val="none"/>
                <w:lang w:val="en-US" w:eastAsia="zh-CN" w:bidi="ar"/>
              </w:rPr>
              <w:t>分，依次类推。</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85B9">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7FCF">
            <w:pPr>
              <w:jc w:val="center"/>
              <w:rPr>
                <w:rFonts w:hint="eastAsia" w:ascii="宋体" w:hAnsi="宋体" w:eastAsia="宋体" w:cs="宋体"/>
                <w:b w:val="0"/>
                <w:bCs w:val="0"/>
                <w:i w:val="0"/>
                <w:iCs w:val="0"/>
                <w:color w:val="auto"/>
                <w:sz w:val="21"/>
                <w:szCs w:val="21"/>
                <w:highlight w:val="none"/>
                <w:u w:val="none"/>
              </w:rPr>
            </w:pPr>
          </w:p>
        </w:tc>
      </w:tr>
      <w:tr w14:paraId="7602E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C74F7">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43C13">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53E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养护区域内存在严重安全隐患未上报，每发现一次扣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7882B">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60C6">
            <w:pPr>
              <w:jc w:val="center"/>
              <w:rPr>
                <w:rFonts w:hint="eastAsia" w:ascii="宋体" w:hAnsi="宋体" w:eastAsia="宋体" w:cs="宋体"/>
                <w:b w:val="0"/>
                <w:bCs w:val="0"/>
                <w:i w:val="0"/>
                <w:iCs w:val="0"/>
                <w:color w:val="auto"/>
                <w:sz w:val="21"/>
                <w:szCs w:val="21"/>
                <w:highlight w:val="none"/>
                <w:u w:val="none"/>
              </w:rPr>
            </w:pPr>
          </w:p>
        </w:tc>
      </w:tr>
      <w:tr w14:paraId="0E616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AB487">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F336F">
            <w:pPr>
              <w:jc w:val="center"/>
              <w:rPr>
                <w:rFonts w:hint="eastAsia" w:ascii="宋体" w:hAnsi="宋体" w:eastAsia="宋体" w:cs="宋体"/>
                <w:b w:val="0"/>
                <w:bCs w:val="0"/>
                <w:i w:val="0"/>
                <w:iCs w:val="0"/>
                <w:color w:val="auto"/>
                <w:sz w:val="21"/>
                <w:szCs w:val="21"/>
                <w:highlight w:val="none"/>
                <w:u w:val="none"/>
              </w:rPr>
            </w:pPr>
          </w:p>
        </w:tc>
        <w:tc>
          <w:tcPr>
            <w:tcW w:w="0" w:type="auto"/>
            <w:tcBorders>
              <w:top w:val="nil"/>
              <w:left w:val="nil"/>
              <w:bottom w:val="nil"/>
              <w:right w:val="nil"/>
            </w:tcBorders>
            <w:shd w:val="clear" w:color="auto" w:fill="auto"/>
            <w:noWrap/>
            <w:vAlign w:val="center"/>
          </w:tcPr>
          <w:p w14:paraId="726A47D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危险作业未提前申报，每次扣0.5分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F855">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E421">
            <w:pPr>
              <w:jc w:val="center"/>
              <w:rPr>
                <w:rFonts w:hint="eastAsia" w:ascii="宋体" w:hAnsi="宋体" w:eastAsia="宋体" w:cs="宋体"/>
                <w:b w:val="0"/>
                <w:bCs w:val="0"/>
                <w:i w:val="0"/>
                <w:iCs w:val="0"/>
                <w:color w:val="auto"/>
                <w:sz w:val="21"/>
                <w:szCs w:val="21"/>
                <w:highlight w:val="none"/>
                <w:u w:val="none"/>
              </w:rPr>
            </w:pPr>
          </w:p>
        </w:tc>
      </w:tr>
      <w:tr w14:paraId="5CEFD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7AE0B">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78E8D">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96AE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危化品使用管理不规范，每次扣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878B5">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389FC">
            <w:pPr>
              <w:jc w:val="center"/>
              <w:rPr>
                <w:rFonts w:hint="eastAsia" w:ascii="宋体" w:hAnsi="宋体" w:eastAsia="宋体" w:cs="宋体"/>
                <w:b w:val="0"/>
                <w:bCs w:val="0"/>
                <w:i w:val="0"/>
                <w:iCs w:val="0"/>
                <w:color w:val="auto"/>
                <w:sz w:val="21"/>
                <w:szCs w:val="21"/>
                <w:highlight w:val="none"/>
                <w:u w:val="none"/>
              </w:rPr>
            </w:pPr>
          </w:p>
        </w:tc>
      </w:tr>
      <w:tr w14:paraId="37CF1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8FC1E">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9FA7F">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024D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有车辆乱停、晾晒、露宿等不文明行为，每次扣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C2A3B">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9754">
            <w:pPr>
              <w:jc w:val="center"/>
              <w:rPr>
                <w:rFonts w:hint="eastAsia" w:ascii="宋体" w:hAnsi="宋体" w:eastAsia="宋体" w:cs="宋体"/>
                <w:b w:val="0"/>
                <w:bCs w:val="0"/>
                <w:i w:val="0"/>
                <w:iCs w:val="0"/>
                <w:color w:val="auto"/>
                <w:sz w:val="21"/>
                <w:szCs w:val="21"/>
                <w:highlight w:val="none"/>
                <w:u w:val="none"/>
              </w:rPr>
            </w:pPr>
          </w:p>
        </w:tc>
      </w:tr>
      <w:tr w14:paraId="415FF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37FFE">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E02A3">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3DE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违规挖掘占用未及时上报，每次扣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E003">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1DEF">
            <w:pPr>
              <w:jc w:val="center"/>
              <w:rPr>
                <w:rFonts w:hint="eastAsia" w:ascii="宋体" w:hAnsi="宋体" w:eastAsia="宋体" w:cs="宋体"/>
                <w:b w:val="0"/>
                <w:bCs w:val="0"/>
                <w:i w:val="0"/>
                <w:iCs w:val="0"/>
                <w:color w:val="auto"/>
                <w:sz w:val="21"/>
                <w:szCs w:val="21"/>
                <w:highlight w:val="none"/>
                <w:u w:val="none"/>
              </w:rPr>
            </w:pPr>
          </w:p>
        </w:tc>
      </w:tr>
      <w:tr w14:paraId="1B075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61145">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8F27A">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5304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植物支撑、裹布损坏，每次扣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分，情节严重扣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1537">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BA7D0">
            <w:pPr>
              <w:jc w:val="center"/>
              <w:rPr>
                <w:rFonts w:hint="eastAsia" w:ascii="宋体" w:hAnsi="宋体" w:eastAsia="宋体" w:cs="宋体"/>
                <w:b w:val="0"/>
                <w:bCs w:val="0"/>
                <w:i w:val="0"/>
                <w:iCs w:val="0"/>
                <w:color w:val="auto"/>
                <w:sz w:val="21"/>
                <w:szCs w:val="21"/>
                <w:highlight w:val="none"/>
                <w:u w:val="none"/>
              </w:rPr>
            </w:pPr>
          </w:p>
        </w:tc>
      </w:tr>
      <w:tr w14:paraId="5D6DA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A9123">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B2129">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35BB1">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草花植物养护劳务不到位造成死亡，每次扣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分，情节严重扣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814BC">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9599">
            <w:pPr>
              <w:jc w:val="center"/>
              <w:rPr>
                <w:rFonts w:hint="eastAsia" w:ascii="宋体" w:hAnsi="宋体" w:eastAsia="宋体" w:cs="宋体"/>
                <w:b w:val="0"/>
                <w:bCs w:val="0"/>
                <w:i w:val="0"/>
                <w:iCs w:val="0"/>
                <w:color w:val="auto"/>
                <w:sz w:val="21"/>
                <w:szCs w:val="21"/>
                <w:highlight w:val="none"/>
                <w:u w:val="none"/>
              </w:rPr>
            </w:pPr>
          </w:p>
        </w:tc>
      </w:tr>
      <w:tr w14:paraId="3029F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4C852">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50F7C">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9AD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有大面积黄土裸露，每次扣</w:t>
            </w:r>
            <w:r>
              <w:rPr>
                <w:rFonts w:hint="eastAsia" w:ascii="宋体" w:hAnsi="宋体" w:eastAsia="宋体" w:cs="宋体"/>
                <w:b w:val="0"/>
                <w:bCs w:val="0"/>
                <w:i w:val="0"/>
                <w:iCs w:val="0"/>
                <w:color w:val="auto"/>
                <w:kern w:val="0"/>
                <w:sz w:val="21"/>
                <w:szCs w:val="21"/>
                <w:highlight w:val="none"/>
                <w:u w:val="none"/>
                <w:lang w:val="en-US" w:eastAsia="zh-CN" w:bidi="ar"/>
              </w:rPr>
              <w:t>0.3</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分，情节严重扣</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BEAF">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E87F">
            <w:pPr>
              <w:jc w:val="center"/>
              <w:rPr>
                <w:rFonts w:hint="eastAsia" w:ascii="宋体" w:hAnsi="宋体" w:eastAsia="宋体" w:cs="宋体"/>
                <w:b w:val="0"/>
                <w:bCs w:val="0"/>
                <w:i w:val="0"/>
                <w:iCs w:val="0"/>
                <w:color w:val="auto"/>
                <w:sz w:val="21"/>
                <w:szCs w:val="21"/>
                <w:highlight w:val="none"/>
                <w:u w:val="none"/>
              </w:rPr>
            </w:pPr>
          </w:p>
        </w:tc>
      </w:tr>
      <w:tr w14:paraId="2E32E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5E7A5">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231B8">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EDF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因养护劳务问题导致的苗木死亡，每次扣</w:t>
            </w:r>
            <w:r>
              <w:rPr>
                <w:rFonts w:hint="eastAsia" w:ascii="宋体" w:hAnsi="宋体" w:eastAsia="宋体" w:cs="宋体"/>
                <w:b w:val="0"/>
                <w:bCs w:val="0"/>
                <w:i w:val="0"/>
                <w:iCs w:val="0"/>
                <w:color w:val="auto"/>
                <w:kern w:val="0"/>
                <w:sz w:val="21"/>
                <w:szCs w:val="21"/>
                <w:highlight w:val="none"/>
                <w:u w:val="none"/>
                <w:lang w:val="en-US" w:eastAsia="zh-CN" w:bidi="ar"/>
              </w:rPr>
              <w:t>0.5</w:t>
            </w:r>
            <w:r>
              <w:rPr>
                <w:rStyle w:val="86"/>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w:t>
            </w:r>
            <w:r>
              <w:rPr>
                <w:rStyle w:val="86"/>
                <w:rFonts w:hint="eastAsia" w:ascii="宋体" w:hAnsi="宋体" w:eastAsia="宋体" w:cs="宋体"/>
                <w:b w:val="0"/>
                <w:bCs w:val="0"/>
                <w:color w:val="auto"/>
                <w:sz w:val="21"/>
                <w:szCs w:val="21"/>
                <w:highlight w:val="none"/>
                <w:lang w:val="en-US" w:eastAsia="zh-CN" w:bidi="ar"/>
              </w:rPr>
              <w:t>分，并自行更换同规格死亡苗木</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33A2">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746C">
            <w:pPr>
              <w:jc w:val="center"/>
              <w:rPr>
                <w:rFonts w:hint="eastAsia" w:ascii="宋体" w:hAnsi="宋体" w:eastAsia="宋体" w:cs="宋体"/>
                <w:b w:val="0"/>
                <w:bCs w:val="0"/>
                <w:i w:val="0"/>
                <w:iCs w:val="0"/>
                <w:color w:val="auto"/>
                <w:sz w:val="21"/>
                <w:szCs w:val="21"/>
                <w:highlight w:val="none"/>
                <w:u w:val="none"/>
              </w:rPr>
            </w:pPr>
          </w:p>
        </w:tc>
      </w:tr>
      <w:tr w14:paraId="6CE52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C9D66">
            <w:pPr>
              <w:jc w:val="center"/>
              <w:rPr>
                <w:rFonts w:hint="eastAsia" w:ascii="宋体" w:hAnsi="宋体" w:eastAsia="宋体" w:cs="宋体"/>
                <w:b w:val="0"/>
                <w:bCs w:val="0"/>
                <w:i w:val="0"/>
                <w:iCs w:val="0"/>
                <w:color w:val="auto"/>
                <w:sz w:val="21"/>
                <w:szCs w:val="21"/>
                <w:highlight w:val="none"/>
                <w:u w:val="none"/>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F6690">
            <w:pPr>
              <w:jc w:val="center"/>
              <w:rPr>
                <w:rFonts w:hint="eastAsia" w:ascii="宋体" w:hAnsi="宋体" w:eastAsia="宋体" w:cs="宋体"/>
                <w:b w:val="0"/>
                <w:bCs w:val="0"/>
                <w:i w:val="0"/>
                <w:iCs w:val="0"/>
                <w:color w:val="auto"/>
                <w:sz w:val="21"/>
                <w:szCs w:val="21"/>
                <w:highlight w:val="none"/>
                <w:u w:val="none"/>
              </w:rPr>
            </w:pP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64EA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严重失管（未修剪、黄土裸露、病虫害等），每次扣</w:t>
            </w:r>
            <w:r>
              <w:rPr>
                <w:rFonts w:hint="eastAsia" w:ascii="宋体" w:hAnsi="宋体" w:eastAsia="宋体" w:cs="宋体"/>
                <w:b w:val="0"/>
                <w:bCs w:val="0"/>
                <w:i w:val="0"/>
                <w:iCs w:val="0"/>
                <w:color w:val="auto"/>
                <w:kern w:val="0"/>
                <w:sz w:val="21"/>
                <w:szCs w:val="21"/>
                <w:highlight w:val="none"/>
                <w:u w:val="none"/>
                <w:lang w:val="en-US" w:eastAsia="zh-CN" w:bidi="ar"/>
              </w:rPr>
              <w:t>2</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9118">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FE83">
            <w:pPr>
              <w:jc w:val="center"/>
              <w:rPr>
                <w:rFonts w:hint="eastAsia" w:ascii="宋体" w:hAnsi="宋体" w:eastAsia="宋体" w:cs="宋体"/>
                <w:b w:val="0"/>
                <w:bCs w:val="0"/>
                <w:i w:val="0"/>
                <w:iCs w:val="0"/>
                <w:color w:val="auto"/>
                <w:sz w:val="21"/>
                <w:szCs w:val="21"/>
                <w:highlight w:val="none"/>
                <w:u w:val="none"/>
              </w:rPr>
            </w:pPr>
          </w:p>
        </w:tc>
      </w:tr>
      <w:tr w14:paraId="67C3A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582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F5A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“12345”</w:t>
            </w:r>
            <w:r>
              <w:rPr>
                <w:rStyle w:val="86"/>
                <w:rFonts w:hint="eastAsia" w:ascii="宋体" w:hAnsi="宋体" w:eastAsia="宋体" w:cs="宋体"/>
                <w:b w:val="0"/>
                <w:bCs w:val="0"/>
                <w:color w:val="auto"/>
                <w:sz w:val="21"/>
                <w:szCs w:val="21"/>
                <w:highlight w:val="none"/>
                <w:lang w:val="en-US" w:eastAsia="zh-CN" w:bidi="ar"/>
              </w:rPr>
              <w:t>问题的处理</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243F">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对</w:t>
            </w:r>
            <w:r>
              <w:rPr>
                <w:rFonts w:hint="eastAsia" w:ascii="宋体" w:hAnsi="宋体" w:eastAsia="宋体" w:cs="宋体"/>
                <w:b w:val="0"/>
                <w:bCs w:val="0"/>
                <w:i w:val="0"/>
                <w:iCs w:val="0"/>
                <w:color w:val="auto"/>
                <w:kern w:val="0"/>
                <w:sz w:val="21"/>
                <w:szCs w:val="21"/>
                <w:highlight w:val="none"/>
                <w:u w:val="none"/>
                <w:lang w:val="en-US" w:eastAsia="zh-CN" w:bidi="ar"/>
              </w:rPr>
              <w:t>“12345”</w:t>
            </w:r>
            <w:r>
              <w:rPr>
                <w:rStyle w:val="86"/>
                <w:rFonts w:hint="eastAsia" w:ascii="宋体" w:hAnsi="宋体" w:eastAsia="宋体" w:cs="宋体"/>
                <w:b w:val="0"/>
                <w:bCs w:val="0"/>
                <w:color w:val="auto"/>
                <w:sz w:val="21"/>
                <w:szCs w:val="21"/>
                <w:highlight w:val="none"/>
                <w:lang w:val="en-US" w:eastAsia="zh-CN" w:bidi="ar"/>
              </w:rPr>
              <w:t>问题的处理不参与打分直接与经济挂钩，①问题处理不及时或消极怠慢的一次扣</w:t>
            </w:r>
            <w:r>
              <w:rPr>
                <w:rFonts w:hint="eastAsia" w:ascii="宋体" w:hAnsi="宋体" w:eastAsia="宋体" w:cs="宋体"/>
                <w:b w:val="0"/>
                <w:bCs w:val="0"/>
                <w:i w:val="0"/>
                <w:iCs w:val="0"/>
                <w:color w:val="auto"/>
                <w:kern w:val="0"/>
                <w:sz w:val="21"/>
                <w:szCs w:val="21"/>
                <w:highlight w:val="none"/>
                <w:u w:val="none"/>
                <w:lang w:val="en-US" w:eastAsia="zh-CN" w:bidi="ar"/>
              </w:rPr>
              <w:t>1000</w:t>
            </w:r>
            <w:r>
              <w:rPr>
                <w:rStyle w:val="86"/>
                <w:rFonts w:hint="eastAsia" w:ascii="宋体" w:hAnsi="宋体" w:eastAsia="宋体" w:cs="宋体"/>
                <w:b w:val="0"/>
                <w:bCs w:val="0"/>
                <w:color w:val="auto"/>
                <w:sz w:val="21"/>
                <w:szCs w:val="21"/>
                <w:highlight w:val="none"/>
                <w:lang w:val="en-US" w:eastAsia="zh-CN" w:bidi="ar"/>
              </w:rPr>
              <w:t>元②问题处理完要及时反馈处理答复意见③</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86"/>
                <w:rFonts w:hint="eastAsia" w:ascii="宋体" w:hAnsi="宋体" w:eastAsia="宋体" w:cs="宋体"/>
                <w:b w:val="0"/>
                <w:bCs w:val="0"/>
                <w:color w:val="auto"/>
                <w:sz w:val="21"/>
                <w:szCs w:val="21"/>
                <w:highlight w:val="none"/>
                <w:lang w:val="en-US" w:eastAsia="zh-CN" w:bidi="ar"/>
              </w:rPr>
              <w:t>个别特殊问题</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86"/>
                <w:rFonts w:hint="eastAsia" w:ascii="宋体" w:hAnsi="宋体" w:eastAsia="宋体" w:cs="宋体"/>
                <w:b w:val="0"/>
                <w:bCs w:val="0"/>
                <w:color w:val="auto"/>
                <w:sz w:val="21"/>
                <w:szCs w:val="21"/>
                <w:highlight w:val="none"/>
                <w:lang w:val="en-US" w:eastAsia="zh-CN" w:bidi="ar"/>
              </w:rPr>
              <w:t>处理不了的要及时汇报。</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7171">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609D">
            <w:pPr>
              <w:jc w:val="center"/>
              <w:rPr>
                <w:rFonts w:hint="eastAsia" w:ascii="宋体" w:hAnsi="宋体" w:eastAsia="宋体" w:cs="宋体"/>
                <w:b w:val="0"/>
                <w:bCs w:val="0"/>
                <w:i w:val="0"/>
                <w:iCs w:val="0"/>
                <w:color w:val="auto"/>
                <w:sz w:val="21"/>
                <w:szCs w:val="21"/>
                <w:highlight w:val="none"/>
                <w:u w:val="none"/>
              </w:rPr>
            </w:pPr>
          </w:p>
        </w:tc>
      </w:tr>
      <w:tr w14:paraId="45352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45B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B9C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区级相关部门</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BAA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受到区级相关部门通报批评的，每次扣</w:t>
            </w:r>
            <w:r>
              <w:rPr>
                <w:rFonts w:hint="eastAsia" w:ascii="宋体" w:hAnsi="宋体" w:eastAsia="宋体" w:cs="宋体"/>
                <w:b w:val="0"/>
                <w:bCs w:val="0"/>
                <w:i w:val="0"/>
                <w:iCs w:val="0"/>
                <w:color w:val="auto"/>
                <w:kern w:val="0"/>
                <w:sz w:val="21"/>
                <w:szCs w:val="21"/>
                <w:highlight w:val="none"/>
                <w:u w:val="none"/>
                <w:lang w:val="en-US" w:eastAsia="zh-CN" w:bidi="ar"/>
              </w:rPr>
              <w:t>5</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ACD12">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689C">
            <w:pPr>
              <w:jc w:val="center"/>
              <w:rPr>
                <w:rFonts w:hint="eastAsia" w:ascii="宋体" w:hAnsi="宋体" w:eastAsia="宋体" w:cs="宋体"/>
                <w:b w:val="0"/>
                <w:bCs w:val="0"/>
                <w:i w:val="0"/>
                <w:iCs w:val="0"/>
                <w:color w:val="auto"/>
                <w:sz w:val="21"/>
                <w:szCs w:val="21"/>
                <w:highlight w:val="none"/>
                <w:u w:val="none"/>
              </w:rPr>
            </w:pPr>
          </w:p>
        </w:tc>
      </w:tr>
      <w:tr w14:paraId="6A672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737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2FD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市级相关部门</w:t>
            </w:r>
          </w:p>
        </w:tc>
        <w:tc>
          <w:tcPr>
            <w:tcW w:w="5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86B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Style w:val="86"/>
                <w:rFonts w:hint="eastAsia" w:ascii="宋体" w:hAnsi="宋体" w:eastAsia="宋体" w:cs="宋体"/>
                <w:b w:val="0"/>
                <w:bCs w:val="0"/>
                <w:color w:val="auto"/>
                <w:sz w:val="21"/>
                <w:szCs w:val="21"/>
                <w:highlight w:val="none"/>
                <w:lang w:val="en-US" w:eastAsia="zh-CN" w:bidi="ar"/>
              </w:rPr>
              <w:t>受到市级相关部门通报批评的，每次扣</w:t>
            </w:r>
            <w:r>
              <w:rPr>
                <w:rFonts w:hint="eastAsia" w:ascii="宋体" w:hAnsi="宋体" w:eastAsia="宋体" w:cs="宋体"/>
                <w:b w:val="0"/>
                <w:bCs w:val="0"/>
                <w:i w:val="0"/>
                <w:iCs w:val="0"/>
                <w:color w:val="auto"/>
                <w:kern w:val="0"/>
                <w:sz w:val="21"/>
                <w:szCs w:val="21"/>
                <w:highlight w:val="none"/>
                <w:u w:val="none"/>
                <w:lang w:val="en-US" w:eastAsia="zh-CN" w:bidi="ar"/>
              </w:rPr>
              <w:t>10</w:t>
            </w:r>
            <w:r>
              <w:rPr>
                <w:rStyle w:val="86"/>
                <w:rFonts w:hint="eastAsia" w:ascii="宋体" w:hAnsi="宋体" w:eastAsia="宋体" w:cs="宋体"/>
                <w:b w:val="0"/>
                <w:bCs w:val="0"/>
                <w:color w:val="auto"/>
                <w:sz w:val="21"/>
                <w:szCs w:val="21"/>
                <w:highlight w:val="none"/>
                <w:lang w:val="en-US" w:eastAsia="zh-CN" w:bidi="ar"/>
              </w:rPr>
              <w:t>分</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2616D">
            <w:pPr>
              <w:jc w:val="center"/>
              <w:rPr>
                <w:rFonts w:hint="eastAsia" w:ascii="宋体" w:hAnsi="宋体" w:eastAsia="宋体" w:cs="宋体"/>
                <w:b w:val="0"/>
                <w:bCs w:val="0"/>
                <w:i w:val="0"/>
                <w:iCs w:val="0"/>
                <w:color w:val="auto"/>
                <w:sz w:val="21"/>
                <w:szCs w:val="21"/>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B886">
            <w:pPr>
              <w:jc w:val="center"/>
              <w:rPr>
                <w:rFonts w:hint="eastAsia" w:ascii="宋体" w:hAnsi="宋体" w:eastAsia="宋体" w:cs="宋体"/>
                <w:b w:val="0"/>
                <w:bCs w:val="0"/>
                <w:i w:val="0"/>
                <w:iCs w:val="0"/>
                <w:color w:val="auto"/>
                <w:sz w:val="21"/>
                <w:szCs w:val="21"/>
                <w:highlight w:val="none"/>
                <w:u w:val="none"/>
              </w:rPr>
            </w:pPr>
          </w:p>
        </w:tc>
      </w:tr>
      <w:tr w14:paraId="470F5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0" w:type="auto"/>
            <w:gridSpan w:val="5"/>
            <w:tcBorders>
              <w:top w:val="nil"/>
              <w:left w:val="nil"/>
              <w:bottom w:val="nil"/>
              <w:right w:val="nil"/>
            </w:tcBorders>
            <w:shd w:val="clear" w:color="auto" w:fill="auto"/>
            <w:noWrap/>
            <w:vAlign w:val="top"/>
          </w:tcPr>
          <w:p w14:paraId="43179BDE">
            <w:pPr>
              <w:keepNext w:val="0"/>
              <w:keepLines w:val="0"/>
              <w:widowControl/>
              <w:suppressLineNumbers w:val="0"/>
              <w:jc w:val="left"/>
              <w:textAlignment w:val="top"/>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说明：考核采取100分制，检查结果按月度检查统计不合格宗数。</w:t>
            </w:r>
          </w:p>
        </w:tc>
      </w:tr>
    </w:tbl>
    <w:p w14:paraId="0A8E3941">
      <w:pPr>
        <w:autoSpaceDE/>
        <w:autoSpaceDN/>
        <w:jc w:val="both"/>
        <w:rPr>
          <w:rFonts w:hint="eastAsia" w:asciiTheme="minorEastAsia" w:hAnsiTheme="minorEastAsia" w:eastAsiaTheme="minorEastAsia" w:cstheme="minorEastAsia"/>
          <w:color w:val="auto"/>
          <w:kern w:val="2"/>
          <w:sz w:val="28"/>
          <w:highlight w:val="none"/>
          <w:lang w:eastAsia="zh-CN"/>
        </w:rPr>
      </w:pPr>
    </w:p>
    <w:p w14:paraId="5E3F841F">
      <w:pPr>
        <w:autoSpaceDE/>
        <w:autoSpaceDN/>
        <w:jc w:val="both"/>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1B0747B8">
      <w:pPr>
        <w:autoSpaceDE/>
        <w:autoSpaceDN/>
        <w:jc w:val="both"/>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0583DA71">
      <w:pP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0E8A3D33">
      <w:pP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60A76F59">
      <w:pP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747F11DD">
      <w:pP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6B211303">
      <w:pP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65505A87">
      <w:pP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7505E764">
      <w:pP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p>
    <w:p w14:paraId="1FAD0BF3">
      <w:pPr>
        <w:rPr>
          <w:rFonts w:hint="default"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附件3、投标分项报价表一、二</w:t>
      </w:r>
    </w:p>
    <w:p w14:paraId="1A535D17">
      <w:pPr>
        <w:rPr>
          <w:color w:val="auto"/>
          <w:highlight w:val="none"/>
        </w:rPr>
      </w:pPr>
    </w:p>
    <w:p w14:paraId="37B7E67C">
      <w:pPr>
        <w:numPr>
          <w:ilvl w:val="0"/>
          <w:numId w:val="0"/>
        </w:numPr>
        <w:rPr>
          <w:rFonts w:hint="default"/>
          <w:color w:val="auto"/>
          <w:highlight w:val="none"/>
          <w:lang w:val="en-US" w:eastAsia="zh-CN"/>
        </w:rPr>
      </w:pPr>
    </w:p>
    <w:p w14:paraId="25486DDB">
      <w:pPr>
        <w:pStyle w:val="3"/>
        <w:autoSpaceDE/>
        <w:autoSpaceDN/>
        <w:spacing w:line="360" w:lineRule="auto"/>
        <w:ind w:left="0" w:leftChars="0" w:firstLine="0" w:firstLineChars="0"/>
        <w:jc w:val="center"/>
        <w:rPr>
          <w:rFonts w:hint="eastAsia"/>
          <w:b/>
          <w:bCs/>
          <w:color w:val="auto"/>
          <w:highlight w:val="none"/>
          <w:lang w:eastAsia="zh-CN"/>
        </w:rPr>
      </w:pPr>
      <w:r>
        <w:rPr>
          <w:rFonts w:hint="eastAsia" w:cs="宋体"/>
          <w:b/>
          <w:bCs/>
          <w:color w:val="auto"/>
          <w:sz w:val="27"/>
          <w:szCs w:val="27"/>
          <w:highlight w:val="none"/>
          <w:lang w:val="en-US" w:eastAsia="zh-CN" w:bidi="ar-SA"/>
        </w:rPr>
        <w:br w:type="page"/>
      </w:r>
      <w:bookmarkStart w:id="385" w:name="_Toc20768"/>
      <w:r>
        <w:rPr>
          <w:rFonts w:hint="eastAsia"/>
          <w:b/>
          <w:bCs/>
          <w:color w:val="auto"/>
          <w:highlight w:val="none"/>
          <w:lang w:eastAsia="zh-CN"/>
        </w:rPr>
        <w:t>第四章 采购需求</w:t>
      </w:r>
      <w:bookmarkEnd w:id="385"/>
    </w:p>
    <w:p w14:paraId="6B7C65A0">
      <w:pPr>
        <w:pStyle w:val="14"/>
        <w:keepNext w:val="0"/>
        <w:keepLines w:val="0"/>
        <w:pageBreakBefore w:val="0"/>
        <w:widowControl w:val="0"/>
        <w:kinsoku/>
        <w:wordWrap/>
        <w:overflowPunct/>
        <w:topLinePunct w:val="0"/>
        <w:bidi w:val="0"/>
        <w:adjustRightInd/>
        <w:snapToGrid/>
        <w:spacing w:line="360" w:lineRule="auto"/>
        <w:ind w:left="0" w:leftChars="0" w:firstLine="0" w:firstLineChars="0"/>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一、项目概况</w:t>
      </w:r>
    </w:p>
    <w:p w14:paraId="5A6B5CCE">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项目名称：</w:t>
      </w:r>
      <w:r>
        <w:rPr>
          <w:rFonts w:hint="eastAsia" w:cs="宋体"/>
          <w:color w:val="auto"/>
          <w:sz w:val="24"/>
          <w:szCs w:val="24"/>
          <w:highlight w:val="none"/>
          <w:lang w:val="en-US" w:eastAsia="zh-CN"/>
        </w:rPr>
        <w:t>汤泉街道2026-2029年度九龙湖及周边地区景观绿化养护项目</w:t>
      </w:r>
      <w:r>
        <w:rPr>
          <w:rFonts w:hint="eastAsia" w:ascii="宋体" w:hAnsi="宋体" w:eastAsia="宋体" w:cs="宋体"/>
          <w:color w:val="auto"/>
          <w:sz w:val="24"/>
          <w:szCs w:val="24"/>
          <w:highlight w:val="none"/>
          <w:lang w:val="en-US" w:eastAsia="zh-CN"/>
        </w:rPr>
        <w:t>项目</w:t>
      </w:r>
    </w:p>
    <w:p w14:paraId="7DDD8130">
      <w:pPr>
        <w:spacing w:line="360" w:lineRule="auto"/>
        <w:rPr>
          <w:rFonts w:hint="eastAsia" w:cs="宋体"/>
          <w:i w:val="0"/>
          <w:iCs w:val="0"/>
          <w:caps w:val="0"/>
          <w:color w:val="auto"/>
          <w:spacing w:val="0"/>
          <w:kern w:val="0"/>
          <w:sz w:val="24"/>
          <w:szCs w:val="24"/>
          <w:highlight w:val="none"/>
          <w:shd w:val="clear" w:fill="FFFFFF"/>
          <w:lang w:val="en-US" w:eastAsia="zh-CN" w:bidi="ar"/>
        </w:rPr>
      </w:pPr>
      <w:r>
        <w:rPr>
          <w:rFonts w:hint="eastAsia" w:cs="宋体"/>
          <w:color w:val="auto"/>
          <w:sz w:val="24"/>
          <w:szCs w:val="24"/>
          <w:highlight w:val="none"/>
          <w:lang w:val="en-US" w:eastAsia="zh-CN"/>
        </w:rPr>
        <w:t>2.</w:t>
      </w:r>
      <w:r>
        <w:rPr>
          <w:rFonts w:hint="eastAsia" w:ascii="宋体" w:hAnsi="宋体" w:eastAsia="宋体" w:cs="宋体"/>
          <w:i w:val="0"/>
          <w:iCs w:val="0"/>
          <w:caps w:val="0"/>
          <w:color w:val="auto"/>
          <w:spacing w:val="0"/>
          <w:kern w:val="0"/>
          <w:sz w:val="24"/>
          <w:szCs w:val="24"/>
          <w:highlight w:val="none"/>
          <w:shd w:val="clear" w:fill="FFFFFF"/>
          <w:lang w:val="en-US" w:eastAsia="zh-CN" w:bidi="ar"/>
        </w:rPr>
        <w:t>合同履行期限：</w:t>
      </w:r>
      <w:r>
        <w:rPr>
          <w:rFonts w:hint="eastAsia" w:asciiTheme="minorEastAsia" w:hAnsiTheme="minorEastAsia" w:eastAsiaTheme="minorEastAsia" w:cstheme="minorEastAsia"/>
          <w:color w:val="auto"/>
          <w:sz w:val="24"/>
          <w:szCs w:val="24"/>
          <w:highlight w:val="none"/>
          <w:lang w:val="en-US" w:eastAsia="zh-CN"/>
        </w:rPr>
        <w:t>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考核不合格的情况，视为养护单位违约，甲方有权单方终止续签，终止合作关系。</w:t>
      </w:r>
    </w:p>
    <w:p w14:paraId="37D1873D">
      <w:pPr>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3.合同履行地点：</w:t>
      </w:r>
      <w:r>
        <w:rPr>
          <w:rFonts w:hint="eastAsia" w:asciiTheme="minorEastAsia" w:hAnsiTheme="minorEastAsia" w:eastAsiaTheme="minorEastAsia" w:cstheme="minorEastAsia"/>
          <w:color w:val="auto"/>
          <w:sz w:val="24"/>
          <w:szCs w:val="24"/>
          <w:highlight w:val="none"/>
          <w:lang w:val="en-US" w:eastAsia="zh-CN"/>
        </w:rPr>
        <w:t>龙泉路以南片区九龙湖公园及周边区域。</w:t>
      </w:r>
    </w:p>
    <w:p w14:paraId="10CEB8DE">
      <w:pPr>
        <w:keepNext w:val="0"/>
        <w:keepLines w:val="0"/>
        <w:pageBreakBefore w:val="0"/>
        <w:widowControl/>
        <w:numPr>
          <w:ilvl w:val="0"/>
          <w:numId w:val="0"/>
        </w:numPr>
        <w:suppressLineNumbers w:val="0"/>
        <w:shd w:val="clear" w:fill="FFFFFF"/>
        <w:kinsoku/>
        <w:wordWrap/>
        <w:overflowPunct/>
        <w:topLinePunct w:val="0"/>
        <w:bidi w:val="0"/>
        <w:spacing w:before="0" w:beforeAutospacing="0" w:after="0" w:afterAutospacing="0" w:line="360" w:lineRule="auto"/>
        <w:ind w:right="0" w:rightChars="0"/>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二、项目服务要求：</w:t>
      </w:r>
    </w:p>
    <w:p w14:paraId="291652BA">
      <w:pPr>
        <w:pageBreakBefore w:val="0"/>
        <w:kinsoku/>
        <w:wordWrap/>
        <w:overflowPunct/>
        <w:topLinePunct w:val="0"/>
        <w:autoSpaceDE/>
        <w:autoSpaceDN/>
        <w:bidi w:val="0"/>
        <w:adjustRightInd/>
        <w:spacing w:line="360" w:lineRule="auto"/>
        <w:ind w:right="0" w:right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1</w:t>
      </w:r>
      <w:r>
        <w:rPr>
          <w:rFonts w:hint="eastAsia" w:cs="宋体"/>
          <w:i w:val="0"/>
          <w:iCs w:val="0"/>
          <w:caps w:val="0"/>
          <w:color w:val="auto"/>
          <w:spacing w:val="0"/>
          <w:kern w:val="0"/>
          <w:sz w:val="24"/>
          <w:szCs w:val="24"/>
          <w:highlight w:val="none"/>
          <w:shd w:val="clear" w:fill="FFFFFF"/>
          <w:lang w:val="en-US" w:eastAsia="zh-CN" w:bidi="ar"/>
        </w:rPr>
        <w:t>.</w:t>
      </w:r>
      <w:r>
        <w:rPr>
          <w:rFonts w:hint="eastAsia" w:ascii="宋体" w:hAnsi="宋体" w:eastAsia="宋体" w:cs="宋体"/>
          <w:i w:val="0"/>
          <w:iCs w:val="0"/>
          <w:caps w:val="0"/>
          <w:color w:val="auto"/>
          <w:spacing w:val="0"/>
          <w:kern w:val="0"/>
          <w:sz w:val="24"/>
          <w:szCs w:val="24"/>
          <w:highlight w:val="none"/>
          <w:shd w:val="clear" w:fill="FFFFFF"/>
          <w:lang w:val="en-US" w:eastAsia="zh-CN" w:bidi="ar"/>
        </w:rPr>
        <w:t>采购需求：汤泉街道2026-2029年度九龙湖及周边地区景观绿化养护项目，采购龙泉路以南片区九龙湖公园及周边区域绿地绿化养护服务</w:t>
      </w:r>
      <w:r>
        <w:rPr>
          <w:rFonts w:hint="eastAsia" w:cs="宋体"/>
          <w:i w:val="0"/>
          <w:iCs w:val="0"/>
          <w:caps w:val="0"/>
          <w:color w:val="auto"/>
          <w:spacing w:val="0"/>
          <w:kern w:val="0"/>
          <w:sz w:val="24"/>
          <w:szCs w:val="24"/>
          <w:highlight w:val="none"/>
          <w:shd w:val="clear" w:fill="FFFFFF"/>
          <w:lang w:val="en-US" w:eastAsia="zh-CN" w:bidi="ar"/>
        </w:rPr>
        <w:t>。</w:t>
      </w:r>
    </w:p>
    <w:p w14:paraId="606E58BA">
      <w:pPr>
        <w:spacing w:line="360" w:lineRule="auto"/>
        <w:rPr>
          <w:rFonts w:hint="eastAsia" w:ascii="宋体" w:hAnsi="宋体" w:eastAsia="宋体" w:cs="宋体"/>
          <w:i w:val="0"/>
          <w:iCs w:val="0"/>
          <w:caps w:val="0"/>
          <w:color w:val="auto"/>
          <w:spacing w:val="0"/>
          <w:kern w:val="0"/>
          <w:sz w:val="24"/>
          <w:szCs w:val="24"/>
          <w:highlight w:val="none"/>
          <w:shd w:val="clear" w:fill="FFFFFF"/>
          <w:lang w:val="en-US" w:eastAsia="zh-CN" w:bidi="ar"/>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2</w:t>
      </w:r>
      <w:r>
        <w:rPr>
          <w:rFonts w:hint="eastAsia" w:cs="宋体"/>
          <w:i w:val="0"/>
          <w:iCs w:val="0"/>
          <w:caps w:val="0"/>
          <w:color w:val="auto"/>
          <w:spacing w:val="0"/>
          <w:kern w:val="0"/>
          <w:sz w:val="24"/>
          <w:szCs w:val="24"/>
          <w:highlight w:val="none"/>
          <w:shd w:val="clear" w:fill="FFFFFF"/>
          <w:lang w:val="en-US" w:eastAsia="zh-CN" w:bidi="ar"/>
        </w:rPr>
        <w:t>.</w:t>
      </w:r>
      <w:r>
        <w:rPr>
          <w:rFonts w:hint="eastAsia" w:ascii="宋体" w:hAnsi="宋体" w:eastAsia="宋体" w:cs="宋体"/>
          <w:i w:val="0"/>
          <w:iCs w:val="0"/>
          <w:caps w:val="0"/>
          <w:color w:val="auto"/>
          <w:spacing w:val="0"/>
          <w:kern w:val="0"/>
          <w:sz w:val="24"/>
          <w:szCs w:val="24"/>
          <w:highlight w:val="none"/>
          <w:shd w:val="clear" w:fill="FFFFFF"/>
          <w:lang w:val="en-US" w:eastAsia="zh-CN" w:bidi="ar"/>
        </w:rPr>
        <w:t>具体服务要求：参照《江苏省园林绿化养护标准和分类等级》要求，结合街道实际，具体要求详见清单。</w:t>
      </w:r>
    </w:p>
    <w:p w14:paraId="54EC2AD6">
      <w:pPr>
        <w:spacing w:line="360" w:lineRule="auto"/>
        <w:rPr>
          <w:rFonts w:hint="eastAsia" w:ascii="宋体" w:hAnsi="宋体" w:eastAsia="宋体" w:cs="宋体"/>
          <w:i w:val="0"/>
          <w:iCs w:val="0"/>
          <w:caps w:val="0"/>
          <w:color w:val="auto"/>
          <w:spacing w:val="0"/>
          <w:kern w:val="0"/>
          <w:sz w:val="24"/>
          <w:szCs w:val="24"/>
          <w:highlight w:val="none"/>
          <w:shd w:val="clear" w:fill="FFFFFF"/>
          <w:lang w:val="en-US" w:eastAsia="zh-CN" w:bidi="ar"/>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3</w:t>
      </w:r>
      <w:r>
        <w:rPr>
          <w:rFonts w:hint="eastAsia" w:cs="宋体"/>
          <w:i w:val="0"/>
          <w:iCs w:val="0"/>
          <w:caps w:val="0"/>
          <w:color w:val="auto"/>
          <w:spacing w:val="0"/>
          <w:kern w:val="0"/>
          <w:sz w:val="24"/>
          <w:szCs w:val="24"/>
          <w:highlight w:val="none"/>
          <w:shd w:val="clear" w:fill="FFFFFF"/>
          <w:lang w:val="en-US" w:eastAsia="zh-CN" w:bidi="ar"/>
        </w:rPr>
        <w:t>.</w:t>
      </w:r>
      <w:r>
        <w:rPr>
          <w:rFonts w:hint="eastAsia" w:ascii="宋体" w:hAnsi="宋体" w:eastAsia="宋体" w:cs="宋体"/>
          <w:i w:val="0"/>
          <w:iCs w:val="0"/>
          <w:caps w:val="0"/>
          <w:color w:val="auto"/>
          <w:spacing w:val="0"/>
          <w:kern w:val="0"/>
          <w:sz w:val="24"/>
          <w:szCs w:val="24"/>
          <w:highlight w:val="none"/>
          <w:shd w:val="clear" w:fill="FFFFFF"/>
          <w:lang w:val="en-US" w:eastAsia="zh-CN" w:bidi="ar"/>
        </w:rPr>
        <w:t>其他要求：</w:t>
      </w:r>
      <w:r>
        <w:rPr>
          <w:rFonts w:hint="eastAsia" w:cs="宋体"/>
          <w:i w:val="0"/>
          <w:iCs w:val="0"/>
          <w:caps w:val="0"/>
          <w:color w:val="auto"/>
          <w:spacing w:val="0"/>
          <w:kern w:val="0"/>
          <w:sz w:val="24"/>
          <w:szCs w:val="24"/>
          <w:highlight w:val="none"/>
          <w:shd w:val="clear" w:fill="FFFFFF"/>
          <w:lang w:val="en-US" w:eastAsia="zh-CN" w:bidi="ar"/>
        </w:rPr>
        <w:t>①</w:t>
      </w:r>
      <w:r>
        <w:rPr>
          <w:rFonts w:hint="eastAsia" w:ascii="宋体" w:hAnsi="宋体" w:eastAsia="宋体" w:cs="宋体"/>
          <w:i w:val="0"/>
          <w:iCs w:val="0"/>
          <w:caps w:val="0"/>
          <w:color w:val="auto"/>
          <w:spacing w:val="0"/>
          <w:kern w:val="0"/>
          <w:sz w:val="24"/>
          <w:szCs w:val="24"/>
          <w:highlight w:val="none"/>
          <w:shd w:val="clear" w:fill="FFFFFF"/>
          <w:lang w:val="en-US" w:eastAsia="zh-CN" w:bidi="ar"/>
        </w:rPr>
        <w:t>管养服务期内范围内容成活率需保证为95%以上。投标人需考虑极端天气下出现的大面积补植等情况，所有的费用均含在本次报价范围内，甲方不另行支付绿化补换费用。</w:t>
      </w:r>
      <w:r>
        <w:rPr>
          <w:rFonts w:hint="eastAsia" w:cs="宋体"/>
          <w:i w:val="0"/>
          <w:iCs w:val="0"/>
          <w:caps w:val="0"/>
          <w:color w:val="auto"/>
          <w:spacing w:val="0"/>
          <w:kern w:val="0"/>
          <w:sz w:val="24"/>
          <w:szCs w:val="24"/>
          <w:highlight w:val="none"/>
          <w:shd w:val="clear" w:fill="FFFFFF"/>
          <w:lang w:val="en-US" w:eastAsia="zh-CN" w:bidi="ar"/>
        </w:rPr>
        <w:t>②</w:t>
      </w:r>
      <w:r>
        <w:rPr>
          <w:rFonts w:hint="eastAsia" w:ascii="宋体" w:hAnsi="宋体" w:eastAsia="宋体" w:cs="宋体"/>
          <w:i w:val="0"/>
          <w:iCs w:val="0"/>
          <w:caps w:val="0"/>
          <w:color w:val="auto"/>
          <w:spacing w:val="0"/>
          <w:kern w:val="0"/>
          <w:sz w:val="24"/>
          <w:szCs w:val="24"/>
          <w:highlight w:val="none"/>
          <w:shd w:val="clear" w:fill="FFFFFF"/>
          <w:lang w:val="en-US" w:eastAsia="zh-CN" w:bidi="ar"/>
        </w:rPr>
        <w:t>绿化养护过程中产生的垃圾清理外运费用由各投标单位自行考虑，结算不再调整。</w:t>
      </w:r>
    </w:p>
    <w:p w14:paraId="5AFBC051">
      <w:pPr>
        <w:spacing w:line="360" w:lineRule="auto"/>
        <w:rPr>
          <w:rFonts w:hint="eastAsia" w:ascii="宋体" w:hAnsi="宋体" w:eastAsia="宋体" w:cs="宋体"/>
          <w:i w:val="0"/>
          <w:iCs w:val="0"/>
          <w:caps w:val="0"/>
          <w:color w:val="auto"/>
          <w:spacing w:val="0"/>
          <w:kern w:val="0"/>
          <w:sz w:val="24"/>
          <w:szCs w:val="24"/>
          <w:highlight w:val="none"/>
          <w:shd w:val="clear" w:fill="FFFFFF"/>
          <w:lang w:val="en-US" w:eastAsia="zh-CN" w:bidi="ar"/>
        </w:rPr>
      </w:pPr>
      <w:r>
        <w:rPr>
          <w:rFonts w:hint="eastAsia" w:cs="宋体"/>
          <w:b/>
          <w:bCs/>
          <w:color w:val="auto"/>
          <w:sz w:val="24"/>
          <w:szCs w:val="24"/>
          <w:highlight w:val="none"/>
          <w:lang w:val="en-US" w:eastAsia="zh-CN"/>
        </w:rPr>
        <w:t>三、考核要求：</w:t>
      </w:r>
      <w:r>
        <w:rPr>
          <w:rFonts w:hint="eastAsia" w:ascii="宋体" w:hAnsi="宋体" w:eastAsia="宋体" w:cs="宋体"/>
          <w:i w:val="0"/>
          <w:iCs w:val="0"/>
          <w:caps w:val="0"/>
          <w:color w:val="auto"/>
          <w:spacing w:val="0"/>
          <w:kern w:val="0"/>
          <w:sz w:val="24"/>
          <w:szCs w:val="24"/>
          <w:highlight w:val="none"/>
          <w:shd w:val="clear" w:fill="FFFFFF"/>
          <w:lang w:val="en-US" w:eastAsia="zh-CN" w:bidi="ar"/>
        </w:rPr>
        <w:t>详见《绿化养护服务质量考核表》。</w:t>
      </w:r>
    </w:p>
    <w:p w14:paraId="731E0C3D">
      <w:pPr>
        <w:spacing w:line="360" w:lineRule="auto"/>
        <w:rPr>
          <w:rFonts w:hint="eastAsia" w:ascii="宋体" w:hAnsi="宋体" w:eastAsia="宋体" w:cs="宋体"/>
          <w:i w:val="0"/>
          <w:iCs w:val="0"/>
          <w:caps w:val="0"/>
          <w:color w:val="auto"/>
          <w:spacing w:val="0"/>
          <w:kern w:val="0"/>
          <w:sz w:val="24"/>
          <w:szCs w:val="24"/>
          <w:highlight w:val="none"/>
          <w:shd w:val="clear" w:fill="FFFFFF"/>
          <w:lang w:val="en-US" w:eastAsia="zh-CN" w:bidi="ar"/>
        </w:rPr>
      </w:pPr>
      <w:r>
        <w:rPr>
          <w:rFonts w:hint="eastAsia" w:cs="宋体"/>
          <w:b/>
          <w:bCs/>
          <w:color w:val="auto"/>
          <w:sz w:val="24"/>
          <w:szCs w:val="24"/>
          <w:highlight w:val="none"/>
          <w:lang w:val="en-US" w:eastAsia="zh-CN"/>
        </w:rPr>
        <w:t>四、</w:t>
      </w:r>
      <w:r>
        <w:rPr>
          <w:rFonts w:hint="eastAsia" w:ascii="宋体" w:hAnsi="宋体" w:eastAsia="宋体" w:cs="宋体"/>
          <w:i w:val="0"/>
          <w:iCs w:val="0"/>
          <w:caps w:val="0"/>
          <w:color w:val="auto"/>
          <w:spacing w:val="0"/>
          <w:kern w:val="0"/>
          <w:sz w:val="24"/>
          <w:szCs w:val="24"/>
          <w:highlight w:val="none"/>
          <w:shd w:val="clear" w:fill="FFFFFF"/>
          <w:lang w:val="en-US" w:eastAsia="zh-CN" w:bidi="ar"/>
        </w:rPr>
        <w:t>本项目对服务单位考核标准，重点养护区域实行月度考核，一般养护区域实行季度考核，对考核对象的绿化管养质量采用百分制的月度得分，根据考核情况支付服务费用，督促养护单位履职尽责。</w:t>
      </w:r>
    </w:p>
    <w:p w14:paraId="7B2D0A2E">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五、支付方式</w:t>
      </w:r>
    </w:p>
    <w:p w14:paraId="324A5B6A">
      <w:pPr>
        <w:spacing w:line="360" w:lineRule="auto"/>
        <w:rPr>
          <w:rFonts w:hint="eastAsia" w:ascii="宋体" w:hAnsi="宋体" w:eastAsia="宋体" w:cs="宋体"/>
          <w:i w:val="0"/>
          <w:iCs w:val="0"/>
          <w:caps w:val="0"/>
          <w:color w:val="auto"/>
          <w:spacing w:val="0"/>
          <w:kern w:val="0"/>
          <w:sz w:val="24"/>
          <w:szCs w:val="24"/>
          <w:highlight w:val="none"/>
          <w:shd w:val="clear" w:fill="FFFFFF"/>
          <w:lang w:val="zh-CN" w:eastAsia="zh-CN" w:bidi="ar"/>
        </w:rPr>
      </w:pPr>
      <w:r>
        <w:rPr>
          <w:rFonts w:hint="eastAsia" w:ascii="宋体" w:hAnsi="宋体" w:eastAsia="宋体" w:cs="宋体"/>
          <w:i w:val="0"/>
          <w:iCs w:val="0"/>
          <w:caps w:val="0"/>
          <w:color w:val="auto"/>
          <w:spacing w:val="0"/>
          <w:kern w:val="0"/>
          <w:sz w:val="24"/>
          <w:szCs w:val="24"/>
          <w:highlight w:val="none"/>
          <w:shd w:val="clear" w:fill="FFFFFF"/>
          <w:lang w:val="zh-CN" w:eastAsia="zh-CN" w:bidi="ar"/>
        </w:rPr>
        <w:t>1.项目服务期满验收合格后，支付合同价的50%款项。</w:t>
      </w:r>
    </w:p>
    <w:p w14:paraId="24242F19">
      <w:pPr>
        <w:spacing w:line="360" w:lineRule="auto"/>
        <w:rPr>
          <w:rFonts w:hint="eastAsia" w:ascii="宋体" w:hAnsi="宋体" w:eastAsia="宋体" w:cs="宋体"/>
          <w:i w:val="0"/>
          <w:iCs w:val="0"/>
          <w:caps w:val="0"/>
          <w:color w:val="auto"/>
          <w:spacing w:val="0"/>
          <w:kern w:val="0"/>
          <w:sz w:val="24"/>
          <w:szCs w:val="24"/>
          <w:highlight w:val="none"/>
          <w:shd w:val="clear" w:fill="FFFFFF"/>
          <w:lang w:val="en-US" w:eastAsia="zh-CN" w:bidi="ar"/>
        </w:rPr>
      </w:pPr>
      <w:r>
        <w:rPr>
          <w:rFonts w:hint="eastAsia" w:ascii="宋体" w:hAnsi="宋体" w:eastAsia="宋体" w:cs="宋体"/>
          <w:i w:val="0"/>
          <w:iCs w:val="0"/>
          <w:caps w:val="0"/>
          <w:color w:val="auto"/>
          <w:spacing w:val="0"/>
          <w:kern w:val="0"/>
          <w:sz w:val="24"/>
          <w:szCs w:val="24"/>
          <w:highlight w:val="none"/>
          <w:shd w:val="clear" w:fill="FFFFFF"/>
          <w:lang w:val="zh-CN" w:eastAsia="zh-CN" w:bidi="ar"/>
        </w:rPr>
        <w:t>2.项目完成后，根据服务考核情况，一年后支付剩余的尾款。</w:t>
      </w:r>
    </w:p>
    <w:p w14:paraId="32F191F4">
      <w:pPr>
        <w:spacing w:line="360" w:lineRule="auto"/>
        <w:rPr>
          <w:rFonts w:hint="default" w:cs="宋体"/>
          <w:b/>
          <w:bCs/>
          <w:color w:val="auto"/>
          <w:sz w:val="24"/>
          <w:szCs w:val="24"/>
          <w:highlight w:val="none"/>
          <w:lang w:val="en-US" w:eastAsia="zh-CN"/>
        </w:rPr>
      </w:pPr>
      <w:r>
        <w:rPr>
          <w:rFonts w:hint="eastAsia" w:cs="宋体"/>
          <w:b/>
          <w:bCs/>
          <w:color w:val="auto"/>
          <w:sz w:val="24"/>
          <w:szCs w:val="24"/>
          <w:highlight w:val="none"/>
          <w:lang w:val="en-US" w:eastAsia="zh-CN"/>
        </w:rPr>
        <w:t>六、履约保证金</w:t>
      </w:r>
    </w:p>
    <w:p w14:paraId="56F59084">
      <w:pPr>
        <w:spacing w:line="360" w:lineRule="auto"/>
        <w:rPr>
          <w:rFonts w:hint="eastAsia" w:ascii="宋体" w:hAnsi="宋体" w:eastAsia="宋体" w:cs="宋体"/>
          <w:i w:val="0"/>
          <w:iCs w:val="0"/>
          <w:caps w:val="0"/>
          <w:color w:val="auto"/>
          <w:spacing w:val="0"/>
          <w:kern w:val="0"/>
          <w:sz w:val="24"/>
          <w:szCs w:val="24"/>
          <w:highlight w:val="none"/>
          <w:shd w:val="clear" w:fill="FFFFFF"/>
          <w:lang w:val="en-US" w:eastAsia="zh-CN" w:bidi="ar"/>
        </w:rPr>
      </w:pPr>
      <w:r>
        <w:rPr>
          <w:rFonts w:hint="eastAsia" w:ascii="宋体" w:hAnsi="宋体" w:eastAsia="宋体" w:cs="宋体"/>
          <w:i w:val="0"/>
          <w:iCs w:val="0"/>
          <w:caps w:val="0"/>
          <w:color w:val="auto"/>
          <w:spacing w:val="0"/>
          <w:kern w:val="0"/>
          <w:sz w:val="24"/>
          <w:szCs w:val="24"/>
          <w:highlight w:val="none"/>
          <w:shd w:val="clear" w:fill="FFFFFF"/>
          <w:lang w:val="en-US" w:eastAsia="zh-CN" w:bidi="ar"/>
        </w:rPr>
        <w:t>在签订合同后7天内，乙方向甲方缴纳中标价款的10%作为本项目的履约保证金，项目验收合格后，采购单位退还履约保证金。若乙方未按时交纳履约保证金，视为自动放弃中标资格。中标单位凭中标通知书、采购单位财务部门出具的履约保证金收款证明与实施单位签订合同。</w:t>
      </w:r>
    </w:p>
    <w:p w14:paraId="451EC3DB">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七、养护清单--详见附件</w:t>
      </w:r>
    </w:p>
    <w:p w14:paraId="16C9A2F6">
      <w:pPr>
        <w:rPr>
          <w:rFonts w:hint="eastAsia"/>
          <w:b/>
          <w:bCs/>
          <w:color w:val="auto"/>
          <w:highlight w:val="none"/>
          <w:lang w:val="en-US" w:eastAsia="zh-CN"/>
        </w:rPr>
      </w:pPr>
      <w:bookmarkStart w:id="386" w:name="_Toc21716"/>
      <w:r>
        <w:rPr>
          <w:rFonts w:hint="eastAsia"/>
          <w:b/>
          <w:bCs/>
          <w:color w:val="auto"/>
          <w:highlight w:val="none"/>
          <w:lang w:val="en-US" w:eastAsia="zh-CN"/>
        </w:rPr>
        <w:br w:type="page"/>
      </w:r>
    </w:p>
    <w:p w14:paraId="38577405">
      <w:pPr>
        <w:pStyle w:val="3"/>
        <w:numPr>
          <w:ilvl w:val="0"/>
          <w:numId w:val="0"/>
        </w:numPr>
        <w:autoSpaceDE/>
        <w:autoSpaceDN/>
        <w:spacing w:line="360" w:lineRule="auto"/>
        <w:ind w:left="100" w:leftChars="0"/>
        <w:jc w:val="center"/>
        <w:rPr>
          <w:rFonts w:hint="eastAsia"/>
          <w:b/>
          <w:bCs/>
          <w:color w:val="auto"/>
          <w:highlight w:val="none"/>
          <w:lang w:eastAsia="zh-CN"/>
        </w:rPr>
      </w:pPr>
      <w:r>
        <w:rPr>
          <w:rFonts w:hint="eastAsia"/>
          <w:b/>
          <w:bCs/>
          <w:color w:val="auto"/>
          <w:highlight w:val="none"/>
          <w:lang w:val="en-US" w:eastAsia="zh-CN"/>
        </w:rPr>
        <w:t xml:space="preserve">第五章 </w:t>
      </w:r>
      <w:r>
        <w:rPr>
          <w:rFonts w:hint="eastAsia"/>
          <w:b/>
          <w:bCs/>
          <w:color w:val="auto"/>
          <w:highlight w:val="none"/>
          <w:lang w:eastAsia="zh-CN"/>
        </w:rPr>
        <w:t>评审方法与评审标准</w:t>
      </w:r>
      <w:bookmarkEnd w:id="386"/>
    </w:p>
    <w:p w14:paraId="1012EA9A">
      <w:pPr>
        <w:keepNext w:val="0"/>
        <w:keepLines w:val="0"/>
        <w:pageBreakBefore w:val="0"/>
        <w:widowControl w:val="0"/>
        <w:numPr>
          <w:ilvl w:val="0"/>
          <w:numId w:val="0"/>
        </w:numPr>
        <w:kinsoku/>
        <w:wordWrap/>
        <w:overflowPunct/>
        <w:topLinePunct w:val="0"/>
        <w:autoSpaceDE w:val="0"/>
        <w:autoSpaceDN w:val="0"/>
        <w:bidi w:val="0"/>
        <w:spacing w:line="360" w:lineRule="exact"/>
        <w:textAlignment w:val="auto"/>
        <w:rPr>
          <w:color w:val="auto"/>
          <w:highlight w:val="none"/>
          <w:lang w:eastAsia="zh-CN"/>
        </w:rPr>
      </w:pPr>
    </w:p>
    <w:p w14:paraId="1EBD9F05">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hint="eastAsia" w:ascii="宋体" w:hAnsi="宋体" w:eastAsia="宋体" w:cs="宋体"/>
          <w:b/>
          <w:bCs/>
          <w:color w:val="auto"/>
          <w:kern w:val="2"/>
          <w:sz w:val="24"/>
          <w:szCs w:val="24"/>
          <w:highlight w:val="none"/>
          <w:lang w:eastAsia="zh-CN"/>
        </w:rPr>
      </w:pPr>
      <w:bookmarkStart w:id="387" w:name="_Toc12701"/>
      <w:r>
        <w:rPr>
          <w:rFonts w:hint="eastAsia" w:cs="宋体"/>
          <w:b/>
          <w:bCs/>
          <w:color w:val="auto"/>
          <w:kern w:val="2"/>
          <w:sz w:val="24"/>
          <w:szCs w:val="24"/>
          <w:highlight w:val="none"/>
          <w:lang w:val="en-US" w:eastAsia="zh-CN"/>
        </w:rPr>
        <w:t>一、</w:t>
      </w:r>
      <w:r>
        <w:rPr>
          <w:rFonts w:hint="eastAsia" w:ascii="宋体" w:hAnsi="宋体" w:eastAsia="宋体" w:cs="宋体"/>
          <w:b/>
          <w:bCs/>
          <w:color w:val="auto"/>
          <w:kern w:val="2"/>
          <w:sz w:val="24"/>
          <w:szCs w:val="24"/>
          <w:highlight w:val="none"/>
        </w:rPr>
        <w:t>评</w:t>
      </w:r>
      <w:r>
        <w:rPr>
          <w:rFonts w:hint="eastAsia" w:ascii="宋体" w:hAnsi="宋体" w:eastAsia="宋体" w:cs="宋体"/>
          <w:b/>
          <w:bCs/>
          <w:color w:val="auto"/>
          <w:kern w:val="2"/>
          <w:sz w:val="24"/>
          <w:szCs w:val="24"/>
          <w:highlight w:val="none"/>
          <w:lang w:val="en-US" w:eastAsia="zh-CN"/>
        </w:rPr>
        <w:t>审</w:t>
      </w:r>
      <w:r>
        <w:rPr>
          <w:rFonts w:hint="eastAsia" w:ascii="宋体" w:hAnsi="宋体" w:eastAsia="宋体" w:cs="宋体"/>
          <w:b/>
          <w:bCs/>
          <w:color w:val="auto"/>
          <w:kern w:val="2"/>
          <w:sz w:val="24"/>
          <w:szCs w:val="24"/>
          <w:highlight w:val="none"/>
          <w:lang w:eastAsia="zh-CN"/>
        </w:rPr>
        <w:t>方法</w:t>
      </w:r>
    </w:p>
    <w:p w14:paraId="274AC451">
      <w:pPr>
        <w:keepNext w:val="0"/>
        <w:keepLines w:val="0"/>
        <w:pageBreakBefore w:val="0"/>
        <w:widowControl w:val="0"/>
        <w:kinsoku/>
        <w:wordWrap/>
        <w:overflowPunct/>
        <w:topLinePunct w:val="0"/>
        <w:bidi w:val="0"/>
        <w:spacing w:line="360" w:lineRule="exact"/>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采用综合评分法，评标结果按评审后得分由高到低顺序排列。得分相同的，按投标报价由低到高顺序排列。得分且投标报价相同的，按“三、评标标准中</w:t>
      </w:r>
      <w:r>
        <w:rPr>
          <w:rFonts w:hint="eastAsia"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lang w:val="en-US" w:eastAsia="zh-CN"/>
        </w:rPr>
        <w:t>项</w:t>
      </w:r>
      <w:r>
        <w:rPr>
          <w:rFonts w:hint="eastAsia" w:cs="宋体"/>
          <w:b w:val="0"/>
          <w:bCs w:val="0"/>
          <w:color w:val="auto"/>
          <w:kern w:val="2"/>
          <w:sz w:val="24"/>
          <w:szCs w:val="24"/>
          <w:highlight w:val="none"/>
          <w:lang w:val="en-US" w:eastAsia="zh-CN"/>
        </w:rPr>
        <w:t xml:space="preserve"> 实施方案</w:t>
      </w:r>
      <w:r>
        <w:rPr>
          <w:rFonts w:hint="eastAsia" w:ascii="宋体" w:hAnsi="宋体" w:eastAsia="宋体" w:cs="宋体"/>
          <w:b w:val="0"/>
          <w:bCs w:val="0"/>
          <w:color w:val="auto"/>
          <w:kern w:val="2"/>
          <w:sz w:val="24"/>
          <w:szCs w:val="24"/>
          <w:highlight w:val="none"/>
          <w:lang w:val="en-US" w:eastAsia="zh-CN"/>
        </w:rPr>
        <w:t>”得分由高到低顺序排列。在投标文件满足招标文件全部实质性要求的供应商中，按照评审得分由高到低选取</w:t>
      </w:r>
      <w:r>
        <w:rPr>
          <w:rFonts w:hint="eastAsia"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lang w:val="en-US" w:eastAsia="zh-CN"/>
        </w:rPr>
        <w:t>名中标候选人。</w:t>
      </w:r>
    </w:p>
    <w:p w14:paraId="27F6B375">
      <w:pPr>
        <w:keepNext w:val="0"/>
        <w:keepLines w:val="0"/>
        <w:pageBreakBefore w:val="0"/>
        <w:widowControl w:val="0"/>
        <w:kinsoku/>
        <w:wordWrap/>
        <w:overflowPunct/>
        <w:topLinePunct w:val="0"/>
        <w:autoSpaceDE/>
        <w:autoSpaceDN/>
        <w:bidi w:val="0"/>
        <w:adjustRightInd w:val="0"/>
        <w:snapToGrid w:val="0"/>
        <w:spacing w:line="360" w:lineRule="exact"/>
        <w:ind w:firstLine="241" w:firstLineChars="100"/>
        <w:textAlignment w:val="auto"/>
        <w:rPr>
          <w:rFonts w:hint="eastAsia" w:ascii="宋体" w:hAnsi="宋体" w:eastAsia="宋体" w:cs="宋体"/>
          <w:b/>
          <w:bCs/>
          <w:color w:val="auto"/>
          <w:kern w:val="2"/>
          <w:sz w:val="24"/>
          <w:szCs w:val="24"/>
          <w:highlight w:val="none"/>
          <w:lang w:val="en-US" w:eastAsia="zh-CN"/>
        </w:rPr>
      </w:pPr>
    </w:p>
    <w:p w14:paraId="250DF43F">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二、小微企业价格扣除</w:t>
      </w:r>
    </w:p>
    <w:p w14:paraId="308B176A">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本项目服务全部由小微企业承接</w:t>
      </w:r>
      <w:r>
        <w:rPr>
          <w:rFonts w:hint="eastAsia" w:ascii="宋体" w:hAnsi="宋体" w:eastAsia="宋体" w:cs="宋体"/>
          <w:color w:val="auto"/>
          <w:sz w:val="24"/>
          <w:szCs w:val="24"/>
          <w:highlight w:val="none"/>
          <w:lang w:val="zh-CN" w:eastAsia="zh-CN"/>
        </w:rPr>
        <w:t>的，</w:t>
      </w:r>
      <w:r>
        <w:rPr>
          <w:rFonts w:hint="eastAsia" w:ascii="宋体" w:hAnsi="宋体" w:eastAsia="宋体" w:cs="宋体"/>
          <w:color w:val="auto"/>
          <w:sz w:val="24"/>
          <w:szCs w:val="24"/>
          <w:highlight w:val="none"/>
        </w:rPr>
        <w:t>对报价给予</w:t>
      </w:r>
      <w:r>
        <w:rPr>
          <w:rFonts w:hint="eastAsia" w:ascii="宋体" w:hAnsi="宋体" w:eastAsia="宋体" w:cs="Times New Roman"/>
          <w:b w:val="0"/>
          <w:bCs w:val="0"/>
          <w:color w:val="auto"/>
          <w:kern w:val="2"/>
          <w:sz w:val="24"/>
          <w:szCs w:val="24"/>
          <w:highlight w:val="none"/>
          <w:u w:val="none"/>
          <w:lang w:val="en-US" w:eastAsia="zh-CN"/>
        </w:rPr>
        <w:t>10%</w:t>
      </w:r>
      <w:r>
        <w:rPr>
          <w:rFonts w:hint="eastAsia" w:ascii="宋体" w:hAnsi="宋体" w:eastAsia="宋体" w:cs="宋体"/>
          <w:color w:val="auto"/>
          <w:sz w:val="24"/>
          <w:szCs w:val="24"/>
          <w:highlight w:val="none"/>
        </w:rPr>
        <w:t>的扣除，用扣除后的价格参与评审。</w:t>
      </w:r>
    </w:p>
    <w:p w14:paraId="12FE590C">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残疾人福利性单位视同小型、微型企业，给予</w:t>
      </w:r>
      <w:r>
        <w:rPr>
          <w:rFonts w:hint="eastAsia" w:ascii="宋体" w:hAnsi="宋体"/>
          <w:color w:val="auto"/>
          <w:sz w:val="24"/>
          <w:szCs w:val="24"/>
          <w:highlight w:val="none"/>
          <w:lang w:val="en-US" w:eastAsia="zh-CN"/>
        </w:rPr>
        <w:t>与小微企业</w:t>
      </w:r>
      <w:r>
        <w:rPr>
          <w:rFonts w:hint="eastAsia" w:ascii="宋体" w:hAnsi="宋体"/>
          <w:color w:val="auto"/>
          <w:sz w:val="24"/>
          <w:szCs w:val="24"/>
          <w:highlight w:val="none"/>
          <w:u w:val="none"/>
          <w:lang w:val="en-US" w:eastAsia="zh-CN"/>
        </w:rPr>
        <w:t>相同</w:t>
      </w:r>
      <w:r>
        <w:rPr>
          <w:rFonts w:hint="eastAsia" w:ascii="宋体" w:hAnsi="宋体" w:eastAsia="宋体" w:cs="宋体"/>
          <w:color w:val="auto"/>
          <w:sz w:val="24"/>
          <w:szCs w:val="24"/>
          <w:highlight w:val="none"/>
        </w:rPr>
        <w:t>的价格扣除，用扣除后的价格参与评审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监狱和戒毒企业视同小型、微型企业，给予</w:t>
      </w:r>
      <w:r>
        <w:rPr>
          <w:rFonts w:hint="eastAsia" w:ascii="宋体" w:hAnsi="宋体"/>
          <w:color w:val="auto"/>
          <w:sz w:val="24"/>
          <w:szCs w:val="24"/>
          <w:highlight w:val="none"/>
          <w:lang w:val="en-US" w:eastAsia="zh-CN"/>
        </w:rPr>
        <w:t>与小微企业</w:t>
      </w:r>
      <w:r>
        <w:rPr>
          <w:rFonts w:hint="eastAsia" w:ascii="宋体" w:hAnsi="宋体"/>
          <w:color w:val="auto"/>
          <w:sz w:val="24"/>
          <w:szCs w:val="24"/>
          <w:highlight w:val="none"/>
          <w:u w:val="none"/>
          <w:lang w:val="en-US" w:eastAsia="zh-CN"/>
        </w:rPr>
        <w:t>相同</w:t>
      </w:r>
      <w:r>
        <w:rPr>
          <w:rFonts w:hint="eastAsia" w:ascii="宋体" w:hAnsi="宋体" w:eastAsia="宋体" w:cs="宋体"/>
          <w:color w:val="auto"/>
          <w:sz w:val="24"/>
          <w:szCs w:val="24"/>
          <w:highlight w:val="none"/>
        </w:rPr>
        <w:t>的价格扣除，用扣除后的价格参与评审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残疾人福利单位、监狱企业属于小型、微型企业的，不重复享受</w:t>
      </w:r>
      <w:r>
        <w:rPr>
          <w:rFonts w:hint="eastAsia" w:ascii="宋体" w:hAnsi="宋体" w:eastAsia="宋体" w:cs="宋体"/>
          <w:color w:val="auto"/>
          <w:sz w:val="24"/>
          <w:szCs w:val="24"/>
          <w:highlight w:val="none"/>
          <w:lang w:val="en-US" w:eastAsia="zh-CN"/>
        </w:rPr>
        <w:t>价格扣除</w:t>
      </w:r>
      <w:r>
        <w:rPr>
          <w:rFonts w:hint="eastAsia" w:ascii="宋体" w:hAnsi="宋体" w:eastAsia="宋体" w:cs="宋体"/>
          <w:color w:val="auto"/>
          <w:sz w:val="24"/>
          <w:szCs w:val="24"/>
          <w:highlight w:val="none"/>
        </w:rPr>
        <w:t>。</w:t>
      </w:r>
    </w:p>
    <w:p w14:paraId="18995097">
      <w:pPr>
        <w:rPr>
          <w:rFonts w:hint="eastAsia" w:ascii="宋体" w:hAnsi="宋体" w:eastAsia="宋体" w:cs="宋体"/>
          <w:b/>
          <w:bCs/>
          <w:color w:val="auto"/>
          <w:kern w:val="2"/>
          <w:sz w:val="24"/>
          <w:szCs w:val="24"/>
          <w:highlight w:val="none"/>
          <w:lang w:val="en-US" w:eastAsia="zh-CN"/>
        </w:rPr>
      </w:pPr>
    </w:p>
    <w:p w14:paraId="7F2BDC1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b w:val="0"/>
          <w:bCs w:val="0"/>
          <w:color w:val="auto"/>
          <w:kern w:val="2"/>
          <w:sz w:val="24"/>
          <w:szCs w:val="24"/>
          <w:highlight w:val="none"/>
          <w:lang w:eastAsia="zh-CN"/>
        </w:rPr>
      </w:pPr>
      <w:r>
        <w:rPr>
          <w:rFonts w:hint="eastAsia" w:cs="宋体"/>
          <w:b/>
          <w:bCs/>
          <w:color w:val="auto"/>
          <w:kern w:val="2"/>
          <w:sz w:val="24"/>
          <w:szCs w:val="24"/>
          <w:highlight w:val="none"/>
          <w:lang w:val="en-US" w:eastAsia="zh-CN"/>
        </w:rPr>
        <w:t>三</w:t>
      </w:r>
      <w:r>
        <w:rPr>
          <w:rFonts w:hint="eastAsia" w:ascii="宋体" w:hAnsi="宋体" w:eastAsia="宋体" w:cs="宋体"/>
          <w:b/>
          <w:bCs/>
          <w:color w:val="auto"/>
          <w:kern w:val="2"/>
          <w:sz w:val="24"/>
          <w:szCs w:val="24"/>
          <w:highlight w:val="none"/>
          <w:lang w:eastAsia="zh-CN"/>
        </w:rPr>
        <w:t>、评</w:t>
      </w:r>
      <w:r>
        <w:rPr>
          <w:rFonts w:hint="eastAsia" w:cs="宋体"/>
          <w:b/>
          <w:bCs/>
          <w:color w:val="auto"/>
          <w:kern w:val="2"/>
          <w:sz w:val="24"/>
          <w:szCs w:val="24"/>
          <w:highlight w:val="none"/>
          <w:lang w:val="en-US" w:eastAsia="zh-CN"/>
        </w:rPr>
        <w:t>标</w:t>
      </w:r>
      <w:r>
        <w:rPr>
          <w:rFonts w:hint="eastAsia" w:ascii="宋体" w:hAnsi="宋体" w:eastAsia="宋体" w:cs="宋体"/>
          <w:b/>
          <w:bCs/>
          <w:color w:val="auto"/>
          <w:kern w:val="2"/>
          <w:sz w:val="24"/>
          <w:szCs w:val="24"/>
          <w:highlight w:val="none"/>
          <w:lang w:eastAsia="zh-CN"/>
        </w:rPr>
        <w:t>标准</w:t>
      </w:r>
    </w:p>
    <w:tbl>
      <w:tblPr>
        <w:tblStyle w:val="26"/>
        <w:tblW w:w="1071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540"/>
        <w:gridCol w:w="1290"/>
        <w:gridCol w:w="8109"/>
        <w:gridCol w:w="771"/>
      </w:tblGrid>
      <w:tr w14:paraId="1C04ED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5"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0790331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bCs/>
                <w:color w:val="auto"/>
                <w:sz w:val="24"/>
                <w:szCs w:val="24"/>
                <w:highlight w:val="none"/>
              </w:rPr>
            </w:pPr>
            <w:bookmarkStart w:id="388" w:name="_Toc822"/>
            <w:r>
              <w:rPr>
                <w:rFonts w:hint="eastAsia" w:ascii="宋体" w:hAnsi="宋体" w:eastAsia="宋体" w:cs="宋体"/>
                <w:b/>
                <w:bCs/>
                <w:color w:val="auto"/>
                <w:sz w:val="24"/>
                <w:szCs w:val="24"/>
                <w:highlight w:val="none"/>
              </w:rPr>
              <w:t>序号</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43A1652A">
            <w:pPr>
              <w:keepNext w:val="0"/>
              <w:keepLines w:val="0"/>
              <w:pageBreakBefore w:val="0"/>
              <w:widowControl w:val="0"/>
              <w:kinsoku/>
              <w:wordWrap/>
              <w:overflowPunct/>
              <w:topLinePunct w:val="0"/>
              <w:autoSpaceDE w:val="0"/>
              <w:autoSpaceDN w:val="0"/>
              <w:bidi w:val="0"/>
              <w:adjustRightInd/>
              <w:snapToGrid/>
              <w:spacing w:line="360" w:lineRule="exact"/>
              <w:ind w:leftChars="0"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8109" w:type="dxa"/>
            <w:tcBorders>
              <w:top w:val="single" w:color="auto" w:sz="4" w:space="0"/>
              <w:left w:val="single" w:color="auto" w:sz="4" w:space="0"/>
              <w:bottom w:val="single" w:color="auto" w:sz="4" w:space="0"/>
              <w:right w:val="single" w:color="auto" w:sz="4" w:space="0"/>
            </w:tcBorders>
            <w:noWrap w:val="0"/>
            <w:vAlign w:val="center"/>
          </w:tcPr>
          <w:p w14:paraId="6BABCAB7">
            <w:pPr>
              <w:keepNext w:val="0"/>
              <w:keepLines w:val="0"/>
              <w:pageBreakBefore w:val="0"/>
              <w:widowControl w:val="0"/>
              <w:kinsoku/>
              <w:wordWrap/>
              <w:overflowPunct/>
              <w:topLinePunct w:val="0"/>
              <w:autoSpaceDE w:val="0"/>
              <w:autoSpaceDN w:val="0"/>
              <w:bidi w:val="0"/>
              <w:adjustRightInd/>
              <w:snapToGrid/>
              <w:spacing w:line="360" w:lineRule="exact"/>
              <w:ind w:leftChars="0"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评审细则</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77B59829">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r>
      <w:tr w14:paraId="02795B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413920DF">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65227ABB">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w:t>
            </w:r>
          </w:p>
          <w:p w14:paraId="2B260ABD">
            <w:pPr>
              <w:pStyle w:val="9"/>
              <w:keepNext w:val="0"/>
              <w:keepLines w:val="0"/>
              <w:pageBreakBefore w:val="0"/>
              <w:widowControl w:val="0"/>
              <w:kinsoku/>
              <w:wordWrap/>
              <w:overflowPunct/>
              <w:topLinePunct w:val="0"/>
              <w:autoSpaceDE w:val="0"/>
              <w:autoSpaceDN w:val="0"/>
              <w:bidi w:val="0"/>
              <w:adjustRightInd/>
              <w:snapToGrid/>
              <w:spacing w:after="0" w:line="360" w:lineRule="exact"/>
              <w:ind w:left="0" w:leftChars="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tc>
        <w:tc>
          <w:tcPr>
            <w:tcW w:w="8109" w:type="dxa"/>
            <w:tcBorders>
              <w:top w:val="single" w:color="auto" w:sz="4" w:space="0"/>
              <w:left w:val="single" w:color="auto" w:sz="4" w:space="0"/>
              <w:bottom w:val="single" w:color="auto" w:sz="4" w:space="0"/>
              <w:right w:val="single" w:color="auto" w:sz="4" w:space="0"/>
            </w:tcBorders>
            <w:noWrap w:val="0"/>
            <w:vAlign w:val="center"/>
          </w:tcPr>
          <w:p w14:paraId="4E726634">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采用低价优先法计算，即满足</w:t>
            </w:r>
            <w:r>
              <w:rPr>
                <w:rFonts w:hint="eastAsia" w:cs="宋体"/>
                <w:b w:val="0"/>
                <w:bCs w:val="0"/>
                <w:color w:val="auto"/>
                <w:sz w:val="24"/>
                <w:szCs w:val="24"/>
                <w:highlight w:val="none"/>
                <w:lang w:val="en-US" w:eastAsia="zh-CN"/>
              </w:rPr>
              <w:t>招标</w:t>
            </w:r>
            <w:r>
              <w:rPr>
                <w:rFonts w:hint="eastAsia" w:ascii="宋体" w:hAnsi="宋体" w:eastAsia="宋体" w:cs="宋体"/>
                <w:b w:val="0"/>
                <w:bCs w:val="0"/>
                <w:color w:val="auto"/>
                <w:sz w:val="24"/>
                <w:szCs w:val="24"/>
                <w:highlight w:val="none"/>
                <w:lang w:eastAsia="zh-CN"/>
              </w:rPr>
              <w:t>文件要求且投标</w:t>
            </w:r>
            <w:r>
              <w:rPr>
                <w:rFonts w:hint="eastAsia" w:cs="宋体"/>
                <w:b w:val="0"/>
                <w:bCs w:val="0"/>
                <w:color w:val="auto"/>
                <w:sz w:val="24"/>
                <w:szCs w:val="24"/>
                <w:highlight w:val="none"/>
                <w:lang w:val="en-US" w:eastAsia="zh-CN"/>
              </w:rPr>
              <w:t>总报</w:t>
            </w:r>
            <w:r>
              <w:rPr>
                <w:rFonts w:hint="eastAsia" w:ascii="宋体" w:hAnsi="宋体" w:eastAsia="宋体" w:cs="宋体"/>
                <w:b w:val="0"/>
                <w:bCs w:val="0"/>
                <w:color w:val="auto"/>
                <w:sz w:val="24"/>
                <w:szCs w:val="24"/>
                <w:highlight w:val="none"/>
                <w:lang w:eastAsia="zh-CN"/>
              </w:rPr>
              <w:t>价最低的投标报价为评标基准价，其价格分为满分。其他供应商的价格分统一按照下列公式计算:投标报价得分=(评标基准价/投标报价)×</w:t>
            </w: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lang w:eastAsia="zh-CN"/>
              </w:rPr>
              <w:t>（小数点保留两位）。</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6B609F9B">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20</w:t>
            </w:r>
            <w:r>
              <w:rPr>
                <w:rFonts w:hint="eastAsia" w:cs="宋体"/>
                <w:b w:val="0"/>
                <w:bCs w:val="0"/>
                <w:color w:val="auto"/>
                <w:sz w:val="24"/>
                <w:szCs w:val="24"/>
                <w:highlight w:val="none"/>
                <w:lang w:val="en-US" w:eastAsia="zh-CN"/>
              </w:rPr>
              <w:t>分</w:t>
            </w:r>
          </w:p>
        </w:tc>
      </w:tr>
      <w:tr w14:paraId="458DA3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459" w:hRule="atLeast"/>
          <w:jc w:val="center"/>
        </w:trPr>
        <w:tc>
          <w:tcPr>
            <w:tcW w:w="540" w:type="dxa"/>
            <w:vMerge w:val="restart"/>
            <w:tcBorders>
              <w:top w:val="single" w:color="auto" w:sz="4" w:space="0"/>
              <w:left w:val="single" w:color="auto" w:sz="4" w:space="0"/>
              <w:right w:val="single" w:color="auto" w:sz="4" w:space="0"/>
            </w:tcBorders>
            <w:noWrap w:val="0"/>
            <w:vAlign w:val="center"/>
          </w:tcPr>
          <w:p w14:paraId="311588F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1290" w:type="dxa"/>
            <w:vMerge w:val="restart"/>
            <w:tcBorders>
              <w:top w:val="single" w:color="auto" w:sz="4" w:space="0"/>
              <w:left w:val="single" w:color="auto" w:sz="4" w:space="0"/>
              <w:right w:val="single" w:color="auto" w:sz="4" w:space="0"/>
            </w:tcBorders>
            <w:noWrap w:val="0"/>
            <w:vAlign w:val="center"/>
          </w:tcPr>
          <w:p w14:paraId="01AE0FD5">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实施</w:t>
            </w:r>
            <w:r>
              <w:rPr>
                <w:rFonts w:hint="eastAsia" w:ascii="宋体" w:hAnsi="宋体" w:eastAsia="宋体" w:cs="宋体"/>
                <w:b w:val="0"/>
                <w:bCs w:val="0"/>
                <w:color w:val="auto"/>
                <w:sz w:val="24"/>
                <w:szCs w:val="24"/>
                <w:highlight w:val="none"/>
                <w:lang w:eastAsia="zh-CN"/>
              </w:rPr>
              <w:t>方案（</w:t>
            </w:r>
            <w:r>
              <w:rPr>
                <w:rFonts w:hint="eastAsia" w:ascii="宋体" w:hAnsi="宋体" w:eastAsia="宋体" w:cs="宋体"/>
                <w:b w:val="0"/>
                <w:bCs w:val="0"/>
                <w:color w:val="auto"/>
                <w:sz w:val="24"/>
                <w:szCs w:val="24"/>
                <w:highlight w:val="none"/>
                <w:lang w:val="en-US" w:eastAsia="zh-CN"/>
              </w:rPr>
              <w:t>56</w:t>
            </w:r>
            <w:r>
              <w:rPr>
                <w:rFonts w:hint="eastAsia" w:ascii="宋体" w:hAnsi="宋体" w:eastAsia="宋体" w:cs="宋体"/>
                <w:b w:val="0"/>
                <w:bCs w:val="0"/>
                <w:color w:val="auto"/>
                <w:sz w:val="24"/>
                <w:szCs w:val="24"/>
                <w:highlight w:val="none"/>
                <w:lang w:eastAsia="zh-CN"/>
              </w:rPr>
              <w:t>分）</w:t>
            </w:r>
          </w:p>
        </w:tc>
        <w:tc>
          <w:tcPr>
            <w:tcW w:w="8109" w:type="dxa"/>
            <w:tcBorders>
              <w:top w:val="single" w:color="auto" w:sz="4" w:space="0"/>
              <w:left w:val="single" w:color="auto" w:sz="4" w:space="0"/>
              <w:bottom w:val="single" w:color="auto" w:sz="4" w:space="0"/>
              <w:right w:val="single" w:color="auto" w:sz="4" w:space="0"/>
            </w:tcBorders>
            <w:noWrap w:val="0"/>
            <w:vAlign w:val="top"/>
          </w:tcPr>
          <w:p w14:paraId="0C4A5F54">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评委根据供应商响应文件中对项目的认识、服务定位、总体目标及整体设想酌情评分： </w:t>
            </w:r>
          </w:p>
          <w:p w14:paraId="0DF95141">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1、服务设想周到全面，服务起点高，定位明确，针对性强，总体目标清晰，在服务于本项目的重点、难点等方面，有不同于其他投标人的新颖思路的，得9分；</w:t>
            </w:r>
          </w:p>
          <w:p w14:paraId="6A322C8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2、服务设想基本涵盖了招标内容，定位较为明确，针对性较强，总体目标较为清晰的，得6分；</w:t>
            </w:r>
          </w:p>
          <w:p w14:paraId="5AA90CA5">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3、服务设想不全且没有针对性，服务定位不明确，服务内容及总体目标一般的，得3分；</w:t>
            </w:r>
          </w:p>
          <w:p w14:paraId="435B8AC3">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4、没有提供相应方案的，不得分。</w:t>
            </w:r>
          </w:p>
        </w:tc>
        <w:tc>
          <w:tcPr>
            <w:tcW w:w="771" w:type="dxa"/>
            <w:tcBorders>
              <w:top w:val="single" w:color="auto" w:sz="4" w:space="0"/>
              <w:left w:val="single" w:color="auto" w:sz="4" w:space="0"/>
              <w:right w:val="single" w:color="auto" w:sz="4" w:space="0"/>
            </w:tcBorders>
            <w:noWrap w:val="0"/>
            <w:vAlign w:val="center"/>
          </w:tcPr>
          <w:p w14:paraId="7DD90786">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eastAsia="zh-CN"/>
              </w:rPr>
              <w:t>分</w:t>
            </w:r>
          </w:p>
        </w:tc>
      </w:tr>
      <w:tr w14:paraId="65872E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 w:hRule="atLeast"/>
          <w:jc w:val="center"/>
        </w:trPr>
        <w:tc>
          <w:tcPr>
            <w:tcW w:w="540" w:type="dxa"/>
            <w:vMerge w:val="continue"/>
            <w:tcBorders>
              <w:left w:val="single" w:color="auto" w:sz="4" w:space="0"/>
              <w:right w:val="single" w:color="auto" w:sz="4" w:space="0"/>
            </w:tcBorders>
            <w:noWrap w:val="0"/>
            <w:vAlign w:val="center"/>
          </w:tcPr>
          <w:p w14:paraId="3FA6F412">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1290" w:type="dxa"/>
            <w:vMerge w:val="continue"/>
            <w:tcBorders>
              <w:left w:val="single" w:color="auto" w:sz="4" w:space="0"/>
              <w:right w:val="single" w:color="auto" w:sz="4" w:space="0"/>
            </w:tcBorders>
            <w:noWrap w:val="0"/>
            <w:vAlign w:val="center"/>
          </w:tcPr>
          <w:p w14:paraId="749F50F0">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8109" w:type="dxa"/>
            <w:tcBorders>
              <w:top w:val="single" w:color="auto" w:sz="4" w:space="0"/>
              <w:left w:val="single" w:color="auto" w:sz="4" w:space="0"/>
              <w:bottom w:val="single" w:color="auto" w:sz="4" w:space="0"/>
              <w:right w:val="single" w:color="auto" w:sz="4" w:space="0"/>
            </w:tcBorders>
            <w:noWrap w:val="0"/>
            <w:vAlign w:val="top"/>
          </w:tcPr>
          <w:p w14:paraId="1A77966F">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评委根据供应商响应文件中的绿化养护技术方案酌情评分： </w:t>
            </w:r>
          </w:p>
          <w:p w14:paraId="67F0AC10">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1、绿化养护技术方案能结合季节变化针对各自特点进行养护，养护方案全面合理，质量标准具体明确，可操作性强的，得9分；</w:t>
            </w:r>
          </w:p>
          <w:p w14:paraId="5676C3E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2、绿化养护技术方案基本能结合季节变化针对各自特点进行养护，养护方案齐全较为合理，质量标准较为合理，可操作性较强的，得6分；</w:t>
            </w:r>
          </w:p>
          <w:p w14:paraId="27A31A36">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3、绿化养护技术方案有缺失，质量标准一般，可操作性差的，得3分； </w:t>
            </w:r>
          </w:p>
          <w:p w14:paraId="3C9FC3B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4、没有提供相应方案的，不得分。</w:t>
            </w:r>
          </w:p>
        </w:tc>
        <w:tc>
          <w:tcPr>
            <w:tcW w:w="771" w:type="dxa"/>
            <w:tcBorders>
              <w:left w:val="single" w:color="auto" w:sz="4" w:space="0"/>
              <w:bottom w:val="single" w:color="auto" w:sz="4" w:space="0"/>
              <w:right w:val="single" w:color="auto" w:sz="4" w:space="0"/>
            </w:tcBorders>
            <w:noWrap w:val="0"/>
            <w:vAlign w:val="center"/>
          </w:tcPr>
          <w:p w14:paraId="221A3BCF">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eastAsia="zh-CN"/>
              </w:rPr>
              <w:t>分</w:t>
            </w:r>
          </w:p>
        </w:tc>
      </w:tr>
      <w:tr w14:paraId="1137B55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66" w:hRule="atLeast"/>
          <w:jc w:val="center"/>
        </w:trPr>
        <w:tc>
          <w:tcPr>
            <w:tcW w:w="540" w:type="dxa"/>
            <w:vMerge w:val="continue"/>
            <w:tcBorders>
              <w:left w:val="single" w:color="auto" w:sz="4" w:space="0"/>
              <w:right w:val="single" w:color="auto" w:sz="4" w:space="0"/>
            </w:tcBorders>
            <w:noWrap w:val="0"/>
            <w:vAlign w:val="center"/>
          </w:tcPr>
          <w:p w14:paraId="2B0C5983">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1290" w:type="dxa"/>
            <w:vMerge w:val="continue"/>
            <w:tcBorders>
              <w:left w:val="single" w:color="auto" w:sz="4" w:space="0"/>
              <w:right w:val="single" w:color="auto" w:sz="4" w:space="0"/>
            </w:tcBorders>
            <w:noWrap w:val="0"/>
            <w:vAlign w:val="center"/>
          </w:tcPr>
          <w:p w14:paraId="7E336A64">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8109" w:type="dxa"/>
            <w:tcBorders>
              <w:top w:val="single" w:color="auto" w:sz="4" w:space="0"/>
              <w:left w:val="single" w:color="auto" w:sz="4" w:space="0"/>
              <w:bottom w:val="single" w:color="auto" w:sz="4" w:space="0"/>
              <w:right w:val="single" w:color="auto" w:sz="4" w:space="0"/>
            </w:tcBorders>
            <w:noWrap w:val="0"/>
            <w:vAlign w:val="top"/>
          </w:tcPr>
          <w:p w14:paraId="3521B14C">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评委对供应商响应文件中的现场管理方案以及组织架构酌情评分：</w:t>
            </w:r>
          </w:p>
          <w:p w14:paraId="006DA37F">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1、现场管理方案以及组织架构科学、合理，能保证管理落实到位，组织管理体系完善，项目管理人员（例如主管、质检、安检、班组长、管理员等）配备到位，项目管理事项明确，各岗位有明确的分工得8分； </w:t>
            </w:r>
          </w:p>
          <w:p w14:paraId="76301E5F">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2、现场管理方案以及组织架构基本合理，有一定科学性，基本能保证管理落实到位，组织管理体系基本完善，项目管理人员基本配备到位，管理事项、各岗位分工基本明确得6分；</w:t>
            </w:r>
          </w:p>
          <w:p w14:paraId="7B46AD68">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3、现场管理方案以及组织架构不够合理，没有科学性、组织管理体系一般，项目管理人员配备不够到位，项目管理事项不够全面，各岗位分工不够明确得4分；</w:t>
            </w:r>
          </w:p>
          <w:p w14:paraId="50B1E0A9">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4、没有提供相应方案的，不得分。</w:t>
            </w:r>
          </w:p>
        </w:tc>
        <w:tc>
          <w:tcPr>
            <w:tcW w:w="771" w:type="dxa"/>
            <w:tcBorders>
              <w:left w:val="single" w:color="auto" w:sz="4" w:space="0"/>
              <w:bottom w:val="single" w:color="auto" w:sz="4" w:space="0"/>
              <w:right w:val="single" w:color="auto" w:sz="4" w:space="0"/>
            </w:tcBorders>
            <w:noWrap w:val="0"/>
            <w:vAlign w:val="center"/>
          </w:tcPr>
          <w:p w14:paraId="1B494374">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eastAsia="zh-CN"/>
              </w:rPr>
              <w:t>分</w:t>
            </w:r>
          </w:p>
        </w:tc>
      </w:tr>
      <w:tr w14:paraId="1DBEF5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371" w:hRule="atLeast"/>
          <w:jc w:val="center"/>
        </w:trPr>
        <w:tc>
          <w:tcPr>
            <w:tcW w:w="540" w:type="dxa"/>
            <w:vMerge w:val="continue"/>
            <w:tcBorders>
              <w:left w:val="single" w:color="auto" w:sz="4" w:space="0"/>
              <w:right w:val="single" w:color="auto" w:sz="4" w:space="0"/>
            </w:tcBorders>
            <w:noWrap w:val="0"/>
            <w:vAlign w:val="center"/>
          </w:tcPr>
          <w:p w14:paraId="6C1EACCC">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1290" w:type="dxa"/>
            <w:vMerge w:val="continue"/>
            <w:tcBorders>
              <w:left w:val="single" w:color="auto" w:sz="4" w:space="0"/>
              <w:right w:val="single" w:color="auto" w:sz="4" w:space="0"/>
            </w:tcBorders>
            <w:noWrap w:val="0"/>
            <w:vAlign w:val="center"/>
          </w:tcPr>
          <w:p w14:paraId="652226B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8109" w:type="dxa"/>
            <w:tcBorders>
              <w:top w:val="single" w:color="auto" w:sz="4" w:space="0"/>
              <w:left w:val="single" w:color="auto" w:sz="4" w:space="0"/>
              <w:bottom w:val="single" w:color="auto" w:sz="4" w:space="0"/>
              <w:right w:val="single" w:color="auto" w:sz="4" w:space="0"/>
            </w:tcBorders>
            <w:noWrap w:val="0"/>
            <w:vAlign w:val="top"/>
          </w:tcPr>
          <w:p w14:paraId="25273819">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委对供应商响应文件中的内部管理制度和员工考核管理办法等设定酌情评分（包括但不限于：1.制定内部管理和考核办法，考核办法包括：管理人员考核办法、养护工人考核办法等；2.考核内容设定科学、合理，将养护任务分解至全体养护工人，切忌重量轻质；3.制定内部管理清退制度，实行末位淘汰等奖优罚劣措施，保证队伍的素质。）：</w:t>
            </w:r>
          </w:p>
          <w:p w14:paraId="19087054">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1、内部管理制度和员工考核管理办法科学、合理、有效及可操作性强得5分； </w:t>
            </w:r>
          </w:p>
          <w:p w14:paraId="313C3BDB">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2、内部管理制度和员工考核管理办法较为完整、合理、基本有效，有一定可操作性得3分；</w:t>
            </w:r>
          </w:p>
          <w:p w14:paraId="5B5679A1">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3、内部管理制度和员工考核管理办法不够完整，重点不够突出，合理性、可操作性差得1分； </w:t>
            </w:r>
          </w:p>
          <w:p w14:paraId="3254AB9A">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4、没有提供相应方案的，不得分。</w:t>
            </w:r>
          </w:p>
        </w:tc>
        <w:tc>
          <w:tcPr>
            <w:tcW w:w="771" w:type="dxa"/>
            <w:tcBorders>
              <w:left w:val="single" w:color="auto" w:sz="4" w:space="0"/>
              <w:bottom w:val="single" w:color="auto" w:sz="4" w:space="0"/>
              <w:right w:val="single" w:color="auto" w:sz="4" w:space="0"/>
            </w:tcBorders>
            <w:noWrap w:val="0"/>
            <w:vAlign w:val="center"/>
          </w:tcPr>
          <w:p w14:paraId="6FECE601">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分</w:t>
            </w:r>
          </w:p>
        </w:tc>
      </w:tr>
      <w:tr w14:paraId="67D97C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16" w:hRule="atLeast"/>
          <w:jc w:val="center"/>
        </w:trPr>
        <w:tc>
          <w:tcPr>
            <w:tcW w:w="540" w:type="dxa"/>
            <w:vMerge w:val="continue"/>
            <w:tcBorders>
              <w:left w:val="single" w:color="auto" w:sz="4" w:space="0"/>
              <w:right w:val="single" w:color="auto" w:sz="4" w:space="0"/>
            </w:tcBorders>
            <w:noWrap w:val="0"/>
            <w:vAlign w:val="center"/>
          </w:tcPr>
          <w:p w14:paraId="0994D83B">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1290" w:type="dxa"/>
            <w:vMerge w:val="continue"/>
            <w:tcBorders>
              <w:left w:val="single" w:color="auto" w:sz="4" w:space="0"/>
              <w:right w:val="single" w:color="auto" w:sz="4" w:space="0"/>
            </w:tcBorders>
            <w:noWrap w:val="0"/>
            <w:vAlign w:val="center"/>
          </w:tcPr>
          <w:p w14:paraId="1C033BB3">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8109" w:type="dxa"/>
            <w:tcBorders>
              <w:top w:val="single" w:color="auto" w:sz="4" w:space="0"/>
              <w:left w:val="single" w:color="auto" w:sz="4" w:space="0"/>
              <w:bottom w:val="single" w:color="auto" w:sz="4" w:space="0"/>
              <w:right w:val="single" w:color="auto" w:sz="4" w:space="0"/>
            </w:tcBorders>
            <w:noWrap w:val="0"/>
            <w:vAlign w:val="top"/>
          </w:tcPr>
          <w:p w14:paraId="6F13CAE6">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评委根据供应商提供的针对本项目养护期间安全保证措施的规范性、全面性、合理性、针对性、具体性、可靠性、及操作规程科学性等酌情评分：</w:t>
            </w:r>
          </w:p>
          <w:p w14:paraId="319A7386">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1、安全保证措施规范全面、合理、有针对性，具体性、可靠性、操作规程科学性强的，得8分； </w:t>
            </w:r>
          </w:p>
          <w:p w14:paraId="3A69F088">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2、安全保证措施基本规范全面、基本合理、有一定针对性，具体性、可靠性、操作规程科学性满足要求的，得6分；</w:t>
            </w:r>
          </w:p>
          <w:p w14:paraId="779BEA63">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3、安全保证措施不够规范全面、合理性较差、针对性一般，具体性、可靠性、操作规程科学性较差的，得4分；</w:t>
            </w:r>
          </w:p>
          <w:p w14:paraId="138A821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4、没有提供相应方案的，不得分。</w:t>
            </w:r>
          </w:p>
        </w:tc>
        <w:tc>
          <w:tcPr>
            <w:tcW w:w="771" w:type="dxa"/>
            <w:tcBorders>
              <w:left w:val="single" w:color="auto" w:sz="4" w:space="0"/>
              <w:bottom w:val="single" w:color="auto" w:sz="4" w:space="0"/>
              <w:right w:val="single" w:color="auto" w:sz="4" w:space="0"/>
            </w:tcBorders>
            <w:noWrap w:val="0"/>
            <w:vAlign w:val="center"/>
          </w:tcPr>
          <w:p w14:paraId="095C94CD">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eastAsia="zh-CN"/>
              </w:rPr>
              <w:t>分</w:t>
            </w:r>
          </w:p>
        </w:tc>
      </w:tr>
      <w:tr w14:paraId="52ED1AC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16" w:hRule="atLeast"/>
          <w:jc w:val="center"/>
        </w:trPr>
        <w:tc>
          <w:tcPr>
            <w:tcW w:w="540" w:type="dxa"/>
            <w:vMerge w:val="continue"/>
            <w:tcBorders>
              <w:left w:val="single" w:color="auto" w:sz="4" w:space="0"/>
              <w:right w:val="single" w:color="auto" w:sz="4" w:space="0"/>
            </w:tcBorders>
            <w:noWrap w:val="0"/>
            <w:vAlign w:val="center"/>
          </w:tcPr>
          <w:p w14:paraId="2AAF3787">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1290" w:type="dxa"/>
            <w:vMerge w:val="continue"/>
            <w:tcBorders>
              <w:left w:val="single" w:color="auto" w:sz="4" w:space="0"/>
              <w:right w:val="single" w:color="auto" w:sz="4" w:space="0"/>
            </w:tcBorders>
            <w:noWrap w:val="0"/>
            <w:vAlign w:val="center"/>
          </w:tcPr>
          <w:p w14:paraId="6C3F2E0B">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8109" w:type="dxa"/>
            <w:tcBorders>
              <w:top w:val="single" w:color="auto" w:sz="4" w:space="0"/>
              <w:left w:val="single" w:color="auto" w:sz="4" w:space="0"/>
              <w:bottom w:val="single" w:color="auto" w:sz="4" w:space="0"/>
              <w:right w:val="single" w:color="auto" w:sz="4" w:space="0"/>
            </w:tcBorders>
            <w:noWrap w:val="0"/>
            <w:vAlign w:val="top"/>
          </w:tcPr>
          <w:p w14:paraId="6D18A1D9">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评委根据供应商提供的突发事件预案，如防台风，防汛，扫雪防冻等应急处理预案以及针对突发事件的人员组织安排酌情评分： </w:t>
            </w:r>
          </w:p>
          <w:p w14:paraId="168790B8">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1、突发事件应急处理预案完备健全，人员组织安排合理，对本项目服务针对性强，具有实际可操作性的得9分； </w:t>
            </w:r>
          </w:p>
          <w:p w14:paraId="6FF18D7C">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2、突发事件应急处理预案比较完备健全，人员组织安排较为合理，对本项目服务有一定针对性，实际可操作性一般的得6分；</w:t>
            </w:r>
          </w:p>
          <w:p w14:paraId="1293079E">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3、应急处理预案实际操作较差的，得3分；</w:t>
            </w:r>
          </w:p>
          <w:p w14:paraId="3AE86279">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4、没有提供相应方案的，不得分。</w:t>
            </w:r>
          </w:p>
        </w:tc>
        <w:tc>
          <w:tcPr>
            <w:tcW w:w="771" w:type="dxa"/>
            <w:tcBorders>
              <w:left w:val="single" w:color="auto" w:sz="4" w:space="0"/>
              <w:bottom w:val="single" w:color="auto" w:sz="4" w:space="0"/>
              <w:right w:val="single" w:color="auto" w:sz="4" w:space="0"/>
            </w:tcBorders>
            <w:noWrap w:val="0"/>
            <w:vAlign w:val="center"/>
          </w:tcPr>
          <w:p w14:paraId="70463562">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eastAsia="zh-CN"/>
              </w:rPr>
              <w:t>分</w:t>
            </w:r>
          </w:p>
        </w:tc>
      </w:tr>
      <w:tr w14:paraId="2DC1E1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16" w:hRule="atLeast"/>
          <w:jc w:val="center"/>
        </w:trPr>
        <w:tc>
          <w:tcPr>
            <w:tcW w:w="540" w:type="dxa"/>
            <w:vMerge w:val="continue"/>
            <w:tcBorders>
              <w:left w:val="single" w:color="auto" w:sz="4" w:space="0"/>
              <w:bottom w:val="single" w:color="auto" w:sz="4" w:space="0"/>
              <w:right w:val="single" w:color="auto" w:sz="4" w:space="0"/>
            </w:tcBorders>
            <w:noWrap w:val="0"/>
            <w:vAlign w:val="center"/>
          </w:tcPr>
          <w:p w14:paraId="7AFDF959">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1290" w:type="dxa"/>
            <w:vMerge w:val="continue"/>
            <w:tcBorders>
              <w:left w:val="single" w:color="auto" w:sz="4" w:space="0"/>
              <w:bottom w:val="single" w:color="auto" w:sz="4" w:space="0"/>
              <w:right w:val="single" w:color="auto" w:sz="4" w:space="0"/>
            </w:tcBorders>
            <w:noWrap w:val="0"/>
            <w:vAlign w:val="center"/>
          </w:tcPr>
          <w:p w14:paraId="5494E0D0">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p>
        </w:tc>
        <w:tc>
          <w:tcPr>
            <w:tcW w:w="8109" w:type="dxa"/>
            <w:tcBorders>
              <w:top w:val="single" w:color="auto" w:sz="4" w:space="0"/>
              <w:left w:val="single" w:color="auto" w:sz="4" w:space="0"/>
              <w:bottom w:val="single" w:color="auto" w:sz="4" w:space="0"/>
              <w:right w:val="single" w:color="auto" w:sz="4" w:space="0"/>
            </w:tcBorders>
            <w:noWrap w:val="0"/>
            <w:vAlign w:val="top"/>
          </w:tcPr>
          <w:p w14:paraId="1E3AD046">
            <w:pPr>
              <w:pStyle w:val="69"/>
              <w:keepNext w:val="0"/>
              <w:keepLines w:val="0"/>
              <w:pageBreakBefore w:val="0"/>
              <w:widowControl w:val="0"/>
              <w:kinsoku/>
              <w:wordWrap/>
              <w:overflowPunct/>
              <w:topLinePunct w:val="0"/>
              <w:autoSpaceDE w:val="0"/>
              <w:autoSpaceDN w:val="0"/>
              <w:bidi w:val="0"/>
              <w:adjustRightInd/>
              <w:snapToGrid/>
              <w:spacing w:line="360" w:lineRule="exact"/>
              <w:ind w:leftChars="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评委根据供应商提供的突击保障任务、迎查工作、重大活动的措施方案酌情评分：</w:t>
            </w:r>
          </w:p>
          <w:p w14:paraId="3C318A22">
            <w:pPr>
              <w:pStyle w:val="69"/>
              <w:keepNext w:val="0"/>
              <w:keepLines w:val="0"/>
              <w:pageBreakBefore w:val="0"/>
              <w:widowControl w:val="0"/>
              <w:kinsoku/>
              <w:wordWrap/>
              <w:overflowPunct/>
              <w:topLinePunct w:val="0"/>
              <w:autoSpaceDE w:val="0"/>
              <w:autoSpaceDN w:val="0"/>
              <w:bidi w:val="0"/>
              <w:adjustRightInd/>
              <w:snapToGrid/>
              <w:spacing w:line="360" w:lineRule="exact"/>
              <w:ind w:leftChars="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1、措施方案完备健全，对本项目服务针对性强，具有实际可操作性的得8分； </w:t>
            </w:r>
          </w:p>
          <w:p w14:paraId="3CB034D7">
            <w:pPr>
              <w:pStyle w:val="69"/>
              <w:keepNext w:val="0"/>
              <w:keepLines w:val="0"/>
              <w:pageBreakBefore w:val="0"/>
              <w:widowControl w:val="0"/>
              <w:kinsoku/>
              <w:wordWrap/>
              <w:overflowPunct/>
              <w:topLinePunct w:val="0"/>
              <w:autoSpaceDE w:val="0"/>
              <w:autoSpaceDN w:val="0"/>
              <w:bidi w:val="0"/>
              <w:adjustRightInd/>
              <w:snapToGrid/>
              <w:spacing w:line="360" w:lineRule="exact"/>
              <w:ind w:leftChars="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2、措施方案比较完备健全，对本项目服务有一定针对性，实际可操作性较好的得6分； </w:t>
            </w:r>
          </w:p>
          <w:p w14:paraId="1F5A791C">
            <w:pPr>
              <w:pStyle w:val="69"/>
              <w:keepNext w:val="0"/>
              <w:keepLines w:val="0"/>
              <w:pageBreakBefore w:val="0"/>
              <w:widowControl w:val="0"/>
              <w:kinsoku/>
              <w:wordWrap/>
              <w:overflowPunct/>
              <w:topLinePunct w:val="0"/>
              <w:autoSpaceDE w:val="0"/>
              <w:autoSpaceDN w:val="0"/>
              <w:bidi w:val="0"/>
              <w:adjustRightInd/>
              <w:snapToGrid/>
              <w:spacing w:line="360" w:lineRule="exact"/>
              <w:ind w:leftChars="0" w:right="0"/>
              <w:jc w:val="both"/>
              <w:textAlignment w:val="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3、应急处理预案针对性一般，实际可操作性一般的得4分； </w:t>
            </w:r>
          </w:p>
          <w:p w14:paraId="4CE304EA">
            <w:pPr>
              <w:pStyle w:val="69"/>
              <w:keepNext w:val="0"/>
              <w:keepLines w:val="0"/>
              <w:pageBreakBefore w:val="0"/>
              <w:widowControl w:val="0"/>
              <w:kinsoku/>
              <w:wordWrap/>
              <w:overflowPunct/>
              <w:topLinePunct w:val="0"/>
              <w:autoSpaceDE w:val="0"/>
              <w:autoSpaceDN w:val="0"/>
              <w:bidi w:val="0"/>
              <w:adjustRightInd/>
              <w:snapToGrid/>
              <w:spacing w:line="360" w:lineRule="exact"/>
              <w:ind w:leftChars="0" w:right="0"/>
              <w:jc w:val="both"/>
              <w:textAlignment w:val="auto"/>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rPr>
              <w:t>4、没有提供相应方案的，不得分。</w:t>
            </w:r>
          </w:p>
        </w:tc>
        <w:tc>
          <w:tcPr>
            <w:tcW w:w="771" w:type="dxa"/>
            <w:tcBorders>
              <w:left w:val="single" w:color="auto" w:sz="4" w:space="0"/>
              <w:bottom w:val="single" w:color="auto" w:sz="4" w:space="0"/>
              <w:right w:val="single" w:color="auto" w:sz="4" w:space="0"/>
            </w:tcBorders>
            <w:noWrap w:val="0"/>
            <w:vAlign w:val="center"/>
          </w:tcPr>
          <w:p w14:paraId="785FC638">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8分</w:t>
            </w:r>
          </w:p>
        </w:tc>
      </w:tr>
      <w:tr w14:paraId="3FEAD5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7" w:hRule="atLeast"/>
          <w:jc w:val="center"/>
        </w:trPr>
        <w:tc>
          <w:tcPr>
            <w:tcW w:w="540" w:type="dxa"/>
            <w:tcBorders>
              <w:top w:val="single" w:color="auto" w:sz="4" w:space="0"/>
              <w:left w:val="single" w:color="auto" w:sz="4" w:space="0"/>
              <w:right w:val="single" w:color="auto" w:sz="4" w:space="0"/>
            </w:tcBorders>
            <w:noWrap w:val="0"/>
            <w:vAlign w:val="center"/>
          </w:tcPr>
          <w:p w14:paraId="5D3802F0">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p>
        </w:tc>
        <w:tc>
          <w:tcPr>
            <w:tcW w:w="1290" w:type="dxa"/>
            <w:tcBorders>
              <w:top w:val="single" w:color="auto" w:sz="4" w:space="0"/>
              <w:left w:val="single" w:color="auto" w:sz="4" w:space="0"/>
              <w:right w:val="single" w:color="auto" w:sz="4" w:space="0"/>
            </w:tcBorders>
            <w:noWrap w:val="0"/>
            <w:vAlign w:val="center"/>
          </w:tcPr>
          <w:p w14:paraId="35FE8B59">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拟投入</w:t>
            </w:r>
            <w:r>
              <w:rPr>
                <w:rFonts w:hint="eastAsia" w:ascii="宋体" w:hAnsi="宋体" w:eastAsia="宋体" w:cs="宋体"/>
                <w:b w:val="0"/>
                <w:bCs w:val="0"/>
                <w:color w:val="auto"/>
                <w:sz w:val="24"/>
                <w:szCs w:val="24"/>
                <w:highlight w:val="none"/>
                <w:lang w:val="en-US" w:eastAsia="zh-CN"/>
              </w:rPr>
              <w:t>设备</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13</w:t>
            </w:r>
            <w:r>
              <w:rPr>
                <w:rFonts w:hint="eastAsia" w:ascii="宋体" w:hAnsi="宋体" w:eastAsia="宋体" w:cs="宋体"/>
                <w:b w:val="0"/>
                <w:bCs w:val="0"/>
                <w:color w:val="auto"/>
                <w:sz w:val="24"/>
                <w:szCs w:val="24"/>
                <w:highlight w:val="none"/>
              </w:rPr>
              <w:t>分）</w:t>
            </w:r>
          </w:p>
        </w:tc>
        <w:tc>
          <w:tcPr>
            <w:tcW w:w="8109" w:type="dxa"/>
            <w:tcBorders>
              <w:top w:val="single" w:color="auto" w:sz="4" w:space="0"/>
              <w:left w:val="single" w:color="auto" w:sz="4" w:space="0"/>
              <w:right w:val="single" w:color="auto" w:sz="4" w:space="0"/>
            </w:tcBorders>
            <w:noWrap w:val="0"/>
            <w:vAlign w:val="center"/>
          </w:tcPr>
          <w:p w14:paraId="24A58994">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评委对供应商投入本项目的车辆及主要设备的数量、型号种类、车辆设备的所有权等方面进行评价，主要包括： </w:t>
            </w:r>
          </w:p>
          <w:p w14:paraId="3214D504">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1、具有总质量不低于5吨的洒水车，每提供1辆得1分，满分</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 xml:space="preserve">分； </w:t>
            </w:r>
          </w:p>
          <w:p w14:paraId="0B0D1E9D">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2、具有自卸车，每提供1辆得1分，满分1分； </w:t>
            </w:r>
          </w:p>
          <w:p w14:paraId="0B6922A1">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3、具有油锯不少于5台；高枝油锯不少于5台；粉碎机不少于5台；绿篱机不少于5台；割草机不少于5台；割灌机不少于5台；吹风机不少于5台；水泵不少于5台；打药机不少于5台；梳草机不少于5台</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每满足一项得1分，满分10分。</w:t>
            </w:r>
          </w:p>
          <w:p w14:paraId="4D773F56">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（提供以上相应车辆及设备的证明材料，包括本单位的车辆及设备购置发票或租赁合同</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以及车辆的保险、行驶证</w:t>
            </w:r>
            <w:r>
              <w:rPr>
                <w:rFonts w:hint="eastAsia" w:ascii="宋体" w:hAnsi="宋体" w:eastAsia="宋体" w:cs="宋体"/>
                <w:b w:val="0"/>
                <w:bCs w:val="0"/>
                <w:color w:val="auto"/>
                <w:sz w:val="24"/>
                <w:szCs w:val="24"/>
                <w:highlight w:val="none"/>
                <w:lang w:eastAsia="zh-CN"/>
              </w:rPr>
              <w:t>，复印件并加盖</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eastAsia="zh-CN"/>
              </w:rPr>
              <w:t>公章扫描上传至</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lang w:eastAsia="zh-CN"/>
              </w:rPr>
              <w:t>文件中</w:t>
            </w:r>
            <w:r>
              <w:rPr>
                <w:rFonts w:hint="eastAsia" w:ascii="宋体" w:hAnsi="宋体" w:eastAsia="宋体" w:cs="宋体"/>
                <w:b w:val="0"/>
                <w:bCs w:val="0"/>
                <w:color w:val="auto"/>
                <w:sz w:val="24"/>
                <w:szCs w:val="24"/>
                <w:highlight w:val="none"/>
              </w:rPr>
              <w:t>，提供的复印件不清楚的，导致无法识别的，视为未提供</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p>
        </w:tc>
        <w:tc>
          <w:tcPr>
            <w:tcW w:w="771" w:type="dxa"/>
            <w:tcBorders>
              <w:top w:val="single" w:color="auto" w:sz="4" w:space="0"/>
              <w:left w:val="single" w:color="auto" w:sz="4" w:space="0"/>
              <w:right w:val="single" w:color="auto" w:sz="4" w:space="0"/>
            </w:tcBorders>
            <w:noWrap w:val="0"/>
            <w:vAlign w:val="center"/>
          </w:tcPr>
          <w:p w14:paraId="3994B85A">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13分</w:t>
            </w:r>
          </w:p>
        </w:tc>
      </w:tr>
      <w:tr w14:paraId="6E0758C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7"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5BC2E401">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1A88BECB">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项目负责人（2分）</w:t>
            </w:r>
          </w:p>
        </w:tc>
        <w:tc>
          <w:tcPr>
            <w:tcW w:w="8109" w:type="dxa"/>
            <w:tcBorders>
              <w:top w:val="single" w:color="auto" w:sz="4" w:space="0"/>
              <w:left w:val="single" w:color="auto" w:sz="4" w:space="0"/>
              <w:bottom w:val="single" w:color="auto" w:sz="4" w:space="0"/>
              <w:right w:val="single" w:color="auto" w:sz="4" w:space="0"/>
            </w:tcBorders>
            <w:noWrap w:val="0"/>
            <w:vAlign w:val="center"/>
          </w:tcPr>
          <w:p w14:paraId="6FDEA46B">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eastAsia="zh-CN"/>
              </w:rPr>
              <w:t>拟投入本项目的项目负责人具有风景园林专业高级工程师及以上职称的，得2分；具有风景园林专业中级工程师职称的，得1分；满分2分。（提供职称证书以及</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eastAsia="zh-CN"/>
              </w:rPr>
              <w:t>为其缴纳</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eastAsia="zh-CN"/>
              </w:rPr>
              <w:t>近</w:t>
            </w:r>
            <w:r>
              <w:rPr>
                <w:rFonts w:hint="eastAsia" w:ascii="宋体" w:hAnsi="宋体" w:eastAsia="宋体" w:cs="宋体"/>
                <w:b w:val="0"/>
                <w:bCs w:val="0"/>
                <w:color w:val="auto"/>
                <w:sz w:val="24"/>
                <w:szCs w:val="24"/>
                <w:highlight w:val="none"/>
                <w:lang w:val="en-US" w:eastAsia="zh-CN"/>
              </w:rPr>
              <w:t>半年内</w:t>
            </w:r>
            <w:r>
              <w:rPr>
                <w:rFonts w:hint="eastAsia"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2025年12月-2026年5月</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任意一个月</w:t>
            </w:r>
            <w:r>
              <w:rPr>
                <w:rFonts w:hint="eastAsia" w:ascii="宋体" w:hAnsi="宋体" w:eastAsia="宋体" w:cs="宋体"/>
                <w:b w:val="0"/>
                <w:bCs w:val="0"/>
                <w:color w:val="auto"/>
                <w:sz w:val="24"/>
                <w:szCs w:val="24"/>
                <w:highlight w:val="none"/>
                <w:lang w:eastAsia="zh-CN"/>
              </w:rPr>
              <w:t>的社保证明</w:t>
            </w:r>
            <w:r>
              <w:rPr>
                <w:rFonts w:hint="eastAsia" w:ascii="宋体" w:hAnsi="宋体" w:eastAsia="宋体" w:cs="宋体"/>
                <w:b w:val="0"/>
                <w:bCs w:val="0"/>
                <w:color w:val="auto"/>
                <w:sz w:val="24"/>
                <w:szCs w:val="24"/>
                <w:highlight w:val="none"/>
                <w:lang w:val="en-US" w:eastAsia="zh-CN"/>
              </w:rPr>
              <w:t>材料</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职称证书不能反映专业的，提供毕业证书</w:t>
            </w:r>
            <w:r>
              <w:rPr>
                <w:rFonts w:hint="eastAsia" w:cs="宋体"/>
                <w:b w:val="0"/>
                <w:bCs w:val="0"/>
                <w:color w:val="auto"/>
                <w:sz w:val="24"/>
                <w:szCs w:val="24"/>
                <w:highlight w:val="none"/>
                <w:lang w:eastAsia="zh-CN"/>
              </w:rPr>
              <w:t>，</w:t>
            </w:r>
            <w:r>
              <w:rPr>
                <w:rFonts w:hint="eastAsia" w:cs="宋体"/>
                <w:b w:val="0"/>
                <w:bCs w:val="0"/>
                <w:color w:val="auto"/>
                <w:sz w:val="24"/>
                <w:szCs w:val="24"/>
                <w:highlight w:val="none"/>
                <w:lang w:val="en-US" w:eastAsia="zh-CN"/>
              </w:rPr>
              <w:t>提供证明材料</w:t>
            </w:r>
            <w:r>
              <w:rPr>
                <w:rFonts w:hint="eastAsia" w:ascii="宋体" w:hAnsi="宋体" w:eastAsia="宋体" w:cs="宋体"/>
                <w:b w:val="0"/>
                <w:bCs w:val="0"/>
                <w:color w:val="auto"/>
                <w:sz w:val="24"/>
                <w:szCs w:val="24"/>
                <w:highlight w:val="none"/>
                <w:lang w:eastAsia="zh-CN"/>
              </w:rPr>
              <w:t>复印件并加盖</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eastAsia="zh-CN"/>
              </w:rPr>
              <w:t>公章扫描上传至</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lang w:eastAsia="zh-CN"/>
              </w:rPr>
              <w:t>文件中。）</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3DAA3253">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2分</w:t>
            </w:r>
          </w:p>
        </w:tc>
      </w:tr>
      <w:tr w14:paraId="3D5787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7"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50A0845C">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6266DF86">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业  绩</w:t>
            </w:r>
          </w:p>
          <w:p w14:paraId="4D362BE9">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9</w:t>
            </w:r>
            <w:r>
              <w:rPr>
                <w:rFonts w:hint="eastAsia" w:ascii="宋体" w:hAnsi="宋体" w:eastAsia="宋体" w:cs="宋体"/>
                <w:b w:val="0"/>
                <w:bCs w:val="0"/>
                <w:color w:val="auto"/>
                <w:sz w:val="24"/>
                <w:szCs w:val="24"/>
                <w:highlight w:val="none"/>
              </w:rPr>
              <w:t>分）</w:t>
            </w:r>
          </w:p>
        </w:tc>
        <w:tc>
          <w:tcPr>
            <w:tcW w:w="8109" w:type="dxa"/>
            <w:tcBorders>
              <w:top w:val="single" w:color="auto" w:sz="4" w:space="0"/>
              <w:left w:val="single" w:color="auto" w:sz="4" w:space="0"/>
              <w:bottom w:val="single" w:color="auto" w:sz="4" w:space="0"/>
              <w:right w:val="single" w:color="auto" w:sz="4" w:space="0"/>
            </w:tcBorders>
            <w:noWrap w:val="0"/>
            <w:vAlign w:val="center"/>
          </w:tcPr>
          <w:p w14:paraId="1AE830F8">
            <w:pPr>
              <w:keepNext w:val="0"/>
              <w:keepLines w:val="0"/>
              <w:pageBreakBefore w:val="0"/>
              <w:widowControl w:val="0"/>
              <w:kinsoku/>
              <w:wordWrap/>
              <w:overflowPunct/>
              <w:topLinePunct w:val="0"/>
              <w:autoSpaceDE w:val="0"/>
              <w:autoSpaceDN w:val="0"/>
              <w:bidi w:val="0"/>
              <w:adjustRightInd/>
              <w:snapToGrid/>
              <w:spacing w:line="360" w:lineRule="exact"/>
              <w:ind w:leftChars="0" w:right="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供应商自2020年</w:t>
            </w:r>
            <w:r>
              <w:rPr>
                <w:rFonts w:hint="eastAsia"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月1日（含）以来，承担过类似</w:t>
            </w:r>
            <w:r>
              <w:rPr>
                <w:rFonts w:hint="eastAsia" w:ascii="宋体" w:hAnsi="宋体" w:eastAsia="宋体" w:cs="宋体"/>
                <w:b w:val="0"/>
                <w:bCs w:val="0"/>
                <w:color w:val="auto"/>
                <w:sz w:val="24"/>
                <w:szCs w:val="24"/>
                <w:highlight w:val="none"/>
                <w:lang w:val="en-US" w:eastAsia="zh-CN"/>
              </w:rPr>
              <w:t>养护</w:t>
            </w:r>
            <w:r>
              <w:rPr>
                <w:rFonts w:hint="eastAsia" w:ascii="宋体" w:hAnsi="宋体" w:eastAsia="宋体" w:cs="宋体"/>
                <w:b w:val="0"/>
                <w:bCs w:val="0"/>
                <w:color w:val="auto"/>
                <w:sz w:val="24"/>
                <w:szCs w:val="24"/>
                <w:highlight w:val="none"/>
                <w:lang w:eastAsia="zh-CN"/>
              </w:rPr>
              <w:t>业绩的，每提供一个得3分，满分9分。（提供合同复印件并加盖</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eastAsia="zh-CN"/>
              </w:rPr>
              <w:t>公章扫描上传至</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lang w:eastAsia="zh-CN"/>
              </w:rPr>
              <w:t>文件中。时间以合同</w:t>
            </w:r>
            <w:r>
              <w:rPr>
                <w:rFonts w:hint="eastAsia" w:cs="宋体"/>
                <w:b w:val="0"/>
                <w:bCs w:val="0"/>
                <w:color w:val="auto"/>
                <w:sz w:val="24"/>
                <w:szCs w:val="24"/>
                <w:highlight w:val="none"/>
                <w:lang w:val="en-US" w:eastAsia="zh-CN"/>
              </w:rPr>
              <w:t>签订的时间</w:t>
            </w:r>
            <w:r>
              <w:rPr>
                <w:rFonts w:hint="eastAsia" w:ascii="宋体" w:hAnsi="宋体" w:eastAsia="宋体" w:cs="宋体"/>
                <w:b w:val="0"/>
                <w:bCs w:val="0"/>
                <w:color w:val="auto"/>
                <w:sz w:val="24"/>
                <w:szCs w:val="24"/>
                <w:highlight w:val="none"/>
                <w:lang w:eastAsia="zh-CN"/>
              </w:rPr>
              <w:t>为准，未提供或提供的证明材料无法反映相关数据内容的不得分）。</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497A16D3">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eastAsia="zh-CN"/>
              </w:rPr>
              <w:t>9</w:t>
            </w:r>
            <w:r>
              <w:rPr>
                <w:rFonts w:hint="eastAsia" w:ascii="宋体" w:hAnsi="宋体" w:eastAsia="宋体" w:cs="宋体"/>
                <w:b w:val="0"/>
                <w:bCs w:val="0"/>
                <w:color w:val="auto"/>
                <w:sz w:val="24"/>
                <w:szCs w:val="24"/>
                <w:highlight w:val="none"/>
                <w:lang w:val="en-US" w:eastAsia="zh-CN"/>
              </w:rPr>
              <w:t>分</w:t>
            </w:r>
          </w:p>
        </w:tc>
      </w:tr>
      <w:tr w14:paraId="01FBC0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21" w:hRule="atLeast"/>
          <w:jc w:val="center"/>
        </w:trPr>
        <w:tc>
          <w:tcPr>
            <w:tcW w:w="9939" w:type="dxa"/>
            <w:gridSpan w:val="3"/>
            <w:tcBorders>
              <w:top w:val="single" w:color="auto" w:sz="4" w:space="0"/>
              <w:left w:val="single" w:color="auto" w:sz="4" w:space="0"/>
              <w:bottom w:val="single" w:color="auto" w:sz="4" w:space="0"/>
              <w:right w:val="single" w:color="auto" w:sz="4" w:space="0"/>
            </w:tcBorders>
            <w:noWrap w:val="0"/>
            <w:vAlign w:val="center"/>
          </w:tcPr>
          <w:p w14:paraId="4FA5124A">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合计</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1BD902B7">
            <w:pPr>
              <w:keepNext w:val="0"/>
              <w:keepLines w:val="0"/>
              <w:pageBreakBefore w:val="0"/>
              <w:widowControl w:val="0"/>
              <w:kinsoku/>
              <w:wordWrap/>
              <w:overflowPunct/>
              <w:topLinePunct w:val="0"/>
              <w:autoSpaceDE w:val="0"/>
              <w:autoSpaceDN w:val="0"/>
              <w:bidi w:val="0"/>
              <w:adjustRightInd/>
              <w:snapToGrid/>
              <w:spacing w:line="360" w:lineRule="exact"/>
              <w:ind w:leftChars="0" w:right="0"/>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100分</w:t>
            </w:r>
          </w:p>
        </w:tc>
      </w:tr>
    </w:tbl>
    <w:p w14:paraId="5D2D446D">
      <w:pPr>
        <w:rPr>
          <w:rFonts w:hint="eastAsia"/>
          <w:b/>
          <w:bCs/>
          <w:color w:val="auto"/>
          <w:highlight w:val="none"/>
          <w:lang w:eastAsia="zh-CN"/>
        </w:rPr>
      </w:pPr>
      <w:r>
        <w:rPr>
          <w:rFonts w:hint="eastAsia" w:ascii="宋体" w:hAnsi="宋体" w:eastAsia="宋体" w:cs="宋体"/>
          <w:b/>
          <w:bCs/>
          <w:color w:val="auto"/>
          <w:sz w:val="32"/>
          <w:szCs w:val="32"/>
          <w:highlight w:val="none"/>
          <w:lang w:val="en-US" w:eastAsia="zh-CN"/>
        </w:rPr>
        <w:br w:type="page"/>
      </w:r>
      <w:bookmarkEnd w:id="388"/>
      <w:bookmarkStart w:id="389" w:name="_Toc32332"/>
    </w:p>
    <w:bookmarkEnd w:id="389"/>
    <w:p w14:paraId="6C26D997">
      <w:pPr>
        <w:pStyle w:val="3"/>
        <w:autoSpaceDE/>
        <w:autoSpaceDN/>
        <w:spacing w:line="360" w:lineRule="auto"/>
        <w:jc w:val="center"/>
        <w:rPr>
          <w:b/>
          <w:bCs/>
          <w:color w:val="auto"/>
          <w:highlight w:val="none"/>
          <w:lang w:eastAsia="zh-CN"/>
        </w:rPr>
      </w:pPr>
      <w:bookmarkStart w:id="390" w:name="_Toc6688"/>
      <w:bookmarkStart w:id="391" w:name="_Toc27369"/>
      <w:r>
        <w:rPr>
          <w:rFonts w:hint="eastAsia"/>
          <w:b/>
          <w:bCs/>
          <w:color w:val="auto"/>
          <w:highlight w:val="none"/>
          <w:lang w:eastAsia="zh-CN"/>
        </w:rPr>
        <w:t>第六章 投标文件格式</w:t>
      </w:r>
      <w:bookmarkEnd w:id="387"/>
      <w:bookmarkEnd w:id="390"/>
      <w:bookmarkEnd w:id="391"/>
    </w:p>
    <w:p w14:paraId="44254090">
      <w:pPr>
        <w:autoSpaceDE/>
        <w:autoSpaceDN/>
        <w:spacing w:line="360" w:lineRule="auto"/>
        <w:rPr>
          <w:color w:val="auto"/>
          <w:highlight w:val="none"/>
          <w:lang w:eastAsia="zh-CN"/>
        </w:rPr>
      </w:pPr>
    </w:p>
    <w:p w14:paraId="4F7DB2B7">
      <w:pPr>
        <w:autoSpaceDE/>
        <w:autoSpaceDN/>
        <w:spacing w:line="360" w:lineRule="auto"/>
        <w:jc w:val="center"/>
        <w:rPr>
          <w:b/>
          <w:bCs/>
          <w:color w:val="auto"/>
          <w:sz w:val="72"/>
          <w:szCs w:val="72"/>
          <w:highlight w:val="none"/>
          <w:lang w:eastAsia="zh-CN"/>
        </w:rPr>
      </w:pPr>
    </w:p>
    <w:p w14:paraId="52CAABE4">
      <w:pPr>
        <w:autoSpaceDE/>
        <w:autoSpaceDN/>
        <w:spacing w:line="360" w:lineRule="auto"/>
        <w:jc w:val="center"/>
        <w:rPr>
          <w:b/>
          <w:bCs/>
          <w:color w:val="auto"/>
          <w:sz w:val="72"/>
          <w:szCs w:val="72"/>
          <w:highlight w:val="none"/>
          <w:lang w:eastAsia="zh-CN"/>
        </w:rPr>
      </w:pPr>
      <w:r>
        <w:rPr>
          <w:rFonts w:hint="eastAsia"/>
          <w:b/>
          <w:bCs/>
          <w:color w:val="auto"/>
          <w:sz w:val="72"/>
          <w:szCs w:val="72"/>
          <w:highlight w:val="none"/>
          <w:lang w:eastAsia="zh-CN"/>
        </w:rPr>
        <w:t>投</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件</w:t>
      </w:r>
    </w:p>
    <w:p w14:paraId="502FDD1B">
      <w:pPr>
        <w:autoSpaceDE/>
        <w:autoSpaceDN/>
        <w:spacing w:line="360" w:lineRule="auto"/>
        <w:jc w:val="center"/>
        <w:rPr>
          <w:b/>
          <w:bCs/>
          <w:color w:val="auto"/>
          <w:sz w:val="36"/>
          <w:szCs w:val="36"/>
          <w:highlight w:val="none"/>
          <w:lang w:eastAsia="zh-CN"/>
        </w:rPr>
      </w:pPr>
    </w:p>
    <w:p w14:paraId="4DDDE20C">
      <w:pPr>
        <w:autoSpaceDE/>
        <w:autoSpaceDN/>
        <w:spacing w:line="360" w:lineRule="auto"/>
        <w:jc w:val="center"/>
        <w:rPr>
          <w:b/>
          <w:bCs/>
          <w:color w:val="auto"/>
          <w:sz w:val="36"/>
          <w:szCs w:val="36"/>
          <w:highlight w:val="none"/>
          <w:lang w:eastAsia="zh-CN"/>
        </w:rPr>
      </w:pPr>
    </w:p>
    <w:p w14:paraId="7A2EF78D">
      <w:pPr>
        <w:pStyle w:val="40"/>
        <w:rPr>
          <w:b/>
          <w:bCs/>
          <w:color w:val="auto"/>
          <w:sz w:val="36"/>
          <w:szCs w:val="36"/>
          <w:highlight w:val="none"/>
          <w:lang w:eastAsia="zh-CN"/>
        </w:rPr>
      </w:pPr>
    </w:p>
    <w:p w14:paraId="2E7A4ECF">
      <w:pPr>
        <w:pStyle w:val="40"/>
        <w:rPr>
          <w:b/>
          <w:bCs/>
          <w:color w:val="auto"/>
          <w:sz w:val="36"/>
          <w:szCs w:val="36"/>
          <w:highlight w:val="none"/>
          <w:lang w:eastAsia="zh-CN"/>
        </w:rPr>
      </w:pPr>
    </w:p>
    <w:p w14:paraId="63D852F1">
      <w:pPr>
        <w:pStyle w:val="40"/>
        <w:rPr>
          <w:b/>
          <w:bCs/>
          <w:color w:val="auto"/>
          <w:sz w:val="36"/>
          <w:szCs w:val="36"/>
          <w:highlight w:val="none"/>
          <w:lang w:eastAsia="zh-CN"/>
        </w:rPr>
      </w:pPr>
    </w:p>
    <w:p w14:paraId="4476EE71">
      <w:pPr>
        <w:pStyle w:val="40"/>
        <w:rPr>
          <w:b/>
          <w:bCs/>
          <w:color w:val="auto"/>
          <w:sz w:val="36"/>
          <w:szCs w:val="36"/>
          <w:highlight w:val="none"/>
          <w:lang w:eastAsia="zh-CN"/>
        </w:rPr>
      </w:pPr>
    </w:p>
    <w:p w14:paraId="455B3EF8">
      <w:pPr>
        <w:pStyle w:val="40"/>
        <w:rPr>
          <w:b/>
          <w:bCs/>
          <w:color w:val="auto"/>
          <w:sz w:val="36"/>
          <w:szCs w:val="36"/>
          <w:highlight w:val="none"/>
          <w:lang w:eastAsia="zh-CN"/>
        </w:rPr>
      </w:pPr>
    </w:p>
    <w:p w14:paraId="190ABABC">
      <w:pPr>
        <w:pStyle w:val="40"/>
        <w:rPr>
          <w:b/>
          <w:bCs/>
          <w:color w:val="auto"/>
          <w:sz w:val="36"/>
          <w:szCs w:val="36"/>
          <w:highlight w:val="none"/>
          <w:lang w:eastAsia="zh-CN"/>
        </w:rPr>
      </w:pPr>
    </w:p>
    <w:p w14:paraId="30CF0C60">
      <w:pPr>
        <w:pStyle w:val="40"/>
        <w:rPr>
          <w:b/>
          <w:bCs/>
          <w:color w:val="auto"/>
          <w:sz w:val="36"/>
          <w:szCs w:val="36"/>
          <w:highlight w:val="none"/>
          <w:lang w:eastAsia="zh-CN"/>
        </w:rPr>
      </w:pPr>
    </w:p>
    <w:p w14:paraId="51D6F04D">
      <w:pPr>
        <w:pStyle w:val="40"/>
        <w:rPr>
          <w:b/>
          <w:bCs/>
          <w:color w:val="auto"/>
          <w:sz w:val="36"/>
          <w:szCs w:val="36"/>
          <w:highlight w:val="none"/>
          <w:lang w:eastAsia="zh-CN"/>
        </w:rPr>
      </w:pPr>
    </w:p>
    <w:p w14:paraId="0B1F9580">
      <w:pPr>
        <w:autoSpaceDE/>
        <w:autoSpaceDN/>
        <w:spacing w:line="360" w:lineRule="auto"/>
        <w:rPr>
          <w:b/>
          <w:bCs/>
          <w:color w:val="auto"/>
          <w:sz w:val="32"/>
          <w:szCs w:val="32"/>
          <w:highlight w:val="none"/>
          <w:lang w:eastAsia="zh-CN"/>
        </w:rPr>
      </w:pPr>
      <w:r>
        <w:rPr>
          <w:rFonts w:hint="eastAsia"/>
          <w:b/>
          <w:bCs/>
          <w:color w:val="auto"/>
          <w:sz w:val="32"/>
          <w:szCs w:val="32"/>
          <w:highlight w:val="none"/>
          <w:lang w:eastAsia="zh-CN"/>
        </w:rPr>
        <w:t>项 目 编 号：JSZC-320111-XMGL-G2026-0005</w:t>
      </w:r>
      <w:r>
        <w:rPr>
          <w:rFonts w:hint="eastAsia"/>
          <w:b/>
          <w:bCs/>
          <w:color w:val="auto"/>
          <w:sz w:val="32"/>
          <w:szCs w:val="32"/>
          <w:highlight w:val="none"/>
          <w:u w:val="single"/>
          <w:lang w:eastAsia="zh-CN"/>
        </w:rPr>
        <w:t xml:space="preserve">       </w:t>
      </w:r>
    </w:p>
    <w:p w14:paraId="15443B58">
      <w:pPr>
        <w:autoSpaceDE/>
        <w:autoSpaceDN/>
        <w:spacing w:line="360" w:lineRule="auto"/>
        <w:rPr>
          <w:b/>
          <w:bCs/>
          <w:color w:val="auto"/>
          <w:sz w:val="32"/>
          <w:szCs w:val="32"/>
          <w:highlight w:val="none"/>
          <w:u w:val="single"/>
          <w:lang w:eastAsia="zh-CN"/>
        </w:rPr>
      </w:pPr>
      <w:r>
        <w:rPr>
          <w:rFonts w:hint="eastAsia"/>
          <w:b/>
          <w:bCs/>
          <w:color w:val="auto"/>
          <w:sz w:val="32"/>
          <w:szCs w:val="32"/>
          <w:highlight w:val="none"/>
          <w:lang w:eastAsia="zh-CN"/>
        </w:rPr>
        <w:t>项 目 名 称：</w:t>
      </w:r>
      <w:r>
        <w:rPr>
          <w:rFonts w:hint="eastAsia"/>
          <w:b/>
          <w:bCs/>
          <w:color w:val="auto"/>
          <w:sz w:val="32"/>
          <w:szCs w:val="32"/>
          <w:highlight w:val="none"/>
          <w:lang w:val="zh-CN" w:eastAsia="zh-CN"/>
        </w:rPr>
        <w:t>汤泉街道2026-2029年度九龙湖及周边地区景观绿化养护项目</w:t>
      </w:r>
      <w:r>
        <w:rPr>
          <w:rFonts w:hint="eastAsia"/>
          <w:b/>
          <w:bCs/>
          <w:color w:val="auto"/>
          <w:sz w:val="32"/>
          <w:szCs w:val="32"/>
          <w:highlight w:val="none"/>
          <w:lang w:eastAsia="zh-CN"/>
        </w:rPr>
        <w:t xml:space="preserve"> </w:t>
      </w:r>
      <w:r>
        <w:rPr>
          <w:rFonts w:hint="eastAsia"/>
          <w:b/>
          <w:bCs/>
          <w:color w:val="auto"/>
          <w:sz w:val="32"/>
          <w:szCs w:val="32"/>
          <w:highlight w:val="none"/>
          <w:u w:val="single"/>
          <w:lang w:eastAsia="zh-CN"/>
        </w:rPr>
        <w:t xml:space="preserve">                                                     </w:t>
      </w:r>
    </w:p>
    <w:p w14:paraId="633FA3FA">
      <w:pPr>
        <w:autoSpaceDE/>
        <w:autoSpaceDN/>
        <w:spacing w:line="360" w:lineRule="auto"/>
        <w:rPr>
          <w:b/>
          <w:bCs/>
          <w:color w:val="auto"/>
          <w:sz w:val="32"/>
          <w:szCs w:val="32"/>
          <w:highlight w:val="none"/>
          <w:lang w:eastAsia="zh-CN"/>
        </w:rPr>
      </w:pPr>
      <w:r>
        <w:rPr>
          <w:rFonts w:hint="eastAsia"/>
          <w:b/>
          <w:bCs/>
          <w:color w:val="auto"/>
          <w:sz w:val="32"/>
          <w:szCs w:val="32"/>
          <w:highlight w:val="none"/>
          <w:lang w:eastAsia="zh-CN"/>
        </w:rPr>
        <w:t xml:space="preserve">投标人名称 （加盖电子公章）：  </w:t>
      </w:r>
      <w:r>
        <w:rPr>
          <w:rFonts w:hint="eastAsia"/>
          <w:b/>
          <w:bCs/>
          <w:color w:val="auto"/>
          <w:sz w:val="32"/>
          <w:szCs w:val="32"/>
          <w:highlight w:val="none"/>
          <w:u w:val="single"/>
          <w:lang w:eastAsia="zh-CN"/>
        </w:rPr>
        <w:t xml:space="preserve">                 </w:t>
      </w:r>
    </w:p>
    <w:p w14:paraId="51A92FFE">
      <w:pPr>
        <w:autoSpaceDE/>
        <w:autoSpaceDN/>
        <w:spacing w:line="360" w:lineRule="auto"/>
        <w:rPr>
          <w:b/>
          <w:bCs/>
          <w:color w:val="auto"/>
          <w:sz w:val="36"/>
          <w:szCs w:val="36"/>
          <w:highlight w:val="none"/>
          <w:lang w:eastAsia="zh-CN"/>
        </w:rPr>
      </w:pPr>
      <w:r>
        <w:rPr>
          <w:rFonts w:hint="eastAsia"/>
          <w:b/>
          <w:bCs/>
          <w:color w:val="auto"/>
          <w:sz w:val="32"/>
          <w:szCs w:val="32"/>
          <w:highlight w:val="none"/>
          <w:lang w:eastAsia="zh-CN"/>
        </w:rPr>
        <w:t>日      期 ：</w:t>
      </w:r>
      <w:r>
        <w:rPr>
          <w:rFonts w:hint="eastAsia"/>
          <w:b/>
          <w:bCs/>
          <w:color w:val="auto"/>
          <w:sz w:val="32"/>
          <w:szCs w:val="32"/>
          <w:highlight w:val="none"/>
          <w:u w:val="single"/>
          <w:lang w:eastAsia="zh-CN"/>
        </w:rPr>
        <w:t xml:space="preserve">                                                    </w:t>
      </w:r>
    </w:p>
    <w:p w14:paraId="51F547C4">
      <w:pPr>
        <w:autoSpaceDE/>
        <w:autoSpaceDN/>
        <w:spacing w:line="360" w:lineRule="auto"/>
        <w:rPr>
          <w:color w:val="auto"/>
          <w:sz w:val="24"/>
          <w:szCs w:val="24"/>
          <w:highlight w:val="none"/>
          <w:lang w:eastAsia="zh-CN"/>
        </w:rPr>
      </w:pPr>
      <w:r>
        <w:rPr>
          <w:rFonts w:hint="eastAsia"/>
          <w:color w:val="auto"/>
          <w:sz w:val="24"/>
          <w:szCs w:val="24"/>
          <w:highlight w:val="none"/>
          <w:lang w:eastAsia="zh-CN"/>
        </w:rPr>
        <w:br w:type="page"/>
      </w:r>
    </w:p>
    <w:p w14:paraId="27518146">
      <w:pPr>
        <w:jc w:val="center"/>
        <w:rPr>
          <w:rFonts w:hint="eastAsia" w:ascii="宋体" w:hAnsi="宋体"/>
          <w:b/>
          <w:bCs/>
          <w:color w:val="auto"/>
          <w:sz w:val="32"/>
          <w:szCs w:val="32"/>
          <w:highlight w:val="none"/>
        </w:rPr>
      </w:pPr>
      <w:r>
        <w:rPr>
          <w:rFonts w:hint="eastAsia" w:ascii="方正黑体_GBK" w:hAnsi="方正黑体_GBK" w:eastAsia="方正黑体_GBK" w:cs="方正黑体_GBK"/>
          <w:b w:val="0"/>
          <w:bCs w:val="0"/>
          <w:color w:val="auto"/>
          <w:kern w:val="0"/>
          <w:sz w:val="32"/>
          <w:szCs w:val="32"/>
          <w:highlight w:val="none"/>
        </w:rPr>
        <w:t>投标文件目录</w:t>
      </w:r>
    </w:p>
    <w:p w14:paraId="7AB74D79">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投标函</w:t>
      </w:r>
    </w:p>
    <w:p w14:paraId="17650191">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二、法人授权书</w:t>
      </w:r>
    </w:p>
    <w:p w14:paraId="4A10A6F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三、满足特定资格要求的证明文件</w:t>
      </w:r>
    </w:p>
    <w:p w14:paraId="5147236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四、开标一览表</w:t>
      </w:r>
    </w:p>
    <w:p w14:paraId="3233E790">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五、技术要求响应及偏离表</w:t>
      </w:r>
    </w:p>
    <w:p w14:paraId="68DA578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六、商务要求响应及偏离表</w:t>
      </w:r>
    </w:p>
    <w:p w14:paraId="16C7FF1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七、类似业绩情况表</w:t>
      </w:r>
    </w:p>
    <w:p w14:paraId="2D267B5F">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八、</w:t>
      </w:r>
      <w:bookmarkStart w:id="392" w:name="_Toc5606"/>
      <w:bookmarkStart w:id="393" w:name="_Toc15642"/>
      <w:bookmarkStart w:id="394" w:name="_Toc13506"/>
      <w:bookmarkStart w:id="395" w:name="_Toc96265021"/>
      <w:r>
        <w:rPr>
          <w:rFonts w:hint="eastAsia" w:ascii="宋体" w:hAnsi="宋体" w:eastAsia="宋体" w:cs="宋体"/>
          <w:b w:val="0"/>
          <w:bCs w:val="0"/>
          <w:i w:val="0"/>
          <w:color w:val="auto"/>
          <w:sz w:val="28"/>
          <w:szCs w:val="28"/>
          <w:highlight w:val="none"/>
          <w:u w:val="none"/>
          <w:lang w:val="en-US" w:eastAsia="zh-CN"/>
        </w:rPr>
        <w:t>项目人员配置表</w:t>
      </w:r>
      <w:bookmarkEnd w:id="392"/>
      <w:bookmarkEnd w:id="393"/>
      <w:bookmarkEnd w:id="394"/>
      <w:bookmarkEnd w:id="395"/>
    </w:p>
    <w:p w14:paraId="4DBD5A6D">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九、投入本项目的车辆及主要设备</w:t>
      </w:r>
    </w:p>
    <w:p w14:paraId="1AF4F8A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十、供应商认为有必要提供的其它材料</w:t>
      </w:r>
    </w:p>
    <w:p w14:paraId="6EA0CFEF">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十一、中小企业声明函（如有）</w:t>
      </w:r>
    </w:p>
    <w:p w14:paraId="3BC325C7">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十二、残疾人福利性单位声明函（如有）</w:t>
      </w:r>
    </w:p>
    <w:p w14:paraId="60021B45">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十三、联合体协议（如有）</w:t>
      </w:r>
    </w:p>
    <w:p w14:paraId="688E1A50">
      <w:pPr>
        <w:spacing w:line="440" w:lineRule="exact"/>
        <w:ind w:firstLine="480" w:firstLineChars="200"/>
        <w:rPr>
          <w:rFonts w:ascii="宋体" w:hAnsi="宋体"/>
          <w:color w:val="auto"/>
          <w:sz w:val="24"/>
          <w:highlight w:val="none"/>
        </w:rPr>
      </w:pPr>
    </w:p>
    <w:p w14:paraId="2F9F5048">
      <w:pPr>
        <w:rPr>
          <w:rFonts w:hint="eastAsia" w:ascii="黑体" w:hAnsi="黑体" w:eastAsia="黑体" w:cs="Times New Roman"/>
          <w:i w:val="0"/>
          <w:color w:val="auto"/>
          <w:sz w:val="32"/>
          <w:szCs w:val="32"/>
          <w:highlight w:val="none"/>
          <w:u w:val="none"/>
          <w:lang w:val="en-US" w:eastAsia="zh-CN"/>
        </w:rPr>
      </w:pPr>
      <w:bookmarkStart w:id="396" w:name="_Toc120614284"/>
      <w:r>
        <w:rPr>
          <w:rFonts w:hint="eastAsia" w:ascii="黑体" w:hAnsi="黑体" w:eastAsia="黑体" w:cs="Times New Roman"/>
          <w:i w:val="0"/>
          <w:color w:val="auto"/>
          <w:sz w:val="32"/>
          <w:szCs w:val="32"/>
          <w:highlight w:val="none"/>
          <w:u w:val="none"/>
          <w:lang w:val="en-US" w:eastAsia="zh-CN"/>
        </w:rPr>
        <w:br w:type="page"/>
      </w:r>
    </w:p>
    <w:p w14:paraId="27D443C2">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一、投标函</w:t>
      </w:r>
    </w:p>
    <w:p w14:paraId="2A2F6ACE">
      <w:pPr>
        <w:adjustRightInd w:val="0"/>
        <w:snapToGrid w:val="0"/>
        <w:spacing w:line="360" w:lineRule="auto"/>
        <w:jc w:val="center"/>
        <w:outlineLvl w:val="2"/>
        <w:rPr>
          <w:rFonts w:hint="eastAsia" w:ascii="方正小标宋简体" w:hAnsi="方正小标宋简体" w:eastAsia="方正小标宋简体" w:cs="方正小标宋简体"/>
          <w:color w:val="auto"/>
          <w:sz w:val="32"/>
          <w:szCs w:val="32"/>
          <w:highlight w:val="none"/>
          <w:lang w:val="en-US"/>
        </w:rPr>
      </w:pPr>
      <w:bookmarkStart w:id="397" w:name="_Toc14959"/>
      <w:r>
        <w:rPr>
          <w:rFonts w:hint="eastAsia" w:ascii="方正小标宋简体" w:hAnsi="方正小标宋简体" w:eastAsia="方正小标宋简体" w:cs="方正小标宋简体"/>
          <w:color w:val="auto"/>
          <w:sz w:val="32"/>
          <w:szCs w:val="32"/>
          <w:highlight w:val="none"/>
          <w:lang w:val="en-US" w:eastAsia="zh-CN"/>
        </w:rPr>
        <w:t>投标函</w:t>
      </w:r>
      <w:bookmarkEnd w:id="397"/>
    </w:p>
    <w:p w14:paraId="1DA94904">
      <w:pPr>
        <w:keepNext w:val="0"/>
        <w:keepLines w:val="0"/>
        <w:pageBreakBefore w:val="0"/>
        <w:widowControl w:val="0"/>
        <w:kinsoku/>
        <w:wordWrap/>
        <w:overflowPunct/>
        <w:topLinePunct w:val="0"/>
        <w:autoSpaceDE/>
        <w:autoSpaceDN/>
        <w:bidi w:val="0"/>
        <w:adjustRightInd w:val="0"/>
        <w:snapToGrid/>
        <w:spacing w:line="440" w:lineRule="exact"/>
        <w:ind w:right="0"/>
        <w:textAlignment w:val="auto"/>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致：</w:t>
      </w:r>
      <w:r>
        <w:rPr>
          <w:rFonts w:hint="eastAsia" w:cs="宋体"/>
          <w:b w:val="0"/>
          <w:bCs w:val="0"/>
          <w:color w:val="auto"/>
          <w:sz w:val="24"/>
          <w:szCs w:val="24"/>
          <w:highlight w:val="none"/>
          <w:u w:val="single"/>
          <w:lang w:val="zh-CN" w:eastAsia="zh-CN"/>
        </w:rPr>
        <w:t>南京市浦口区人民政府汤泉街道办事处</w:t>
      </w:r>
    </w:p>
    <w:p w14:paraId="728B5DFF">
      <w:pPr>
        <w:pStyle w:val="91"/>
        <w:spacing w:before="0" w:after="0" w:line="420" w:lineRule="exact"/>
        <w:ind w:firstLine="480" w:firstLineChars="200"/>
        <w:rPr>
          <w:rFonts w:hint="eastAsia" w:ascii="宋体" w:hAnsi="宋体"/>
          <w:color w:val="auto"/>
          <w:kern w:val="2"/>
          <w:szCs w:val="21"/>
          <w:highlight w:val="none"/>
        </w:rPr>
      </w:pPr>
      <w:r>
        <w:rPr>
          <w:rFonts w:hint="eastAsia" w:ascii="宋体" w:hAnsi="宋体"/>
          <w:color w:val="auto"/>
          <w:kern w:val="2"/>
          <w:szCs w:val="21"/>
          <w:highlight w:val="none"/>
        </w:rPr>
        <w:t>根据贵方</w:t>
      </w:r>
      <w:r>
        <w:rPr>
          <w:rFonts w:hint="eastAsia" w:ascii="宋体" w:hAnsi="宋体"/>
          <w:color w:val="auto"/>
          <w:kern w:val="2"/>
          <w:szCs w:val="21"/>
          <w:highlight w:val="none"/>
          <w:lang w:val="en-US" w:eastAsia="zh-CN"/>
        </w:rPr>
        <w:t>编号及项目名称为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的</w:t>
      </w:r>
      <w:r>
        <w:rPr>
          <w:rFonts w:hint="eastAsia" w:ascii="宋体" w:hAnsi="宋体" w:eastAsia="宋体" w:cs="Times New Roman"/>
          <w:color w:val="auto"/>
          <w:sz w:val="24"/>
          <w:szCs w:val="21"/>
          <w:highlight w:val="none"/>
          <w:lang w:val="en-US" w:eastAsia="zh-CN"/>
        </w:rPr>
        <w:t>项目</w:t>
      </w:r>
      <w:r>
        <w:rPr>
          <w:rFonts w:hint="eastAsia" w:ascii="宋体" w:hAnsi="宋体"/>
          <w:color w:val="auto"/>
          <w:kern w:val="2"/>
          <w:szCs w:val="21"/>
          <w:highlight w:val="none"/>
        </w:rPr>
        <w:t>招标文件</w:t>
      </w:r>
      <w:r>
        <w:rPr>
          <w:rFonts w:hint="eastAsia" w:ascii="宋体" w:hAnsi="宋体"/>
          <w:color w:val="auto"/>
          <w:kern w:val="2"/>
          <w:szCs w:val="21"/>
          <w:highlight w:val="none"/>
          <w:lang w:eastAsia="zh-CN"/>
        </w:rPr>
        <w:t>，</w:t>
      </w:r>
      <w:r>
        <w:rPr>
          <w:rFonts w:hint="eastAsia" w:ascii="宋体" w:hAnsi="宋体"/>
          <w:color w:val="auto"/>
          <w:kern w:val="2"/>
          <w:szCs w:val="21"/>
          <w:highlight w:val="none"/>
          <w:lang w:val="en-US" w:eastAsia="zh-CN"/>
        </w:rPr>
        <w:t>我方</w:t>
      </w:r>
      <w:r>
        <w:rPr>
          <w:rFonts w:hint="eastAsia" w:ascii="宋体" w:hAnsi="宋体"/>
          <w:color w:val="auto"/>
          <w:kern w:val="2"/>
          <w:szCs w:val="21"/>
          <w:highlight w:val="none"/>
        </w:rPr>
        <w:t>正式</w:t>
      </w:r>
      <w:r>
        <w:rPr>
          <w:rFonts w:hint="eastAsia" w:ascii="宋体" w:hAnsi="宋体"/>
          <w:color w:val="auto"/>
          <w:kern w:val="2"/>
          <w:szCs w:val="21"/>
          <w:highlight w:val="none"/>
          <w:u w:val="none"/>
          <w:lang w:val="en-US" w:eastAsia="zh-CN"/>
        </w:rPr>
        <w:t>提</w:t>
      </w:r>
      <w:r>
        <w:rPr>
          <w:rFonts w:hint="eastAsia" w:ascii="宋体" w:hAnsi="宋体" w:eastAsia="宋体" w:cs="宋体"/>
          <w:color w:val="auto"/>
          <w:sz w:val="24"/>
          <w:szCs w:val="24"/>
          <w:highlight w:val="none"/>
          <w:u w:val="none"/>
          <w:lang w:val="en-US" w:eastAsia="zh-CN"/>
        </w:rPr>
        <w:t>交投标函，</w:t>
      </w:r>
      <w:r>
        <w:rPr>
          <w:rFonts w:hint="eastAsia" w:ascii="宋体" w:hAnsi="宋体"/>
          <w:color w:val="auto"/>
          <w:kern w:val="2"/>
          <w:szCs w:val="21"/>
          <w:highlight w:val="none"/>
          <w:lang w:val="en-US" w:eastAsia="zh-CN"/>
        </w:rPr>
        <w:t>并</w:t>
      </w:r>
      <w:r>
        <w:rPr>
          <w:rFonts w:hint="eastAsia" w:ascii="宋体" w:hAnsi="宋体"/>
          <w:color w:val="auto"/>
          <w:kern w:val="2"/>
          <w:szCs w:val="21"/>
          <w:highlight w:val="none"/>
        </w:rPr>
        <w:t>宣布同意如下</w:t>
      </w:r>
      <w:r>
        <w:rPr>
          <w:rFonts w:hint="eastAsia" w:ascii="宋体" w:hAnsi="宋体"/>
          <w:color w:val="auto"/>
          <w:kern w:val="2"/>
          <w:szCs w:val="21"/>
          <w:highlight w:val="none"/>
          <w:lang w:val="en-US" w:eastAsia="zh-CN"/>
        </w:rPr>
        <w:t>内容</w:t>
      </w:r>
      <w:r>
        <w:rPr>
          <w:rFonts w:hint="eastAsia" w:ascii="宋体" w:hAnsi="宋体"/>
          <w:color w:val="auto"/>
          <w:kern w:val="2"/>
          <w:szCs w:val="21"/>
          <w:highlight w:val="none"/>
        </w:rPr>
        <w:t>：</w:t>
      </w:r>
    </w:p>
    <w:p w14:paraId="24F094BA">
      <w:pPr>
        <w:pStyle w:val="91"/>
        <w:spacing w:before="0" w:after="0" w:line="420" w:lineRule="exact"/>
        <w:rPr>
          <w:rFonts w:hint="eastAsia" w:ascii="宋体" w:hAnsi="宋体"/>
          <w:color w:val="auto"/>
          <w:kern w:val="2"/>
          <w:szCs w:val="21"/>
          <w:highlight w:val="none"/>
        </w:rPr>
      </w:pPr>
      <w:r>
        <w:rPr>
          <w:rFonts w:hint="eastAsia" w:ascii="宋体" w:hAnsi="宋体"/>
          <w:color w:val="auto"/>
          <w:kern w:val="2"/>
          <w:szCs w:val="21"/>
          <w:highlight w:val="none"/>
        </w:rPr>
        <w:t>1.按招标文件规定的各项要求</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向买方提供所需</w:t>
      </w:r>
      <w:r>
        <w:rPr>
          <w:rFonts w:hint="eastAsia" w:ascii="宋体" w:hAnsi="宋体"/>
          <w:color w:val="auto"/>
          <w:kern w:val="2"/>
          <w:szCs w:val="21"/>
          <w:highlight w:val="none"/>
          <w:lang w:val="en-US" w:eastAsia="zh-CN"/>
        </w:rPr>
        <w:t>服务</w:t>
      </w:r>
      <w:r>
        <w:rPr>
          <w:rFonts w:hint="eastAsia" w:ascii="宋体" w:hAnsi="宋体"/>
          <w:color w:val="auto"/>
          <w:kern w:val="2"/>
          <w:szCs w:val="21"/>
          <w:highlight w:val="none"/>
        </w:rPr>
        <w:t>（包含与</w:t>
      </w:r>
      <w:r>
        <w:rPr>
          <w:rFonts w:hint="eastAsia" w:ascii="宋体" w:hAnsi="宋体"/>
          <w:color w:val="auto"/>
          <w:kern w:val="2"/>
          <w:szCs w:val="21"/>
          <w:highlight w:val="none"/>
          <w:lang w:val="en-US" w:eastAsia="zh-CN"/>
        </w:rPr>
        <w:t>服务</w:t>
      </w:r>
      <w:r>
        <w:rPr>
          <w:rFonts w:hint="eastAsia" w:ascii="宋体" w:hAnsi="宋体"/>
          <w:color w:val="auto"/>
          <w:kern w:val="2"/>
          <w:szCs w:val="21"/>
          <w:highlight w:val="none"/>
        </w:rPr>
        <w:t>相关的</w:t>
      </w:r>
      <w:r>
        <w:rPr>
          <w:rFonts w:hint="eastAsia" w:ascii="宋体" w:hAnsi="宋体"/>
          <w:color w:val="auto"/>
          <w:kern w:val="2"/>
          <w:szCs w:val="21"/>
          <w:highlight w:val="none"/>
          <w:lang w:val="en-US" w:eastAsia="zh-CN"/>
        </w:rPr>
        <w:t>货物</w:t>
      </w:r>
      <w:r>
        <w:rPr>
          <w:rFonts w:hint="eastAsia" w:ascii="宋体" w:hAnsi="宋体"/>
          <w:color w:val="auto"/>
          <w:kern w:val="2"/>
          <w:szCs w:val="21"/>
          <w:highlight w:val="none"/>
        </w:rPr>
        <w:t>）。</w:t>
      </w:r>
    </w:p>
    <w:p w14:paraId="15EDF0BE">
      <w:pPr>
        <w:pStyle w:val="91"/>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2.我们完全理解贵方不一定将合同授予最低报价的投标人。</w:t>
      </w:r>
    </w:p>
    <w:p w14:paraId="682A4346">
      <w:pPr>
        <w:pStyle w:val="91"/>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rPr>
        <w:t>3.我们已详细审核全部招标文件及其有效补充文件</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我们知道必须放弃提出含糊不清或误解问题的权利。</w:t>
      </w:r>
    </w:p>
    <w:p w14:paraId="3773EB46">
      <w:pPr>
        <w:pStyle w:val="91"/>
        <w:spacing w:before="0" w:after="0" w:line="420" w:lineRule="exact"/>
        <w:rPr>
          <w:rFonts w:hint="eastAsia" w:ascii="宋体" w:hAnsi="宋体"/>
          <w:color w:val="auto"/>
          <w:kern w:val="2"/>
          <w:szCs w:val="21"/>
          <w:highlight w:val="none"/>
        </w:rPr>
      </w:pPr>
      <w:r>
        <w:rPr>
          <w:rFonts w:hint="eastAsia" w:ascii="宋体" w:hAnsi="宋体"/>
          <w:color w:val="auto"/>
          <w:kern w:val="2"/>
          <w:szCs w:val="21"/>
          <w:highlight w:val="none"/>
        </w:rPr>
        <w:t>4.我们同意从规定的开标日期起遵循本投标文件</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并在规定的投标有效期期满之前均具有约束力。</w:t>
      </w:r>
    </w:p>
    <w:p w14:paraId="26A5709C">
      <w:pPr>
        <w:pStyle w:val="91"/>
        <w:spacing w:before="0" w:after="0" w:line="420" w:lineRule="exact"/>
        <w:rPr>
          <w:rFonts w:hint="eastAsia" w:ascii="宋体" w:hAnsi="宋体"/>
          <w:color w:val="auto"/>
          <w:kern w:val="2"/>
          <w:szCs w:val="21"/>
          <w:highlight w:val="none"/>
        </w:rPr>
      </w:pPr>
      <w:r>
        <w:rPr>
          <w:rFonts w:ascii="宋体" w:hAnsi="宋体"/>
          <w:color w:val="auto"/>
          <w:kern w:val="2"/>
          <w:szCs w:val="21"/>
          <w:highlight w:val="none"/>
        </w:rPr>
        <w:t>5</w:t>
      </w:r>
      <w:r>
        <w:rPr>
          <w:rFonts w:hint="eastAsia" w:ascii="宋体" w:hAnsi="宋体"/>
          <w:color w:val="auto"/>
          <w:kern w:val="2"/>
          <w:szCs w:val="21"/>
          <w:highlight w:val="none"/>
        </w:rPr>
        <w:t>.同意向贵方提供贵方可能另外要求的与投标有关的任何证据或资料</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并保证我方已提供和将要提供的文件是真实的、准确的。</w:t>
      </w:r>
    </w:p>
    <w:p w14:paraId="3BE00185">
      <w:pPr>
        <w:pStyle w:val="91"/>
        <w:spacing w:before="0" w:after="0" w:line="420" w:lineRule="exact"/>
        <w:rPr>
          <w:rFonts w:hint="eastAsia" w:ascii="宋体" w:hAnsi="宋体"/>
          <w:color w:val="auto"/>
          <w:kern w:val="2"/>
          <w:szCs w:val="21"/>
          <w:highlight w:val="none"/>
        </w:rPr>
      </w:pPr>
      <w:r>
        <w:rPr>
          <w:rFonts w:ascii="宋体" w:hAnsi="宋体"/>
          <w:color w:val="auto"/>
          <w:kern w:val="2"/>
          <w:szCs w:val="21"/>
          <w:highlight w:val="none"/>
        </w:rPr>
        <w:t>6</w:t>
      </w:r>
      <w:r>
        <w:rPr>
          <w:rFonts w:hint="eastAsia" w:ascii="宋体" w:hAnsi="宋体"/>
          <w:color w:val="auto"/>
          <w:kern w:val="2"/>
          <w:szCs w:val="21"/>
          <w:highlight w:val="none"/>
        </w:rPr>
        <w:t>.一旦我方中标</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我方将根据招标文件的规定</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严格履行合同的责任和义务</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并保证在招标文件规定的时间完成项目</w:t>
      </w:r>
      <w:r>
        <w:rPr>
          <w:rFonts w:hint="eastAsia" w:ascii="宋体" w:hAnsi="宋体"/>
          <w:color w:val="auto"/>
          <w:kern w:val="2"/>
          <w:szCs w:val="21"/>
          <w:highlight w:val="none"/>
          <w:lang w:eastAsia="zh-CN"/>
        </w:rPr>
        <w:t>，</w:t>
      </w:r>
      <w:r>
        <w:rPr>
          <w:rFonts w:hint="eastAsia" w:ascii="宋体" w:hAnsi="宋体"/>
          <w:color w:val="auto"/>
          <w:kern w:val="2"/>
          <w:szCs w:val="21"/>
          <w:highlight w:val="none"/>
        </w:rPr>
        <w:t>交付买方验收、使用。</w:t>
      </w:r>
    </w:p>
    <w:p w14:paraId="1F64F3AD">
      <w:pPr>
        <w:adjustRightInd w:val="0"/>
        <w:spacing w:line="420" w:lineRule="exact"/>
        <w:ind w:firstLine="480"/>
        <w:jc w:val="left"/>
        <w:textAlignment w:val="baseline"/>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我</w:t>
      </w:r>
      <w:r>
        <w:rPr>
          <w:rFonts w:hint="eastAsia" w:ascii="宋体" w:hAnsi="宋体" w:eastAsia="宋体" w:cs="Times New Roman"/>
          <w:color w:val="auto"/>
          <w:sz w:val="24"/>
          <w:szCs w:val="24"/>
          <w:highlight w:val="none"/>
          <w:lang w:eastAsia="zh-CN"/>
        </w:rPr>
        <w:t>方</w:t>
      </w:r>
      <w:r>
        <w:rPr>
          <w:rFonts w:hint="eastAsia" w:ascii="宋体" w:hAnsi="宋体" w:eastAsia="宋体" w:cs="Times New Roman"/>
          <w:color w:val="auto"/>
          <w:sz w:val="24"/>
          <w:szCs w:val="24"/>
          <w:highlight w:val="none"/>
        </w:rPr>
        <w:t>为</w:t>
      </w:r>
      <w:r>
        <w:rPr>
          <w:rFonts w:hint="eastAsia" w:ascii="宋体" w:hAnsi="宋体" w:eastAsia="宋体" w:cs="Times New Roman"/>
          <w:color w:val="auto"/>
          <w:sz w:val="24"/>
          <w:szCs w:val="24"/>
          <w:highlight w:val="none"/>
          <w:lang w:eastAsia="zh-CN"/>
        </w:rPr>
        <w:t>：</w:t>
      </w:r>
      <w:r>
        <w:rPr>
          <w:rFonts w:hint="eastAsia" w:ascii="宋体" w:hAnsi="宋体"/>
          <w:color w:val="auto"/>
          <w:sz w:val="24"/>
          <w:szCs w:val="24"/>
          <w:highlight w:val="none"/>
          <w:u w:val="none"/>
        </w:rPr>
        <w:sym w:font="Wingdings" w:char="00A8"/>
      </w:r>
      <w:r>
        <w:rPr>
          <w:rFonts w:hint="eastAsia" w:ascii="宋体" w:hAnsi="宋体" w:eastAsia="宋体" w:cs="Times New Roman"/>
          <w:color w:val="auto"/>
          <w:sz w:val="24"/>
          <w:szCs w:val="24"/>
          <w:highlight w:val="none"/>
        </w:rPr>
        <w:t>大型企业</w:t>
      </w:r>
      <w:r>
        <w:rPr>
          <w:rFonts w:hint="eastAsia" w:ascii="宋体" w:hAnsi="宋体" w:eastAsia="宋体" w:cs="Times New Roman"/>
          <w:color w:val="auto"/>
          <w:sz w:val="24"/>
          <w:szCs w:val="24"/>
          <w:highlight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eastAsia="宋体" w:cs="Times New Roman"/>
          <w:color w:val="auto"/>
          <w:sz w:val="24"/>
          <w:szCs w:val="24"/>
          <w:highlight w:val="none"/>
        </w:rPr>
        <w:t>中型企业</w:t>
      </w:r>
      <w:r>
        <w:rPr>
          <w:rFonts w:hint="eastAsia" w:ascii="宋体" w:hAnsi="宋体" w:eastAsia="宋体" w:cs="Times New Roman"/>
          <w:color w:val="auto"/>
          <w:sz w:val="24"/>
          <w:szCs w:val="24"/>
          <w:highlight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eastAsia="宋体" w:cs="Times New Roman"/>
          <w:color w:val="auto"/>
          <w:sz w:val="24"/>
          <w:szCs w:val="24"/>
          <w:highlight w:val="none"/>
          <w:lang w:val="en-US" w:eastAsia="zh-CN"/>
        </w:rPr>
        <w:t xml:space="preserve">小型企业 </w:t>
      </w:r>
      <w:r>
        <w:rPr>
          <w:rFonts w:hint="eastAsia" w:ascii="宋体" w:hAnsi="宋体"/>
          <w:color w:val="auto"/>
          <w:sz w:val="24"/>
          <w:szCs w:val="24"/>
          <w:highlight w:val="none"/>
          <w:u w:val="none"/>
        </w:rPr>
        <w:sym w:font="Wingdings" w:char="00A8"/>
      </w:r>
      <w:r>
        <w:rPr>
          <w:rFonts w:hint="eastAsia" w:ascii="宋体" w:hAnsi="宋体" w:eastAsia="宋体" w:cs="Times New Roman"/>
          <w:color w:val="auto"/>
          <w:sz w:val="24"/>
          <w:szCs w:val="24"/>
          <w:highlight w:val="none"/>
          <w:lang w:val="en-US" w:eastAsia="zh-CN"/>
        </w:rPr>
        <w:t>微型企业（在对应</w:t>
      </w:r>
      <w:r>
        <w:rPr>
          <w:rFonts w:hint="eastAsia" w:ascii="宋体" w:hAnsi="宋体"/>
          <w:color w:val="auto"/>
          <w:sz w:val="24"/>
          <w:szCs w:val="24"/>
          <w:highlight w:val="none"/>
          <w:u w:val="none"/>
        </w:rPr>
        <w:sym w:font="Wingdings" w:char="00A8"/>
      </w:r>
      <w:r>
        <w:rPr>
          <w:rFonts w:hint="eastAsia" w:ascii="宋体" w:hAnsi="宋体" w:eastAsia="宋体" w:cs="宋体"/>
          <w:color w:val="auto"/>
          <w:kern w:val="0"/>
          <w:sz w:val="24"/>
          <w:szCs w:val="24"/>
          <w:highlight w:val="none"/>
          <w:lang w:val="en-US" w:eastAsia="zh-CN"/>
        </w:rPr>
        <w:t>内</w:t>
      </w:r>
      <w:r>
        <w:rPr>
          <w:rFonts w:hint="eastAsia" w:ascii="宋体" w:hAnsi="宋体" w:eastAsia="宋体" w:cs="Times New Roman"/>
          <w:color w:val="auto"/>
          <w:sz w:val="24"/>
          <w:szCs w:val="24"/>
          <w:highlight w:val="none"/>
          <w:lang w:val="zh-CN" w:eastAsia="zh-CN"/>
        </w:rPr>
        <w:t>打</w:t>
      </w:r>
      <w:r>
        <w:rPr>
          <w:rFonts w:hint="eastAsia" w:ascii="宋体" w:hAnsi="宋体" w:cs="Verdana"/>
          <w:color w:val="auto"/>
          <w:kern w:val="0"/>
          <w:sz w:val="24"/>
          <w:szCs w:val="24"/>
          <w:highlight w:val="none"/>
          <w:lang w:val="zh-CN"/>
        </w:rPr>
        <w:t>“√”</w:t>
      </w:r>
      <w:r>
        <w:rPr>
          <w:rFonts w:hint="eastAsia" w:ascii="宋体" w:hAnsi="宋体" w:eastAsia="宋体" w:cs="Times New Roman"/>
          <w:color w:val="auto"/>
          <w:sz w:val="24"/>
          <w:szCs w:val="24"/>
          <w:highlight w:val="none"/>
          <w:lang w:val="en-US" w:eastAsia="zh-CN"/>
        </w:rPr>
        <w:t>）</w:t>
      </w:r>
    </w:p>
    <w:p w14:paraId="15576EBF">
      <w:pPr>
        <w:pStyle w:val="91"/>
        <w:spacing w:before="0" w:after="0" w:line="420" w:lineRule="exact"/>
        <w:ind w:firstLineChars="200"/>
        <w:rPr>
          <w:rFonts w:hint="eastAsia" w:ascii="宋体" w:hAnsi="宋体"/>
          <w:color w:val="auto"/>
          <w:kern w:val="2"/>
          <w:szCs w:val="21"/>
          <w:highlight w:val="none"/>
        </w:rPr>
      </w:pPr>
      <w:r>
        <w:rPr>
          <w:rFonts w:hint="eastAsia" w:ascii="宋体" w:hAnsi="宋体"/>
          <w:color w:val="auto"/>
          <w:kern w:val="2"/>
          <w:szCs w:val="21"/>
          <w:highlight w:val="none"/>
          <w:lang w:val="en-US" w:eastAsia="zh-CN"/>
        </w:rPr>
        <w:t>8</w:t>
      </w:r>
      <w:r>
        <w:rPr>
          <w:rFonts w:hint="eastAsia" w:ascii="宋体" w:hAnsi="宋体"/>
          <w:color w:val="auto"/>
          <w:kern w:val="2"/>
          <w:szCs w:val="21"/>
          <w:highlight w:val="none"/>
        </w:rPr>
        <w:t>.</w:t>
      </w:r>
      <w:r>
        <w:rPr>
          <w:rFonts w:hint="eastAsia" w:ascii="宋体" w:hAnsi="宋体"/>
          <w:color w:val="auto"/>
          <w:kern w:val="2"/>
          <w:szCs w:val="21"/>
          <w:highlight w:val="none"/>
          <w:lang w:val="en-US" w:eastAsia="zh-CN"/>
        </w:rPr>
        <w:t>我方</w:t>
      </w:r>
      <w:r>
        <w:rPr>
          <w:rFonts w:hint="eastAsia" w:ascii="宋体" w:hAnsi="宋体"/>
          <w:color w:val="auto"/>
          <w:kern w:val="2"/>
          <w:szCs w:val="21"/>
          <w:highlight w:val="none"/>
        </w:rPr>
        <w:t>与本</w:t>
      </w:r>
      <w:r>
        <w:rPr>
          <w:rFonts w:hint="eastAsia" w:ascii="宋体" w:hAnsi="宋体"/>
          <w:color w:val="auto"/>
          <w:kern w:val="2"/>
          <w:szCs w:val="21"/>
          <w:highlight w:val="none"/>
          <w:lang w:val="en-US" w:eastAsia="zh-CN"/>
        </w:rPr>
        <w:t>次</w:t>
      </w:r>
      <w:r>
        <w:rPr>
          <w:rFonts w:hint="eastAsia" w:ascii="宋体" w:hAnsi="宋体"/>
          <w:color w:val="auto"/>
          <w:kern w:val="2"/>
          <w:szCs w:val="21"/>
          <w:highlight w:val="none"/>
        </w:rPr>
        <w:t>投标有关</w:t>
      </w:r>
      <w:r>
        <w:rPr>
          <w:rFonts w:hint="eastAsia" w:ascii="宋体" w:hAnsi="宋体"/>
          <w:color w:val="auto"/>
          <w:kern w:val="2"/>
          <w:szCs w:val="21"/>
          <w:highlight w:val="none"/>
          <w:lang w:val="en-US" w:eastAsia="zh-CN"/>
        </w:rPr>
        <w:t>信息</w:t>
      </w:r>
    </w:p>
    <w:p w14:paraId="0F876F5F">
      <w:pPr>
        <w:pStyle w:val="91"/>
        <w:spacing w:before="0" w:after="0" w:line="420" w:lineRule="exact"/>
        <w:ind w:left="0" w:leftChars="0" w:firstLine="480" w:firstLineChars="200"/>
        <w:rPr>
          <w:rFonts w:hint="eastAsia" w:ascii="宋体" w:hAnsi="宋体"/>
          <w:color w:val="auto"/>
          <w:kern w:val="2"/>
          <w:szCs w:val="21"/>
          <w:highlight w:val="none"/>
        </w:rPr>
      </w:pPr>
    </w:p>
    <w:p w14:paraId="7F5EE769">
      <w:pPr>
        <w:pStyle w:val="91"/>
        <w:spacing w:before="0" w:after="0" w:line="420" w:lineRule="exact"/>
        <w:ind w:left="0" w:leftChars="0" w:firstLine="480" w:firstLineChars="200"/>
        <w:rPr>
          <w:rFonts w:hint="eastAsia" w:ascii="宋体" w:hAnsi="宋体"/>
          <w:color w:val="auto"/>
          <w:kern w:val="2"/>
          <w:szCs w:val="21"/>
          <w:highlight w:val="none"/>
        </w:rPr>
      </w:pPr>
      <w:r>
        <w:rPr>
          <w:rFonts w:hint="eastAsia" w:ascii="宋体" w:hAnsi="宋体"/>
          <w:color w:val="auto"/>
          <w:kern w:val="2"/>
          <w:szCs w:val="21"/>
          <w:highlight w:val="none"/>
        </w:rPr>
        <w:t>地  址：</w:t>
      </w:r>
    </w:p>
    <w:p w14:paraId="1C8272D9">
      <w:pPr>
        <w:pStyle w:val="91"/>
        <w:spacing w:before="0" w:after="0" w:line="420" w:lineRule="exact"/>
        <w:ind w:left="0" w:leftChars="0" w:firstLine="480" w:firstLineChars="200"/>
        <w:rPr>
          <w:rFonts w:hint="eastAsia" w:ascii="宋体" w:hAnsi="宋体"/>
          <w:color w:val="auto"/>
          <w:kern w:val="2"/>
          <w:szCs w:val="21"/>
          <w:highlight w:val="none"/>
          <w:u w:val="none"/>
          <w:lang w:val="en-US" w:eastAsia="zh-CN"/>
        </w:rPr>
      </w:pPr>
      <w:r>
        <w:rPr>
          <w:rFonts w:hint="eastAsia" w:ascii="宋体" w:hAnsi="宋体"/>
          <w:color w:val="auto"/>
          <w:kern w:val="2"/>
          <w:szCs w:val="21"/>
          <w:highlight w:val="none"/>
        </w:rPr>
        <w:t>邮  编：</w:t>
      </w:r>
    </w:p>
    <w:p w14:paraId="4EEA506F">
      <w:pPr>
        <w:pStyle w:val="91"/>
        <w:spacing w:before="0" w:after="0" w:line="420" w:lineRule="exact"/>
        <w:ind w:left="0" w:leftChars="0" w:firstLine="480" w:firstLineChars="200"/>
        <w:rPr>
          <w:rFonts w:hint="eastAsia" w:ascii="宋体" w:hAnsi="宋体"/>
          <w:color w:val="auto"/>
          <w:kern w:val="2"/>
          <w:szCs w:val="21"/>
          <w:highlight w:val="none"/>
          <w:u w:val="single"/>
          <w:lang w:val="en-US" w:eastAsia="zh-CN"/>
        </w:rPr>
      </w:pPr>
      <w:r>
        <w:rPr>
          <w:rFonts w:hint="eastAsia" w:ascii="宋体" w:hAnsi="宋体"/>
          <w:color w:val="auto"/>
          <w:kern w:val="2"/>
          <w:szCs w:val="21"/>
          <w:highlight w:val="none"/>
        </w:rPr>
        <w:t>电  话：</w:t>
      </w:r>
    </w:p>
    <w:p w14:paraId="6CBE9691">
      <w:pPr>
        <w:pStyle w:val="91"/>
        <w:spacing w:before="0" w:after="0" w:line="420" w:lineRule="exact"/>
        <w:ind w:left="0" w:leftChars="0" w:firstLine="480" w:firstLineChars="200"/>
        <w:rPr>
          <w:rFonts w:hint="eastAsia" w:ascii="宋体" w:hAnsi="宋体"/>
          <w:color w:val="auto"/>
          <w:kern w:val="2"/>
          <w:szCs w:val="21"/>
          <w:highlight w:val="none"/>
          <w:u w:val="single"/>
          <w:lang w:val="en-US" w:eastAsia="zh-CN"/>
        </w:rPr>
      </w:pPr>
      <w:r>
        <w:rPr>
          <w:rFonts w:hint="eastAsia" w:ascii="宋体" w:hAnsi="宋体"/>
          <w:color w:val="auto"/>
          <w:kern w:val="2"/>
          <w:szCs w:val="21"/>
          <w:highlight w:val="none"/>
        </w:rPr>
        <w:t>传  真：</w:t>
      </w:r>
    </w:p>
    <w:p w14:paraId="7045B84A">
      <w:pPr>
        <w:pStyle w:val="91"/>
        <w:spacing w:before="0" w:after="0" w:line="420" w:lineRule="exact"/>
        <w:ind w:left="0" w:leftChars="0" w:firstLine="480" w:firstLineChars="200"/>
        <w:rPr>
          <w:rFonts w:hint="eastAsia" w:ascii="宋体" w:hAnsi="宋体"/>
          <w:color w:val="auto"/>
          <w:kern w:val="2"/>
          <w:szCs w:val="21"/>
          <w:highlight w:val="none"/>
          <w:u w:val="single"/>
          <w:lang w:val="en-US" w:eastAsia="zh-CN"/>
        </w:rPr>
      </w:pPr>
      <w:r>
        <w:rPr>
          <w:rFonts w:hint="eastAsia" w:ascii="宋体" w:hAnsi="宋体"/>
          <w:color w:val="auto"/>
          <w:kern w:val="2"/>
          <w:szCs w:val="21"/>
          <w:highlight w:val="none"/>
        </w:rPr>
        <w:t>开户行：</w:t>
      </w:r>
    </w:p>
    <w:p w14:paraId="2C6993CE">
      <w:pPr>
        <w:pStyle w:val="91"/>
        <w:spacing w:before="0" w:after="0" w:line="420" w:lineRule="exact"/>
        <w:ind w:left="0" w:leftChars="0" w:firstLine="480" w:firstLineChars="200"/>
        <w:rPr>
          <w:rFonts w:hint="eastAsia" w:ascii="宋体" w:hAnsi="宋体"/>
          <w:color w:val="auto"/>
          <w:kern w:val="2"/>
          <w:szCs w:val="21"/>
          <w:highlight w:val="none"/>
          <w:u w:val="single"/>
          <w:lang w:val="en-US" w:eastAsia="zh-CN"/>
        </w:rPr>
      </w:pPr>
      <w:r>
        <w:rPr>
          <w:rFonts w:hint="eastAsia" w:ascii="宋体" w:hAnsi="宋体"/>
          <w:color w:val="auto"/>
          <w:kern w:val="2"/>
          <w:szCs w:val="21"/>
          <w:highlight w:val="none"/>
        </w:rPr>
        <w:t>账  号：</w:t>
      </w:r>
    </w:p>
    <w:p w14:paraId="26DE5D0B">
      <w:pPr>
        <w:spacing w:line="560" w:lineRule="exact"/>
        <w:ind w:right="180" w:firstLine="480" w:firstLineChars="200"/>
        <w:jc w:val="both"/>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000BC494">
      <w:pPr>
        <w:pStyle w:val="91"/>
        <w:spacing w:before="0" w:after="0" w:line="420" w:lineRule="exact"/>
        <w:ind w:left="0" w:leftChars="0" w:firstLine="480" w:firstLineChars="200"/>
        <w:rPr>
          <w:rFonts w:hint="eastAsia" w:ascii="宋体" w:hAnsi="宋体"/>
          <w:color w:val="auto"/>
          <w:kern w:val="2"/>
          <w:szCs w:val="21"/>
          <w:highlight w:val="none"/>
        </w:rPr>
      </w:pPr>
      <w:r>
        <w:rPr>
          <w:rFonts w:hint="eastAsia" w:ascii="宋体" w:hAnsi="宋体"/>
          <w:color w:val="auto"/>
          <w:kern w:val="2"/>
          <w:szCs w:val="21"/>
          <w:highlight w:val="none"/>
        </w:rPr>
        <w:t>日  期：</w:t>
      </w:r>
    </w:p>
    <w:p w14:paraId="6D95EE8D">
      <w:pPr>
        <w:pStyle w:val="91"/>
        <w:spacing w:before="0" w:after="0" w:line="420" w:lineRule="exact"/>
        <w:ind w:left="440" w:leftChars="200" w:firstLineChars="200"/>
        <w:rPr>
          <w:rFonts w:hint="eastAsia" w:ascii="宋体" w:hAnsi="宋体"/>
          <w:color w:val="auto"/>
          <w:kern w:val="2"/>
          <w:szCs w:val="21"/>
          <w:highlight w:val="none"/>
        </w:rPr>
      </w:pPr>
    </w:p>
    <w:p w14:paraId="5D710BFF">
      <w:pPr>
        <w:pStyle w:val="91"/>
        <w:spacing w:before="0" w:after="0" w:line="420" w:lineRule="exact"/>
        <w:ind w:left="440" w:leftChars="200" w:firstLineChars="200"/>
        <w:rPr>
          <w:rFonts w:hint="eastAsia" w:ascii="宋体" w:hAnsi="宋体"/>
          <w:color w:val="auto"/>
          <w:kern w:val="2"/>
          <w:szCs w:val="21"/>
          <w:highlight w:val="none"/>
        </w:rPr>
      </w:pPr>
    </w:p>
    <w:p w14:paraId="57A5DA19">
      <w:pPr>
        <w:spacing w:line="560" w:lineRule="exact"/>
        <w:ind w:firstLine="240" w:firstLineChars="100"/>
        <w:jc w:val="center"/>
        <w:rPr>
          <w:rFonts w:hint="eastAsia" w:ascii="宋体" w:hAnsi="宋体"/>
          <w:bCs/>
          <w:color w:val="auto"/>
          <w:sz w:val="24"/>
          <w:highlight w:val="none"/>
        </w:rPr>
      </w:pPr>
    </w:p>
    <w:p w14:paraId="78BB774B">
      <w:pPr>
        <w:spacing w:line="560" w:lineRule="exact"/>
        <w:ind w:firstLine="240" w:firstLineChars="100"/>
        <w:jc w:val="center"/>
        <w:rPr>
          <w:rFonts w:hint="eastAsia" w:ascii="宋体" w:hAnsi="宋体"/>
          <w:bCs/>
          <w:color w:val="auto"/>
          <w:sz w:val="24"/>
          <w:highlight w:val="none"/>
        </w:rPr>
      </w:pPr>
    </w:p>
    <w:p w14:paraId="141E4592">
      <w:pPr>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br w:type="page"/>
      </w:r>
      <w:r>
        <w:rPr>
          <w:rFonts w:hint="eastAsia" w:ascii="黑体" w:hAnsi="黑体" w:eastAsia="黑体" w:cs="Times New Roman"/>
          <w:i w:val="0"/>
          <w:color w:val="auto"/>
          <w:sz w:val="32"/>
          <w:szCs w:val="32"/>
          <w:highlight w:val="none"/>
          <w:u w:val="none"/>
          <w:lang w:val="en-US" w:eastAsia="zh-CN"/>
        </w:rPr>
        <w:t>二</w:t>
      </w:r>
      <w:r>
        <w:rPr>
          <w:rFonts w:hint="eastAsia" w:ascii="黑体" w:hAnsi="黑体" w:eastAsia="黑体" w:cs="Times New Roman"/>
          <w:i w:val="0"/>
          <w:color w:val="auto"/>
          <w:sz w:val="32"/>
          <w:szCs w:val="32"/>
          <w:highlight w:val="none"/>
          <w:u w:val="none"/>
        </w:rPr>
        <w:t>、法人授权书</w:t>
      </w:r>
    </w:p>
    <w:p w14:paraId="79CED508">
      <w:pPr>
        <w:adjustRightInd w:val="0"/>
        <w:snapToGrid w:val="0"/>
        <w:spacing w:line="420" w:lineRule="exact"/>
        <w:jc w:val="center"/>
        <w:outlineLvl w:val="2"/>
        <w:rPr>
          <w:rFonts w:hint="eastAsia" w:ascii="方正小标宋简体" w:hAnsi="方正小标宋简体" w:eastAsia="方正小标宋简体" w:cs="方正小标宋简体"/>
          <w:color w:val="auto"/>
          <w:sz w:val="32"/>
          <w:szCs w:val="32"/>
          <w:highlight w:val="none"/>
          <w:lang w:val="en-US"/>
        </w:rPr>
      </w:pPr>
      <w:bookmarkStart w:id="398" w:name="_Toc9370"/>
      <w:r>
        <w:rPr>
          <w:rFonts w:hint="eastAsia" w:ascii="方正小标宋简体" w:hAnsi="方正小标宋简体" w:eastAsia="方正小标宋简体" w:cs="方正小标宋简体"/>
          <w:color w:val="auto"/>
          <w:sz w:val="32"/>
          <w:szCs w:val="32"/>
          <w:highlight w:val="none"/>
          <w:lang w:val="en-US"/>
        </w:rPr>
        <w:t>法人授权书</w:t>
      </w:r>
      <w:bookmarkEnd w:id="398"/>
    </w:p>
    <w:p w14:paraId="78F82A96">
      <w:pPr>
        <w:pStyle w:val="90"/>
        <w:spacing w:line="420" w:lineRule="exact"/>
        <w:ind w:firstLine="480"/>
        <w:rPr>
          <w:rFonts w:hint="eastAsia"/>
          <w:color w:val="auto"/>
          <w:sz w:val="24"/>
          <w:szCs w:val="24"/>
          <w:highlight w:val="none"/>
        </w:rPr>
      </w:pPr>
    </w:p>
    <w:p w14:paraId="0FF05B27">
      <w:pPr>
        <w:pStyle w:val="90"/>
        <w:spacing w:line="480" w:lineRule="exact"/>
        <w:ind w:firstLine="480"/>
        <w:rPr>
          <w:rFonts w:hint="eastAsia"/>
          <w:color w:val="auto"/>
          <w:sz w:val="24"/>
          <w:szCs w:val="24"/>
          <w:highlight w:val="none"/>
        </w:rPr>
      </w:pPr>
      <w:r>
        <w:rPr>
          <w:rFonts w:hint="eastAsia"/>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（被授权人姓名）</w:t>
      </w:r>
      <w:r>
        <w:rPr>
          <w:rFonts w:hint="eastAsia"/>
          <w:color w:val="auto"/>
          <w:sz w:val="24"/>
          <w:szCs w:val="24"/>
          <w:highlight w:val="none"/>
          <w:lang w:val="en-US" w:eastAsia="zh-CN"/>
        </w:rPr>
        <w:t>作</w:t>
      </w:r>
      <w:r>
        <w:rPr>
          <w:rFonts w:hint="eastAsia"/>
          <w:color w:val="auto"/>
          <w:sz w:val="24"/>
          <w:szCs w:val="24"/>
          <w:highlight w:val="none"/>
        </w:rPr>
        <w:t>为我方</w:t>
      </w:r>
      <w:r>
        <w:rPr>
          <w:rFonts w:hint="eastAsia"/>
          <w:color w:val="auto"/>
          <w:sz w:val="24"/>
          <w:szCs w:val="24"/>
          <w:highlight w:val="none"/>
          <w:lang w:val="en-US" w:eastAsia="zh-CN"/>
        </w:rPr>
        <w:t>参加编号及项目名称为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项目采购活动的合法代理人</w:t>
      </w:r>
      <w:r>
        <w:rPr>
          <w:rFonts w:hint="eastAsia"/>
          <w:color w:val="auto"/>
          <w:sz w:val="24"/>
          <w:szCs w:val="24"/>
          <w:highlight w:val="none"/>
          <w:lang w:eastAsia="zh-CN"/>
        </w:rPr>
        <w:t>，</w:t>
      </w:r>
      <w:r>
        <w:rPr>
          <w:rFonts w:hint="eastAsia"/>
          <w:color w:val="auto"/>
          <w:sz w:val="24"/>
          <w:szCs w:val="24"/>
          <w:highlight w:val="none"/>
        </w:rPr>
        <w:t>以本单位名义全权处理一切与该项目采购有关的事务。</w:t>
      </w:r>
    </w:p>
    <w:p w14:paraId="34299EF8">
      <w:pPr>
        <w:pStyle w:val="90"/>
        <w:spacing w:line="480" w:lineRule="exact"/>
        <w:ind w:firstLine="480"/>
        <w:rPr>
          <w:rFonts w:hint="eastAsia"/>
          <w:color w:val="auto"/>
          <w:sz w:val="24"/>
          <w:szCs w:val="24"/>
          <w:highlight w:val="none"/>
        </w:rPr>
      </w:pPr>
      <w:r>
        <w:rPr>
          <w:rFonts w:hint="eastAsia"/>
          <w:color w:val="auto"/>
          <w:sz w:val="24"/>
          <w:szCs w:val="24"/>
          <w:highlight w:val="none"/>
        </w:rPr>
        <w:t>本授权书</w:t>
      </w:r>
      <w:r>
        <w:rPr>
          <w:rFonts w:hint="eastAsia"/>
          <w:color w:val="auto"/>
          <w:sz w:val="24"/>
          <w:szCs w:val="24"/>
          <w:highlight w:val="none"/>
          <w:lang w:val="en-US" w:eastAsia="zh-CN"/>
        </w:rPr>
        <w:t>自</w:t>
      </w:r>
      <w:r>
        <w:rPr>
          <w:rFonts w:hint="eastAsia"/>
          <w:color w:val="auto"/>
          <w:sz w:val="24"/>
          <w:szCs w:val="24"/>
          <w:highlight w:val="none"/>
        </w:rPr>
        <w:t>______年____月____日起生效</w:t>
      </w:r>
      <w:r>
        <w:rPr>
          <w:rFonts w:hint="eastAsia"/>
          <w:color w:val="auto"/>
          <w:sz w:val="24"/>
          <w:szCs w:val="24"/>
          <w:highlight w:val="none"/>
          <w:lang w:eastAsia="zh-CN"/>
        </w:rPr>
        <w:t>，</w:t>
      </w:r>
      <w:r>
        <w:rPr>
          <w:rFonts w:hint="eastAsia"/>
          <w:color w:val="auto"/>
          <w:sz w:val="24"/>
          <w:szCs w:val="24"/>
          <w:highlight w:val="none"/>
        </w:rPr>
        <w:t>特此声明。</w:t>
      </w:r>
    </w:p>
    <w:p w14:paraId="5FE5F647">
      <w:pPr>
        <w:pStyle w:val="90"/>
        <w:spacing w:line="480" w:lineRule="exact"/>
        <w:ind w:firstLine="480" w:firstLineChars="0"/>
        <w:rPr>
          <w:rFonts w:hint="eastAsia"/>
          <w:color w:val="auto"/>
          <w:sz w:val="24"/>
          <w:szCs w:val="24"/>
          <w:highlight w:val="none"/>
        </w:rPr>
      </w:pPr>
    </w:p>
    <w:p w14:paraId="3D241CA9">
      <w:pPr>
        <w:pStyle w:val="90"/>
        <w:spacing w:line="480" w:lineRule="exact"/>
        <w:ind w:firstLine="480" w:firstLineChars="0"/>
        <w:rPr>
          <w:rFonts w:hint="eastAsia"/>
          <w:color w:val="auto"/>
          <w:sz w:val="24"/>
          <w:szCs w:val="24"/>
          <w:highlight w:val="none"/>
        </w:rPr>
      </w:pPr>
      <w:r>
        <w:rPr>
          <w:rFonts w:hint="eastAsia"/>
          <w:color w:val="auto"/>
          <w:sz w:val="24"/>
          <w:szCs w:val="24"/>
          <w:highlight w:val="none"/>
        </w:rPr>
        <w:t>被授权人身份证</w:t>
      </w:r>
      <w:r>
        <w:rPr>
          <w:rFonts w:hint="eastAsia"/>
          <w:color w:val="auto"/>
          <w:sz w:val="24"/>
          <w:szCs w:val="24"/>
          <w:highlight w:val="none"/>
          <w:lang w:val="en-US" w:eastAsia="zh-CN"/>
        </w:rPr>
        <w:t>正反面</w:t>
      </w:r>
      <w:r>
        <w:rPr>
          <w:rFonts w:hint="eastAsia"/>
          <w:color w:val="auto"/>
          <w:sz w:val="24"/>
          <w:szCs w:val="24"/>
          <w:highlight w:val="none"/>
        </w:rPr>
        <w:t>：</w:t>
      </w:r>
    </w:p>
    <w:p w14:paraId="2B4ED320">
      <w:pPr>
        <w:pStyle w:val="90"/>
        <w:spacing w:line="480" w:lineRule="exact"/>
        <w:ind w:firstLine="480" w:firstLineChars="0"/>
        <w:rPr>
          <w:rFonts w:hint="eastAsia"/>
          <w:color w:val="auto"/>
          <w:sz w:val="24"/>
          <w:szCs w:val="24"/>
          <w:highlight w:val="none"/>
        </w:rPr>
      </w:pPr>
    </w:p>
    <w:p w14:paraId="2121544A">
      <w:pPr>
        <w:pStyle w:val="90"/>
        <w:spacing w:line="480" w:lineRule="exact"/>
        <w:ind w:firstLine="480" w:firstLineChars="0"/>
        <w:rPr>
          <w:rFonts w:hint="eastAsia" w:eastAsia="宋体"/>
          <w:color w:val="auto"/>
          <w:sz w:val="24"/>
          <w:szCs w:val="24"/>
          <w:highlight w:val="none"/>
          <w:u w:val="single"/>
          <w:lang w:val="en-US" w:eastAsia="zh-CN"/>
        </w:rPr>
      </w:pPr>
      <w:r>
        <w:rPr>
          <w:rFonts w:hint="eastAsia"/>
          <w:color w:val="auto"/>
          <w:sz w:val="24"/>
          <w:szCs w:val="24"/>
          <w:highlight w:val="none"/>
        </w:rPr>
        <w:t>被授权人联系电话：（手机）</w:t>
      </w:r>
    </w:p>
    <w:p w14:paraId="4E4B96B9">
      <w:pPr>
        <w:pStyle w:val="90"/>
        <w:spacing w:line="480" w:lineRule="exact"/>
        <w:ind w:firstLine="468" w:firstLineChars="195"/>
        <w:rPr>
          <w:rFonts w:hint="default" w:eastAsia="宋体"/>
          <w:color w:val="auto"/>
          <w:sz w:val="24"/>
          <w:szCs w:val="24"/>
          <w:highlight w:val="none"/>
          <w:lang w:val="en-US" w:eastAsia="zh-CN"/>
        </w:rPr>
      </w:pPr>
      <w:r>
        <w:rPr>
          <w:rFonts w:hint="eastAsia"/>
          <w:color w:val="auto"/>
          <w:sz w:val="24"/>
          <w:szCs w:val="24"/>
          <w:highlight w:val="none"/>
          <w:lang w:val="en-US" w:eastAsia="zh-CN"/>
        </w:rPr>
        <w:t>单位</w:t>
      </w:r>
      <w:r>
        <w:rPr>
          <w:rFonts w:hint="eastAsia"/>
          <w:color w:val="auto"/>
          <w:sz w:val="24"/>
          <w:szCs w:val="24"/>
          <w:highlight w:val="none"/>
        </w:rPr>
        <w:t>名称：</w:t>
      </w:r>
      <w:r>
        <w:rPr>
          <w:rFonts w:hint="eastAsia" w:ascii="宋体" w:hAnsi="宋体" w:eastAsia="宋体" w:cs="宋体"/>
          <w:color w:val="auto"/>
          <w:sz w:val="24"/>
          <w:szCs w:val="24"/>
          <w:highlight w:val="none"/>
          <w:u w:val="none"/>
        </w:rPr>
        <w:t>（加盖电子公章）</w:t>
      </w:r>
    </w:p>
    <w:p w14:paraId="1E75519E">
      <w:pPr>
        <w:pStyle w:val="90"/>
        <w:spacing w:line="480" w:lineRule="exact"/>
        <w:ind w:firstLine="480"/>
        <w:rPr>
          <w:rFonts w:hint="eastAsia"/>
          <w:color w:val="auto"/>
          <w:sz w:val="24"/>
          <w:szCs w:val="24"/>
          <w:highlight w:val="none"/>
          <w:u w:val="single"/>
        </w:rPr>
      </w:pPr>
      <w:r>
        <w:rPr>
          <w:rFonts w:hint="eastAsia"/>
          <w:color w:val="auto"/>
          <w:sz w:val="24"/>
          <w:szCs w:val="24"/>
          <w:highlight w:val="none"/>
        </w:rPr>
        <w:t>单位地址：</w:t>
      </w:r>
    </w:p>
    <w:p w14:paraId="18FC440D">
      <w:pPr>
        <w:pStyle w:val="90"/>
        <w:spacing w:line="480" w:lineRule="exact"/>
        <w:ind w:firstLine="480"/>
        <w:rPr>
          <w:rFonts w:hint="eastAsia"/>
          <w:color w:val="auto"/>
          <w:sz w:val="24"/>
          <w:szCs w:val="24"/>
          <w:highlight w:val="none"/>
        </w:rPr>
      </w:pP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期：</w:t>
      </w:r>
      <w:bookmarkStart w:id="399" w:name="_Hlt26955070"/>
      <w:bookmarkEnd w:id="399"/>
      <w:bookmarkStart w:id="400" w:name="_格式3__银行出具的资信证明"/>
      <w:bookmarkEnd w:id="400"/>
      <w:bookmarkStart w:id="401" w:name="_Hlt26671380"/>
      <w:bookmarkEnd w:id="401"/>
    </w:p>
    <w:p w14:paraId="1E38F58B">
      <w:pPr>
        <w:pStyle w:val="6"/>
        <w:rPr>
          <w:rFonts w:hint="eastAsia"/>
          <w:i/>
          <w:color w:val="auto"/>
          <w:sz w:val="24"/>
          <w:szCs w:val="24"/>
          <w:highlight w:val="none"/>
          <w:u w:val="single"/>
        </w:rPr>
      </w:pPr>
    </w:p>
    <w:p w14:paraId="7F02E636">
      <w:pPr>
        <w:pStyle w:val="6"/>
        <w:rPr>
          <w:rFonts w:hint="eastAsia"/>
          <w:i/>
          <w:color w:val="auto"/>
          <w:sz w:val="24"/>
          <w:szCs w:val="24"/>
          <w:highlight w:val="none"/>
          <w:u w:val="single"/>
        </w:rPr>
      </w:pPr>
    </w:p>
    <w:p w14:paraId="3A2FFC3D">
      <w:pPr>
        <w:pStyle w:val="6"/>
        <w:rPr>
          <w:rFonts w:hint="eastAsia"/>
          <w:i/>
          <w:color w:val="auto"/>
          <w:sz w:val="24"/>
          <w:szCs w:val="24"/>
          <w:highlight w:val="none"/>
          <w:u w:val="single"/>
        </w:rPr>
      </w:pPr>
    </w:p>
    <w:p w14:paraId="6DBD9B58">
      <w:pPr>
        <w:pStyle w:val="6"/>
        <w:ind w:firstLine="0"/>
        <w:rPr>
          <w:rFonts w:hint="eastAsia"/>
          <w:color w:val="auto"/>
          <w:highlight w:val="none"/>
        </w:rPr>
      </w:pPr>
    </w:p>
    <w:p w14:paraId="67FADF4D">
      <w:pPr>
        <w:spacing w:line="460" w:lineRule="exact"/>
        <w:rPr>
          <w:rFonts w:hint="eastAsia" w:ascii="楷体" w:hAnsi="楷体" w:eastAsia="楷体"/>
          <w:bCs/>
          <w:color w:val="auto"/>
          <w:sz w:val="24"/>
          <w:szCs w:val="24"/>
          <w:highlight w:val="none"/>
        </w:rPr>
      </w:pPr>
    </w:p>
    <w:p w14:paraId="29DA40EF">
      <w:pPr>
        <w:spacing w:line="460" w:lineRule="exact"/>
        <w:rPr>
          <w:rFonts w:hint="eastAsia" w:ascii="宋体" w:hAnsi="宋体"/>
          <w:bCs/>
          <w:color w:val="auto"/>
          <w:sz w:val="24"/>
          <w:highlight w:val="none"/>
        </w:rPr>
      </w:pPr>
    </w:p>
    <w:p w14:paraId="552CBDB5">
      <w:pPr>
        <w:pStyle w:val="96"/>
        <w:rPr>
          <w:rFonts w:hint="eastAsia" w:ascii="宋体" w:hAnsi="宋体"/>
          <w:bCs/>
          <w:color w:val="auto"/>
          <w:sz w:val="24"/>
          <w:highlight w:val="none"/>
        </w:rPr>
      </w:pPr>
    </w:p>
    <w:p w14:paraId="36047210">
      <w:pPr>
        <w:pStyle w:val="96"/>
        <w:rPr>
          <w:rFonts w:hint="eastAsia" w:ascii="宋体" w:hAnsi="宋体"/>
          <w:bCs/>
          <w:color w:val="auto"/>
          <w:sz w:val="24"/>
          <w:highlight w:val="none"/>
        </w:rPr>
      </w:pPr>
    </w:p>
    <w:p w14:paraId="2112E5F2">
      <w:pPr>
        <w:outlineLvl w:val="9"/>
        <w:rPr>
          <w:rFonts w:hint="eastAsia"/>
          <w:color w:val="auto"/>
          <w:highlight w:val="none"/>
          <w:lang w:val="en-US" w:eastAsia="zh-CN"/>
        </w:rPr>
      </w:pPr>
    </w:p>
    <w:p w14:paraId="490A7DEB">
      <w:pPr>
        <w:adjustRightInd w:val="0"/>
        <w:snapToGrid w:val="0"/>
        <w:spacing w:line="360" w:lineRule="auto"/>
        <w:jc w:val="left"/>
        <w:outlineLvl w:val="9"/>
        <w:rPr>
          <w:rFonts w:hint="eastAsia" w:ascii="黑体" w:hAnsi="黑体" w:eastAsia="黑体" w:cs="Times New Roman"/>
          <w:i w:val="0"/>
          <w:color w:val="auto"/>
          <w:kern w:val="2"/>
          <w:sz w:val="32"/>
          <w:szCs w:val="32"/>
          <w:highlight w:val="none"/>
          <w:u w:val="none"/>
          <w:lang w:val="en-US" w:eastAsia="zh-CN"/>
        </w:rPr>
      </w:pPr>
    </w:p>
    <w:p w14:paraId="67667746">
      <w:pPr>
        <w:pStyle w:val="92"/>
        <w:outlineLvl w:val="9"/>
        <w:rPr>
          <w:rFonts w:hint="eastAsia" w:ascii="黑体" w:hAnsi="黑体" w:eastAsia="黑体" w:cs="Times New Roman"/>
          <w:i w:val="0"/>
          <w:color w:val="auto"/>
          <w:kern w:val="2"/>
          <w:sz w:val="32"/>
          <w:szCs w:val="32"/>
          <w:highlight w:val="none"/>
          <w:u w:val="none"/>
          <w:lang w:val="en-US" w:eastAsia="zh-CN"/>
        </w:rPr>
      </w:pPr>
    </w:p>
    <w:p w14:paraId="3689A016">
      <w:pPr>
        <w:outlineLvl w:val="9"/>
        <w:rPr>
          <w:rFonts w:hint="eastAsia"/>
          <w:color w:val="auto"/>
          <w:highlight w:val="none"/>
          <w:lang w:val="en-US" w:eastAsia="zh-CN"/>
        </w:rPr>
      </w:pPr>
    </w:p>
    <w:p w14:paraId="5413A67C">
      <w:pPr>
        <w:adjustRightInd w:val="0"/>
        <w:snapToGrid w:val="0"/>
        <w:spacing w:line="360" w:lineRule="auto"/>
        <w:jc w:val="left"/>
        <w:outlineLvl w:val="9"/>
        <w:rPr>
          <w:rFonts w:hint="eastAsia" w:ascii="黑体" w:hAnsi="黑体" w:eastAsia="黑体" w:cs="Times New Roman"/>
          <w:i w:val="0"/>
          <w:color w:val="auto"/>
          <w:sz w:val="32"/>
          <w:szCs w:val="32"/>
          <w:highlight w:val="none"/>
          <w:u w:val="none"/>
          <w:lang w:val="en-US" w:eastAsia="zh-CN"/>
        </w:rPr>
      </w:pPr>
    </w:p>
    <w:p w14:paraId="3A1A26F5">
      <w:pPr>
        <w:adjustRightInd w:val="0"/>
        <w:snapToGrid w:val="0"/>
        <w:spacing w:line="360" w:lineRule="auto"/>
        <w:jc w:val="left"/>
        <w:outlineLvl w:val="9"/>
        <w:rPr>
          <w:rFonts w:hint="eastAsia" w:ascii="黑体" w:hAnsi="黑体" w:eastAsia="黑体" w:cs="Times New Roman"/>
          <w:i w:val="0"/>
          <w:color w:val="auto"/>
          <w:sz w:val="32"/>
          <w:szCs w:val="32"/>
          <w:highlight w:val="none"/>
          <w:u w:val="none"/>
          <w:lang w:val="en-US" w:eastAsia="zh-CN"/>
        </w:rPr>
      </w:pPr>
    </w:p>
    <w:p w14:paraId="1EAC1885">
      <w:pPr>
        <w:adjustRightInd w:val="0"/>
        <w:snapToGrid w:val="0"/>
        <w:spacing w:line="360" w:lineRule="auto"/>
        <w:jc w:val="left"/>
        <w:outlineLvl w:val="9"/>
        <w:rPr>
          <w:rFonts w:hint="eastAsia" w:ascii="黑体" w:hAnsi="黑体" w:eastAsia="黑体" w:cs="Times New Roman"/>
          <w:i w:val="0"/>
          <w:color w:val="auto"/>
          <w:sz w:val="32"/>
          <w:szCs w:val="32"/>
          <w:highlight w:val="none"/>
          <w:u w:val="none"/>
          <w:lang w:val="en-US" w:eastAsia="zh-CN"/>
        </w:rPr>
      </w:pPr>
    </w:p>
    <w:p w14:paraId="7F20CE35">
      <w:pPr>
        <w:adjustRightInd w:val="0"/>
        <w:snapToGrid w:val="0"/>
        <w:spacing w:line="360" w:lineRule="auto"/>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r>
      <w:r>
        <w:rPr>
          <w:rFonts w:hint="eastAsia" w:ascii="黑体" w:hAnsi="黑体" w:eastAsia="黑体" w:cs="Times New Roman"/>
          <w:i w:val="0"/>
          <w:color w:val="auto"/>
          <w:sz w:val="32"/>
          <w:szCs w:val="32"/>
          <w:highlight w:val="none"/>
          <w:u w:val="none"/>
          <w:lang w:val="en-US" w:eastAsia="zh-CN"/>
        </w:rPr>
        <w:t>三、开标一览表</w:t>
      </w:r>
    </w:p>
    <w:p w14:paraId="6F74252B">
      <w:pPr>
        <w:keepNext w:val="0"/>
        <w:keepLines w:val="0"/>
        <w:pageBreakBefore w:val="0"/>
        <w:widowControl w:val="0"/>
        <w:kinsoku/>
        <w:wordWrap/>
        <w:overflowPunct/>
        <w:topLinePunct w:val="0"/>
        <w:autoSpaceDE/>
        <w:autoSpaceDN/>
        <w:bidi w:val="0"/>
        <w:adjustRightInd w:val="0"/>
        <w:snapToGrid w:val="0"/>
        <w:spacing w:line="336" w:lineRule="auto"/>
        <w:jc w:val="center"/>
        <w:textAlignment w:val="auto"/>
        <w:outlineLvl w:val="2"/>
        <w:rPr>
          <w:rFonts w:hint="eastAsia" w:ascii="方正小标宋简体" w:hAnsi="方正小标宋简体" w:eastAsia="方正小标宋简体" w:cs="方正小标宋简体"/>
          <w:color w:val="auto"/>
          <w:sz w:val="32"/>
          <w:szCs w:val="32"/>
          <w:highlight w:val="none"/>
          <w:lang w:val="en-US" w:eastAsia="zh-CN"/>
        </w:rPr>
      </w:pPr>
      <w:bookmarkStart w:id="402" w:name="_Toc29125"/>
      <w:r>
        <w:rPr>
          <w:rFonts w:hint="eastAsia" w:ascii="方正小标宋简体" w:hAnsi="方正小标宋简体" w:eastAsia="方正小标宋简体" w:cs="方正小标宋简体"/>
          <w:color w:val="auto"/>
          <w:sz w:val="32"/>
          <w:szCs w:val="32"/>
          <w:highlight w:val="none"/>
          <w:lang w:val="en-US" w:eastAsia="zh-CN"/>
        </w:rPr>
        <w:t>开标一览表</w:t>
      </w:r>
      <w:bookmarkEnd w:id="402"/>
    </w:p>
    <w:p w14:paraId="58831A42">
      <w:pPr>
        <w:keepNext w:val="0"/>
        <w:keepLines w:val="0"/>
        <w:pageBreakBefore w:val="0"/>
        <w:widowControl w:val="0"/>
        <w:kinsoku/>
        <w:wordWrap/>
        <w:overflowPunct/>
        <w:topLinePunct w:val="0"/>
        <w:autoSpaceDE/>
        <w:autoSpaceDN/>
        <w:bidi w:val="0"/>
        <w:spacing w:line="336" w:lineRule="auto"/>
        <w:ind w:firstLine="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lang w:eastAsia="zh-CN"/>
        </w:rPr>
        <w:t>名</w:t>
      </w:r>
      <w:r>
        <w:rPr>
          <w:rFonts w:hint="eastAsia" w:ascii="宋体" w:hAnsi="宋体"/>
          <w:color w:val="auto"/>
          <w:sz w:val="24"/>
          <w:szCs w:val="24"/>
          <w:highlight w:val="none"/>
        </w:rPr>
        <w:t>称：（加盖电子</w:t>
      </w:r>
      <w:r>
        <w:rPr>
          <w:rFonts w:hint="eastAsia" w:ascii="宋体" w:hAnsi="宋体"/>
          <w:color w:val="auto"/>
          <w:sz w:val="24"/>
          <w:szCs w:val="24"/>
          <w:highlight w:val="none"/>
          <w:lang w:val="en-US" w:eastAsia="zh-CN"/>
        </w:rPr>
        <w:t>公</w:t>
      </w:r>
      <w:r>
        <w:rPr>
          <w:rFonts w:hint="eastAsia" w:ascii="宋体" w:hAnsi="宋体"/>
          <w:color w:val="auto"/>
          <w:sz w:val="24"/>
          <w:szCs w:val="24"/>
          <w:highlight w:val="none"/>
        </w:rPr>
        <w:t>章）</w:t>
      </w:r>
    </w:p>
    <w:p w14:paraId="4F980F41">
      <w:pPr>
        <w:keepNext w:val="0"/>
        <w:keepLines w:val="0"/>
        <w:pageBreakBefore w:val="0"/>
        <w:widowControl w:val="0"/>
        <w:kinsoku/>
        <w:wordWrap/>
        <w:overflowPunct/>
        <w:topLinePunct w:val="0"/>
        <w:autoSpaceDE/>
        <w:autoSpaceDN/>
        <w:bidi w:val="0"/>
        <w:spacing w:line="336" w:lineRule="auto"/>
        <w:ind w:firstLine="0"/>
        <w:textAlignment w:val="auto"/>
        <w:outlineLvl w:val="9"/>
        <w:rPr>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val="zh-CN" w:eastAsia="zh-CN"/>
        </w:rPr>
        <w:t>汤泉街道2026-2029年度九龙湖及周边地区景观绿化养护项目</w:t>
      </w:r>
    </w:p>
    <w:p w14:paraId="2FFA0FC7">
      <w:pPr>
        <w:keepNext w:val="0"/>
        <w:keepLines w:val="0"/>
        <w:pageBreakBefore w:val="0"/>
        <w:widowControl w:val="0"/>
        <w:kinsoku/>
        <w:wordWrap/>
        <w:overflowPunct/>
        <w:topLinePunct w:val="0"/>
        <w:autoSpaceDE/>
        <w:autoSpaceDN/>
        <w:bidi w:val="0"/>
        <w:spacing w:line="336" w:lineRule="auto"/>
        <w:ind w:firstLine="0"/>
        <w:textAlignment w:val="auto"/>
        <w:outlineLvl w:val="9"/>
        <w:rPr>
          <w:rFonts w:ascii="宋体" w:hAnsi="宋体"/>
          <w:color w:val="auto"/>
          <w:sz w:val="24"/>
          <w:szCs w:val="24"/>
          <w:highlight w:val="none"/>
        </w:rPr>
      </w:pP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编号：JSZC-320111-XMGL-G2026-0005</w:t>
      </w:r>
      <w:bookmarkStart w:id="415" w:name="_GoBack"/>
      <w:bookmarkEnd w:id="415"/>
    </w:p>
    <w:tbl>
      <w:tblPr>
        <w:tblStyle w:val="2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6745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14:paraId="62B923AE">
            <w:pPr>
              <w:keepNext w:val="0"/>
              <w:keepLines w:val="0"/>
              <w:pageBreakBefore w:val="0"/>
              <w:widowControl w:val="0"/>
              <w:kinsoku/>
              <w:wordWrap/>
              <w:overflowPunct/>
              <w:topLinePunct w:val="0"/>
              <w:autoSpaceDE/>
              <w:autoSpaceDN/>
              <w:bidi w:val="0"/>
              <w:spacing w:line="336" w:lineRule="auto"/>
              <w:jc w:val="center"/>
              <w:textAlignment w:val="auto"/>
              <w:outlineLvl w:val="9"/>
              <w:rPr>
                <w:rFonts w:hint="eastAsia" w:ascii="宋体" w:hAnsi="宋体" w:eastAsia="宋体"/>
                <w:color w:val="auto"/>
                <w:sz w:val="24"/>
                <w:szCs w:val="24"/>
                <w:highlight w:val="none"/>
                <w:lang w:eastAsia="zh-CN"/>
              </w:rPr>
            </w:pPr>
            <w:r>
              <w:rPr>
                <w:rFonts w:hint="eastAsia"/>
                <w:color w:val="auto"/>
                <w:sz w:val="24"/>
                <w:szCs w:val="24"/>
                <w:highlight w:val="none"/>
                <w:lang w:val="en-US" w:eastAsia="zh-CN"/>
              </w:rPr>
              <w:t>三年</w:t>
            </w:r>
            <w:r>
              <w:rPr>
                <w:rFonts w:hint="eastAsia" w:ascii="宋体" w:hAnsi="宋体"/>
                <w:color w:val="auto"/>
                <w:sz w:val="24"/>
                <w:szCs w:val="24"/>
                <w:highlight w:val="none"/>
              </w:rPr>
              <w:t>投标总报价</w:t>
            </w:r>
            <w:r>
              <w:rPr>
                <w:rFonts w:hint="eastAsia"/>
                <w:color w:val="auto"/>
                <w:sz w:val="24"/>
                <w:szCs w:val="24"/>
                <w:highlight w:val="none"/>
                <w:lang w:eastAsia="zh-CN"/>
              </w:rPr>
              <w:t>（</w:t>
            </w:r>
            <w:r>
              <w:rPr>
                <w:rFonts w:hint="eastAsia"/>
                <w:color w:val="auto"/>
                <w:sz w:val="24"/>
                <w:szCs w:val="24"/>
                <w:highlight w:val="none"/>
                <w:lang w:val="en-US" w:eastAsia="zh-CN"/>
              </w:rPr>
              <w:t>含税</w:t>
            </w:r>
            <w:r>
              <w:rPr>
                <w:rFonts w:hint="eastAsia"/>
                <w:color w:val="auto"/>
                <w:sz w:val="24"/>
                <w:szCs w:val="24"/>
                <w:highlight w:val="none"/>
                <w:lang w:eastAsia="zh-CN"/>
              </w:rPr>
              <w:t>）</w:t>
            </w:r>
          </w:p>
        </w:tc>
      </w:tr>
      <w:tr w14:paraId="33A9F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1B83ACDC">
            <w:pPr>
              <w:pStyle w:val="91"/>
              <w:keepNext w:val="0"/>
              <w:keepLines w:val="0"/>
              <w:pageBreakBefore w:val="0"/>
              <w:widowControl w:val="0"/>
              <w:kinsoku/>
              <w:wordWrap/>
              <w:overflowPunct/>
              <w:topLinePunct w:val="0"/>
              <w:autoSpaceDE/>
              <w:autoSpaceDN/>
              <w:bidi w:val="0"/>
              <w:spacing w:before="0" w:after="0" w:line="336" w:lineRule="auto"/>
              <w:ind w:firstLine="0"/>
              <w:textAlignment w:val="auto"/>
              <w:outlineLvl w:val="9"/>
              <w:rPr>
                <w:rFonts w:hint="eastAsia" w:ascii="宋体" w:hAnsi="宋体"/>
                <w:color w:val="auto"/>
                <w:kern w:val="2"/>
                <w:szCs w:val="21"/>
                <w:highlight w:val="none"/>
              </w:rPr>
            </w:pPr>
            <w:r>
              <w:rPr>
                <w:rFonts w:hint="eastAsia" w:ascii="宋体" w:hAnsi="宋体" w:cs="宋体"/>
                <w:color w:val="auto"/>
                <w:highlight w:val="none"/>
              </w:rPr>
              <w:t xml:space="preserve">小写（元）：   </w:t>
            </w:r>
            <w:r>
              <w:rPr>
                <w:rFonts w:hint="eastAsia" w:ascii="宋体" w:hAnsi="宋体" w:cs="宋体"/>
                <w:color w:val="auto"/>
                <w:highlight w:val="none"/>
                <w:lang w:val="en-US" w:eastAsia="zh-CN"/>
              </w:rPr>
              <w:t xml:space="preserve">      大写：</w:t>
            </w:r>
            <w:r>
              <w:rPr>
                <w:rFonts w:hint="eastAsia" w:ascii="宋体" w:hAnsi="宋体" w:cs="宋体"/>
                <w:color w:val="auto"/>
                <w:highlight w:val="none"/>
              </w:rPr>
              <w:t xml:space="preserve">                          </w:t>
            </w:r>
          </w:p>
        </w:tc>
      </w:tr>
      <w:tr w14:paraId="740F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69B7E5AB">
            <w:pPr>
              <w:pStyle w:val="91"/>
              <w:keepNext w:val="0"/>
              <w:keepLines w:val="0"/>
              <w:pageBreakBefore w:val="0"/>
              <w:widowControl w:val="0"/>
              <w:kinsoku/>
              <w:wordWrap/>
              <w:overflowPunct/>
              <w:topLinePunct w:val="0"/>
              <w:autoSpaceDE/>
              <w:autoSpaceDN/>
              <w:bidi w:val="0"/>
              <w:spacing w:before="0" w:after="0" w:line="336" w:lineRule="auto"/>
              <w:ind w:firstLine="0"/>
              <w:textAlignment w:val="auto"/>
              <w:outlineLvl w:val="9"/>
              <w:rPr>
                <w:rFonts w:hint="eastAsia" w:ascii="宋体" w:hAnsi="宋体" w:cs="宋体"/>
                <w:color w:val="auto"/>
                <w:highlight w:val="none"/>
              </w:rPr>
            </w:pPr>
            <w:r>
              <w:rPr>
                <w:rFonts w:hint="eastAsia" w:ascii="宋体" w:hAnsi="宋体" w:eastAsia="宋体" w:cs="宋体"/>
                <w:color w:val="auto"/>
                <w:kern w:val="2"/>
                <w:sz w:val="24"/>
                <w:szCs w:val="24"/>
                <w:highlight w:val="none"/>
                <w:lang w:eastAsia="zh-CN"/>
              </w:rPr>
              <w:t>合同履行期限</w:t>
            </w:r>
            <w:r>
              <w:rPr>
                <w:rFonts w:hint="eastAsia" w:ascii="宋体" w:hAnsi="宋体" w:eastAsia="宋体" w:cs="宋体"/>
                <w:color w:val="auto"/>
                <w:kern w:val="2"/>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本合同服务期限一年，总服务期三年。合同一年一签。一年合同期满且经甲方年度综合考核合格后(以服务期结束后月均考核得分≥甲方规定的合格分数线为准)，甲方可与乙方续签下一年度合同。若出现连续2个月或累计有2次考核不合格的情况，视为养护单位违约，甲方有权单方终止续签，终止合作关系。</w:t>
            </w:r>
          </w:p>
        </w:tc>
      </w:tr>
      <w:tr w14:paraId="0964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54C7D1D0">
            <w:pPr>
              <w:pStyle w:val="91"/>
              <w:keepNext w:val="0"/>
              <w:keepLines w:val="0"/>
              <w:pageBreakBefore w:val="0"/>
              <w:widowControl w:val="0"/>
              <w:kinsoku/>
              <w:wordWrap/>
              <w:overflowPunct/>
              <w:topLinePunct w:val="0"/>
              <w:autoSpaceDE/>
              <w:autoSpaceDN/>
              <w:bidi w:val="0"/>
              <w:spacing w:before="0" w:after="0" w:line="336" w:lineRule="auto"/>
              <w:ind w:firstLine="0"/>
              <w:textAlignment w:val="auto"/>
              <w:outlineLvl w:val="9"/>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val="en-US" w:eastAsia="zh-CN"/>
              </w:rPr>
              <w:t>项目负责人</w:t>
            </w:r>
            <w:r>
              <w:rPr>
                <w:rFonts w:hint="eastAsia" w:ascii="宋体" w:hAnsi="宋体" w:cs="宋体"/>
                <w:color w:val="auto"/>
                <w:sz w:val="24"/>
                <w:szCs w:val="24"/>
                <w:highlight w:val="none"/>
                <w:lang w:val="en-US" w:eastAsia="zh-CN"/>
              </w:rPr>
              <w:t>（项目经理）</w:t>
            </w:r>
            <w:r>
              <w:rPr>
                <w:rFonts w:hint="eastAsia" w:ascii="宋体" w:hAnsi="宋体" w:eastAsia="宋体" w:cs="宋体"/>
                <w:color w:val="auto"/>
                <w:sz w:val="24"/>
                <w:szCs w:val="24"/>
                <w:highlight w:val="none"/>
                <w:lang w:val="en-US" w:eastAsia="zh-CN"/>
              </w:rPr>
              <w:t>：</w:t>
            </w:r>
          </w:p>
        </w:tc>
      </w:tr>
      <w:tr w14:paraId="4FB6A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342F9C1B">
            <w:pPr>
              <w:pStyle w:val="91"/>
              <w:keepNext w:val="0"/>
              <w:keepLines w:val="0"/>
              <w:pageBreakBefore w:val="0"/>
              <w:widowControl w:val="0"/>
              <w:kinsoku/>
              <w:wordWrap/>
              <w:overflowPunct/>
              <w:topLinePunct w:val="0"/>
              <w:autoSpaceDE/>
              <w:autoSpaceDN/>
              <w:bidi w:val="0"/>
              <w:spacing w:before="0" w:after="0" w:line="336" w:lineRule="auto"/>
              <w:ind w:firstLine="0"/>
              <w:textAlignment w:val="auto"/>
              <w:outlineLvl w:val="9"/>
              <w:rPr>
                <w:rFonts w:hint="default" w:ascii="宋体" w:hAnsi="宋体" w:eastAsia="宋体" w:cs="宋体"/>
                <w:color w:val="auto"/>
                <w:sz w:val="24"/>
                <w:szCs w:val="24"/>
                <w:highlight w:val="none"/>
                <w:lang w:val="en-US" w:eastAsia="zh-CN"/>
              </w:rPr>
            </w:pPr>
            <w:r>
              <w:rPr>
                <w:rFonts w:hint="eastAsia" w:cs="宋体"/>
                <w:color w:val="auto"/>
                <w:kern w:val="2"/>
                <w:sz w:val="24"/>
                <w:szCs w:val="24"/>
                <w:highlight w:val="none"/>
                <w:lang w:val="zh-CN" w:eastAsia="zh-CN"/>
              </w:rPr>
              <w:t>投标文件</w:t>
            </w:r>
            <w:r>
              <w:rPr>
                <w:rFonts w:hint="eastAsia" w:ascii="宋体" w:hAnsi="宋体" w:eastAsia="宋体" w:cs="宋体"/>
                <w:color w:val="auto"/>
                <w:kern w:val="2"/>
                <w:sz w:val="24"/>
                <w:szCs w:val="24"/>
                <w:highlight w:val="none"/>
                <w:lang w:val="zh-CN" w:eastAsia="zh-CN"/>
              </w:rPr>
              <w:t>有效期：</w:t>
            </w:r>
            <w:r>
              <w:rPr>
                <w:rFonts w:hint="eastAsia" w:ascii="宋体" w:hAnsi="宋体" w:cs="宋体"/>
                <w:color w:val="auto"/>
                <w:kern w:val="2"/>
                <w:sz w:val="24"/>
                <w:szCs w:val="24"/>
                <w:highlight w:val="none"/>
                <w:lang w:val="en-US" w:eastAsia="zh-CN"/>
              </w:rPr>
              <w:t xml:space="preserve">  日</w:t>
            </w:r>
          </w:p>
        </w:tc>
      </w:tr>
    </w:tbl>
    <w:p w14:paraId="225AFCEC">
      <w:pPr>
        <w:keepNext w:val="0"/>
        <w:keepLines w:val="0"/>
        <w:pageBreakBefore w:val="0"/>
        <w:widowControl w:val="0"/>
        <w:kinsoku/>
        <w:wordWrap/>
        <w:overflowPunct/>
        <w:topLinePunct w:val="0"/>
        <w:autoSpaceDE/>
        <w:autoSpaceDN/>
        <w:bidi w:val="0"/>
        <w:spacing w:line="336" w:lineRule="auto"/>
        <w:textAlignment w:val="auto"/>
        <w:outlineLvl w:val="9"/>
        <w:rPr>
          <w:rFonts w:ascii="宋体" w:hAnsi="宋体"/>
          <w:color w:val="auto"/>
          <w:sz w:val="24"/>
          <w:szCs w:val="24"/>
          <w:highlight w:val="none"/>
        </w:rPr>
      </w:pPr>
    </w:p>
    <w:p w14:paraId="0DF2D93F">
      <w:pPr>
        <w:keepNext w:val="0"/>
        <w:keepLines w:val="0"/>
        <w:pageBreakBefore w:val="0"/>
        <w:widowControl w:val="0"/>
        <w:kinsoku/>
        <w:wordWrap/>
        <w:overflowPunct/>
        <w:topLinePunct w:val="0"/>
        <w:autoSpaceDE/>
        <w:autoSpaceDN/>
        <w:bidi w:val="0"/>
        <w:spacing w:line="336" w:lineRule="auto"/>
        <w:ind w:firstLine="480"/>
        <w:textAlignment w:val="auto"/>
        <w:outlineLvl w:val="9"/>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期：</w:t>
      </w:r>
    </w:p>
    <w:p w14:paraId="4E237E10">
      <w:pPr>
        <w:spacing w:line="480" w:lineRule="exact"/>
        <w:ind w:firstLine="643" w:firstLineChars="200"/>
        <w:outlineLvl w:val="9"/>
        <w:rPr>
          <w:rFonts w:hint="eastAsia" w:ascii="黑体" w:hAnsi="黑体" w:eastAsia="黑体"/>
          <w:b/>
          <w:i/>
          <w:color w:val="auto"/>
          <w:sz w:val="32"/>
          <w:szCs w:val="32"/>
          <w:highlight w:val="none"/>
          <w:u w:val="single"/>
        </w:rPr>
      </w:pPr>
    </w:p>
    <w:p w14:paraId="10D2CBF6">
      <w:pPr>
        <w:spacing w:line="480" w:lineRule="exact"/>
        <w:ind w:firstLine="482" w:firstLineChars="200"/>
        <w:rPr>
          <w:rFonts w:hint="eastAsia" w:ascii="宋体" w:hAnsi="宋体" w:eastAsia="宋体" w:cs="Times New Roman"/>
          <w:b/>
          <w:bCs/>
          <w:i w:val="0"/>
          <w:color w:val="auto"/>
          <w:sz w:val="24"/>
          <w:szCs w:val="24"/>
          <w:highlight w:val="none"/>
          <w:u w:val="none"/>
        </w:rPr>
      </w:pPr>
      <w:r>
        <w:rPr>
          <w:rFonts w:hint="eastAsia" w:ascii="宋体" w:hAnsi="宋体" w:eastAsia="宋体" w:cs="Times New Roman"/>
          <w:b/>
          <w:bCs/>
          <w:color w:val="auto"/>
          <w:kern w:val="2"/>
          <w:sz w:val="24"/>
          <w:szCs w:val="24"/>
          <w:highlight w:val="none"/>
          <w:lang w:val="en-US" w:eastAsia="zh-CN"/>
        </w:rPr>
        <w:t>备注：</w:t>
      </w:r>
      <w:r>
        <w:rPr>
          <w:rFonts w:hint="eastAsia" w:ascii="宋体" w:hAnsi="宋体" w:eastAsia="宋体" w:cs="Times New Roman"/>
          <w:b/>
          <w:bCs/>
          <w:color w:val="auto"/>
          <w:sz w:val="24"/>
          <w:szCs w:val="24"/>
          <w:highlight w:val="none"/>
          <w:lang w:val="en-US" w:eastAsia="zh-CN"/>
        </w:rPr>
        <w:t>投标人报价低于采购项目预算50%，或者低于采购项目最高限价45%，或者</w:t>
      </w:r>
      <w:r>
        <w:rPr>
          <w:rFonts w:hint="eastAsia" w:ascii="宋体" w:hAnsi="宋体" w:eastAsia="宋体" w:cs="Times New Roman"/>
          <w:b/>
          <w:bCs/>
          <w:color w:val="auto"/>
          <w:sz w:val="24"/>
          <w:szCs w:val="24"/>
          <w:highlight w:val="none"/>
          <w:lang w:val="zh-CN"/>
        </w:rPr>
        <w:t>报价</w:t>
      </w:r>
      <w:r>
        <w:rPr>
          <w:rFonts w:hint="eastAsia" w:ascii="宋体" w:hAnsi="宋体" w:eastAsia="宋体" w:cs="Times New Roman"/>
          <w:b/>
          <w:bCs/>
          <w:color w:val="auto"/>
          <w:sz w:val="24"/>
          <w:szCs w:val="24"/>
          <w:highlight w:val="none"/>
          <w:lang w:val="en-US" w:eastAsia="zh-CN"/>
        </w:rPr>
        <w:t>过低</w:t>
      </w:r>
      <w:r>
        <w:rPr>
          <w:rFonts w:hint="eastAsia" w:ascii="宋体" w:hAnsi="宋体" w:eastAsia="宋体" w:cs="Times New Roman"/>
          <w:b/>
          <w:bCs/>
          <w:color w:val="auto"/>
          <w:sz w:val="24"/>
          <w:szCs w:val="24"/>
          <w:highlight w:val="none"/>
          <w:lang w:val="zh-CN"/>
        </w:rPr>
        <w:t>，有可能影响</w:t>
      </w:r>
      <w:r>
        <w:rPr>
          <w:rFonts w:hint="eastAsia" w:ascii="宋体" w:hAnsi="宋体" w:eastAsia="宋体" w:cs="Times New Roman"/>
          <w:b/>
          <w:bCs/>
          <w:color w:val="auto"/>
          <w:sz w:val="24"/>
          <w:szCs w:val="24"/>
          <w:highlight w:val="none"/>
          <w:lang w:val="en-US" w:eastAsia="zh-CN"/>
        </w:rPr>
        <w:t>产品或服务</w:t>
      </w:r>
      <w:r>
        <w:rPr>
          <w:rFonts w:hint="eastAsia" w:ascii="宋体" w:hAnsi="宋体" w:eastAsia="宋体" w:cs="Times New Roman"/>
          <w:b/>
          <w:bCs/>
          <w:color w:val="auto"/>
          <w:sz w:val="24"/>
          <w:szCs w:val="24"/>
          <w:highlight w:val="none"/>
          <w:lang w:val="zh-CN"/>
        </w:rPr>
        <w:t>质量或不能诚信履约的，</w:t>
      </w:r>
      <w:r>
        <w:rPr>
          <w:rFonts w:hint="eastAsia" w:ascii="宋体" w:hAnsi="宋体" w:eastAsia="宋体" w:cs="Times New Roman"/>
          <w:b/>
          <w:bCs/>
          <w:color w:val="auto"/>
          <w:sz w:val="24"/>
          <w:szCs w:val="24"/>
          <w:highlight w:val="none"/>
          <w:lang w:val="en-US" w:eastAsia="zh-CN"/>
        </w:rPr>
        <w:t>评委会将</w:t>
      </w:r>
      <w:r>
        <w:rPr>
          <w:rFonts w:hint="eastAsia" w:ascii="宋体" w:hAnsi="宋体" w:eastAsia="宋体" w:cs="Times New Roman"/>
          <w:b/>
          <w:bCs/>
          <w:color w:val="auto"/>
          <w:sz w:val="24"/>
          <w:szCs w:val="24"/>
          <w:highlight w:val="none"/>
          <w:lang w:val="en-US" w:eastAsia="zh-CN"/>
        </w:rPr>
        <w:t>启动异常低价投标审查机制，投标人</w:t>
      </w:r>
      <w:r>
        <w:rPr>
          <w:rFonts w:hint="eastAsia" w:ascii="宋体" w:hAnsi="宋体" w:eastAsia="宋体" w:cs="Times New Roman"/>
          <w:b/>
          <w:bCs/>
          <w:color w:val="auto"/>
          <w:sz w:val="24"/>
          <w:szCs w:val="24"/>
          <w:highlight w:val="none"/>
          <w:lang w:val="en-US" w:eastAsia="zh-CN"/>
        </w:rPr>
        <w:t>应</w:t>
      </w:r>
      <w:r>
        <w:rPr>
          <w:rFonts w:hint="eastAsia" w:ascii="宋体" w:hAnsi="宋体" w:eastAsia="宋体" w:cs="Times New Roman"/>
          <w:b/>
          <w:bCs/>
          <w:color w:val="auto"/>
          <w:sz w:val="24"/>
          <w:szCs w:val="24"/>
          <w:highlight w:val="none"/>
          <w:lang w:val="zh-CN"/>
        </w:rPr>
        <w:t>在</w:t>
      </w:r>
      <w:r>
        <w:rPr>
          <w:rFonts w:hint="eastAsia" w:ascii="宋体" w:hAnsi="宋体" w:eastAsia="宋体" w:cs="Times New Roman"/>
          <w:b/>
          <w:bCs/>
          <w:color w:val="auto"/>
          <w:sz w:val="24"/>
          <w:szCs w:val="24"/>
          <w:highlight w:val="none"/>
          <w:lang w:val="en-US" w:eastAsia="zh-CN"/>
        </w:rPr>
        <w:t>评委会规定的合理</w:t>
      </w:r>
      <w:r>
        <w:rPr>
          <w:rFonts w:hint="eastAsia" w:ascii="宋体" w:hAnsi="宋体" w:eastAsia="宋体" w:cs="Times New Roman"/>
          <w:b/>
          <w:bCs/>
          <w:color w:val="auto"/>
          <w:sz w:val="24"/>
          <w:szCs w:val="24"/>
          <w:highlight w:val="none"/>
          <w:lang w:val="zh-CN"/>
        </w:rPr>
        <w:t>时间内</w:t>
      </w:r>
      <w:r>
        <w:rPr>
          <w:rFonts w:hint="eastAsia" w:ascii="宋体" w:hAnsi="宋体" w:eastAsia="宋体" w:cs="Times New Roman"/>
          <w:b/>
          <w:bCs/>
          <w:color w:val="auto"/>
          <w:sz w:val="24"/>
          <w:szCs w:val="24"/>
          <w:highlight w:val="none"/>
          <w:lang w:val="en-US" w:eastAsia="zh-CN"/>
        </w:rPr>
        <w:t>通过苏采云系统</w:t>
      </w:r>
      <w:r>
        <w:rPr>
          <w:rFonts w:hint="eastAsia" w:ascii="宋体" w:hAnsi="宋体" w:eastAsia="宋体" w:cs="Times New Roman"/>
          <w:b/>
          <w:bCs/>
          <w:color w:val="auto"/>
          <w:sz w:val="24"/>
          <w:szCs w:val="24"/>
          <w:highlight w:val="none"/>
          <w:lang w:val="zh-CN"/>
        </w:rPr>
        <w:t>提供</w:t>
      </w:r>
      <w:r>
        <w:rPr>
          <w:rFonts w:hint="eastAsia" w:ascii="宋体" w:hAnsi="宋体" w:eastAsia="宋体" w:cs="Times New Roman"/>
          <w:b/>
          <w:bCs/>
          <w:color w:val="auto"/>
          <w:sz w:val="24"/>
          <w:szCs w:val="24"/>
          <w:highlight w:val="none"/>
          <w:lang w:val="en-US" w:eastAsia="zh-CN"/>
        </w:rPr>
        <w:t>项目具体成本测算等与报价合理性相关的书面</w:t>
      </w:r>
      <w:r>
        <w:rPr>
          <w:rFonts w:hint="eastAsia" w:ascii="宋体" w:hAnsi="宋体" w:eastAsia="宋体" w:cs="Times New Roman"/>
          <w:b/>
          <w:bCs/>
          <w:color w:val="auto"/>
          <w:sz w:val="24"/>
          <w:szCs w:val="24"/>
          <w:highlight w:val="none"/>
          <w:lang w:val="zh-CN"/>
        </w:rPr>
        <w:t>说明</w:t>
      </w:r>
      <w:r>
        <w:rPr>
          <w:rFonts w:hint="eastAsia" w:ascii="宋体" w:hAnsi="宋体" w:eastAsia="宋体" w:cs="Times New Roman"/>
          <w:b/>
          <w:bCs/>
          <w:color w:val="auto"/>
          <w:sz w:val="24"/>
          <w:szCs w:val="24"/>
          <w:highlight w:val="none"/>
          <w:lang w:val="en-US" w:eastAsia="zh-CN"/>
        </w:rPr>
        <w:t>及相关证明材料</w:t>
      </w:r>
      <w:r>
        <w:rPr>
          <w:rFonts w:hint="eastAsia" w:ascii="宋体" w:hAnsi="宋体" w:eastAsia="宋体" w:cs="Times New Roman"/>
          <w:b/>
          <w:bCs/>
          <w:color w:val="auto"/>
          <w:sz w:val="24"/>
          <w:szCs w:val="24"/>
          <w:highlight w:val="none"/>
          <w:lang w:val="zh-CN"/>
        </w:rPr>
        <w:t>。投标人</w:t>
      </w:r>
      <w:r>
        <w:rPr>
          <w:rFonts w:hint="eastAsia" w:ascii="宋体" w:hAnsi="宋体" w:eastAsia="宋体" w:cs="Times New Roman"/>
          <w:b/>
          <w:bCs/>
          <w:color w:val="auto"/>
          <w:sz w:val="24"/>
          <w:szCs w:val="24"/>
          <w:highlight w:val="none"/>
          <w:lang w:val="en-US" w:eastAsia="zh-CN"/>
        </w:rPr>
        <w:t>不提供书面说明及证明材料，或者书面说明、证明材料</w:t>
      </w:r>
      <w:r>
        <w:rPr>
          <w:rFonts w:hint="eastAsia" w:ascii="宋体" w:hAnsi="宋体" w:eastAsia="宋体" w:cs="Times New Roman"/>
          <w:b/>
          <w:bCs/>
          <w:color w:val="auto"/>
          <w:sz w:val="24"/>
          <w:szCs w:val="24"/>
          <w:highlight w:val="none"/>
          <w:lang w:val="zh-CN"/>
        </w:rPr>
        <w:t>不能证明其报价合理性的，将作为无效投标处理。</w:t>
      </w:r>
    </w:p>
    <w:p w14:paraId="6A02E0D8">
      <w:pPr>
        <w:ind w:firstLine="480"/>
        <w:outlineLvl w:val="9"/>
        <w:rPr>
          <w:rFonts w:hint="eastAsia" w:ascii="黑体" w:hAnsi="黑体" w:eastAsia="黑体"/>
          <w:b/>
          <w:i/>
          <w:color w:val="auto"/>
          <w:sz w:val="32"/>
          <w:szCs w:val="32"/>
          <w:highlight w:val="none"/>
          <w:u w:val="single"/>
        </w:rPr>
      </w:pPr>
    </w:p>
    <w:p w14:paraId="03366A2F">
      <w:pPr>
        <w:adjustRightInd w:val="0"/>
        <w:snapToGrid w:val="0"/>
        <w:spacing w:line="360" w:lineRule="auto"/>
        <w:jc w:val="left"/>
        <w:outlineLvl w:val="9"/>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r>
    </w:p>
    <w:p w14:paraId="39DB333A">
      <w:pPr>
        <w:keepNext w:val="0"/>
        <w:keepLines w:val="0"/>
        <w:pageBreakBefore w:val="0"/>
        <w:kinsoku/>
        <w:wordWrap/>
        <w:overflowPunct/>
        <w:topLinePunct w:val="0"/>
        <w:autoSpaceDE/>
        <w:autoSpaceDN/>
        <w:bidi w:val="0"/>
        <w:adjustRightInd w:val="0"/>
        <w:snapToGrid w:val="0"/>
        <w:spacing w:line="360" w:lineRule="auto"/>
        <w:ind w:right="180" w:firstLine="640" w:firstLineChars="200"/>
        <w:jc w:val="center"/>
        <w:textAlignment w:val="auto"/>
        <w:outlineLvl w:val="9"/>
        <w:rPr>
          <w:rFonts w:hint="default"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投标分项报价表一</w:t>
      </w:r>
    </w:p>
    <w:p w14:paraId="4B58C8D4">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center"/>
        <w:textAlignment w:val="auto"/>
        <w:outlineLvl w:val="9"/>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根据养护清单格式进行报价</w:t>
      </w:r>
    </w:p>
    <w:p w14:paraId="79DDFF84">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496DE046">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1B727853">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1B1B5686">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08B2EB88">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07F50938">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28662820">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1181B77F">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72C16986">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12B4AD9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468269D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6134E844">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6637CD2A">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7996DFD2">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388E9EC1">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default" w:ascii="宋体" w:hAnsi="宋体" w:eastAsia="宋体" w:cs="Times New Roman"/>
          <w:color w:val="auto"/>
          <w:sz w:val="24"/>
          <w:highlight w:val="none"/>
          <w:lang w:val="en-US" w:eastAsia="zh-CN"/>
        </w:rPr>
      </w:pPr>
    </w:p>
    <w:p w14:paraId="53F4894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备注： </w:t>
      </w:r>
    </w:p>
    <w:p w14:paraId="7F0298B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1.“投标总报价”应包括为完成整个项目所产生的所有费用，招标文件另有规定的除外。</w:t>
      </w:r>
    </w:p>
    <w:p w14:paraId="758659B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2.《投标分项报价表》中“投标总价”应当与《开标一览表》中“投标总报价”一致。</w:t>
      </w:r>
    </w:p>
    <w:p w14:paraId="5E46489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3.《投标分项报价表》中的分项名称须与“第四章-采购需求-养护清单”中的名称一一对应，如有缺项、漏项，视为无效投标。“项目清单”中分项仅为一项的，此表无需提供。</w:t>
      </w:r>
    </w:p>
    <w:p w14:paraId="5A986CD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4.行数不够，可自行添加。</w:t>
      </w:r>
    </w:p>
    <w:p w14:paraId="3CC15CEC">
      <w:pPr>
        <w:spacing w:line="360" w:lineRule="auto"/>
        <w:jc w:val="center"/>
        <w:outlineLvl w:val="9"/>
        <w:rPr>
          <w:rFonts w:hint="eastAsia" w:ascii="黑体" w:eastAsia="黑体" w:cs="Times New Roman"/>
          <w:color w:val="auto"/>
          <w:sz w:val="32"/>
          <w:szCs w:val="32"/>
          <w:highlight w:val="none"/>
          <w:lang w:val="en-US" w:eastAsia="zh-CN"/>
        </w:rPr>
      </w:pPr>
    </w:p>
    <w:p w14:paraId="1ED9D236">
      <w:pPr>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br w:type="page"/>
      </w:r>
    </w:p>
    <w:p w14:paraId="6FA7CE26">
      <w:pPr>
        <w:keepNext w:val="0"/>
        <w:keepLines w:val="0"/>
        <w:pageBreakBefore w:val="0"/>
        <w:kinsoku/>
        <w:wordWrap/>
        <w:overflowPunct/>
        <w:topLinePunct w:val="0"/>
        <w:autoSpaceDE/>
        <w:autoSpaceDN/>
        <w:bidi w:val="0"/>
        <w:adjustRightInd w:val="0"/>
        <w:snapToGrid w:val="0"/>
        <w:spacing w:line="360" w:lineRule="auto"/>
        <w:ind w:right="180" w:firstLine="640" w:firstLineChars="200"/>
        <w:jc w:val="center"/>
        <w:textAlignment w:val="auto"/>
        <w:outlineLvl w:val="9"/>
        <w:rPr>
          <w:rFonts w:hint="default"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投标分项报价表二</w:t>
      </w:r>
    </w:p>
    <w:tbl>
      <w:tblPr>
        <w:tblStyle w:val="26"/>
        <w:tblW w:w="1067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5"/>
        <w:gridCol w:w="2934"/>
        <w:gridCol w:w="2636"/>
        <w:gridCol w:w="1575"/>
        <w:gridCol w:w="1374"/>
        <w:gridCol w:w="1535"/>
      </w:tblGrid>
      <w:tr w14:paraId="1CF21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25" w:type="dxa"/>
            <w:noWrap w:val="0"/>
            <w:vAlign w:val="center"/>
          </w:tcPr>
          <w:p w14:paraId="5D358F84">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b/>
                <w:bCs/>
                <w:color w:val="auto"/>
                <w:sz w:val="28"/>
                <w:szCs w:val="22"/>
                <w:highlight w:val="none"/>
              </w:rPr>
            </w:pPr>
            <w:r>
              <w:rPr>
                <w:rFonts w:hint="eastAsia"/>
                <w:b/>
                <w:bCs/>
                <w:color w:val="auto"/>
                <w:sz w:val="28"/>
                <w:szCs w:val="22"/>
                <w:highlight w:val="none"/>
              </w:rPr>
              <w:t>序号</w:t>
            </w:r>
          </w:p>
        </w:tc>
        <w:tc>
          <w:tcPr>
            <w:tcW w:w="2934" w:type="dxa"/>
            <w:noWrap w:val="0"/>
            <w:vAlign w:val="center"/>
          </w:tcPr>
          <w:p w14:paraId="680059C3">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eastAsia" w:eastAsia="宋体"/>
                <w:b/>
                <w:bCs/>
                <w:color w:val="auto"/>
                <w:sz w:val="28"/>
                <w:szCs w:val="22"/>
                <w:highlight w:val="none"/>
                <w:lang w:eastAsia="zh-CN"/>
              </w:rPr>
            </w:pPr>
            <w:r>
              <w:rPr>
                <w:rFonts w:hint="eastAsia"/>
                <w:b/>
                <w:bCs/>
                <w:color w:val="auto"/>
                <w:sz w:val="28"/>
                <w:szCs w:val="22"/>
                <w:highlight w:val="none"/>
                <w:lang w:val="en-US" w:eastAsia="zh-CN"/>
              </w:rPr>
              <w:t>内容</w:t>
            </w:r>
          </w:p>
        </w:tc>
        <w:tc>
          <w:tcPr>
            <w:tcW w:w="2636" w:type="dxa"/>
            <w:noWrap w:val="0"/>
            <w:vAlign w:val="center"/>
          </w:tcPr>
          <w:p w14:paraId="09EC6F1D">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eastAsia" w:eastAsia="宋体"/>
                <w:b/>
                <w:bCs/>
                <w:color w:val="auto"/>
                <w:sz w:val="28"/>
                <w:szCs w:val="22"/>
                <w:highlight w:val="none"/>
                <w:lang w:eastAsia="zh-CN"/>
              </w:rPr>
            </w:pPr>
            <w:r>
              <w:rPr>
                <w:rFonts w:hint="eastAsia"/>
                <w:b/>
                <w:bCs/>
                <w:color w:val="auto"/>
                <w:sz w:val="28"/>
                <w:szCs w:val="22"/>
                <w:highlight w:val="none"/>
              </w:rPr>
              <w:t>报价（元</w:t>
            </w:r>
            <w:r>
              <w:rPr>
                <w:rFonts w:hint="eastAsia"/>
                <w:b/>
                <w:bCs/>
                <w:color w:val="auto"/>
                <w:sz w:val="28"/>
                <w:szCs w:val="22"/>
                <w:highlight w:val="none"/>
                <w:lang w:eastAsia="zh-CN"/>
              </w:rPr>
              <w:t>）</w:t>
            </w:r>
          </w:p>
        </w:tc>
        <w:tc>
          <w:tcPr>
            <w:tcW w:w="1575" w:type="dxa"/>
            <w:noWrap w:val="0"/>
            <w:vAlign w:val="center"/>
          </w:tcPr>
          <w:p w14:paraId="5D3DC2F6">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b/>
                <w:bCs/>
                <w:color w:val="auto"/>
                <w:sz w:val="28"/>
                <w:szCs w:val="22"/>
                <w:highlight w:val="none"/>
              </w:rPr>
            </w:pPr>
            <w:r>
              <w:rPr>
                <w:rFonts w:hint="eastAsia"/>
                <w:b/>
                <w:bCs/>
                <w:color w:val="auto"/>
                <w:sz w:val="28"/>
                <w:szCs w:val="22"/>
                <w:highlight w:val="none"/>
              </w:rPr>
              <w:t>其中小、微型企业报价（元）</w:t>
            </w:r>
          </w:p>
        </w:tc>
        <w:tc>
          <w:tcPr>
            <w:tcW w:w="1374" w:type="dxa"/>
            <w:noWrap w:val="0"/>
            <w:vAlign w:val="center"/>
          </w:tcPr>
          <w:p w14:paraId="5831ADFE">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b/>
                <w:bCs/>
                <w:color w:val="auto"/>
                <w:sz w:val="28"/>
                <w:szCs w:val="22"/>
                <w:highlight w:val="none"/>
              </w:rPr>
            </w:pPr>
            <w:r>
              <w:rPr>
                <w:rFonts w:hint="eastAsia"/>
                <w:b/>
                <w:bCs/>
                <w:color w:val="auto"/>
                <w:sz w:val="28"/>
                <w:szCs w:val="22"/>
                <w:highlight w:val="none"/>
              </w:rPr>
              <w:t>其中残疾人福利单位报价（元）</w:t>
            </w:r>
          </w:p>
        </w:tc>
        <w:tc>
          <w:tcPr>
            <w:tcW w:w="1535" w:type="dxa"/>
            <w:noWrap w:val="0"/>
            <w:vAlign w:val="center"/>
          </w:tcPr>
          <w:p w14:paraId="4C08B980">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eastAsia" w:eastAsia="宋体"/>
                <w:b/>
                <w:bCs/>
                <w:color w:val="auto"/>
                <w:sz w:val="28"/>
                <w:szCs w:val="22"/>
                <w:highlight w:val="none"/>
                <w:lang w:val="en-US" w:eastAsia="zh-CN"/>
              </w:rPr>
            </w:pPr>
            <w:r>
              <w:rPr>
                <w:rFonts w:hint="eastAsia"/>
                <w:b/>
                <w:bCs/>
                <w:color w:val="auto"/>
                <w:sz w:val="28"/>
                <w:szCs w:val="22"/>
                <w:highlight w:val="none"/>
              </w:rPr>
              <w:t>其中监狱企业报价（元）</w:t>
            </w:r>
          </w:p>
        </w:tc>
      </w:tr>
      <w:tr w14:paraId="009CB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6" w:hRule="atLeast"/>
          <w:jc w:val="center"/>
        </w:trPr>
        <w:tc>
          <w:tcPr>
            <w:tcW w:w="625" w:type="dxa"/>
            <w:noWrap w:val="0"/>
            <w:vAlign w:val="center"/>
          </w:tcPr>
          <w:p w14:paraId="5E61E25F">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eastAsia" w:eastAsia="宋体"/>
                <w:color w:val="auto"/>
                <w:spacing w:val="-2"/>
                <w:szCs w:val="20"/>
                <w:highlight w:val="none"/>
                <w:lang w:val="en-US" w:eastAsia="zh-CN"/>
              </w:rPr>
            </w:pPr>
            <w:r>
              <w:rPr>
                <w:rFonts w:hint="eastAsia"/>
                <w:color w:val="auto"/>
                <w:spacing w:val="-2"/>
                <w:szCs w:val="20"/>
                <w:highlight w:val="none"/>
                <w:lang w:val="en-US" w:eastAsia="zh-CN"/>
              </w:rPr>
              <w:t>1</w:t>
            </w:r>
          </w:p>
        </w:tc>
        <w:tc>
          <w:tcPr>
            <w:tcW w:w="2934" w:type="dxa"/>
            <w:noWrap w:val="0"/>
            <w:vAlign w:val="center"/>
          </w:tcPr>
          <w:p w14:paraId="50E0336F">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default" w:eastAsia="宋体"/>
                <w:color w:val="auto"/>
                <w:spacing w:val="-2"/>
                <w:szCs w:val="20"/>
                <w:highlight w:val="none"/>
                <w:lang w:val="en-US" w:eastAsia="zh-CN"/>
              </w:rPr>
            </w:pPr>
            <w:r>
              <w:rPr>
                <w:rFonts w:hint="eastAsia"/>
                <w:color w:val="auto"/>
                <w:spacing w:val="-2"/>
                <w:szCs w:val="20"/>
                <w:highlight w:val="none"/>
                <w:lang w:val="en-US" w:eastAsia="zh-CN"/>
              </w:rPr>
              <w:t>2026年—2027年度养护服务</w:t>
            </w:r>
          </w:p>
        </w:tc>
        <w:tc>
          <w:tcPr>
            <w:tcW w:w="2636" w:type="dxa"/>
            <w:noWrap w:val="0"/>
            <w:vAlign w:val="center"/>
          </w:tcPr>
          <w:p w14:paraId="2E606B7F">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c>
          <w:tcPr>
            <w:tcW w:w="1575" w:type="dxa"/>
            <w:noWrap w:val="0"/>
            <w:vAlign w:val="center"/>
          </w:tcPr>
          <w:p w14:paraId="1750C1C5">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c>
          <w:tcPr>
            <w:tcW w:w="1374" w:type="dxa"/>
            <w:noWrap w:val="0"/>
            <w:vAlign w:val="center"/>
          </w:tcPr>
          <w:p w14:paraId="38C0EEF2">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c>
          <w:tcPr>
            <w:tcW w:w="1535" w:type="dxa"/>
            <w:noWrap w:val="0"/>
            <w:vAlign w:val="center"/>
          </w:tcPr>
          <w:p w14:paraId="7D4454C3">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r>
      <w:tr w14:paraId="347C7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625" w:type="dxa"/>
            <w:noWrap w:val="0"/>
            <w:vAlign w:val="center"/>
          </w:tcPr>
          <w:p w14:paraId="291730B3">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default" w:eastAsia="宋体"/>
                <w:color w:val="auto"/>
                <w:spacing w:val="-2"/>
                <w:szCs w:val="20"/>
                <w:highlight w:val="none"/>
                <w:lang w:val="en-US" w:eastAsia="zh-CN"/>
              </w:rPr>
            </w:pPr>
            <w:r>
              <w:rPr>
                <w:rFonts w:hint="eastAsia"/>
                <w:color w:val="auto"/>
                <w:spacing w:val="-2"/>
                <w:szCs w:val="20"/>
                <w:highlight w:val="none"/>
                <w:lang w:val="en-US" w:eastAsia="zh-CN"/>
              </w:rPr>
              <w:t>2</w:t>
            </w:r>
          </w:p>
        </w:tc>
        <w:tc>
          <w:tcPr>
            <w:tcW w:w="2934" w:type="dxa"/>
            <w:noWrap w:val="0"/>
            <w:vAlign w:val="center"/>
          </w:tcPr>
          <w:p w14:paraId="338B2AA9">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default" w:eastAsia="宋体"/>
                <w:color w:val="auto"/>
                <w:spacing w:val="-2"/>
                <w:szCs w:val="20"/>
                <w:highlight w:val="none"/>
                <w:lang w:val="en-US" w:eastAsia="zh-CN"/>
              </w:rPr>
            </w:pPr>
            <w:r>
              <w:rPr>
                <w:rFonts w:hint="eastAsia"/>
                <w:color w:val="auto"/>
                <w:spacing w:val="-2"/>
                <w:szCs w:val="20"/>
                <w:highlight w:val="none"/>
                <w:lang w:val="en-US" w:eastAsia="zh-CN"/>
              </w:rPr>
              <w:t>2027年-2028年度养护服务</w:t>
            </w:r>
          </w:p>
        </w:tc>
        <w:tc>
          <w:tcPr>
            <w:tcW w:w="2636" w:type="dxa"/>
            <w:noWrap w:val="0"/>
            <w:vAlign w:val="center"/>
          </w:tcPr>
          <w:p w14:paraId="62FD0E3A">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rFonts w:hint="default" w:eastAsia="宋体"/>
                <w:color w:val="auto"/>
                <w:szCs w:val="20"/>
                <w:highlight w:val="none"/>
                <w:lang w:val="en-US" w:eastAsia="zh-CN"/>
              </w:rPr>
            </w:pPr>
          </w:p>
        </w:tc>
        <w:tc>
          <w:tcPr>
            <w:tcW w:w="1575" w:type="dxa"/>
            <w:noWrap w:val="0"/>
            <w:vAlign w:val="center"/>
          </w:tcPr>
          <w:p w14:paraId="787543A8">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c>
          <w:tcPr>
            <w:tcW w:w="1374" w:type="dxa"/>
            <w:noWrap w:val="0"/>
            <w:vAlign w:val="center"/>
          </w:tcPr>
          <w:p w14:paraId="77F796D2">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c>
          <w:tcPr>
            <w:tcW w:w="1535" w:type="dxa"/>
            <w:noWrap w:val="0"/>
            <w:vAlign w:val="center"/>
          </w:tcPr>
          <w:p w14:paraId="2247777C">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r>
      <w:tr w14:paraId="233BD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625" w:type="dxa"/>
            <w:noWrap w:val="0"/>
            <w:vAlign w:val="center"/>
          </w:tcPr>
          <w:p w14:paraId="50D38F45">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default" w:eastAsia="宋体"/>
                <w:color w:val="auto"/>
                <w:spacing w:val="-2"/>
                <w:szCs w:val="20"/>
                <w:highlight w:val="none"/>
                <w:lang w:val="en-US" w:eastAsia="zh-CN"/>
              </w:rPr>
            </w:pPr>
            <w:r>
              <w:rPr>
                <w:rFonts w:hint="eastAsia"/>
                <w:color w:val="auto"/>
                <w:spacing w:val="-2"/>
                <w:szCs w:val="20"/>
                <w:highlight w:val="none"/>
                <w:lang w:val="en-US" w:eastAsia="zh-CN"/>
              </w:rPr>
              <w:t>3</w:t>
            </w:r>
          </w:p>
        </w:tc>
        <w:tc>
          <w:tcPr>
            <w:tcW w:w="2934" w:type="dxa"/>
            <w:noWrap w:val="0"/>
            <w:vAlign w:val="center"/>
          </w:tcPr>
          <w:p w14:paraId="39803CB3">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default"/>
                <w:color w:val="auto"/>
                <w:spacing w:val="-2"/>
                <w:szCs w:val="20"/>
                <w:highlight w:val="none"/>
                <w:lang w:val="en-US" w:eastAsia="zh-CN"/>
              </w:rPr>
            </w:pPr>
            <w:r>
              <w:rPr>
                <w:rFonts w:hint="eastAsia"/>
                <w:color w:val="auto"/>
                <w:spacing w:val="-2"/>
                <w:szCs w:val="20"/>
                <w:highlight w:val="none"/>
                <w:lang w:val="en-US" w:eastAsia="zh-CN"/>
              </w:rPr>
              <w:t>2028年-2029年度养护服务</w:t>
            </w:r>
          </w:p>
        </w:tc>
        <w:tc>
          <w:tcPr>
            <w:tcW w:w="2636" w:type="dxa"/>
            <w:noWrap w:val="0"/>
            <w:vAlign w:val="center"/>
          </w:tcPr>
          <w:p w14:paraId="1A90C59D">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rFonts w:hint="eastAsia" w:eastAsia="宋体"/>
                <w:color w:val="auto"/>
                <w:szCs w:val="20"/>
                <w:highlight w:val="none"/>
                <w:lang w:val="en-US" w:eastAsia="zh-CN"/>
              </w:rPr>
            </w:pPr>
          </w:p>
        </w:tc>
        <w:tc>
          <w:tcPr>
            <w:tcW w:w="1575" w:type="dxa"/>
            <w:noWrap w:val="0"/>
            <w:vAlign w:val="center"/>
          </w:tcPr>
          <w:p w14:paraId="74F0C102">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c>
          <w:tcPr>
            <w:tcW w:w="1374" w:type="dxa"/>
            <w:noWrap w:val="0"/>
            <w:vAlign w:val="center"/>
          </w:tcPr>
          <w:p w14:paraId="53FC006C">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c>
          <w:tcPr>
            <w:tcW w:w="1535" w:type="dxa"/>
            <w:noWrap w:val="0"/>
            <w:vAlign w:val="center"/>
          </w:tcPr>
          <w:p w14:paraId="1821DF15">
            <w:pPr>
              <w:keepNext w:val="0"/>
              <w:keepLines w:val="0"/>
              <w:pageBreakBefore w:val="0"/>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p>
        </w:tc>
      </w:tr>
      <w:tr w14:paraId="446E8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3559" w:type="dxa"/>
            <w:gridSpan w:val="2"/>
            <w:noWrap w:val="0"/>
            <w:vAlign w:val="center"/>
          </w:tcPr>
          <w:p w14:paraId="38B52790">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eastAsia"/>
                <w:color w:val="auto"/>
                <w:spacing w:val="-2"/>
                <w:szCs w:val="20"/>
                <w:highlight w:val="none"/>
                <w:lang w:val="en-US" w:eastAsia="zh-CN"/>
              </w:rPr>
            </w:pPr>
            <w:r>
              <w:rPr>
                <w:rFonts w:hint="eastAsia"/>
                <w:color w:val="auto"/>
                <w:spacing w:val="-2"/>
                <w:szCs w:val="20"/>
                <w:highlight w:val="none"/>
                <w:lang w:val="en-US" w:eastAsia="zh-CN"/>
              </w:rPr>
              <w:t>三年投标总报价（人民币，小写）</w:t>
            </w:r>
          </w:p>
        </w:tc>
        <w:tc>
          <w:tcPr>
            <w:tcW w:w="7120" w:type="dxa"/>
            <w:gridSpan w:val="4"/>
            <w:noWrap w:val="0"/>
            <w:vAlign w:val="center"/>
          </w:tcPr>
          <w:p w14:paraId="2FABBC05">
            <w:pPr>
              <w:keepNext w:val="0"/>
              <w:keepLines w:val="0"/>
              <w:pageBreakBefore w:val="0"/>
              <w:widowControl/>
              <w:kinsoku/>
              <w:wordWrap/>
              <w:overflowPunct/>
              <w:topLinePunct w:val="0"/>
              <w:autoSpaceDE w:val="0"/>
              <w:autoSpaceDN w:val="0"/>
              <w:bidi w:val="0"/>
              <w:adjustRightInd/>
              <w:snapToGrid/>
              <w:spacing w:line="400" w:lineRule="exact"/>
              <w:ind w:left="210" w:right="0" w:firstLine="420"/>
              <w:jc w:val="center"/>
              <w:textAlignment w:val="auto"/>
              <w:rPr>
                <w:color w:val="auto"/>
                <w:szCs w:val="20"/>
                <w:highlight w:val="none"/>
              </w:rPr>
            </w:pPr>
            <w:r>
              <w:rPr>
                <w:rFonts w:hint="eastAsia"/>
                <w:color w:val="auto"/>
                <w:szCs w:val="20"/>
                <w:highlight w:val="none"/>
              </w:rPr>
              <w:t>元</w:t>
            </w:r>
            <w:r>
              <w:rPr>
                <w:rFonts w:hint="eastAsia"/>
                <w:color w:val="auto"/>
                <w:sz w:val="24"/>
                <w:szCs w:val="24"/>
                <w:highlight w:val="none"/>
                <w:lang w:eastAsia="zh-CN"/>
              </w:rPr>
              <w:t>（</w:t>
            </w:r>
            <w:r>
              <w:rPr>
                <w:rFonts w:hint="eastAsia"/>
                <w:color w:val="auto"/>
                <w:sz w:val="24"/>
                <w:szCs w:val="24"/>
                <w:highlight w:val="none"/>
                <w:lang w:val="en-US" w:eastAsia="zh-CN"/>
              </w:rPr>
              <w:t>含税</w:t>
            </w:r>
            <w:r>
              <w:rPr>
                <w:rFonts w:hint="eastAsia"/>
                <w:color w:val="auto"/>
                <w:sz w:val="24"/>
                <w:szCs w:val="24"/>
                <w:highlight w:val="none"/>
                <w:lang w:eastAsia="zh-CN"/>
              </w:rPr>
              <w:t>）</w:t>
            </w:r>
          </w:p>
        </w:tc>
      </w:tr>
      <w:tr w14:paraId="2626E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0" w:hRule="atLeast"/>
          <w:jc w:val="center"/>
        </w:trPr>
        <w:tc>
          <w:tcPr>
            <w:tcW w:w="3559" w:type="dxa"/>
            <w:gridSpan w:val="2"/>
            <w:noWrap w:val="0"/>
            <w:vAlign w:val="center"/>
          </w:tcPr>
          <w:p w14:paraId="4EFB2FB0">
            <w:pPr>
              <w:keepNext w:val="0"/>
              <w:keepLines w:val="0"/>
              <w:pageBreakBefore w:val="0"/>
              <w:kinsoku/>
              <w:wordWrap/>
              <w:overflowPunct/>
              <w:topLinePunct w:val="0"/>
              <w:autoSpaceDE w:val="0"/>
              <w:autoSpaceDN w:val="0"/>
              <w:bidi w:val="0"/>
              <w:adjustRightInd/>
              <w:snapToGrid/>
              <w:spacing w:line="400" w:lineRule="exact"/>
              <w:ind w:right="0"/>
              <w:jc w:val="center"/>
              <w:textAlignment w:val="auto"/>
              <w:rPr>
                <w:rFonts w:hint="eastAsia"/>
                <w:color w:val="auto"/>
                <w:spacing w:val="-2"/>
                <w:szCs w:val="20"/>
                <w:highlight w:val="none"/>
                <w:lang w:val="en-US" w:eastAsia="zh-CN"/>
              </w:rPr>
            </w:pPr>
            <w:r>
              <w:rPr>
                <w:rFonts w:hint="eastAsia"/>
                <w:color w:val="auto"/>
                <w:spacing w:val="-2"/>
                <w:szCs w:val="20"/>
                <w:highlight w:val="none"/>
                <w:lang w:val="en-US" w:eastAsia="zh-CN"/>
              </w:rPr>
              <w:t>三年投标总报价（人民币，大写）</w:t>
            </w:r>
          </w:p>
        </w:tc>
        <w:tc>
          <w:tcPr>
            <w:tcW w:w="7120" w:type="dxa"/>
            <w:gridSpan w:val="4"/>
            <w:noWrap w:val="0"/>
            <w:vAlign w:val="center"/>
          </w:tcPr>
          <w:p w14:paraId="779AAF09">
            <w:pPr>
              <w:keepNext w:val="0"/>
              <w:keepLines w:val="0"/>
              <w:pageBreakBefore w:val="0"/>
              <w:widowControl/>
              <w:kinsoku/>
              <w:wordWrap/>
              <w:overflowPunct/>
              <w:topLinePunct w:val="0"/>
              <w:autoSpaceDE w:val="0"/>
              <w:autoSpaceDN w:val="0"/>
              <w:bidi w:val="0"/>
              <w:adjustRightInd/>
              <w:snapToGrid/>
              <w:spacing w:line="400" w:lineRule="exact"/>
              <w:ind w:left="210" w:leftChars="0" w:right="0" w:rightChars="0" w:firstLine="420" w:firstLineChars="0"/>
              <w:jc w:val="center"/>
              <w:textAlignment w:val="auto"/>
              <w:rPr>
                <w:color w:val="auto"/>
                <w:szCs w:val="20"/>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含税</w:t>
            </w:r>
            <w:r>
              <w:rPr>
                <w:rFonts w:hint="eastAsia"/>
                <w:color w:val="auto"/>
                <w:sz w:val="24"/>
                <w:szCs w:val="24"/>
                <w:highlight w:val="none"/>
                <w:lang w:eastAsia="zh-CN"/>
              </w:rPr>
              <w:t>）</w:t>
            </w:r>
          </w:p>
        </w:tc>
      </w:tr>
    </w:tbl>
    <w:p w14:paraId="776031FE">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24B391A5">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30CBCBB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6EE67D26">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2ED387E3">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0426487E">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11DDA992">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lang w:val="en-US" w:eastAsia="zh-CN"/>
        </w:rPr>
      </w:pPr>
    </w:p>
    <w:p w14:paraId="72972EE4">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outlineLvl w:val="9"/>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134BBB3A">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default" w:ascii="宋体" w:hAnsi="宋体" w:eastAsia="宋体" w:cs="Times New Roman"/>
          <w:color w:val="auto"/>
          <w:sz w:val="24"/>
          <w:highlight w:val="none"/>
          <w:lang w:val="en-US" w:eastAsia="zh-CN"/>
        </w:rPr>
      </w:pPr>
    </w:p>
    <w:p w14:paraId="7B0ADCC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备注： </w:t>
      </w:r>
    </w:p>
    <w:p w14:paraId="475C10C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1.“投标总报价”应包括为完成整个项目所产生的所有费用，招标文件另有规定的除外。</w:t>
      </w:r>
    </w:p>
    <w:p w14:paraId="0D81C69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2.《投标分项报价表》中“投标总价”应当与《开标一览表》中“投标总报价”一致。</w:t>
      </w:r>
    </w:p>
    <w:p w14:paraId="57A262C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outlineLvl w:val="9"/>
        <w:rPr>
          <w:rFonts w:hint="default"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3.本项目实行总价与年度双重限价控制。投标总报价不得高于最高限价541万元;同时，第一年报价不得高于第一年控制价190万元，第二年养护资金不得高于180万元，第三年养护资金不得高于171万元，凡超出上述任一限额的投标报价，均作无效标处理。</w:t>
      </w:r>
    </w:p>
    <w:p w14:paraId="06C4C420">
      <w:pPr>
        <w:rPr>
          <w:rFonts w:hint="eastAsia"/>
          <w:color w:val="auto"/>
          <w:highlight w:val="none"/>
          <w:lang w:val="en-US" w:eastAsia="zh-CN"/>
        </w:rPr>
      </w:pPr>
    </w:p>
    <w:p w14:paraId="2D8356B0">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val="en-US" w:eastAsia="zh-CN"/>
        </w:rPr>
        <w:br w:type="page"/>
      </w:r>
      <w:r>
        <w:rPr>
          <w:rFonts w:hint="eastAsia" w:ascii="黑体" w:hAnsi="黑体" w:eastAsia="黑体" w:cs="Times New Roman"/>
          <w:i w:val="0"/>
          <w:color w:val="auto"/>
          <w:sz w:val="32"/>
          <w:szCs w:val="32"/>
          <w:highlight w:val="none"/>
          <w:u w:val="none"/>
          <w:lang w:val="en-US" w:eastAsia="zh-CN"/>
        </w:rPr>
        <w:t>四</w:t>
      </w:r>
      <w:r>
        <w:rPr>
          <w:rFonts w:hint="eastAsia" w:ascii="黑体" w:hAnsi="黑体" w:eastAsia="黑体" w:cs="Times New Roman"/>
          <w:i w:val="0"/>
          <w:color w:val="auto"/>
          <w:sz w:val="32"/>
          <w:szCs w:val="32"/>
          <w:highlight w:val="none"/>
          <w:u w:val="none"/>
        </w:rPr>
        <w:t>、</w:t>
      </w:r>
      <w:r>
        <w:rPr>
          <w:rFonts w:hint="eastAsia" w:ascii="黑体" w:hAnsi="黑体" w:eastAsia="黑体" w:cs="Times New Roman"/>
          <w:i w:val="0"/>
          <w:color w:val="auto"/>
          <w:sz w:val="32"/>
          <w:szCs w:val="32"/>
          <w:highlight w:val="none"/>
          <w:u w:val="none"/>
          <w:lang w:val="en-US" w:eastAsia="zh-CN"/>
        </w:rPr>
        <w:t>满足</w:t>
      </w:r>
      <w:r>
        <w:rPr>
          <w:rFonts w:hint="eastAsia" w:ascii="黑体" w:hAnsi="黑体" w:eastAsia="黑体" w:cs="Times New Roman"/>
          <w:i w:val="0"/>
          <w:color w:val="auto"/>
          <w:sz w:val="32"/>
          <w:szCs w:val="32"/>
          <w:highlight w:val="none"/>
          <w:u w:val="none"/>
        </w:rPr>
        <w:t>特定资格要求的证明文件</w:t>
      </w:r>
    </w:p>
    <w:p w14:paraId="78FE74F0">
      <w:pPr>
        <w:pStyle w:val="90"/>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本项目申请人的特定资格要求中要求提供的</w:t>
      </w:r>
      <w:r>
        <w:rPr>
          <w:rFonts w:hint="eastAsia" w:ascii="Times New Roman" w:hAnsi="Times New Roman" w:eastAsia="宋体" w:cs="Times New Roman"/>
          <w:color w:val="auto"/>
          <w:sz w:val="24"/>
          <w:szCs w:val="24"/>
          <w:highlight w:val="none"/>
          <w:lang w:val="en-US" w:eastAsia="zh-CN"/>
        </w:rPr>
        <w:t>材料</w:t>
      </w:r>
      <w:r>
        <w:rPr>
          <w:rFonts w:hint="eastAsia" w:ascii="Times New Roman" w:hAnsi="Times New Roman" w:eastAsia="宋体" w:cs="Times New Roman"/>
          <w:color w:val="auto"/>
          <w:sz w:val="24"/>
          <w:szCs w:val="24"/>
          <w:highlight w:val="none"/>
        </w:rPr>
        <w:t>。</w:t>
      </w:r>
    </w:p>
    <w:p w14:paraId="786067BC">
      <w:pPr>
        <w:adjustRightInd w:val="0"/>
        <w:snapToGrid w:val="0"/>
        <w:spacing w:line="360" w:lineRule="auto"/>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r>
      <w:r>
        <w:rPr>
          <w:rFonts w:hint="eastAsia" w:ascii="宋体" w:hAnsi="宋体" w:eastAsia="宋体" w:cs="宋体"/>
          <w:b/>
          <w:bCs/>
          <w:color w:val="auto"/>
          <w:spacing w:val="8"/>
          <w:sz w:val="28"/>
          <w:szCs w:val="28"/>
          <w:highlight w:val="none"/>
          <w:lang w:val="en-US" w:eastAsia="zh-CN"/>
        </w:rPr>
        <w:t>供应商承诺函</w:t>
      </w:r>
      <w:r>
        <w:rPr>
          <w:rFonts w:hint="eastAsia" w:cs="宋体"/>
          <w:b/>
          <w:bCs/>
          <w:color w:val="auto"/>
          <w:spacing w:val="8"/>
          <w:sz w:val="28"/>
          <w:szCs w:val="28"/>
          <w:highlight w:val="none"/>
          <w:lang w:val="en-US" w:eastAsia="zh-CN"/>
        </w:rPr>
        <w:t>一</w:t>
      </w:r>
      <w:r>
        <w:rPr>
          <w:rFonts w:hint="eastAsia" w:ascii="宋体" w:hAnsi="宋体" w:eastAsia="宋体" w:cs="宋体"/>
          <w:b/>
          <w:bCs/>
          <w:color w:val="auto"/>
          <w:spacing w:val="8"/>
          <w:sz w:val="28"/>
          <w:szCs w:val="28"/>
          <w:highlight w:val="none"/>
          <w:lang w:val="en-US" w:eastAsia="zh-CN"/>
        </w:rPr>
        <w:t>（适用于提供信用承诺的单位）</w:t>
      </w:r>
    </w:p>
    <w:p w14:paraId="2818D161">
      <w:pPr>
        <w:spacing w:line="360" w:lineRule="auto"/>
        <w:jc w:val="center"/>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w:t>
      </w:r>
      <w:r>
        <w:rPr>
          <w:rFonts w:hint="eastAsia" w:cs="宋体"/>
          <w:b/>
          <w:bCs/>
          <w:color w:val="auto"/>
          <w:spacing w:val="8"/>
          <w:sz w:val="28"/>
          <w:szCs w:val="28"/>
          <w:highlight w:val="none"/>
          <w:lang w:val="en-US" w:eastAsia="zh-CN"/>
        </w:rPr>
        <w:t>一</w:t>
      </w:r>
      <w:r>
        <w:rPr>
          <w:rFonts w:hint="eastAsia" w:cs="宋体"/>
          <w:b/>
          <w:bCs/>
          <w:color w:val="auto"/>
          <w:spacing w:val="8"/>
          <w:sz w:val="28"/>
          <w:szCs w:val="28"/>
          <w:highlight w:val="none"/>
          <w:lang w:eastAsia="zh-CN"/>
        </w:rPr>
        <w:t>）</w:t>
      </w:r>
      <w:r>
        <w:rPr>
          <w:rFonts w:hint="eastAsia" w:ascii="宋体" w:hAnsi="宋体" w:eastAsia="宋体" w:cs="宋体"/>
          <w:b/>
          <w:bCs/>
          <w:color w:val="auto"/>
          <w:spacing w:val="8"/>
          <w:sz w:val="28"/>
          <w:szCs w:val="28"/>
          <w:highlight w:val="none"/>
          <w:lang w:eastAsia="zh-CN"/>
        </w:rPr>
        <w:t>南京市政府采购供应商信用记录表暨信用承诺书</w:t>
      </w:r>
      <w:r>
        <w:rPr>
          <w:rFonts w:hint="eastAsia" w:cs="宋体"/>
          <w:b/>
          <w:bCs/>
          <w:color w:val="auto"/>
          <w:spacing w:val="8"/>
          <w:sz w:val="28"/>
          <w:szCs w:val="28"/>
          <w:highlight w:val="none"/>
          <w:lang w:eastAsia="zh-CN"/>
        </w:rPr>
        <w:t>（</w:t>
      </w:r>
      <w:r>
        <w:rPr>
          <w:rFonts w:hint="eastAsia"/>
          <w:b/>
          <w:bCs/>
          <w:color w:val="auto"/>
          <w:spacing w:val="8"/>
          <w:sz w:val="24"/>
          <w:szCs w:val="24"/>
          <w:highlight w:val="none"/>
          <w:lang w:val="en-US" w:eastAsia="zh-CN"/>
        </w:rPr>
        <w:t>以下表格仅供参考，以系统中打印的格式为准</w:t>
      </w:r>
      <w:r>
        <w:rPr>
          <w:rFonts w:hint="eastAsia" w:cs="宋体"/>
          <w:b/>
          <w:bCs/>
          <w:color w:val="auto"/>
          <w:spacing w:val="8"/>
          <w:sz w:val="28"/>
          <w:szCs w:val="28"/>
          <w:highlight w:val="none"/>
          <w:lang w:eastAsia="zh-CN"/>
        </w:rPr>
        <w:t>）</w:t>
      </w:r>
      <w:r>
        <w:rPr>
          <w:rFonts w:hint="eastAsia"/>
          <w:b/>
          <w:bCs/>
          <w:color w:val="auto"/>
          <w:spacing w:val="8"/>
          <w:sz w:val="24"/>
          <w:szCs w:val="24"/>
          <w:highlight w:val="none"/>
          <w:lang w:val="en-US" w:eastAsia="zh-CN"/>
        </w:rPr>
        <w:t>。</w:t>
      </w:r>
    </w:p>
    <w:p w14:paraId="2040462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2340"/>
        <w:gridCol w:w="2544"/>
        <w:gridCol w:w="2241"/>
      </w:tblGrid>
      <w:tr w14:paraId="66287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20DC5675">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单位名称</w:t>
            </w:r>
          </w:p>
        </w:tc>
        <w:tc>
          <w:tcPr>
            <w:tcW w:w="2340" w:type="dxa"/>
            <w:noWrap w:val="0"/>
            <w:vAlign w:val="center"/>
          </w:tcPr>
          <w:p w14:paraId="13FCC302">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p>
        </w:tc>
        <w:tc>
          <w:tcPr>
            <w:tcW w:w="2544" w:type="dxa"/>
            <w:noWrap w:val="0"/>
            <w:vAlign w:val="center"/>
          </w:tcPr>
          <w:p w14:paraId="04CF94F3">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统一社会信用代码</w:t>
            </w:r>
          </w:p>
        </w:tc>
        <w:tc>
          <w:tcPr>
            <w:tcW w:w="2241" w:type="dxa"/>
            <w:noWrap w:val="0"/>
            <w:vAlign w:val="center"/>
          </w:tcPr>
          <w:p w14:paraId="66D7C5AF">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p>
        </w:tc>
      </w:tr>
      <w:tr w14:paraId="68E05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3C2888CE">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w:t>
            </w:r>
          </w:p>
        </w:tc>
        <w:tc>
          <w:tcPr>
            <w:tcW w:w="2340" w:type="dxa"/>
            <w:noWrap w:val="0"/>
            <w:vAlign w:val="center"/>
          </w:tcPr>
          <w:p w14:paraId="55395513">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p>
        </w:tc>
        <w:tc>
          <w:tcPr>
            <w:tcW w:w="2544" w:type="dxa"/>
            <w:noWrap w:val="0"/>
            <w:vAlign w:val="center"/>
          </w:tcPr>
          <w:p w14:paraId="21049197">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联系人</w:t>
            </w:r>
          </w:p>
        </w:tc>
        <w:tc>
          <w:tcPr>
            <w:tcW w:w="2241" w:type="dxa"/>
            <w:noWrap w:val="0"/>
            <w:vAlign w:val="center"/>
          </w:tcPr>
          <w:p w14:paraId="04871C4D">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p>
        </w:tc>
      </w:tr>
      <w:tr w14:paraId="09284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6E989DC4">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联系地址</w:t>
            </w:r>
          </w:p>
        </w:tc>
        <w:tc>
          <w:tcPr>
            <w:tcW w:w="2340" w:type="dxa"/>
            <w:noWrap w:val="0"/>
            <w:vAlign w:val="center"/>
          </w:tcPr>
          <w:p w14:paraId="51ECE5B6">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p>
        </w:tc>
        <w:tc>
          <w:tcPr>
            <w:tcW w:w="2544" w:type="dxa"/>
            <w:noWrap w:val="0"/>
            <w:vAlign w:val="center"/>
          </w:tcPr>
          <w:p w14:paraId="02721669">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联系电话</w:t>
            </w:r>
          </w:p>
        </w:tc>
        <w:tc>
          <w:tcPr>
            <w:tcW w:w="2241" w:type="dxa"/>
            <w:noWrap w:val="0"/>
            <w:vAlign w:val="center"/>
          </w:tcPr>
          <w:p w14:paraId="378C7A4E">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p>
        </w:tc>
      </w:tr>
      <w:tr w14:paraId="1481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2235" w:type="dxa"/>
            <w:noWrap w:val="0"/>
            <w:vAlign w:val="center"/>
          </w:tcPr>
          <w:p w14:paraId="53C8B37E">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诚信档案记录情况</w:t>
            </w:r>
          </w:p>
        </w:tc>
        <w:tc>
          <w:tcPr>
            <w:tcW w:w="7125" w:type="dxa"/>
            <w:gridSpan w:val="3"/>
            <w:noWrap w:val="0"/>
            <w:vAlign w:val="center"/>
          </w:tcPr>
          <w:p w14:paraId="4297781D">
            <w:pPr>
              <w:keepNext w:val="0"/>
              <w:keepLines w:val="0"/>
              <w:pageBreakBefore w:val="0"/>
              <w:widowControl/>
              <w:kinsoku/>
              <w:wordWrap/>
              <w:overflowPunct/>
              <w:topLinePunct w:val="0"/>
              <w:autoSpaceDE w:val="0"/>
              <w:autoSpaceDN w:val="0"/>
              <w:bidi w:val="0"/>
              <w:adjustRightInd w:val="0"/>
              <w:snapToGrid/>
              <w:spacing w:line="380" w:lineRule="exact"/>
              <w:jc w:val="center"/>
              <w:textAlignment w:val="auto"/>
              <w:rPr>
                <w:rFonts w:hint="eastAsia" w:ascii="宋体" w:hAnsi="宋体" w:eastAsia="宋体" w:cs="宋体"/>
                <w:color w:val="auto"/>
                <w:sz w:val="24"/>
                <w:szCs w:val="24"/>
                <w:highlight w:val="none"/>
                <w:lang w:val="zh-CN"/>
              </w:rPr>
            </w:pPr>
          </w:p>
        </w:tc>
      </w:tr>
      <w:tr w14:paraId="49C84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noWrap w:val="0"/>
            <w:vAlign w:val="center"/>
          </w:tcPr>
          <w:p w14:paraId="3206CAC6">
            <w:pPr>
              <w:widowControl/>
              <w:adjustRightInd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信用承诺</w:t>
            </w:r>
          </w:p>
        </w:tc>
        <w:tc>
          <w:tcPr>
            <w:tcW w:w="7125" w:type="dxa"/>
            <w:gridSpan w:val="3"/>
            <w:noWrap w:val="0"/>
            <w:vAlign w:val="center"/>
          </w:tcPr>
          <w:p w14:paraId="2AFADFD7">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p>
          <w:p w14:paraId="0C56E6BE">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我公司自愿参加贵中心（公司）组织的本次采购活动，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4"/>
                <w:szCs w:val="24"/>
                <w:highlight w:val="none"/>
                <w:lang w:val="en-US" w:eastAsia="zh-CN"/>
              </w:rPr>
              <w:t>愿</w:t>
            </w:r>
            <w:r>
              <w:rPr>
                <w:rFonts w:hint="eastAsia" w:ascii="宋体" w:hAnsi="宋体" w:eastAsia="宋体" w:cs="宋体"/>
                <w:color w:val="auto"/>
                <w:sz w:val="24"/>
                <w:szCs w:val="24"/>
                <w:highlight w:val="none"/>
                <w:lang w:val="zh-CN" w:eastAsia="zh-CN"/>
              </w:rPr>
              <w:t>承担一切法律责任，接受各级政府采购监管部门和有权机关的审查和处罚。</w:t>
            </w:r>
          </w:p>
          <w:p w14:paraId="0692A8E8">
            <w:pPr>
              <w:widowControl/>
              <w:adjustRightInd w:val="0"/>
              <w:spacing w:line="360" w:lineRule="auto"/>
              <w:rPr>
                <w:rFonts w:hint="eastAsia" w:ascii="宋体" w:hAnsi="宋体" w:eastAsia="宋体" w:cs="宋体"/>
                <w:color w:val="auto"/>
                <w:sz w:val="24"/>
                <w:szCs w:val="24"/>
                <w:highlight w:val="none"/>
                <w:lang w:val="zh-CN" w:eastAsia="zh-CN"/>
              </w:rPr>
            </w:pPr>
          </w:p>
          <w:p w14:paraId="5C5BEF1D">
            <w:pPr>
              <w:widowControl/>
              <w:adjustRightInd w:val="0"/>
              <w:spacing w:line="360" w:lineRule="auto"/>
              <w:ind w:firstLine="3840" w:firstLineChars="16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供应商名称（盖章）：</w:t>
            </w:r>
          </w:p>
          <w:p w14:paraId="1A5530C6">
            <w:pPr>
              <w:widowControl/>
              <w:adjustRightInd w:val="0"/>
              <w:spacing w:line="360" w:lineRule="auto"/>
              <w:ind w:firstLine="3840" w:firstLineChars="16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法定代表人（签字）：</w:t>
            </w:r>
          </w:p>
          <w:p w14:paraId="6D7A9488">
            <w:pPr>
              <w:widowControl/>
              <w:adjustRightInd w:val="0"/>
              <w:spacing w:line="360" w:lineRule="auto"/>
              <w:ind w:firstLine="3840" w:firstLineChars="16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年   月   日 </w:t>
            </w:r>
          </w:p>
        </w:tc>
      </w:tr>
    </w:tbl>
    <w:p w14:paraId="43CD8FED">
      <w:pPr>
        <w:rPr>
          <w:rFonts w:hint="eastAsia" w:ascii="方正小标宋简体" w:hAnsi="方正小标宋简体" w:eastAsia="方正小标宋简体" w:cs="方正小标宋简体"/>
          <w:color w:val="auto"/>
          <w:kern w:val="2"/>
          <w:sz w:val="32"/>
          <w:szCs w:val="32"/>
          <w:highlight w:val="none"/>
          <w:lang w:val="en-US"/>
        </w:rPr>
      </w:pPr>
    </w:p>
    <w:p w14:paraId="6013C571">
      <w:pPr>
        <w:rPr>
          <w:rFonts w:hint="eastAsia" w:ascii="方正小标宋简体" w:hAnsi="方正小标宋简体" w:eastAsia="方正小标宋简体" w:cs="方正小标宋简体"/>
          <w:color w:val="auto"/>
          <w:kern w:val="2"/>
          <w:sz w:val="32"/>
          <w:szCs w:val="32"/>
          <w:highlight w:val="none"/>
          <w:lang w:val="en-US"/>
        </w:rPr>
      </w:pPr>
      <w:r>
        <w:rPr>
          <w:rFonts w:hint="eastAsia" w:ascii="方正小标宋简体" w:hAnsi="方正小标宋简体" w:eastAsia="方正小标宋简体" w:cs="方正小标宋简体"/>
          <w:color w:val="auto"/>
          <w:kern w:val="2"/>
          <w:sz w:val="32"/>
          <w:szCs w:val="32"/>
          <w:highlight w:val="none"/>
          <w:lang w:val="en-US"/>
        </w:rPr>
        <w:br w:type="page"/>
      </w:r>
    </w:p>
    <w:p w14:paraId="673FA3AD">
      <w:pPr>
        <w:keepNext w:val="0"/>
        <w:keepLines w:val="0"/>
        <w:pageBreakBefore w:val="0"/>
        <w:widowControl w:val="0"/>
        <w:kinsoku/>
        <w:wordWrap/>
        <w:overflowPunct/>
        <w:topLinePunct w:val="0"/>
        <w:autoSpaceDE/>
        <w:autoSpaceDN/>
        <w:bidi w:val="0"/>
        <w:adjustRightInd w:val="0"/>
        <w:snapToGrid/>
        <w:spacing w:line="440" w:lineRule="exact"/>
        <w:ind w:right="0"/>
        <w:textAlignment w:val="auto"/>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t>供应商承诺函</w:t>
      </w:r>
      <w:r>
        <w:rPr>
          <w:rFonts w:hint="eastAsia" w:cs="宋体"/>
          <w:b/>
          <w:bCs/>
          <w:color w:val="auto"/>
          <w:spacing w:val="8"/>
          <w:sz w:val="28"/>
          <w:szCs w:val="28"/>
          <w:highlight w:val="none"/>
          <w:lang w:val="en-US" w:eastAsia="zh-CN"/>
        </w:rPr>
        <w:t>一</w:t>
      </w:r>
      <w:r>
        <w:rPr>
          <w:rFonts w:hint="eastAsia" w:ascii="宋体" w:hAnsi="宋体" w:eastAsia="宋体" w:cs="宋体"/>
          <w:b/>
          <w:bCs/>
          <w:color w:val="auto"/>
          <w:spacing w:val="8"/>
          <w:sz w:val="28"/>
          <w:szCs w:val="28"/>
          <w:highlight w:val="none"/>
          <w:lang w:val="en-US" w:eastAsia="zh-CN"/>
        </w:rPr>
        <w:t>（适用于提供信用承诺的单位）</w:t>
      </w:r>
    </w:p>
    <w:p w14:paraId="037C0C02">
      <w:pPr>
        <w:keepNext w:val="0"/>
        <w:keepLines w:val="0"/>
        <w:pageBreakBefore w:val="0"/>
        <w:widowControl w:val="0"/>
        <w:kinsoku/>
        <w:wordWrap/>
        <w:overflowPunct/>
        <w:topLinePunct w:val="0"/>
        <w:autoSpaceDE/>
        <w:autoSpaceDN/>
        <w:bidi w:val="0"/>
        <w:adjustRightInd w:val="0"/>
        <w:snapToGrid/>
        <w:spacing w:line="440" w:lineRule="exact"/>
        <w:ind w:right="0"/>
        <w:textAlignment w:val="auto"/>
        <w:rPr>
          <w:rFonts w:hint="eastAsia" w:ascii="宋体" w:hAnsi="宋体" w:eastAsia="宋体" w:cs="宋体"/>
          <w:color w:val="auto"/>
          <w:sz w:val="24"/>
          <w:szCs w:val="24"/>
          <w:highlight w:val="none"/>
        </w:rPr>
      </w:pPr>
    </w:p>
    <w:p w14:paraId="0F7ED717">
      <w:pPr>
        <w:keepNext w:val="0"/>
        <w:keepLines w:val="0"/>
        <w:pageBreakBefore w:val="0"/>
        <w:widowControl w:val="0"/>
        <w:kinsoku/>
        <w:wordWrap/>
        <w:overflowPunct/>
        <w:topLinePunct w:val="0"/>
        <w:autoSpaceDE/>
        <w:autoSpaceDN/>
        <w:bidi w:val="0"/>
        <w:adjustRightInd w:val="0"/>
        <w:snapToGrid/>
        <w:spacing w:line="440" w:lineRule="exact"/>
        <w:ind w:right="0"/>
        <w:textAlignment w:val="auto"/>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致：</w:t>
      </w:r>
      <w:r>
        <w:rPr>
          <w:rFonts w:hint="eastAsia" w:cs="宋体"/>
          <w:b w:val="0"/>
          <w:bCs w:val="0"/>
          <w:color w:val="auto"/>
          <w:sz w:val="24"/>
          <w:szCs w:val="24"/>
          <w:highlight w:val="none"/>
          <w:u w:val="single"/>
          <w:lang w:val="zh-CN" w:eastAsia="zh-CN"/>
        </w:rPr>
        <w:t>南京市浦口区人民政府汤泉街道办事处</w:t>
      </w:r>
    </w:p>
    <w:p w14:paraId="7E3ACA28">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（供应商名称）郑重承诺：</w:t>
      </w:r>
    </w:p>
    <w:p w14:paraId="4B05F82A">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如果我公司中标</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将在中标结果公示后七个工作日内向采购人提供下列材料核验：</w:t>
      </w:r>
    </w:p>
    <w:p w14:paraId="622C2841">
      <w:pPr>
        <w:keepNext w:val="0"/>
        <w:keepLines w:val="0"/>
        <w:pageBreakBefore w:val="0"/>
        <w:widowControl/>
        <w:kinsoku/>
        <w:wordWrap/>
        <w:overflowPunct/>
        <w:topLinePunct w:val="0"/>
        <w:autoSpaceDE/>
        <w:autoSpaceDN/>
        <w:bidi w:val="0"/>
        <w:adjustRightInd w:val="0"/>
        <w:snapToGrid/>
        <w:spacing w:line="440" w:lineRule="exact"/>
        <w:ind w:firstLine="720" w:firstLineChars="300"/>
        <w:rPr>
          <w:rFonts w:hint="eastAsia" w:cs="宋体"/>
          <w:color w:val="auto"/>
          <w:sz w:val="24"/>
          <w:szCs w:val="24"/>
          <w:highlight w:val="none"/>
          <w:lang w:val="en-US" w:eastAsia="zh-CN"/>
        </w:rPr>
      </w:pPr>
      <w:r>
        <w:rPr>
          <w:rFonts w:hint="eastAsia" w:cs="宋体"/>
          <w:color w:val="auto"/>
          <w:sz w:val="24"/>
          <w:szCs w:val="24"/>
          <w:highlight w:val="none"/>
          <w:lang w:val="en-US" w:eastAsia="zh-CN"/>
        </w:rPr>
        <w:t>（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公章。成立不满一年不需提供。）</w:t>
      </w:r>
    </w:p>
    <w:p w14:paraId="78B89AEC">
      <w:pPr>
        <w:keepNext w:val="0"/>
        <w:keepLines w:val="0"/>
        <w:pageBreakBefore w:val="0"/>
        <w:widowControl/>
        <w:kinsoku/>
        <w:wordWrap/>
        <w:overflowPunct/>
        <w:topLinePunct w:val="0"/>
        <w:autoSpaceDE/>
        <w:autoSpaceDN/>
        <w:bidi w:val="0"/>
        <w:adjustRightInd w:val="0"/>
        <w:snapToGrid/>
        <w:spacing w:line="440" w:lineRule="exact"/>
        <w:ind w:firstLine="720" w:firstLineChars="300"/>
        <w:rPr>
          <w:rFonts w:hint="eastAsia" w:cs="宋体"/>
          <w:color w:val="auto"/>
          <w:sz w:val="24"/>
          <w:szCs w:val="24"/>
          <w:highlight w:val="none"/>
          <w:lang w:val="en-US" w:eastAsia="zh-CN"/>
        </w:rPr>
      </w:pPr>
      <w:r>
        <w:rPr>
          <w:rFonts w:hint="eastAsia" w:cs="宋体"/>
          <w:color w:val="auto"/>
          <w:sz w:val="24"/>
          <w:szCs w:val="24"/>
          <w:highlight w:val="none"/>
          <w:lang w:val="en-US" w:eastAsia="zh-CN"/>
        </w:rPr>
        <w:t>（2）具有履行合同所必需的设备和专业技术能力（根据项目需求提供履行合同所必需的设备和专业技术能力证明材料加盖公章）。</w:t>
      </w:r>
    </w:p>
    <w:p w14:paraId="103F834C">
      <w:pPr>
        <w:keepNext w:val="0"/>
        <w:keepLines w:val="0"/>
        <w:pageBreakBefore w:val="0"/>
        <w:widowControl/>
        <w:kinsoku/>
        <w:wordWrap/>
        <w:overflowPunct/>
        <w:topLinePunct w:val="0"/>
        <w:autoSpaceDE/>
        <w:autoSpaceDN/>
        <w:bidi w:val="0"/>
        <w:adjustRightInd w:val="0"/>
        <w:snapToGrid/>
        <w:spacing w:line="440" w:lineRule="exact"/>
        <w:ind w:firstLine="720" w:firstLineChars="300"/>
        <w:rPr>
          <w:rFonts w:hint="eastAsia" w:cs="宋体"/>
          <w:color w:val="auto"/>
          <w:sz w:val="24"/>
          <w:szCs w:val="24"/>
          <w:highlight w:val="none"/>
          <w:lang w:val="en-US" w:eastAsia="zh-CN"/>
        </w:rPr>
      </w:pPr>
      <w:r>
        <w:rPr>
          <w:rFonts w:hint="eastAsia" w:cs="宋体"/>
          <w:color w:val="auto"/>
          <w:sz w:val="24"/>
          <w:szCs w:val="24"/>
          <w:highlight w:val="none"/>
          <w:lang w:val="en-US" w:eastAsia="zh-CN"/>
        </w:rPr>
        <w:t>（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公章。）</w:t>
      </w:r>
    </w:p>
    <w:p w14:paraId="195454FD">
      <w:pPr>
        <w:spacing w:line="460" w:lineRule="exact"/>
        <w:ind w:firstLine="492"/>
        <w:rPr>
          <w:color w:val="auto"/>
          <w:sz w:val="24"/>
          <w:szCs w:val="24"/>
          <w:highlight w:val="none"/>
        </w:rPr>
      </w:pPr>
    </w:p>
    <w:p w14:paraId="00D141EE">
      <w:pPr>
        <w:pStyle w:val="97"/>
        <w:rPr>
          <w:color w:val="auto"/>
          <w:sz w:val="24"/>
          <w:szCs w:val="24"/>
          <w:highlight w:val="none"/>
        </w:rPr>
      </w:pPr>
    </w:p>
    <w:p w14:paraId="2B37569C">
      <w:pPr>
        <w:spacing w:line="560" w:lineRule="exact"/>
        <w:ind w:right="180" w:firstLine="360" w:firstLineChars="150"/>
        <w:jc w:val="right"/>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14:paraId="65EE28B2">
      <w:pPr>
        <w:spacing w:line="560" w:lineRule="exact"/>
        <w:ind w:firstLine="6480" w:firstLineChars="2700"/>
        <w:rPr>
          <w:rFonts w:hint="eastAsia" w:ascii="宋体" w:hAnsi="宋体"/>
          <w:color w:val="auto"/>
          <w:sz w:val="24"/>
          <w:szCs w:val="24"/>
          <w:highlight w:val="none"/>
        </w:rPr>
      </w:pPr>
      <w:r>
        <w:rPr>
          <w:rFonts w:hint="eastAsia"/>
          <w:color w:val="auto"/>
          <w:sz w:val="24"/>
          <w:szCs w:val="24"/>
          <w:highlight w:val="none"/>
        </w:rPr>
        <w:t>日  期：</w:t>
      </w:r>
    </w:p>
    <w:p w14:paraId="4EEE1993">
      <w:pPr>
        <w:rPr>
          <w:color w:val="auto"/>
          <w:sz w:val="24"/>
          <w:szCs w:val="24"/>
          <w:highlight w:val="none"/>
        </w:rPr>
      </w:pPr>
    </w:p>
    <w:p w14:paraId="4B49B583">
      <w:pPr>
        <w:spacing w:line="440" w:lineRule="exact"/>
        <w:rPr>
          <w:rFonts w:hint="eastAsia" w:ascii="宋体" w:hAnsi="宋体"/>
          <w:color w:val="auto"/>
          <w:sz w:val="24"/>
          <w:szCs w:val="24"/>
          <w:highlight w:val="none"/>
          <w:lang w:eastAsia="zh-CN"/>
        </w:rPr>
      </w:pPr>
    </w:p>
    <w:p w14:paraId="419BB749">
      <w:pPr>
        <w:spacing w:line="440" w:lineRule="exact"/>
        <w:ind w:firstLine="480" w:firstLineChars="200"/>
        <w:rPr>
          <w:rFonts w:hint="eastAsia" w:ascii="宋体" w:hAnsi="宋体"/>
          <w:b w:val="0"/>
          <w:bCs w:val="0"/>
          <w:color w:val="auto"/>
          <w:sz w:val="24"/>
          <w:szCs w:val="24"/>
          <w:highlight w:val="none"/>
          <w:lang w:eastAsia="zh-CN"/>
        </w:rPr>
      </w:pPr>
    </w:p>
    <w:p w14:paraId="79598850">
      <w:pPr>
        <w:spacing w:line="360" w:lineRule="auto"/>
        <w:jc w:val="both"/>
        <w:rPr>
          <w:rFonts w:hint="eastAsia"/>
          <w:b/>
          <w:bCs/>
          <w:color w:val="auto"/>
          <w:sz w:val="24"/>
          <w:szCs w:val="24"/>
          <w:highlight w:val="none"/>
          <w:lang w:val="en-US" w:eastAsia="zh-CN"/>
        </w:rPr>
      </w:pPr>
      <w:r>
        <w:rPr>
          <w:rFonts w:hint="eastAsia"/>
          <w:color w:val="auto"/>
          <w:highlight w:val="none"/>
          <w:lang w:eastAsia="zh-CN"/>
        </w:rPr>
        <w:br w:type="page"/>
      </w:r>
      <w:r>
        <w:rPr>
          <w:rFonts w:hint="eastAsia" w:ascii="宋体" w:hAnsi="宋体" w:eastAsia="宋体" w:cs="宋体"/>
          <w:b/>
          <w:bCs/>
          <w:color w:val="auto"/>
          <w:spacing w:val="8"/>
          <w:sz w:val="28"/>
          <w:szCs w:val="28"/>
          <w:highlight w:val="none"/>
          <w:lang w:val="en-US" w:eastAsia="zh-CN"/>
        </w:rPr>
        <w:t>供应商承诺函</w:t>
      </w:r>
      <w:r>
        <w:rPr>
          <w:rFonts w:hint="eastAsia" w:cs="宋体"/>
          <w:b/>
          <w:bCs/>
          <w:color w:val="auto"/>
          <w:spacing w:val="8"/>
          <w:sz w:val="28"/>
          <w:szCs w:val="28"/>
          <w:highlight w:val="none"/>
          <w:lang w:val="en-US" w:eastAsia="zh-CN"/>
        </w:rPr>
        <w:t>二</w:t>
      </w:r>
      <w:r>
        <w:rPr>
          <w:rFonts w:hint="eastAsia" w:ascii="宋体" w:hAnsi="宋体" w:eastAsia="宋体" w:cs="宋体"/>
          <w:b/>
          <w:bCs/>
          <w:color w:val="auto"/>
          <w:spacing w:val="8"/>
          <w:sz w:val="28"/>
          <w:szCs w:val="28"/>
          <w:highlight w:val="none"/>
          <w:lang w:val="en-US" w:eastAsia="zh-CN"/>
        </w:rPr>
        <w:t>（不适用信用承诺的单位提供以下证明材料）</w:t>
      </w:r>
    </w:p>
    <w:p w14:paraId="3906E3B0">
      <w:pPr>
        <w:pStyle w:val="47"/>
        <w:ind w:left="0" w:leftChars="0" w:firstLine="0" w:firstLineChars="0"/>
        <w:rPr>
          <w:rFonts w:hint="default" w:ascii="宋体" w:hAnsi="宋体" w:eastAsia="宋体"/>
          <w:b/>
          <w:bCs/>
          <w:color w:val="auto"/>
          <w:sz w:val="22"/>
          <w:szCs w:val="22"/>
          <w:highlight w:val="none"/>
          <w:lang w:val="en-US" w:eastAsia="zh-CN"/>
        </w:rPr>
      </w:pPr>
      <w:r>
        <w:rPr>
          <w:rFonts w:hint="eastAsia" w:ascii="宋体" w:hAnsi="宋体" w:eastAsia="宋体"/>
          <w:b/>
          <w:bCs/>
          <w:color w:val="auto"/>
          <w:sz w:val="22"/>
          <w:szCs w:val="22"/>
          <w:highlight w:val="none"/>
          <w:lang w:val="en-US" w:eastAsia="zh-CN"/>
        </w:rPr>
        <w:t>(注：供应商不适用信用承诺</w:t>
      </w:r>
      <w:r>
        <w:rPr>
          <w:rFonts w:hint="eastAsia"/>
          <w:b/>
          <w:bCs/>
          <w:color w:val="auto"/>
          <w:sz w:val="22"/>
          <w:szCs w:val="22"/>
          <w:highlight w:val="none"/>
          <w:lang w:val="en-US" w:eastAsia="zh-CN"/>
        </w:rPr>
        <w:t>的</w:t>
      </w:r>
      <w:r>
        <w:rPr>
          <w:rFonts w:hint="eastAsia" w:ascii="宋体" w:hAnsi="宋体" w:eastAsia="宋体"/>
          <w:b/>
          <w:bCs/>
          <w:color w:val="auto"/>
          <w:sz w:val="22"/>
          <w:szCs w:val="22"/>
          <w:highlight w:val="none"/>
          <w:lang w:val="en-US" w:eastAsia="zh-CN"/>
        </w:rPr>
        <w:t>，</w:t>
      </w:r>
      <w:r>
        <w:rPr>
          <w:rFonts w:hint="eastAsia"/>
          <w:b/>
          <w:bCs/>
          <w:color w:val="auto"/>
          <w:sz w:val="22"/>
          <w:szCs w:val="22"/>
          <w:highlight w:val="none"/>
          <w:lang w:val="en-US" w:eastAsia="zh-CN"/>
        </w:rPr>
        <w:t>需要在</w:t>
      </w:r>
      <w:r>
        <w:rPr>
          <w:rFonts w:hint="eastAsia" w:ascii="宋体" w:hAnsi="宋体" w:eastAsia="宋体"/>
          <w:b/>
          <w:bCs/>
          <w:color w:val="auto"/>
          <w:sz w:val="22"/>
          <w:szCs w:val="22"/>
          <w:highlight w:val="none"/>
          <w:lang w:val="en-US" w:eastAsia="zh-CN"/>
        </w:rPr>
        <w:t>资格审查环节</w:t>
      </w:r>
      <w:r>
        <w:rPr>
          <w:rFonts w:hint="eastAsia"/>
          <w:b/>
          <w:bCs/>
          <w:color w:val="auto"/>
          <w:sz w:val="22"/>
          <w:szCs w:val="22"/>
          <w:highlight w:val="none"/>
          <w:lang w:val="en-US" w:eastAsia="zh-CN"/>
        </w:rPr>
        <w:t>按照以下要求准备材料编入投标文件中。</w:t>
      </w:r>
      <w:r>
        <w:rPr>
          <w:rFonts w:hint="eastAsia" w:ascii="宋体" w:hAnsi="宋体" w:eastAsia="宋体"/>
          <w:b/>
          <w:bCs/>
          <w:color w:val="auto"/>
          <w:sz w:val="22"/>
          <w:szCs w:val="22"/>
          <w:highlight w:val="none"/>
          <w:lang w:val="en-US" w:eastAsia="zh-CN"/>
        </w:rPr>
        <w:t>)</w:t>
      </w:r>
    </w:p>
    <w:p w14:paraId="183CA32F">
      <w:pPr>
        <w:keepNext w:val="0"/>
        <w:keepLines w:val="0"/>
        <w:pageBreakBefore w:val="0"/>
        <w:widowControl/>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lang w:val="zh-CN" w:eastAsia="zh-CN"/>
        </w:rPr>
      </w:pPr>
    </w:p>
    <w:p w14:paraId="1C464A8E">
      <w:pPr>
        <w:keepNext w:val="0"/>
        <w:keepLines w:val="0"/>
        <w:pageBreakBefore w:val="0"/>
        <w:widowControl/>
        <w:kinsoku/>
        <w:wordWrap/>
        <w:overflowPunct/>
        <w:topLinePunct w:val="0"/>
        <w:autoSpaceDE/>
        <w:autoSpaceDN/>
        <w:bidi w:val="0"/>
        <w:adjustRightInd w:val="0"/>
        <w:snapToGrid/>
        <w:spacing w:line="440" w:lineRule="exact"/>
        <w:ind w:firstLine="720" w:firstLineChars="300"/>
        <w:rPr>
          <w:rFonts w:hint="eastAsia" w:cs="宋体"/>
          <w:color w:val="auto"/>
          <w:sz w:val="24"/>
          <w:szCs w:val="24"/>
          <w:highlight w:val="none"/>
          <w:lang w:val="en-US" w:eastAsia="zh-CN"/>
        </w:rPr>
      </w:pPr>
      <w:r>
        <w:rPr>
          <w:rFonts w:hint="eastAsia" w:cs="宋体"/>
          <w:color w:val="auto"/>
          <w:sz w:val="24"/>
          <w:szCs w:val="24"/>
          <w:highlight w:val="none"/>
          <w:lang w:val="en-US" w:eastAsia="zh-CN"/>
        </w:rPr>
        <w:t>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成立不满一年不需提供。）</w:t>
      </w:r>
    </w:p>
    <w:p w14:paraId="0F72206B">
      <w:pPr>
        <w:keepNext w:val="0"/>
        <w:keepLines w:val="0"/>
        <w:pageBreakBefore w:val="0"/>
        <w:widowControl/>
        <w:kinsoku/>
        <w:wordWrap/>
        <w:overflowPunct/>
        <w:topLinePunct w:val="0"/>
        <w:autoSpaceDE/>
        <w:autoSpaceDN/>
        <w:bidi w:val="0"/>
        <w:adjustRightInd w:val="0"/>
        <w:snapToGrid/>
        <w:spacing w:line="440" w:lineRule="exact"/>
        <w:ind w:firstLine="720" w:firstLineChars="300"/>
        <w:rPr>
          <w:rFonts w:hint="eastAsia" w:cs="宋体"/>
          <w:color w:val="auto"/>
          <w:sz w:val="24"/>
          <w:szCs w:val="24"/>
          <w:highlight w:val="none"/>
          <w:lang w:val="en-US" w:eastAsia="zh-CN"/>
        </w:rPr>
      </w:pPr>
      <w:r>
        <w:rPr>
          <w:rFonts w:hint="eastAsia" w:cs="宋体"/>
          <w:color w:val="auto"/>
          <w:sz w:val="24"/>
          <w:szCs w:val="24"/>
          <w:highlight w:val="none"/>
          <w:lang w:val="en-US" w:eastAsia="zh-CN"/>
        </w:rPr>
        <w:t>2、具有履行合同所必需的设备和专业技术能力（根据项目需求提供履行合同所必需的设备和专业技术能力证明材料加盖电子公章）。</w:t>
      </w:r>
    </w:p>
    <w:p w14:paraId="236C4770">
      <w:pPr>
        <w:keepNext w:val="0"/>
        <w:keepLines w:val="0"/>
        <w:pageBreakBefore w:val="0"/>
        <w:widowControl/>
        <w:kinsoku/>
        <w:wordWrap/>
        <w:overflowPunct/>
        <w:topLinePunct w:val="0"/>
        <w:autoSpaceDE/>
        <w:autoSpaceDN/>
        <w:bidi w:val="0"/>
        <w:adjustRightInd w:val="0"/>
        <w:snapToGrid/>
        <w:spacing w:line="440" w:lineRule="exact"/>
        <w:ind w:firstLine="720" w:firstLineChars="300"/>
        <w:rPr>
          <w:rFonts w:hint="eastAsia" w:cs="宋体"/>
          <w:color w:val="auto"/>
          <w:sz w:val="24"/>
          <w:szCs w:val="24"/>
          <w:highlight w:val="none"/>
          <w:lang w:val="en-US" w:eastAsia="zh-CN"/>
        </w:rPr>
      </w:pPr>
      <w:r>
        <w:rPr>
          <w:rFonts w:hint="eastAsia" w:cs="宋体"/>
          <w:color w:val="auto"/>
          <w:sz w:val="24"/>
          <w:szCs w:val="24"/>
          <w:highlight w:val="none"/>
          <w:lang w:val="en-US" w:eastAsia="zh-CN"/>
        </w:rPr>
        <w:t>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p>
    <w:p w14:paraId="6FC7EC39">
      <w:pPr>
        <w:keepNext w:val="0"/>
        <w:keepLines w:val="0"/>
        <w:pageBreakBefore w:val="0"/>
        <w:widowControl/>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p>
    <w:p w14:paraId="5B0F88DE">
      <w:pPr>
        <w:rPr>
          <w:rFonts w:hint="eastAsia"/>
          <w:color w:val="auto"/>
          <w:highlight w:val="none"/>
          <w:lang w:eastAsia="zh-CN"/>
        </w:rPr>
      </w:pPr>
    </w:p>
    <w:p w14:paraId="660E171D">
      <w:pPr>
        <w:rPr>
          <w:rFonts w:hint="eastAsia" w:ascii="黑体" w:hAnsi="黑体" w:eastAsia="黑体" w:cs="Times New Roman"/>
          <w:i w:val="0"/>
          <w:color w:val="auto"/>
          <w:sz w:val="32"/>
          <w:szCs w:val="32"/>
          <w:highlight w:val="none"/>
          <w:u w:val="none"/>
          <w:lang w:eastAsia="zh-CN"/>
        </w:rPr>
      </w:pPr>
    </w:p>
    <w:p w14:paraId="484E12BD">
      <w:pPr>
        <w:rPr>
          <w:rFonts w:hint="eastAsia" w:ascii="黑体" w:hAnsi="黑体" w:eastAsia="黑体" w:cs="Times New Roman"/>
          <w:i w:val="0"/>
          <w:color w:val="auto"/>
          <w:sz w:val="32"/>
          <w:szCs w:val="32"/>
          <w:highlight w:val="none"/>
          <w:u w:val="none"/>
          <w:lang w:eastAsia="zh-CN"/>
        </w:rPr>
      </w:pPr>
    </w:p>
    <w:p w14:paraId="1EAC56B5">
      <w:pPr>
        <w:adjustRightInd w:val="0"/>
        <w:snapToGrid w:val="0"/>
        <w:spacing w:line="360" w:lineRule="auto"/>
        <w:jc w:val="left"/>
        <w:outlineLvl w:val="9"/>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eastAsia="zh-CN"/>
        </w:rPr>
        <w:br w:type="page"/>
      </w:r>
      <w:r>
        <w:rPr>
          <w:rFonts w:hint="eastAsia" w:ascii="黑体" w:hAnsi="黑体" w:eastAsia="黑体" w:cs="Times New Roman"/>
          <w:i w:val="0"/>
          <w:color w:val="auto"/>
          <w:sz w:val="32"/>
          <w:szCs w:val="32"/>
          <w:highlight w:val="none"/>
          <w:u w:val="none"/>
          <w:lang w:val="en-US" w:eastAsia="zh-CN"/>
        </w:rPr>
        <w:t>五、</w:t>
      </w:r>
      <w:bookmarkEnd w:id="396"/>
      <w:r>
        <w:rPr>
          <w:rFonts w:hint="eastAsia" w:ascii="黑体" w:hAnsi="黑体" w:eastAsia="黑体" w:cs="Times New Roman"/>
          <w:i w:val="0"/>
          <w:color w:val="auto"/>
          <w:sz w:val="32"/>
          <w:szCs w:val="32"/>
          <w:highlight w:val="none"/>
          <w:u w:val="none"/>
          <w:lang w:val="en-US" w:eastAsia="zh-CN"/>
        </w:rPr>
        <w:t>技术要求响应及偏离表</w:t>
      </w:r>
    </w:p>
    <w:p w14:paraId="5B6E85B9">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highlight w:val="none"/>
          <w:lang w:val="en-US" w:eastAsia="zh-CN"/>
        </w:rPr>
      </w:pPr>
      <w:bookmarkStart w:id="403" w:name="_Toc24685"/>
      <w:r>
        <w:rPr>
          <w:rFonts w:hint="eastAsia" w:ascii="方正小标宋简体" w:hAnsi="方正小标宋简体" w:eastAsia="方正小标宋简体" w:cs="方正小标宋简体"/>
          <w:b w:val="0"/>
          <w:bCs w:val="0"/>
          <w:color w:val="auto"/>
          <w:kern w:val="2"/>
          <w:sz w:val="32"/>
          <w:szCs w:val="32"/>
          <w:highlight w:val="none"/>
          <w:lang w:val="en-US" w:eastAsia="zh-CN"/>
        </w:rPr>
        <w:t>技术要求响应及偏离表</w:t>
      </w:r>
      <w:bookmarkEnd w:id="403"/>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46"/>
      </w:tblGrid>
      <w:tr w14:paraId="27DC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466FDB10">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925" w:type="dxa"/>
            <w:noWrap w:val="0"/>
            <w:vAlign w:val="center"/>
          </w:tcPr>
          <w:p w14:paraId="50AB45FB">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58221D06">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05CB1F21">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20EE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74DD231D">
            <w:pPr>
              <w:jc w:val="center"/>
              <w:rPr>
                <w:rFonts w:hint="eastAsia" w:ascii="宋体" w:hAnsi="宋体"/>
                <w:color w:val="auto"/>
                <w:sz w:val="24"/>
                <w:szCs w:val="24"/>
                <w:highlight w:val="none"/>
              </w:rPr>
            </w:pPr>
          </w:p>
        </w:tc>
        <w:tc>
          <w:tcPr>
            <w:tcW w:w="2925" w:type="dxa"/>
            <w:noWrap w:val="0"/>
            <w:vAlign w:val="top"/>
          </w:tcPr>
          <w:p w14:paraId="7B401139">
            <w:pPr>
              <w:jc w:val="center"/>
              <w:rPr>
                <w:rFonts w:hint="eastAsia" w:ascii="宋体" w:hAnsi="宋体"/>
                <w:color w:val="auto"/>
                <w:sz w:val="24"/>
                <w:szCs w:val="24"/>
                <w:highlight w:val="none"/>
              </w:rPr>
            </w:pPr>
          </w:p>
        </w:tc>
        <w:tc>
          <w:tcPr>
            <w:tcW w:w="2832" w:type="dxa"/>
            <w:noWrap w:val="0"/>
            <w:vAlign w:val="top"/>
          </w:tcPr>
          <w:p w14:paraId="2B666782">
            <w:pPr>
              <w:jc w:val="center"/>
              <w:rPr>
                <w:rFonts w:hint="eastAsia" w:ascii="宋体" w:hAnsi="宋体"/>
                <w:color w:val="auto"/>
                <w:sz w:val="24"/>
                <w:szCs w:val="24"/>
                <w:highlight w:val="none"/>
              </w:rPr>
            </w:pPr>
          </w:p>
        </w:tc>
        <w:tc>
          <w:tcPr>
            <w:tcW w:w="3346" w:type="dxa"/>
            <w:noWrap w:val="0"/>
            <w:vAlign w:val="top"/>
          </w:tcPr>
          <w:p w14:paraId="66DCBDAC">
            <w:pPr>
              <w:jc w:val="center"/>
              <w:rPr>
                <w:rFonts w:hint="eastAsia" w:ascii="宋体" w:hAnsi="宋体"/>
                <w:color w:val="auto"/>
                <w:sz w:val="24"/>
                <w:szCs w:val="24"/>
                <w:highlight w:val="none"/>
              </w:rPr>
            </w:pPr>
          </w:p>
        </w:tc>
      </w:tr>
      <w:tr w14:paraId="5F3F2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19A6A746">
            <w:pPr>
              <w:jc w:val="center"/>
              <w:rPr>
                <w:rFonts w:hint="eastAsia" w:ascii="宋体" w:hAnsi="宋体"/>
                <w:color w:val="auto"/>
                <w:sz w:val="24"/>
                <w:szCs w:val="24"/>
                <w:highlight w:val="none"/>
              </w:rPr>
            </w:pPr>
          </w:p>
        </w:tc>
        <w:tc>
          <w:tcPr>
            <w:tcW w:w="2925" w:type="dxa"/>
            <w:noWrap w:val="0"/>
            <w:vAlign w:val="top"/>
          </w:tcPr>
          <w:p w14:paraId="2A8AB9C6">
            <w:pPr>
              <w:jc w:val="center"/>
              <w:rPr>
                <w:rFonts w:hint="eastAsia" w:ascii="宋体" w:hAnsi="宋体"/>
                <w:color w:val="auto"/>
                <w:sz w:val="24"/>
                <w:szCs w:val="24"/>
                <w:highlight w:val="none"/>
              </w:rPr>
            </w:pPr>
          </w:p>
        </w:tc>
        <w:tc>
          <w:tcPr>
            <w:tcW w:w="2832" w:type="dxa"/>
            <w:noWrap w:val="0"/>
            <w:vAlign w:val="top"/>
          </w:tcPr>
          <w:p w14:paraId="4501880B">
            <w:pPr>
              <w:jc w:val="center"/>
              <w:rPr>
                <w:rFonts w:hint="eastAsia" w:ascii="宋体" w:hAnsi="宋体"/>
                <w:color w:val="auto"/>
                <w:sz w:val="24"/>
                <w:szCs w:val="24"/>
                <w:highlight w:val="none"/>
              </w:rPr>
            </w:pPr>
          </w:p>
        </w:tc>
        <w:tc>
          <w:tcPr>
            <w:tcW w:w="3346" w:type="dxa"/>
            <w:noWrap w:val="0"/>
            <w:vAlign w:val="top"/>
          </w:tcPr>
          <w:p w14:paraId="50A8E11B">
            <w:pPr>
              <w:jc w:val="center"/>
              <w:rPr>
                <w:rFonts w:hint="eastAsia" w:ascii="宋体" w:hAnsi="宋体"/>
                <w:color w:val="auto"/>
                <w:sz w:val="24"/>
                <w:szCs w:val="24"/>
                <w:highlight w:val="none"/>
              </w:rPr>
            </w:pPr>
          </w:p>
        </w:tc>
      </w:tr>
      <w:tr w14:paraId="2895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2AE6245E">
            <w:pPr>
              <w:jc w:val="center"/>
              <w:rPr>
                <w:rFonts w:hint="eastAsia" w:ascii="宋体" w:hAnsi="宋体"/>
                <w:color w:val="auto"/>
                <w:sz w:val="24"/>
                <w:szCs w:val="24"/>
                <w:highlight w:val="none"/>
              </w:rPr>
            </w:pPr>
          </w:p>
        </w:tc>
        <w:tc>
          <w:tcPr>
            <w:tcW w:w="2925" w:type="dxa"/>
            <w:noWrap w:val="0"/>
            <w:vAlign w:val="top"/>
          </w:tcPr>
          <w:p w14:paraId="39569D11">
            <w:pPr>
              <w:jc w:val="center"/>
              <w:rPr>
                <w:rFonts w:hint="eastAsia" w:ascii="宋体" w:hAnsi="宋体"/>
                <w:color w:val="auto"/>
                <w:sz w:val="24"/>
                <w:szCs w:val="24"/>
                <w:highlight w:val="none"/>
              </w:rPr>
            </w:pPr>
          </w:p>
        </w:tc>
        <w:tc>
          <w:tcPr>
            <w:tcW w:w="2832" w:type="dxa"/>
            <w:noWrap w:val="0"/>
            <w:vAlign w:val="top"/>
          </w:tcPr>
          <w:p w14:paraId="62C33C47">
            <w:pPr>
              <w:jc w:val="center"/>
              <w:rPr>
                <w:rFonts w:hint="eastAsia" w:ascii="宋体" w:hAnsi="宋体"/>
                <w:color w:val="auto"/>
                <w:sz w:val="24"/>
                <w:szCs w:val="24"/>
                <w:highlight w:val="none"/>
              </w:rPr>
            </w:pPr>
          </w:p>
        </w:tc>
        <w:tc>
          <w:tcPr>
            <w:tcW w:w="3346" w:type="dxa"/>
            <w:noWrap w:val="0"/>
            <w:vAlign w:val="top"/>
          </w:tcPr>
          <w:p w14:paraId="3F241B9F">
            <w:pPr>
              <w:jc w:val="center"/>
              <w:rPr>
                <w:rFonts w:hint="eastAsia" w:ascii="宋体" w:hAnsi="宋体"/>
                <w:color w:val="auto"/>
                <w:sz w:val="24"/>
                <w:szCs w:val="24"/>
                <w:highlight w:val="none"/>
              </w:rPr>
            </w:pPr>
          </w:p>
        </w:tc>
      </w:tr>
      <w:tr w14:paraId="75EB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266218BE">
            <w:pPr>
              <w:jc w:val="center"/>
              <w:rPr>
                <w:rFonts w:hint="eastAsia" w:ascii="宋体" w:hAnsi="宋体"/>
                <w:color w:val="auto"/>
                <w:sz w:val="24"/>
                <w:szCs w:val="24"/>
                <w:highlight w:val="none"/>
              </w:rPr>
            </w:pPr>
          </w:p>
        </w:tc>
        <w:tc>
          <w:tcPr>
            <w:tcW w:w="2925" w:type="dxa"/>
            <w:noWrap w:val="0"/>
            <w:vAlign w:val="top"/>
          </w:tcPr>
          <w:p w14:paraId="18895991">
            <w:pPr>
              <w:jc w:val="center"/>
              <w:rPr>
                <w:rFonts w:hint="eastAsia" w:ascii="宋体" w:hAnsi="宋体"/>
                <w:color w:val="auto"/>
                <w:sz w:val="24"/>
                <w:szCs w:val="24"/>
                <w:highlight w:val="none"/>
              </w:rPr>
            </w:pPr>
          </w:p>
        </w:tc>
        <w:tc>
          <w:tcPr>
            <w:tcW w:w="2832" w:type="dxa"/>
            <w:noWrap w:val="0"/>
            <w:vAlign w:val="top"/>
          </w:tcPr>
          <w:p w14:paraId="0986DB06">
            <w:pPr>
              <w:jc w:val="center"/>
              <w:rPr>
                <w:rFonts w:hint="eastAsia" w:ascii="宋体" w:hAnsi="宋体"/>
                <w:color w:val="auto"/>
                <w:sz w:val="24"/>
                <w:szCs w:val="24"/>
                <w:highlight w:val="none"/>
              </w:rPr>
            </w:pPr>
          </w:p>
        </w:tc>
        <w:tc>
          <w:tcPr>
            <w:tcW w:w="3346" w:type="dxa"/>
            <w:noWrap w:val="0"/>
            <w:vAlign w:val="top"/>
          </w:tcPr>
          <w:p w14:paraId="0978D792">
            <w:pPr>
              <w:jc w:val="center"/>
              <w:rPr>
                <w:rFonts w:hint="eastAsia" w:ascii="宋体" w:hAnsi="宋体"/>
                <w:color w:val="auto"/>
                <w:sz w:val="24"/>
                <w:szCs w:val="24"/>
                <w:highlight w:val="none"/>
              </w:rPr>
            </w:pPr>
          </w:p>
        </w:tc>
      </w:tr>
      <w:tr w14:paraId="0B94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12894A7F">
            <w:pPr>
              <w:jc w:val="center"/>
              <w:rPr>
                <w:rFonts w:hint="eastAsia" w:ascii="宋体" w:hAnsi="宋体"/>
                <w:color w:val="auto"/>
                <w:sz w:val="24"/>
                <w:szCs w:val="24"/>
                <w:highlight w:val="none"/>
              </w:rPr>
            </w:pPr>
          </w:p>
        </w:tc>
        <w:tc>
          <w:tcPr>
            <w:tcW w:w="2925" w:type="dxa"/>
            <w:noWrap w:val="0"/>
            <w:vAlign w:val="top"/>
          </w:tcPr>
          <w:p w14:paraId="5E81A08E">
            <w:pPr>
              <w:jc w:val="center"/>
              <w:rPr>
                <w:rFonts w:hint="eastAsia" w:ascii="宋体" w:hAnsi="宋体"/>
                <w:color w:val="auto"/>
                <w:sz w:val="24"/>
                <w:szCs w:val="24"/>
                <w:highlight w:val="none"/>
              </w:rPr>
            </w:pPr>
          </w:p>
        </w:tc>
        <w:tc>
          <w:tcPr>
            <w:tcW w:w="2832" w:type="dxa"/>
            <w:noWrap w:val="0"/>
            <w:vAlign w:val="top"/>
          </w:tcPr>
          <w:p w14:paraId="6AA7A851">
            <w:pPr>
              <w:jc w:val="center"/>
              <w:rPr>
                <w:rFonts w:hint="eastAsia" w:ascii="宋体" w:hAnsi="宋体"/>
                <w:color w:val="auto"/>
                <w:sz w:val="24"/>
                <w:szCs w:val="24"/>
                <w:highlight w:val="none"/>
              </w:rPr>
            </w:pPr>
          </w:p>
        </w:tc>
        <w:tc>
          <w:tcPr>
            <w:tcW w:w="3346" w:type="dxa"/>
            <w:noWrap w:val="0"/>
            <w:vAlign w:val="top"/>
          </w:tcPr>
          <w:p w14:paraId="0E6DBD5F">
            <w:pPr>
              <w:jc w:val="center"/>
              <w:rPr>
                <w:rFonts w:hint="eastAsia" w:ascii="宋体" w:hAnsi="宋体"/>
                <w:color w:val="auto"/>
                <w:sz w:val="24"/>
                <w:szCs w:val="24"/>
                <w:highlight w:val="none"/>
              </w:rPr>
            </w:pPr>
          </w:p>
        </w:tc>
      </w:tr>
      <w:tr w14:paraId="50CC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201D9954">
            <w:pPr>
              <w:jc w:val="center"/>
              <w:rPr>
                <w:rFonts w:hint="eastAsia" w:ascii="宋体" w:hAnsi="宋体"/>
                <w:color w:val="auto"/>
                <w:sz w:val="24"/>
                <w:szCs w:val="24"/>
                <w:highlight w:val="none"/>
              </w:rPr>
            </w:pPr>
          </w:p>
        </w:tc>
        <w:tc>
          <w:tcPr>
            <w:tcW w:w="2925" w:type="dxa"/>
            <w:noWrap w:val="0"/>
            <w:vAlign w:val="top"/>
          </w:tcPr>
          <w:p w14:paraId="4FBAE3E4">
            <w:pPr>
              <w:jc w:val="center"/>
              <w:rPr>
                <w:rFonts w:hint="eastAsia" w:ascii="宋体" w:hAnsi="宋体"/>
                <w:color w:val="auto"/>
                <w:sz w:val="24"/>
                <w:szCs w:val="24"/>
                <w:highlight w:val="none"/>
              </w:rPr>
            </w:pPr>
          </w:p>
        </w:tc>
        <w:tc>
          <w:tcPr>
            <w:tcW w:w="2832" w:type="dxa"/>
            <w:noWrap w:val="0"/>
            <w:vAlign w:val="top"/>
          </w:tcPr>
          <w:p w14:paraId="7C4CC91A">
            <w:pPr>
              <w:jc w:val="center"/>
              <w:rPr>
                <w:rFonts w:hint="eastAsia" w:ascii="宋体" w:hAnsi="宋体"/>
                <w:color w:val="auto"/>
                <w:sz w:val="24"/>
                <w:szCs w:val="24"/>
                <w:highlight w:val="none"/>
              </w:rPr>
            </w:pPr>
          </w:p>
        </w:tc>
        <w:tc>
          <w:tcPr>
            <w:tcW w:w="3346" w:type="dxa"/>
            <w:noWrap w:val="0"/>
            <w:vAlign w:val="top"/>
          </w:tcPr>
          <w:p w14:paraId="2C5EA4F7">
            <w:pPr>
              <w:jc w:val="center"/>
              <w:rPr>
                <w:rFonts w:hint="eastAsia" w:ascii="宋体" w:hAnsi="宋体"/>
                <w:color w:val="auto"/>
                <w:sz w:val="24"/>
                <w:szCs w:val="24"/>
                <w:highlight w:val="none"/>
              </w:rPr>
            </w:pPr>
          </w:p>
        </w:tc>
      </w:tr>
      <w:tr w14:paraId="3883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45CC5F84">
            <w:pPr>
              <w:jc w:val="center"/>
              <w:rPr>
                <w:rFonts w:hint="eastAsia" w:ascii="宋体" w:hAnsi="宋体"/>
                <w:color w:val="auto"/>
                <w:sz w:val="24"/>
                <w:szCs w:val="24"/>
                <w:highlight w:val="none"/>
              </w:rPr>
            </w:pPr>
          </w:p>
        </w:tc>
        <w:tc>
          <w:tcPr>
            <w:tcW w:w="2925" w:type="dxa"/>
            <w:noWrap w:val="0"/>
            <w:vAlign w:val="top"/>
          </w:tcPr>
          <w:p w14:paraId="28B48B54">
            <w:pPr>
              <w:jc w:val="center"/>
              <w:rPr>
                <w:rFonts w:hint="eastAsia" w:ascii="宋体" w:hAnsi="宋体"/>
                <w:color w:val="auto"/>
                <w:sz w:val="24"/>
                <w:szCs w:val="24"/>
                <w:highlight w:val="none"/>
              </w:rPr>
            </w:pPr>
          </w:p>
        </w:tc>
        <w:tc>
          <w:tcPr>
            <w:tcW w:w="2832" w:type="dxa"/>
            <w:noWrap w:val="0"/>
            <w:vAlign w:val="top"/>
          </w:tcPr>
          <w:p w14:paraId="4BAAA6FF">
            <w:pPr>
              <w:jc w:val="center"/>
              <w:rPr>
                <w:rFonts w:hint="eastAsia" w:ascii="宋体" w:hAnsi="宋体"/>
                <w:color w:val="auto"/>
                <w:sz w:val="24"/>
                <w:szCs w:val="24"/>
                <w:highlight w:val="none"/>
              </w:rPr>
            </w:pPr>
          </w:p>
        </w:tc>
        <w:tc>
          <w:tcPr>
            <w:tcW w:w="3346" w:type="dxa"/>
            <w:noWrap w:val="0"/>
            <w:vAlign w:val="top"/>
          </w:tcPr>
          <w:p w14:paraId="14189910">
            <w:pPr>
              <w:jc w:val="center"/>
              <w:rPr>
                <w:rFonts w:hint="eastAsia" w:ascii="宋体" w:hAnsi="宋体"/>
                <w:color w:val="auto"/>
                <w:sz w:val="24"/>
                <w:szCs w:val="24"/>
                <w:highlight w:val="none"/>
              </w:rPr>
            </w:pPr>
          </w:p>
        </w:tc>
      </w:tr>
      <w:tr w14:paraId="727E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8A85BC8">
            <w:pPr>
              <w:jc w:val="center"/>
              <w:rPr>
                <w:rFonts w:hint="eastAsia" w:ascii="宋体" w:hAnsi="宋体"/>
                <w:color w:val="auto"/>
                <w:sz w:val="24"/>
                <w:szCs w:val="24"/>
                <w:highlight w:val="none"/>
              </w:rPr>
            </w:pPr>
          </w:p>
        </w:tc>
        <w:tc>
          <w:tcPr>
            <w:tcW w:w="2925" w:type="dxa"/>
            <w:noWrap w:val="0"/>
            <w:vAlign w:val="top"/>
          </w:tcPr>
          <w:p w14:paraId="09F1BF25">
            <w:pPr>
              <w:jc w:val="center"/>
              <w:rPr>
                <w:color w:val="auto"/>
                <w:highlight w:val="none"/>
              </w:rPr>
            </w:pPr>
          </w:p>
          <w:p w14:paraId="02062CDC">
            <w:pPr>
              <w:pStyle w:val="25"/>
              <w:rPr>
                <w:rFonts w:hint="eastAsia"/>
                <w:color w:val="auto"/>
                <w:highlight w:val="none"/>
              </w:rPr>
            </w:pPr>
          </w:p>
        </w:tc>
        <w:tc>
          <w:tcPr>
            <w:tcW w:w="2832" w:type="dxa"/>
            <w:noWrap w:val="0"/>
            <w:vAlign w:val="top"/>
          </w:tcPr>
          <w:p w14:paraId="3A06ED33">
            <w:pPr>
              <w:jc w:val="center"/>
              <w:rPr>
                <w:rFonts w:hint="eastAsia" w:ascii="宋体" w:hAnsi="宋体"/>
                <w:color w:val="auto"/>
                <w:sz w:val="24"/>
                <w:szCs w:val="24"/>
                <w:highlight w:val="none"/>
              </w:rPr>
            </w:pPr>
          </w:p>
        </w:tc>
        <w:tc>
          <w:tcPr>
            <w:tcW w:w="3346" w:type="dxa"/>
            <w:noWrap w:val="0"/>
            <w:vAlign w:val="top"/>
          </w:tcPr>
          <w:p w14:paraId="3E189E31">
            <w:pPr>
              <w:jc w:val="center"/>
              <w:rPr>
                <w:rFonts w:hint="eastAsia" w:ascii="宋体" w:hAnsi="宋体"/>
                <w:color w:val="auto"/>
                <w:sz w:val="24"/>
                <w:szCs w:val="24"/>
                <w:highlight w:val="none"/>
              </w:rPr>
            </w:pPr>
          </w:p>
        </w:tc>
      </w:tr>
    </w:tbl>
    <w:p w14:paraId="66A8EE2A">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highlight w:val="none"/>
        </w:rPr>
      </w:pPr>
    </w:p>
    <w:p w14:paraId="15FD4BF2">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74E2D8A6">
      <w:pPr>
        <w:rPr>
          <w:rFonts w:hint="eastAsia" w:ascii="宋体" w:hAnsi="宋体"/>
          <w:color w:val="auto"/>
          <w:sz w:val="24"/>
          <w:szCs w:val="24"/>
          <w:highlight w:val="none"/>
        </w:rPr>
      </w:pPr>
    </w:p>
    <w:p w14:paraId="434B84C2">
      <w:pPr>
        <w:pStyle w:val="22"/>
        <w:adjustRightInd w:val="0"/>
        <w:snapToGrid w:val="0"/>
        <w:spacing w:before="0" w:beforeAutospacing="0" w:after="0" w:afterAutospacing="0" w:line="360" w:lineRule="auto"/>
        <w:ind w:firstLine="480" w:firstLineChars="200"/>
        <w:jc w:val="both"/>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p>
    <w:p w14:paraId="45625DB5">
      <w:pPr>
        <w:pStyle w:val="22"/>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1.供应商须对招标文件技术要求中的实质性要求（打“★”内容）做出明确响应，否则视为无效投标。</w:t>
      </w:r>
    </w:p>
    <w:p w14:paraId="79262A95">
      <w:pPr>
        <w:pStyle w:val="22"/>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2.行数不够，可自行添加。</w:t>
      </w:r>
    </w:p>
    <w:p w14:paraId="7F0D0F8C">
      <w:pPr>
        <w:rPr>
          <w:rFonts w:hint="eastAsia" w:ascii="黑体" w:hAnsi="黑体" w:eastAsia="黑体" w:cs="Times New Roman"/>
          <w:i w:val="0"/>
          <w:iCs/>
          <w:color w:val="auto"/>
          <w:sz w:val="32"/>
          <w:szCs w:val="32"/>
          <w:highlight w:val="none"/>
          <w:u w:val="none"/>
          <w:lang w:val="en-US" w:eastAsia="zh-CN"/>
        </w:rPr>
      </w:pPr>
    </w:p>
    <w:p w14:paraId="6096FCD3">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r>
      <w:r>
        <w:rPr>
          <w:rFonts w:hint="eastAsia" w:ascii="黑体" w:hAnsi="黑体" w:eastAsia="黑体" w:cs="Times New Roman"/>
          <w:i w:val="0"/>
          <w:iCs/>
          <w:color w:val="auto"/>
          <w:sz w:val="32"/>
          <w:szCs w:val="32"/>
          <w:highlight w:val="none"/>
          <w:u w:val="none"/>
          <w:lang w:val="en-US" w:eastAsia="zh-CN"/>
        </w:rPr>
        <w:t>六、商务要求响应及偏离表</w:t>
      </w:r>
    </w:p>
    <w:p w14:paraId="75F3382E">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highlight w:val="none"/>
          <w:lang w:val="en-US" w:eastAsia="zh-CN"/>
        </w:rPr>
      </w:pPr>
      <w:bookmarkStart w:id="404" w:name="_Toc26214"/>
      <w:r>
        <w:rPr>
          <w:rFonts w:hint="eastAsia" w:ascii="方正小标宋简体" w:hAnsi="方正小标宋简体" w:eastAsia="方正小标宋简体" w:cs="方正小标宋简体"/>
          <w:b w:val="0"/>
          <w:bCs w:val="0"/>
          <w:color w:val="auto"/>
          <w:kern w:val="2"/>
          <w:sz w:val="32"/>
          <w:szCs w:val="32"/>
          <w:highlight w:val="none"/>
          <w:lang w:val="en-US" w:eastAsia="zh-CN"/>
        </w:rPr>
        <w:t>商务要求响应及偏离表</w:t>
      </w:r>
      <w:bookmarkEnd w:id="404"/>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46"/>
      </w:tblGrid>
      <w:tr w14:paraId="560D0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0"/>
            <w:vAlign w:val="center"/>
          </w:tcPr>
          <w:p w14:paraId="6AAFE9EF">
            <w:pPr>
              <w:jc w:val="center"/>
              <w:rPr>
                <w:rFonts w:hint="eastAsia" w:ascii="宋体" w:hAnsi="宋体"/>
                <w:color w:val="auto"/>
                <w:sz w:val="24"/>
                <w:szCs w:val="24"/>
                <w:highlight w:val="none"/>
              </w:rPr>
            </w:pPr>
            <w:bookmarkStart w:id="405" w:name="_Hlt26609391"/>
            <w:bookmarkEnd w:id="405"/>
            <w:bookmarkStart w:id="406" w:name="_Hlt26955056"/>
            <w:bookmarkEnd w:id="406"/>
            <w:bookmarkStart w:id="407" w:name="_Hlt26955064"/>
            <w:bookmarkEnd w:id="407"/>
            <w:bookmarkStart w:id="408" w:name="_Hlt26671372"/>
            <w:bookmarkEnd w:id="408"/>
            <w:bookmarkStart w:id="409" w:name="_Hlt26671343"/>
            <w:bookmarkEnd w:id="409"/>
            <w:bookmarkStart w:id="410" w:name="_Hlt24879081"/>
            <w:bookmarkEnd w:id="410"/>
            <w:bookmarkStart w:id="411" w:name="_Hlt26782999"/>
            <w:bookmarkEnd w:id="411"/>
            <w:bookmarkStart w:id="412" w:name="_Hlt26580838"/>
            <w:bookmarkEnd w:id="412"/>
            <w:r>
              <w:rPr>
                <w:rFonts w:hint="eastAsia" w:ascii="宋体" w:hAnsi="宋体"/>
                <w:color w:val="auto"/>
                <w:sz w:val="24"/>
                <w:szCs w:val="24"/>
                <w:highlight w:val="none"/>
              </w:rPr>
              <w:t>序号</w:t>
            </w:r>
          </w:p>
        </w:tc>
        <w:tc>
          <w:tcPr>
            <w:tcW w:w="2838" w:type="dxa"/>
            <w:noWrap w:val="0"/>
            <w:vAlign w:val="center"/>
          </w:tcPr>
          <w:p w14:paraId="0882DA7E">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3F635929">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2109095A">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5E54D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009472F8">
            <w:pPr>
              <w:jc w:val="center"/>
              <w:rPr>
                <w:rFonts w:hint="eastAsia" w:ascii="宋体" w:hAnsi="宋体"/>
                <w:color w:val="auto"/>
                <w:sz w:val="24"/>
                <w:szCs w:val="24"/>
                <w:highlight w:val="none"/>
              </w:rPr>
            </w:pPr>
          </w:p>
        </w:tc>
        <w:tc>
          <w:tcPr>
            <w:tcW w:w="2838" w:type="dxa"/>
            <w:noWrap w:val="0"/>
            <w:vAlign w:val="top"/>
          </w:tcPr>
          <w:p w14:paraId="61DCD8AF">
            <w:pPr>
              <w:jc w:val="center"/>
              <w:rPr>
                <w:rFonts w:hint="eastAsia" w:ascii="宋体" w:hAnsi="宋体"/>
                <w:color w:val="auto"/>
                <w:sz w:val="24"/>
                <w:szCs w:val="24"/>
                <w:highlight w:val="none"/>
              </w:rPr>
            </w:pPr>
          </w:p>
        </w:tc>
        <w:tc>
          <w:tcPr>
            <w:tcW w:w="2832" w:type="dxa"/>
            <w:noWrap w:val="0"/>
            <w:vAlign w:val="top"/>
          </w:tcPr>
          <w:p w14:paraId="4F3B3203">
            <w:pPr>
              <w:jc w:val="center"/>
              <w:rPr>
                <w:rFonts w:hint="eastAsia" w:ascii="宋体" w:hAnsi="宋体"/>
                <w:color w:val="auto"/>
                <w:sz w:val="24"/>
                <w:szCs w:val="24"/>
                <w:highlight w:val="none"/>
              </w:rPr>
            </w:pPr>
          </w:p>
        </w:tc>
        <w:tc>
          <w:tcPr>
            <w:tcW w:w="3346" w:type="dxa"/>
            <w:noWrap w:val="0"/>
            <w:vAlign w:val="top"/>
          </w:tcPr>
          <w:p w14:paraId="1169CB31">
            <w:pPr>
              <w:jc w:val="center"/>
              <w:rPr>
                <w:rFonts w:hint="eastAsia" w:ascii="宋体" w:hAnsi="宋体"/>
                <w:color w:val="auto"/>
                <w:sz w:val="24"/>
                <w:szCs w:val="24"/>
                <w:highlight w:val="none"/>
              </w:rPr>
            </w:pPr>
          </w:p>
        </w:tc>
      </w:tr>
      <w:tr w14:paraId="6D83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22136839">
            <w:pPr>
              <w:jc w:val="center"/>
              <w:rPr>
                <w:rFonts w:hint="eastAsia" w:ascii="宋体" w:hAnsi="宋体"/>
                <w:color w:val="auto"/>
                <w:sz w:val="24"/>
                <w:szCs w:val="24"/>
                <w:highlight w:val="none"/>
              </w:rPr>
            </w:pPr>
          </w:p>
        </w:tc>
        <w:tc>
          <w:tcPr>
            <w:tcW w:w="2838" w:type="dxa"/>
            <w:noWrap w:val="0"/>
            <w:vAlign w:val="top"/>
          </w:tcPr>
          <w:p w14:paraId="745A9AB6">
            <w:pPr>
              <w:jc w:val="center"/>
              <w:rPr>
                <w:rFonts w:hint="eastAsia" w:ascii="宋体" w:hAnsi="宋体"/>
                <w:color w:val="auto"/>
                <w:sz w:val="24"/>
                <w:szCs w:val="24"/>
                <w:highlight w:val="none"/>
              </w:rPr>
            </w:pPr>
          </w:p>
        </w:tc>
        <w:tc>
          <w:tcPr>
            <w:tcW w:w="2832" w:type="dxa"/>
            <w:noWrap w:val="0"/>
            <w:vAlign w:val="top"/>
          </w:tcPr>
          <w:p w14:paraId="77C4D241">
            <w:pPr>
              <w:jc w:val="center"/>
              <w:rPr>
                <w:rFonts w:hint="eastAsia" w:ascii="宋体" w:hAnsi="宋体"/>
                <w:color w:val="auto"/>
                <w:sz w:val="24"/>
                <w:szCs w:val="24"/>
                <w:highlight w:val="none"/>
              </w:rPr>
            </w:pPr>
          </w:p>
        </w:tc>
        <w:tc>
          <w:tcPr>
            <w:tcW w:w="3346" w:type="dxa"/>
            <w:noWrap w:val="0"/>
            <w:vAlign w:val="top"/>
          </w:tcPr>
          <w:p w14:paraId="5FED5406">
            <w:pPr>
              <w:jc w:val="center"/>
              <w:rPr>
                <w:rFonts w:hint="eastAsia" w:ascii="宋体" w:hAnsi="宋体"/>
                <w:color w:val="auto"/>
                <w:sz w:val="24"/>
                <w:szCs w:val="24"/>
                <w:highlight w:val="none"/>
              </w:rPr>
            </w:pPr>
          </w:p>
        </w:tc>
      </w:tr>
      <w:tr w14:paraId="4E03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2708D0CF">
            <w:pPr>
              <w:jc w:val="center"/>
              <w:rPr>
                <w:rFonts w:hint="eastAsia" w:ascii="宋体" w:hAnsi="宋体"/>
                <w:color w:val="auto"/>
                <w:sz w:val="24"/>
                <w:szCs w:val="24"/>
                <w:highlight w:val="none"/>
              </w:rPr>
            </w:pPr>
          </w:p>
        </w:tc>
        <w:tc>
          <w:tcPr>
            <w:tcW w:w="2838" w:type="dxa"/>
            <w:noWrap w:val="0"/>
            <w:vAlign w:val="top"/>
          </w:tcPr>
          <w:p w14:paraId="2CB97E4E">
            <w:pPr>
              <w:jc w:val="center"/>
              <w:rPr>
                <w:rFonts w:hint="eastAsia" w:ascii="宋体" w:hAnsi="宋体"/>
                <w:color w:val="auto"/>
                <w:sz w:val="24"/>
                <w:szCs w:val="24"/>
                <w:highlight w:val="none"/>
              </w:rPr>
            </w:pPr>
          </w:p>
        </w:tc>
        <w:tc>
          <w:tcPr>
            <w:tcW w:w="2832" w:type="dxa"/>
            <w:noWrap w:val="0"/>
            <w:vAlign w:val="top"/>
          </w:tcPr>
          <w:p w14:paraId="682107B0">
            <w:pPr>
              <w:jc w:val="center"/>
              <w:rPr>
                <w:rFonts w:hint="eastAsia" w:ascii="宋体" w:hAnsi="宋体"/>
                <w:color w:val="auto"/>
                <w:sz w:val="24"/>
                <w:szCs w:val="24"/>
                <w:highlight w:val="none"/>
              </w:rPr>
            </w:pPr>
          </w:p>
        </w:tc>
        <w:tc>
          <w:tcPr>
            <w:tcW w:w="3346" w:type="dxa"/>
            <w:noWrap w:val="0"/>
            <w:vAlign w:val="top"/>
          </w:tcPr>
          <w:p w14:paraId="15264A17">
            <w:pPr>
              <w:jc w:val="center"/>
              <w:rPr>
                <w:rFonts w:hint="eastAsia" w:ascii="宋体" w:hAnsi="宋体"/>
                <w:color w:val="auto"/>
                <w:sz w:val="24"/>
                <w:szCs w:val="24"/>
                <w:highlight w:val="none"/>
              </w:rPr>
            </w:pPr>
          </w:p>
        </w:tc>
      </w:tr>
      <w:tr w14:paraId="6DB2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005F9D32">
            <w:pPr>
              <w:jc w:val="center"/>
              <w:rPr>
                <w:rFonts w:hint="eastAsia" w:ascii="宋体" w:hAnsi="宋体"/>
                <w:color w:val="auto"/>
                <w:sz w:val="24"/>
                <w:szCs w:val="24"/>
                <w:highlight w:val="none"/>
              </w:rPr>
            </w:pPr>
          </w:p>
        </w:tc>
        <w:tc>
          <w:tcPr>
            <w:tcW w:w="2838" w:type="dxa"/>
            <w:noWrap w:val="0"/>
            <w:vAlign w:val="top"/>
          </w:tcPr>
          <w:p w14:paraId="3C32C6E8">
            <w:pPr>
              <w:jc w:val="center"/>
              <w:rPr>
                <w:rFonts w:hint="eastAsia" w:ascii="宋体" w:hAnsi="宋体"/>
                <w:color w:val="auto"/>
                <w:sz w:val="24"/>
                <w:szCs w:val="24"/>
                <w:highlight w:val="none"/>
              </w:rPr>
            </w:pPr>
          </w:p>
        </w:tc>
        <w:tc>
          <w:tcPr>
            <w:tcW w:w="2832" w:type="dxa"/>
            <w:noWrap w:val="0"/>
            <w:vAlign w:val="top"/>
          </w:tcPr>
          <w:p w14:paraId="6F8C708F">
            <w:pPr>
              <w:jc w:val="center"/>
              <w:rPr>
                <w:rFonts w:hint="eastAsia" w:ascii="宋体" w:hAnsi="宋体"/>
                <w:color w:val="auto"/>
                <w:sz w:val="24"/>
                <w:szCs w:val="24"/>
                <w:highlight w:val="none"/>
              </w:rPr>
            </w:pPr>
          </w:p>
        </w:tc>
        <w:tc>
          <w:tcPr>
            <w:tcW w:w="3346" w:type="dxa"/>
            <w:noWrap w:val="0"/>
            <w:vAlign w:val="top"/>
          </w:tcPr>
          <w:p w14:paraId="5D7F4C0A">
            <w:pPr>
              <w:jc w:val="center"/>
              <w:rPr>
                <w:rFonts w:hint="eastAsia" w:ascii="宋体" w:hAnsi="宋体"/>
                <w:color w:val="auto"/>
                <w:sz w:val="24"/>
                <w:szCs w:val="24"/>
                <w:highlight w:val="none"/>
              </w:rPr>
            </w:pPr>
          </w:p>
        </w:tc>
      </w:tr>
      <w:tr w14:paraId="0F38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1B23F40C">
            <w:pPr>
              <w:jc w:val="center"/>
              <w:rPr>
                <w:rFonts w:hint="eastAsia" w:ascii="宋体" w:hAnsi="宋体"/>
                <w:color w:val="auto"/>
                <w:sz w:val="24"/>
                <w:szCs w:val="24"/>
                <w:highlight w:val="none"/>
              </w:rPr>
            </w:pPr>
          </w:p>
        </w:tc>
        <w:tc>
          <w:tcPr>
            <w:tcW w:w="2838" w:type="dxa"/>
            <w:noWrap w:val="0"/>
            <w:vAlign w:val="top"/>
          </w:tcPr>
          <w:p w14:paraId="0E45AEEC">
            <w:pPr>
              <w:jc w:val="center"/>
              <w:rPr>
                <w:rFonts w:hint="eastAsia" w:ascii="宋体" w:hAnsi="宋体"/>
                <w:color w:val="auto"/>
                <w:sz w:val="24"/>
                <w:szCs w:val="24"/>
                <w:highlight w:val="none"/>
              </w:rPr>
            </w:pPr>
          </w:p>
        </w:tc>
        <w:tc>
          <w:tcPr>
            <w:tcW w:w="2832" w:type="dxa"/>
            <w:noWrap w:val="0"/>
            <w:vAlign w:val="top"/>
          </w:tcPr>
          <w:p w14:paraId="3A4AA558">
            <w:pPr>
              <w:jc w:val="center"/>
              <w:rPr>
                <w:rFonts w:hint="eastAsia" w:ascii="宋体" w:hAnsi="宋体"/>
                <w:color w:val="auto"/>
                <w:sz w:val="24"/>
                <w:szCs w:val="24"/>
                <w:highlight w:val="none"/>
              </w:rPr>
            </w:pPr>
          </w:p>
        </w:tc>
        <w:tc>
          <w:tcPr>
            <w:tcW w:w="3346" w:type="dxa"/>
            <w:noWrap w:val="0"/>
            <w:vAlign w:val="top"/>
          </w:tcPr>
          <w:p w14:paraId="2E01522E">
            <w:pPr>
              <w:jc w:val="center"/>
              <w:rPr>
                <w:rFonts w:hint="eastAsia" w:ascii="宋体" w:hAnsi="宋体"/>
                <w:color w:val="auto"/>
                <w:sz w:val="24"/>
                <w:szCs w:val="24"/>
                <w:highlight w:val="none"/>
              </w:rPr>
            </w:pPr>
          </w:p>
        </w:tc>
      </w:tr>
      <w:tr w14:paraId="344C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5337C4D5">
            <w:pPr>
              <w:jc w:val="center"/>
              <w:rPr>
                <w:rFonts w:hint="eastAsia" w:ascii="宋体" w:hAnsi="宋体"/>
                <w:color w:val="auto"/>
                <w:sz w:val="24"/>
                <w:szCs w:val="24"/>
                <w:highlight w:val="none"/>
              </w:rPr>
            </w:pPr>
          </w:p>
        </w:tc>
        <w:tc>
          <w:tcPr>
            <w:tcW w:w="2838" w:type="dxa"/>
            <w:noWrap w:val="0"/>
            <w:vAlign w:val="top"/>
          </w:tcPr>
          <w:p w14:paraId="6674F7D2">
            <w:pPr>
              <w:jc w:val="center"/>
              <w:rPr>
                <w:rFonts w:hint="eastAsia" w:ascii="宋体" w:hAnsi="宋体"/>
                <w:color w:val="auto"/>
                <w:sz w:val="24"/>
                <w:szCs w:val="24"/>
                <w:highlight w:val="none"/>
              </w:rPr>
            </w:pPr>
          </w:p>
        </w:tc>
        <w:tc>
          <w:tcPr>
            <w:tcW w:w="2832" w:type="dxa"/>
            <w:noWrap w:val="0"/>
            <w:vAlign w:val="top"/>
          </w:tcPr>
          <w:p w14:paraId="52D2E91B">
            <w:pPr>
              <w:jc w:val="center"/>
              <w:rPr>
                <w:rFonts w:hint="eastAsia" w:ascii="宋体" w:hAnsi="宋体"/>
                <w:color w:val="auto"/>
                <w:sz w:val="24"/>
                <w:szCs w:val="24"/>
                <w:highlight w:val="none"/>
              </w:rPr>
            </w:pPr>
          </w:p>
        </w:tc>
        <w:tc>
          <w:tcPr>
            <w:tcW w:w="3346" w:type="dxa"/>
            <w:noWrap w:val="0"/>
            <w:vAlign w:val="top"/>
          </w:tcPr>
          <w:p w14:paraId="1ED91F6B">
            <w:pPr>
              <w:jc w:val="center"/>
              <w:rPr>
                <w:rFonts w:hint="eastAsia" w:ascii="宋体" w:hAnsi="宋体"/>
                <w:color w:val="auto"/>
                <w:sz w:val="24"/>
                <w:szCs w:val="24"/>
                <w:highlight w:val="none"/>
              </w:rPr>
            </w:pPr>
          </w:p>
        </w:tc>
      </w:tr>
      <w:tr w14:paraId="6561A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0D2278A">
            <w:pPr>
              <w:jc w:val="center"/>
              <w:rPr>
                <w:rFonts w:hint="eastAsia" w:ascii="宋体" w:hAnsi="宋体"/>
                <w:color w:val="auto"/>
                <w:sz w:val="24"/>
                <w:szCs w:val="24"/>
                <w:highlight w:val="none"/>
              </w:rPr>
            </w:pPr>
          </w:p>
        </w:tc>
        <w:tc>
          <w:tcPr>
            <w:tcW w:w="2838" w:type="dxa"/>
            <w:noWrap w:val="0"/>
            <w:vAlign w:val="top"/>
          </w:tcPr>
          <w:p w14:paraId="419C6E5A">
            <w:pPr>
              <w:jc w:val="center"/>
              <w:rPr>
                <w:rFonts w:hint="eastAsia" w:ascii="宋体" w:hAnsi="宋体"/>
                <w:color w:val="auto"/>
                <w:sz w:val="24"/>
                <w:szCs w:val="24"/>
                <w:highlight w:val="none"/>
              </w:rPr>
            </w:pPr>
          </w:p>
        </w:tc>
        <w:tc>
          <w:tcPr>
            <w:tcW w:w="2832" w:type="dxa"/>
            <w:noWrap w:val="0"/>
            <w:vAlign w:val="top"/>
          </w:tcPr>
          <w:p w14:paraId="5A916B0F">
            <w:pPr>
              <w:jc w:val="center"/>
              <w:rPr>
                <w:rFonts w:hint="eastAsia" w:ascii="宋体" w:hAnsi="宋体"/>
                <w:color w:val="auto"/>
                <w:sz w:val="24"/>
                <w:szCs w:val="24"/>
                <w:highlight w:val="none"/>
              </w:rPr>
            </w:pPr>
          </w:p>
        </w:tc>
        <w:tc>
          <w:tcPr>
            <w:tcW w:w="3346" w:type="dxa"/>
            <w:noWrap w:val="0"/>
            <w:vAlign w:val="top"/>
          </w:tcPr>
          <w:p w14:paraId="04BE42DB">
            <w:pPr>
              <w:jc w:val="center"/>
              <w:rPr>
                <w:rFonts w:hint="eastAsia" w:ascii="宋体" w:hAnsi="宋体"/>
                <w:color w:val="auto"/>
                <w:sz w:val="24"/>
                <w:szCs w:val="24"/>
                <w:highlight w:val="none"/>
              </w:rPr>
            </w:pPr>
          </w:p>
        </w:tc>
      </w:tr>
      <w:tr w14:paraId="73D69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08F2B09">
            <w:pPr>
              <w:jc w:val="center"/>
              <w:rPr>
                <w:rFonts w:hint="eastAsia" w:ascii="宋体" w:hAnsi="宋体"/>
                <w:color w:val="auto"/>
                <w:sz w:val="24"/>
                <w:szCs w:val="24"/>
                <w:highlight w:val="none"/>
              </w:rPr>
            </w:pPr>
          </w:p>
        </w:tc>
        <w:tc>
          <w:tcPr>
            <w:tcW w:w="2838" w:type="dxa"/>
            <w:noWrap w:val="0"/>
            <w:vAlign w:val="top"/>
          </w:tcPr>
          <w:p w14:paraId="7D0993A4">
            <w:pPr>
              <w:jc w:val="center"/>
              <w:rPr>
                <w:color w:val="auto"/>
                <w:highlight w:val="none"/>
              </w:rPr>
            </w:pPr>
          </w:p>
          <w:p w14:paraId="5D7B3FFB">
            <w:pPr>
              <w:pStyle w:val="25"/>
              <w:rPr>
                <w:rFonts w:hint="eastAsia"/>
                <w:color w:val="auto"/>
                <w:highlight w:val="none"/>
              </w:rPr>
            </w:pPr>
          </w:p>
        </w:tc>
        <w:tc>
          <w:tcPr>
            <w:tcW w:w="2832" w:type="dxa"/>
            <w:noWrap w:val="0"/>
            <w:vAlign w:val="top"/>
          </w:tcPr>
          <w:p w14:paraId="26184323">
            <w:pPr>
              <w:jc w:val="center"/>
              <w:rPr>
                <w:rFonts w:hint="eastAsia" w:ascii="宋体" w:hAnsi="宋体"/>
                <w:color w:val="auto"/>
                <w:sz w:val="24"/>
                <w:szCs w:val="24"/>
                <w:highlight w:val="none"/>
              </w:rPr>
            </w:pPr>
          </w:p>
        </w:tc>
        <w:tc>
          <w:tcPr>
            <w:tcW w:w="3346" w:type="dxa"/>
            <w:noWrap w:val="0"/>
            <w:vAlign w:val="top"/>
          </w:tcPr>
          <w:p w14:paraId="4310D9FA">
            <w:pPr>
              <w:jc w:val="center"/>
              <w:rPr>
                <w:rFonts w:hint="eastAsia" w:ascii="宋体" w:hAnsi="宋体"/>
                <w:color w:val="auto"/>
                <w:sz w:val="24"/>
                <w:szCs w:val="24"/>
                <w:highlight w:val="none"/>
              </w:rPr>
            </w:pPr>
          </w:p>
        </w:tc>
      </w:tr>
    </w:tbl>
    <w:p w14:paraId="6E68589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highlight w:val="none"/>
        </w:rPr>
      </w:pPr>
    </w:p>
    <w:p w14:paraId="5D9F78CE">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055992D5">
      <w:pPr>
        <w:rPr>
          <w:rFonts w:hint="eastAsia" w:ascii="宋体" w:hAnsi="宋体"/>
          <w:color w:val="auto"/>
          <w:sz w:val="24"/>
          <w:szCs w:val="24"/>
          <w:highlight w:val="none"/>
        </w:rPr>
      </w:pPr>
    </w:p>
    <w:p w14:paraId="5479837F">
      <w:pPr>
        <w:pStyle w:val="22"/>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p>
    <w:p w14:paraId="7F9E21E7">
      <w:pPr>
        <w:pStyle w:val="22"/>
        <w:adjustRightInd w:val="0"/>
        <w:snapToGrid w:val="0"/>
        <w:spacing w:before="0" w:beforeAutospacing="0" w:after="0" w:afterAutospacing="0" w:line="360" w:lineRule="auto"/>
        <w:ind w:firstLine="48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1.供应商须对招标文件商务要求中的实质性要求（打“★”内容）做出明确响应，否则视为无效投标。</w:t>
      </w:r>
    </w:p>
    <w:p w14:paraId="455019A5">
      <w:pPr>
        <w:pStyle w:val="22"/>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2.行数不够，可自行添加。</w:t>
      </w:r>
    </w:p>
    <w:p w14:paraId="79886A66">
      <w:pPr>
        <w:rPr>
          <w:color w:val="auto"/>
          <w:highlight w:val="none"/>
        </w:rPr>
      </w:pPr>
    </w:p>
    <w:p w14:paraId="3AC9853C">
      <w:pPr>
        <w:jc w:val="center"/>
        <w:rPr>
          <w:rFonts w:hint="eastAsia" w:ascii="宋体" w:hAnsi="宋体" w:cs="仿宋"/>
          <w:b/>
          <w:bCs/>
          <w:color w:val="auto"/>
          <w:sz w:val="32"/>
          <w:szCs w:val="32"/>
          <w:highlight w:val="none"/>
        </w:rPr>
      </w:pPr>
    </w:p>
    <w:p w14:paraId="27AEE39F">
      <w:pPr>
        <w:pStyle w:val="92"/>
        <w:rPr>
          <w:rFonts w:hint="eastAsia" w:ascii="宋体" w:hAnsi="宋体" w:cs="仿宋"/>
          <w:b/>
          <w:bCs/>
          <w:color w:val="auto"/>
          <w:sz w:val="32"/>
          <w:szCs w:val="32"/>
          <w:highlight w:val="none"/>
        </w:rPr>
      </w:pPr>
    </w:p>
    <w:p w14:paraId="1D122BED">
      <w:pPr>
        <w:widowControl/>
        <w:autoSpaceDE/>
        <w:autoSpaceDN/>
        <w:spacing w:line="360" w:lineRule="auto"/>
        <w:outlineLvl w:val="1"/>
        <w:rPr>
          <w:rFonts w:hint="eastAsia" w:ascii="宋体" w:hAnsi="宋体" w:eastAsia="宋体" w:cs="宋体"/>
          <w:b/>
          <w:bCs/>
          <w:color w:val="auto"/>
          <w:spacing w:val="8"/>
          <w:sz w:val="24"/>
          <w:szCs w:val="24"/>
          <w:highlight w:val="none"/>
          <w:lang w:eastAsia="zh-CN"/>
        </w:rPr>
      </w:pPr>
      <w:r>
        <w:rPr>
          <w:rFonts w:hint="eastAsia" w:ascii="宋体" w:hAnsi="宋体" w:cs="仿宋"/>
          <w:b/>
          <w:bCs/>
          <w:color w:val="auto"/>
          <w:sz w:val="32"/>
          <w:szCs w:val="32"/>
          <w:highlight w:val="none"/>
        </w:rPr>
        <w:br w:type="page"/>
      </w:r>
      <w:bookmarkStart w:id="413" w:name="_Toc8537"/>
      <w:r>
        <w:rPr>
          <w:rFonts w:hint="eastAsia" w:cs="宋体"/>
          <w:b/>
          <w:bCs/>
          <w:color w:val="auto"/>
          <w:spacing w:val="8"/>
          <w:sz w:val="28"/>
          <w:szCs w:val="28"/>
          <w:highlight w:val="none"/>
          <w:lang w:val="en-US" w:eastAsia="zh-CN"/>
        </w:rPr>
        <w:t>七、类似业绩情况表</w:t>
      </w:r>
      <w:bookmarkEnd w:id="413"/>
    </w:p>
    <w:p w14:paraId="0090A173">
      <w:pPr>
        <w:spacing w:line="560" w:lineRule="exact"/>
        <w:jc w:val="center"/>
        <w:rPr>
          <w:rFonts w:hint="eastAsia" w:ascii="宋体" w:hAnsi="宋体" w:eastAsia="宋体" w:cs="宋体"/>
          <w:b/>
          <w:color w:val="auto"/>
          <w:sz w:val="24"/>
          <w:szCs w:val="24"/>
          <w:highlight w:val="none"/>
          <w:lang w:val="en-US" w:eastAsia="zh-CN"/>
        </w:rPr>
      </w:pPr>
    </w:p>
    <w:p w14:paraId="143673EF">
      <w:pPr>
        <w:keepNext w:val="0"/>
        <w:keepLines w:val="0"/>
        <w:pageBreakBefore w:val="0"/>
        <w:widowControl/>
        <w:kinsoku/>
        <w:wordWrap/>
        <w:overflowPunct/>
        <w:topLinePunct w:val="0"/>
        <w:autoSpaceDE/>
        <w:autoSpaceDN/>
        <w:bidi w:val="0"/>
        <w:adjustRightInd w:val="0"/>
        <w:snapToGrid/>
        <w:spacing w:line="440" w:lineRule="exac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项目名称：</w:t>
      </w:r>
      <w:r>
        <w:rPr>
          <w:rFonts w:hint="eastAsia" w:cs="宋体"/>
          <w:color w:val="auto"/>
          <w:sz w:val="24"/>
          <w:szCs w:val="24"/>
          <w:highlight w:val="none"/>
          <w:lang w:val="zh-CN" w:eastAsia="zh-CN"/>
        </w:rPr>
        <w:t>汤泉街道2026-2029年度九龙湖及周边地区景观绿化养护项目</w:t>
      </w:r>
    </w:p>
    <w:p w14:paraId="7FD54C50">
      <w:pPr>
        <w:keepNext w:val="0"/>
        <w:keepLines w:val="0"/>
        <w:pageBreakBefore w:val="0"/>
        <w:widowControl/>
        <w:kinsoku/>
        <w:wordWrap/>
        <w:overflowPunct/>
        <w:topLinePunct w:val="0"/>
        <w:autoSpaceDE/>
        <w:autoSpaceDN/>
        <w:bidi w:val="0"/>
        <w:adjustRightInd w:val="0"/>
        <w:snapToGrid/>
        <w:spacing w:line="440" w:lineRule="exac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项目编号：</w:t>
      </w:r>
    </w:p>
    <w:tbl>
      <w:tblPr>
        <w:tblStyle w:val="26"/>
        <w:tblW w:w="10188" w:type="dxa"/>
        <w:jc w:val="center"/>
        <w:tblLayout w:type="fixed"/>
        <w:tblCellMar>
          <w:top w:w="0" w:type="dxa"/>
          <w:left w:w="108" w:type="dxa"/>
          <w:bottom w:w="0" w:type="dxa"/>
          <w:right w:w="108" w:type="dxa"/>
        </w:tblCellMar>
      </w:tblPr>
      <w:tblGrid>
        <w:gridCol w:w="896"/>
        <w:gridCol w:w="1498"/>
        <w:gridCol w:w="1498"/>
        <w:gridCol w:w="1796"/>
        <w:gridCol w:w="1901"/>
        <w:gridCol w:w="1702"/>
        <w:gridCol w:w="897"/>
      </w:tblGrid>
      <w:tr w14:paraId="3D8E7212">
        <w:tblPrEx>
          <w:tblCellMar>
            <w:top w:w="0" w:type="dxa"/>
            <w:left w:w="108" w:type="dxa"/>
            <w:bottom w:w="0" w:type="dxa"/>
            <w:right w:w="108" w:type="dxa"/>
          </w:tblCellMar>
        </w:tblPrEx>
        <w:trPr>
          <w:trHeight w:val="548" w:hRule="atLeast"/>
          <w:jc w:val="center"/>
        </w:trPr>
        <w:tc>
          <w:tcPr>
            <w:tcW w:w="896" w:type="dxa"/>
            <w:tcBorders>
              <w:top w:val="single" w:color="000000" w:sz="4" w:space="0"/>
              <w:left w:val="single" w:color="000000" w:sz="4" w:space="0"/>
              <w:bottom w:val="single" w:color="000000" w:sz="4" w:space="0"/>
              <w:right w:val="single" w:color="000000" w:sz="4" w:space="0"/>
            </w:tcBorders>
            <w:vAlign w:val="center"/>
          </w:tcPr>
          <w:p w14:paraId="796A81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98" w:type="dxa"/>
            <w:tcBorders>
              <w:top w:val="single" w:color="000000" w:sz="4" w:space="0"/>
              <w:left w:val="nil"/>
              <w:bottom w:val="single" w:color="000000" w:sz="4" w:space="0"/>
              <w:right w:val="single" w:color="000000" w:sz="4" w:space="0"/>
            </w:tcBorders>
            <w:vAlign w:val="center"/>
          </w:tcPr>
          <w:p w14:paraId="04A9B1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498" w:type="dxa"/>
            <w:tcBorders>
              <w:top w:val="single" w:color="000000" w:sz="4" w:space="0"/>
              <w:left w:val="nil"/>
              <w:bottom w:val="single" w:color="000000" w:sz="4" w:space="0"/>
              <w:right w:val="single" w:color="000000" w:sz="4" w:space="0"/>
            </w:tcBorders>
            <w:vAlign w:val="center"/>
          </w:tcPr>
          <w:p w14:paraId="6E02B3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单位</w:t>
            </w:r>
          </w:p>
        </w:tc>
        <w:tc>
          <w:tcPr>
            <w:tcW w:w="1796" w:type="dxa"/>
            <w:tcBorders>
              <w:top w:val="single" w:color="000000" w:sz="4" w:space="0"/>
              <w:left w:val="nil"/>
              <w:bottom w:val="single" w:color="000000" w:sz="4" w:space="0"/>
              <w:right w:val="single" w:color="auto" w:sz="4" w:space="0"/>
            </w:tcBorders>
            <w:vAlign w:val="center"/>
          </w:tcPr>
          <w:p w14:paraId="43A6551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项目类型</w:t>
            </w:r>
          </w:p>
        </w:tc>
        <w:tc>
          <w:tcPr>
            <w:tcW w:w="1901" w:type="dxa"/>
            <w:tcBorders>
              <w:top w:val="single" w:color="000000" w:sz="4" w:space="0"/>
              <w:left w:val="single" w:color="auto" w:sz="4" w:space="0"/>
              <w:bottom w:val="single" w:color="000000" w:sz="4" w:space="0"/>
              <w:right w:val="single" w:color="000000" w:sz="4" w:space="0"/>
            </w:tcBorders>
            <w:vAlign w:val="center"/>
          </w:tcPr>
          <w:p w14:paraId="33D1B1E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合同签订</w:t>
            </w:r>
            <w:r>
              <w:rPr>
                <w:rFonts w:hint="eastAsia" w:ascii="宋体" w:hAnsi="宋体" w:eastAsia="宋体" w:cs="宋体"/>
                <w:color w:val="auto"/>
                <w:sz w:val="24"/>
                <w:szCs w:val="24"/>
                <w:highlight w:val="none"/>
              </w:rPr>
              <w:t>时间</w:t>
            </w:r>
          </w:p>
        </w:tc>
        <w:tc>
          <w:tcPr>
            <w:tcW w:w="1702" w:type="dxa"/>
            <w:tcBorders>
              <w:top w:val="single" w:color="000000" w:sz="4" w:space="0"/>
              <w:left w:val="nil"/>
              <w:bottom w:val="single" w:color="000000" w:sz="4" w:space="0"/>
              <w:right w:val="single" w:color="000000" w:sz="4" w:space="0"/>
            </w:tcBorders>
            <w:vAlign w:val="center"/>
          </w:tcPr>
          <w:p w14:paraId="1DEDDA5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c>
          <w:tcPr>
            <w:tcW w:w="897" w:type="dxa"/>
            <w:tcBorders>
              <w:top w:val="single" w:color="000000" w:sz="4" w:space="0"/>
              <w:left w:val="nil"/>
              <w:bottom w:val="single" w:color="000000" w:sz="4" w:space="0"/>
              <w:right w:val="single" w:color="000000" w:sz="4" w:space="0"/>
            </w:tcBorders>
            <w:vAlign w:val="center"/>
          </w:tcPr>
          <w:p w14:paraId="2D54817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4ADF664">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tcPr>
          <w:p w14:paraId="14DCA09B">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2A853A2A">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425D11A8">
            <w:pPr>
              <w:keepNext w:val="0"/>
              <w:keepLines w:val="0"/>
              <w:pageBreakBefore w:val="0"/>
              <w:widowControl/>
              <w:kinsoku/>
              <w:wordWrap/>
              <w:overflowPunct/>
              <w:topLinePunct w:val="0"/>
              <w:autoSpaceDE/>
              <w:autoSpaceDN/>
              <w:bidi w:val="0"/>
              <w:snapToGrid/>
              <w:spacing w:line="440" w:lineRule="exact"/>
              <w:ind w:firstLine="120"/>
              <w:textAlignment w:val="auto"/>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tcPr>
          <w:p w14:paraId="6B0E3EB5">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tcPr>
          <w:p w14:paraId="11D872EE">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tcPr>
          <w:p w14:paraId="3646D072">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tcPr>
          <w:p w14:paraId="44898F91">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r>
      <w:tr w14:paraId="655A8D1C">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tcPr>
          <w:p w14:paraId="2E5B382D">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1E42E603">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1EE11F72">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tcPr>
          <w:p w14:paraId="6D42D95B">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tcPr>
          <w:p w14:paraId="35CF5C36">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tcPr>
          <w:p w14:paraId="2BEE0F15">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tcPr>
          <w:p w14:paraId="51CB66E6">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r>
      <w:tr w14:paraId="7EE801CB">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tcPr>
          <w:p w14:paraId="115590BD">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4E9CB7CE">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1D0D2F0E">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tcPr>
          <w:p w14:paraId="0CA3B97C">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tcPr>
          <w:p w14:paraId="426C1A22">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tcPr>
          <w:p w14:paraId="6E7B7F6D">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tcPr>
          <w:p w14:paraId="46BBCF95">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r>
      <w:tr w14:paraId="770C309E">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tcPr>
          <w:p w14:paraId="56B57951">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571DECE0">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582361C7">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tcPr>
          <w:p w14:paraId="47F26B92">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tcPr>
          <w:p w14:paraId="7AB7EEF9">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tcPr>
          <w:p w14:paraId="4892AC99">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tcPr>
          <w:p w14:paraId="5D8C1407">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r>
      <w:tr w14:paraId="4F5E5855">
        <w:tblPrEx>
          <w:tblCellMar>
            <w:top w:w="0" w:type="dxa"/>
            <w:left w:w="108" w:type="dxa"/>
            <w:bottom w:w="0" w:type="dxa"/>
            <w:right w:w="108" w:type="dxa"/>
          </w:tblCellMar>
        </w:tblPrEx>
        <w:trPr>
          <w:jc w:val="center"/>
        </w:trPr>
        <w:tc>
          <w:tcPr>
            <w:tcW w:w="896" w:type="dxa"/>
            <w:tcBorders>
              <w:top w:val="single" w:color="000000" w:sz="4" w:space="0"/>
              <w:left w:val="single" w:color="000000" w:sz="4" w:space="0"/>
              <w:bottom w:val="single" w:color="000000" w:sz="4" w:space="0"/>
              <w:right w:val="single" w:color="000000" w:sz="4" w:space="0"/>
            </w:tcBorders>
          </w:tcPr>
          <w:p w14:paraId="4F855D8F">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085F4E7E">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498" w:type="dxa"/>
            <w:tcBorders>
              <w:top w:val="single" w:color="000000" w:sz="4" w:space="0"/>
              <w:left w:val="nil"/>
              <w:bottom w:val="single" w:color="000000" w:sz="4" w:space="0"/>
              <w:right w:val="single" w:color="000000" w:sz="4" w:space="0"/>
            </w:tcBorders>
          </w:tcPr>
          <w:p w14:paraId="53B98749">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96" w:type="dxa"/>
            <w:tcBorders>
              <w:top w:val="single" w:color="000000" w:sz="4" w:space="0"/>
              <w:left w:val="nil"/>
              <w:bottom w:val="single" w:color="000000" w:sz="4" w:space="0"/>
              <w:right w:val="single" w:color="auto" w:sz="4" w:space="0"/>
            </w:tcBorders>
          </w:tcPr>
          <w:p w14:paraId="6ECAD932">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901" w:type="dxa"/>
            <w:tcBorders>
              <w:top w:val="single" w:color="000000" w:sz="4" w:space="0"/>
              <w:left w:val="single" w:color="auto" w:sz="4" w:space="0"/>
              <w:bottom w:val="single" w:color="000000" w:sz="4" w:space="0"/>
              <w:right w:val="single" w:color="000000" w:sz="4" w:space="0"/>
            </w:tcBorders>
          </w:tcPr>
          <w:p w14:paraId="0C63E6B3">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1702" w:type="dxa"/>
            <w:tcBorders>
              <w:top w:val="single" w:color="000000" w:sz="4" w:space="0"/>
              <w:left w:val="nil"/>
              <w:bottom w:val="single" w:color="000000" w:sz="4" w:space="0"/>
              <w:right w:val="single" w:color="000000" w:sz="4" w:space="0"/>
            </w:tcBorders>
          </w:tcPr>
          <w:p w14:paraId="184EC624">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c>
          <w:tcPr>
            <w:tcW w:w="897" w:type="dxa"/>
            <w:tcBorders>
              <w:top w:val="single" w:color="000000" w:sz="4" w:space="0"/>
              <w:left w:val="nil"/>
              <w:bottom w:val="single" w:color="000000" w:sz="4" w:space="0"/>
              <w:right w:val="single" w:color="000000" w:sz="4" w:space="0"/>
            </w:tcBorders>
          </w:tcPr>
          <w:p w14:paraId="44127F1B">
            <w:pPr>
              <w:keepNext w:val="0"/>
              <w:keepLines w:val="0"/>
              <w:pageBreakBefore w:val="0"/>
              <w:widowControl/>
              <w:kinsoku/>
              <w:wordWrap/>
              <w:overflowPunct/>
              <w:topLinePunct w:val="0"/>
              <w:autoSpaceDE/>
              <w:autoSpaceDN/>
              <w:bidi w:val="0"/>
              <w:snapToGrid/>
              <w:spacing w:line="440" w:lineRule="exact"/>
              <w:jc w:val="center"/>
              <w:textAlignment w:val="auto"/>
              <w:rPr>
                <w:rFonts w:hint="eastAsia" w:ascii="宋体" w:hAnsi="宋体" w:eastAsia="宋体" w:cs="宋体"/>
                <w:color w:val="auto"/>
                <w:sz w:val="24"/>
                <w:szCs w:val="24"/>
                <w:highlight w:val="none"/>
              </w:rPr>
            </w:pPr>
          </w:p>
        </w:tc>
      </w:tr>
    </w:tbl>
    <w:p w14:paraId="28D7C84B">
      <w:pPr>
        <w:keepNext w:val="0"/>
        <w:keepLines w:val="0"/>
        <w:pageBreakBefore w:val="0"/>
        <w:widowControl/>
        <w:kinsoku/>
        <w:wordWrap/>
        <w:overflowPunct/>
        <w:topLinePunct w:val="0"/>
        <w:autoSpaceDE/>
        <w:autoSpaceDN/>
        <w:bidi w:val="0"/>
        <w:snapToGrid/>
        <w:spacing w:line="440" w:lineRule="exact"/>
        <w:textAlignment w:val="auto"/>
        <w:rPr>
          <w:rFonts w:hint="eastAsia" w:ascii="宋体" w:hAnsi="宋体" w:eastAsia="宋体" w:cs="宋体"/>
          <w:color w:val="auto"/>
          <w:sz w:val="24"/>
          <w:szCs w:val="24"/>
          <w:highlight w:val="none"/>
          <w:lang w:eastAsia="zh-CN"/>
        </w:rPr>
      </w:pPr>
    </w:p>
    <w:p w14:paraId="38495232">
      <w:pPr>
        <w:keepNext w:val="0"/>
        <w:keepLines w:val="0"/>
        <w:pageBreakBefore w:val="0"/>
        <w:widowControl/>
        <w:kinsoku/>
        <w:wordWrap/>
        <w:overflowPunct/>
        <w:topLinePunct w:val="0"/>
        <w:autoSpaceDE/>
        <w:autoSpaceDN/>
        <w:bidi w:val="0"/>
        <w:snapToGrid/>
        <w:spacing w:line="440" w:lineRule="exact"/>
        <w:textAlignment w:val="auto"/>
        <w:rPr>
          <w:rFonts w:hint="eastAsia" w:ascii="宋体" w:hAnsi="宋体" w:eastAsia="宋体" w:cs="宋体"/>
          <w:color w:val="auto"/>
          <w:sz w:val="24"/>
          <w:szCs w:val="24"/>
          <w:highlight w:val="none"/>
          <w:lang w:eastAsia="zh-CN"/>
        </w:rPr>
      </w:pPr>
    </w:p>
    <w:p w14:paraId="4A057B3C">
      <w:pPr>
        <w:keepNext w:val="0"/>
        <w:keepLines w:val="0"/>
        <w:pageBreakBefore w:val="0"/>
        <w:widowControl/>
        <w:kinsoku/>
        <w:wordWrap/>
        <w:overflowPunct/>
        <w:topLinePunct w:val="0"/>
        <w:autoSpaceDE/>
        <w:autoSpaceDN/>
        <w:bidi w:val="0"/>
        <w:snapToGrid/>
        <w:spacing w:line="440" w:lineRule="exact"/>
        <w:textAlignment w:val="auto"/>
        <w:rPr>
          <w:rFonts w:hint="eastAsia" w:ascii="宋体" w:hAnsi="宋体" w:eastAsia="宋体" w:cs="宋体"/>
          <w:color w:val="auto"/>
          <w:sz w:val="24"/>
          <w:szCs w:val="24"/>
          <w:highlight w:val="none"/>
          <w:lang w:eastAsia="zh-CN"/>
        </w:rPr>
      </w:pPr>
    </w:p>
    <w:p w14:paraId="1FBED10B">
      <w:pPr>
        <w:keepNext w:val="0"/>
        <w:keepLines w:val="0"/>
        <w:pageBreakBefore w:val="0"/>
        <w:widowControl/>
        <w:kinsoku/>
        <w:wordWrap/>
        <w:overflowPunct/>
        <w:topLinePunct w:val="0"/>
        <w:autoSpaceDE/>
        <w:autoSpaceDN/>
        <w:bidi w:val="0"/>
        <w:snapToGrid/>
        <w:spacing w:line="440" w:lineRule="exact"/>
        <w:textAlignment w:val="auto"/>
        <w:rPr>
          <w:rFonts w:hint="eastAsia" w:ascii="宋体" w:hAnsi="宋体" w:eastAsia="宋体" w:cs="宋体"/>
          <w:color w:val="auto"/>
          <w:sz w:val="24"/>
          <w:szCs w:val="24"/>
          <w:highlight w:val="none"/>
          <w:lang w:eastAsia="zh-CN"/>
        </w:rPr>
      </w:pPr>
    </w:p>
    <w:p w14:paraId="1EA93FAE">
      <w:pPr>
        <w:keepNext w:val="0"/>
        <w:keepLines w:val="0"/>
        <w:pageBreakBefore w:val="0"/>
        <w:widowControl/>
        <w:kinsoku/>
        <w:wordWrap/>
        <w:overflowPunct/>
        <w:topLinePunct w:val="0"/>
        <w:autoSpaceDE/>
        <w:autoSpaceDN/>
        <w:bidi w:val="0"/>
        <w:snapToGrid/>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w:t>
      </w:r>
      <w:r>
        <w:rPr>
          <w:rFonts w:hint="eastAsia" w:cs="宋体"/>
          <w:color w:val="auto"/>
          <w:sz w:val="24"/>
          <w:szCs w:val="24"/>
          <w:highlight w:val="none"/>
          <w:lang w:val="en-US" w:eastAsia="zh-CN"/>
        </w:rPr>
        <w:t>加盖电子公章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p>
    <w:p w14:paraId="41593C6D">
      <w:pPr>
        <w:spacing w:line="560" w:lineRule="exact"/>
        <w:jc w:val="center"/>
        <w:rPr>
          <w:rFonts w:hint="eastAsia" w:ascii="宋体" w:hAnsi="宋体" w:eastAsia="宋体" w:cs="宋体"/>
          <w:b/>
          <w:color w:val="auto"/>
          <w:sz w:val="24"/>
          <w:szCs w:val="24"/>
          <w:highlight w:val="none"/>
        </w:rPr>
      </w:pPr>
    </w:p>
    <w:p w14:paraId="22CADC28">
      <w:pPr>
        <w:rPr>
          <w:rFonts w:hint="eastAsia" w:ascii="宋体" w:hAnsi="宋体" w:cs="仿宋"/>
          <w:b/>
          <w:bCs/>
          <w:color w:val="auto"/>
          <w:sz w:val="32"/>
          <w:szCs w:val="32"/>
          <w:highlight w:val="none"/>
        </w:rPr>
      </w:pPr>
    </w:p>
    <w:p w14:paraId="1A95CBEE">
      <w:pPr>
        <w:rPr>
          <w:rFonts w:hint="eastAsia" w:ascii="黑体" w:hAnsi="黑体" w:eastAsia="黑体" w:cs="Times New Roman"/>
          <w:i w:val="0"/>
          <w:iCs/>
          <w:color w:val="auto"/>
          <w:sz w:val="32"/>
          <w:szCs w:val="32"/>
          <w:highlight w:val="none"/>
          <w:u w:val="none"/>
          <w:lang w:val="en-US" w:eastAsia="zh-CN"/>
        </w:rPr>
      </w:pPr>
    </w:p>
    <w:p w14:paraId="6EE5C95D">
      <w:pPr>
        <w:rPr>
          <w:rFonts w:hint="eastAsia" w:ascii="黑体" w:hAnsi="黑体" w:eastAsia="黑体" w:cs="Times New Roman"/>
          <w:i w:val="0"/>
          <w:iCs/>
          <w:color w:val="auto"/>
          <w:sz w:val="32"/>
          <w:szCs w:val="32"/>
          <w:highlight w:val="none"/>
          <w:u w:val="none"/>
          <w:lang w:val="en-US" w:eastAsia="zh-CN"/>
        </w:rPr>
      </w:pPr>
    </w:p>
    <w:p w14:paraId="059D14BC">
      <w:pPr>
        <w:widowControl/>
        <w:autoSpaceDE/>
        <w:autoSpaceDN/>
        <w:spacing w:line="360" w:lineRule="auto"/>
        <w:rPr>
          <w:rFonts w:hint="eastAsia" w:ascii="宋体" w:hAnsi="宋体" w:eastAsia="宋体" w:cs="宋体"/>
          <w:b/>
          <w:bCs/>
          <w:color w:val="auto"/>
          <w:spacing w:val="8"/>
          <w:sz w:val="24"/>
          <w:szCs w:val="24"/>
          <w:highlight w:val="none"/>
          <w:lang w:eastAsia="zh-CN"/>
        </w:rPr>
      </w:pPr>
      <w:r>
        <w:rPr>
          <w:rFonts w:hint="eastAsia" w:ascii="黑体" w:hAnsi="黑体" w:eastAsia="黑体" w:cs="Times New Roman"/>
          <w:i w:val="0"/>
          <w:iCs/>
          <w:color w:val="auto"/>
          <w:sz w:val="32"/>
          <w:szCs w:val="32"/>
          <w:highlight w:val="none"/>
          <w:u w:val="none"/>
          <w:lang w:val="en-US" w:eastAsia="zh-CN"/>
        </w:rPr>
        <w:br w:type="page"/>
      </w:r>
      <w:r>
        <w:rPr>
          <w:rFonts w:hint="eastAsia" w:cs="宋体"/>
          <w:b/>
          <w:bCs/>
          <w:color w:val="auto"/>
          <w:spacing w:val="8"/>
          <w:sz w:val="28"/>
          <w:szCs w:val="28"/>
          <w:highlight w:val="none"/>
          <w:lang w:val="en-US" w:eastAsia="zh-CN"/>
        </w:rPr>
        <w:t>八、项目人员配置表</w:t>
      </w:r>
    </w:p>
    <w:p w14:paraId="2BF534C9">
      <w:pPr>
        <w:keepNext w:val="0"/>
        <w:keepLines w:val="0"/>
        <w:pageBreakBefore w:val="0"/>
        <w:widowControl/>
        <w:kinsoku/>
        <w:wordWrap/>
        <w:overflowPunct/>
        <w:topLinePunct w:val="0"/>
        <w:autoSpaceDE/>
        <w:autoSpaceDN/>
        <w:bidi w:val="0"/>
        <w:adjustRightInd w:val="0"/>
        <w:snapToGrid/>
        <w:spacing w:line="440" w:lineRule="exact"/>
        <w:ind w:firstLine="720" w:firstLineChars="300"/>
        <w:rPr>
          <w:rFonts w:hint="eastAsia" w:ascii="宋体" w:hAnsi="宋体" w:eastAsia="宋体" w:cs="宋体"/>
          <w:color w:val="auto"/>
          <w:sz w:val="24"/>
          <w:szCs w:val="24"/>
          <w:highlight w:val="none"/>
          <w:lang w:val="zh-CN" w:eastAsia="zh-CN"/>
        </w:rPr>
      </w:pPr>
    </w:p>
    <w:p w14:paraId="079624E6">
      <w:pPr>
        <w:keepNext w:val="0"/>
        <w:keepLines w:val="0"/>
        <w:pageBreakBefore w:val="0"/>
        <w:widowControl/>
        <w:kinsoku/>
        <w:wordWrap/>
        <w:overflowPunct/>
        <w:topLinePunct w:val="0"/>
        <w:autoSpaceDE/>
        <w:autoSpaceDN/>
        <w:bidi w:val="0"/>
        <w:adjustRightInd w:val="0"/>
        <w:snapToGrid/>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项目名称：</w:t>
      </w:r>
      <w:r>
        <w:rPr>
          <w:rFonts w:hint="eastAsia" w:cs="宋体"/>
          <w:color w:val="auto"/>
          <w:sz w:val="24"/>
          <w:szCs w:val="24"/>
          <w:highlight w:val="none"/>
          <w:lang w:val="zh-CN" w:eastAsia="zh-CN"/>
        </w:rPr>
        <w:t>汤泉街道2026-2029年度九龙湖及周边地区景观绿化养护项目</w:t>
      </w:r>
    </w:p>
    <w:p w14:paraId="11557150">
      <w:pPr>
        <w:keepNext w:val="0"/>
        <w:keepLines w:val="0"/>
        <w:pageBreakBefore w:val="0"/>
        <w:widowControl/>
        <w:kinsoku/>
        <w:wordWrap/>
        <w:overflowPunct/>
        <w:topLinePunct w:val="0"/>
        <w:autoSpaceDE/>
        <w:autoSpaceDN/>
        <w:bidi w:val="0"/>
        <w:adjustRightInd w:val="0"/>
        <w:snapToGrid/>
        <w:spacing w:line="44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项目编号：</w:t>
      </w:r>
    </w:p>
    <w:tbl>
      <w:tblPr>
        <w:tblStyle w:val="26"/>
        <w:tblW w:w="9655" w:type="dxa"/>
        <w:jc w:val="center"/>
        <w:tblLayout w:type="fixed"/>
        <w:tblCellMar>
          <w:top w:w="15" w:type="dxa"/>
          <w:left w:w="15" w:type="dxa"/>
          <w:bottom w:w="15" w:type="dxa"/>
          <w:right w:w="15" w:type="dxa"/>
        </w:tblCellMar>
      </w:tblPr>
      <w:tblGrid>
        <w:gridCol w:w="818"/>
        <w:gridCol w:w="1140"/>
        <w:gridCol w:w="1380"/>
        <w:gridCol w:w="1320"/>
        <w:gridCol w:w="1770"/>
        <w:gridCol w:w="2142"/>
        <w:gridCol w:w="1085"/>
      </w:tblGrid>
      <w:tr w14:paraId="68EBC16F">
        <w:tblPrEx>
          <w:tblCellMar>
            <w:top w:w="15" w:type="dxa"/>
            <w:left w:w="15" w:type="dxa"/>
            <w:bottom w:w="15" w:type="dxa"/>
            <w:right w:w="15" w:type="dxa"/>
          </w:tblCellMar>
        </w:tblPrEx>
        <w:trPr>
          <w:trHeight w:val="60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3FA1A1E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40" w:type="dxa"/>
            <w:tcBorders>
              <w:top w:val="single" w:color="000000" w:sz="4" w:space="0"/>
              <w:right w:val="single" w:color="000000" w:sz="4" w:space="0"/>
            </w:tcBorders>
            <w:vAlign w:val="center"/>
          </w:tcPr>
          <w:p w14:paraId="6EA8230F">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380" w:type="dxa"/>
            <w:tcBorders>
              <w:top w:val="single" w:color="000000" w:sz="4" w:space="0"/>
              <w:left w:val="single" w:color="000000" w:sz="4" w:space="0"/>
              <w:right w:val="single" w:color="000000" w:sz="4" w:space="0"/>
            </w:tcBorders>
            <w:vAlign w:val="center"/>
          </w:tcPr>
          <w:p w14:paraId="5D7E3485">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证书及</w:t>
            </w:r>
            <w:r>
              <w:rPr>
                <w:rFonts w:hint="eastAsia" w:ascii="宋体" w:hAnsi="宋体" w:eastAsia="宋体" w:cs="宋体"/>
                <w:color w:val="auto"/>
                <w:sz w:val="24"/>
                <w:szCs w:val="24"/>
                <w:highlight w:val="none"/>
              </w:rPr>
              <w:t>专业</w:t>
            </w:r>
          </w:p>
        </w:tc>
        <w:tc>
          <w:tcPr>
            <w:tcW w:w="1320" w:type="dxa"/>
            <w:tcBorders>
              <w:top w:val="single" w:color="000000" w:sz="4" w:space="0"/>
              <w:left w:val="single" w:color="000000" w:sz="4" w:space="0"/>
              <w:right w:val="single" w:color="000000" w:sz="4" w:space="0"/>
            </w:tcBorders>
            <w:vAlign w:val="center"/>
          </w:tcPr>
          <w:p w14:paraId="3C54A58A">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学历</w:t>
            </w:r>
          </w:p>
        </w:tc>
        <w:tc>
          <w:tcPr>
            <w:tcW w:w="1770" w:type="dxa"/>
            <w:tcBorders>
              <w:top w:val="single" w:color="000000" w:sz="4" w:space="0"/>
              <w:left w:val="single" w:color="000000" w:sz="4" w:space="0"/>
              <w:bottom w:val="single" w:color="000000" w:sz="4" w:space="0"/>
              <w:right w:val="single" w:color="000000" w:sz="4" w:space="0"/>
            </w:tcBorders>
            <w:vAlign w:val="center"/>
          </w:tcPr>
          <w:p w14:paraId="049A15F3">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工作</w:t>
            </w:r>
            <w:r>
              <w:rPr>
                <w:rFonts w:hint="eastAsia" w:ascii="宋体" w:hAnsi="宋体" w:eastAsia="宋体" w:cs="宋体"/>
                <w:color w:val="auto"/>
                <w:sz w:val="24"/>
                <w:szCs w:val="24"/>
                <w:highlight w:val="none"/>
                <w:lang w:val="en-US" w:eastAsia="zh-CN"/>
              </w:rPr>
              <w:t>年限</w:t>
            </w:r>
          </w:p>
        </w:tc>
        <w:tc>
          <w:tcPr>
            <w:tcW w:w="2142" w:type="dxa"/>
            <w:tcBorders>
              <w:top w:val="single" w:color="000000" w:sz="4" w:space="0"/>
              <w:left w:val="single" w:color="000000" w:sz="4" w:space="0"/>
              <w:bottom w:val="single" w:color="000000" w:sz="4" w:space="0"/>
              <w:right w:val="single" w:color="000000" w:sz="4" w:space="0"/>
            </w:tcBorders>
            <w:vAlign w:val="center"/>
          </w:tcPr>
          <w:p w14:paraId="6E302F6C">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在本项目拟任职务</w:t>
            </w:r>
          </w:p>
        </w:tc>
        <w:tc>
          <w:tcPr>
            <w:tcW w:w="1085" w:type="dxa"/>
            <w:tcBorders>
              <w:top w:val="single" w:color="000000" w:sz="4" w:space="0"/>
              <w:left w:val="single" w:color="000000" w:sz="4" w:space="0"/>
              <w:bottom w:val="single" w:color="000000" w:sz="4" w:space="0"/>
              <w:right w:val="single" w:color="000000" w:sz="4" w:space="0"/>
            </w:tcBorders>
            <w:vAlign w:val="center"/>
          </w:tcPr>
          <w:p w14:paraId="69B89555">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备注</w:t>
            </w:r>
          </w:p>
        </w:tc>
      </w:tr>
      <w:tr w14:paraId="10A701BF">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641F00E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51A9498B">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8799FE7">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2307877">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vAlign w:val="center"/>
          </w:tcPr>
          <w:p w14:paraId="230F9DFC">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vAlign w:val="center"/>
          </w:tcPr>
          <w:p w14:paraId="665FA2FB">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tc>
        <w:tc>
          <w:tcPr>
            <w:tcW w:w="1085" w:type="dxa"/>
            <w:tcBorders>
              <w:top w:val="single" w:color="000000" w:sz="4" w:space="0"/>
              <w:left w:val="single" w:color="000000" w:sz="4" w:space="0"/>
              <w:bottom w:val="single" w:color="000000" w:sz="4" w:space="0"/>
              <w:right w:val="single" w:color="000000" w:sz="4" w:space="0"/>
            </w:tcBorders>
            <w:vAlign w:val="center"/>
          </w:tcPr>
          <w:p w14:paraId="66F3248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r>
      <w:tr w14:paraId="2AE0FEAA">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0050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w:t>
            </w:r>
          </w:p>
        </w:tc>
        <w:tc>
          <w:tcPr>
            <w:tcW w:w="1140" w:type="dxa"/>
            <w:tcBorders>
              <w:top w:val="single" w:color="000000" w:sz="4" w:space="0"/>
              <w:bottom w:val="single" w:color="000000" w:sz="4" w:space="0"/>
              <w:right w:val="single" w:color="000000" w:sz="4" w:space="0"/>
            </w:tcBorders>
            <w:shd w:val="clear" w:color="auto" w:fill="auto"/>
            <w:vAlign w:val="center"/>
          </w:tcPr>
          <w:p w14:paraId="4ECF9007">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6F4E">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A057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1770" w:type="dxa"/>
            <w:tcBorders>
              <w:top w:val="single" w:color="000000" w:sz="4" w:space="0"/>
              <w:bottom w:val="single" w:color="000000" w:sz="4" w:space="0"/>
              <w:right w:val="single" w:color="000000" w:sz="4" w:space="0"/>
            </w:tcBorders>
            <w:shd w:val="clear" w:color="auto" w:fill="auto"/>
            <w:vAlign w:val="center"/>
          </w:tcPr>
          <w:p w14:paraId="1CF9F64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2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2F114">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w:t>
            </w: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26984">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r>
      <w:tr w14:paraId="098DE048">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4C54D81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lang w:eastAsia="zh-CN"/>
              </w:rPr>
            </w:pPr>
          </w:p>
        </w:tc>
        <w:tc>
          <w:tcPr>
            <w:tcW w:w="1140" w:type="dxa"/>
            <w:tcBorders>
              <w:top w:val="single" w:color="000000" w:sz="4" w:space="0"/>
              <w:bottom w:val="single" w:color="000000" w:sz="4" w:space="0"/>
              <w:right w:val="single" w:color="000000" w:sz="4" w:space="0"/>
            </w:tcBorders>
            <w:vAlign w:val="center"/>
          </w:tcPr>
          <w:p w14:paraId="2059B8E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54AAA2F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9BCD4D9">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vAlign w:val="center"/>
          </w:tcPr>
          <w:p w14:paraId="0F03991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vAlign w:val="center"/>
          </w:tcPr>
          <w:p w14:paraId="7CD5FA8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vAlign w:val="center"/>
          </w:tcPr>
          <w:p w14:paraId="444E1FBD">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r w14:paraId="0D8A1D5B">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3A43E70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07B04219">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04AFF49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375A538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vAlign w:val="center"/>
          </w:tcPr>
          <w:p w14:paraId="65948C8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vAlign w:val="center"/>
          </w:tcPr>
          <w:p w14:paraId="0EA1C220">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vAlign w:val="center"/>
          </w:tcPr>
          <w:p w14:paraId="4F3B64A5">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r w14:paraId="41AF69BB">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508A59D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2895B79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3CBFBC8B">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1F659244">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vAlign w:val="center"/>
          </w:tcPr>
          <w:p w14:paraId="55889559">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vAlign w:val="center"/>
          </w:tcPr>
          <w:p w14:paraId="3209326C">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vAlign w:val="center"/>
          </w:tcPr>
          <w:p w14:paraId="728BD3E4">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r w14:paraId="2C55D0E5">
        <w:tblPrEx>
          <w:tblCellMar>
            <w:top w:w="15" w:type="dxa"/>
            <w:left w:w="15" w:type="dxa"/>
            <w:bottom w:w="15" w:type="dxa"/>
            <w:right w:w="15" w:type="dxa"/>
          </w:tblCellMar>
        </w:tblPrEx>
        <w:trPr>
          <w:trHeight w:val="54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18D1C6B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7CF1039D">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47F74A6">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6015AB5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770" w:type="dxa"/>
            <w:tcBorders>
              <w:top w:val="single" w:color="000000" w:sz="4" w:space="0"/>
              <w:bottom w:val="single" w:color="000000" w:sz="4" w:space="0"/>
              <w:right w:val="single" w:color="000000" w:sz="4" w:space="0"/>
            </w:tcBorders>
            <w:vAlign w:val="center"/>
          </w:tcPr>
          <w:p w14:paraId="6329934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142" w:type="dxa"/>
            <w:tcBorders>
              <w:top w:val="single" w:color="000000" w:sz="4" w:space="0"/>
              <w:left w:val="single" w:color="000000" w:sz="4" w:space="0"/>
              <w:bottom w:val="single" w:color="000000" w:sz="4" w:space="0"/>
              <w:right w:val="single" w:color="000000" w:sz="4" w:space="0"/>
            </w:tcBorders>
            <w:vAlign w:val="center"/>
          </w:tcPr>
          <w:p w14:paraId="01AA698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vAlign w:val="center"/>
          </w:tcPr>
          <w:p w14:paraId="2B11BDD6">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bl>
    <w:p w14:paraId="5DF4B1B0">
      <w:pPr>
        <w:keepNext w:val="0"/>
        <w:keepLines w:val="0"/>
        <w:pageBreakBefore w:val="0"/>
        <w:widowControl/>
        <w:kinsoku/>
        <w:wordWrap/>
        <w:overflowPunct/>
        <w:topLinePunct w:val="0"/>
        <w:autoSpaceDE/>
        <w:autoSpaceDN/>
        <w:bidi w:val="0"/>
        <w:snapToGrid/>
        <w:spacing w:line="440" w:lineRule="exact"/>
        <w:rPr>
          <w:rFonts w:hint="eastAsia" w:ascii="宋体" w:hAnsi="宋体" w:eastAsia="宋体" w:cs="宋体"/>
          <w:color w:val="auto"/>
          <w:sz w:val="24"/>
          <w:szCs w:val="24"/>
          <w:highlight w:val="none"/>
          <w:lang w:eastAsia="zh-CN"/>
        </w:rPr>
      </w:pPr>
    </w:p>
    <w:p w14:paraId="2BB4F1F7">
      <w:pPr>
        <w:keepNext w:val="0"/>
        <w:keepLines w:val="0"/>
        <w:pageBreakBefore w:val="0"/>
        <w:widowControl/>
        <w:kinsoku/>
        <w:wordWrap/>
        <w:overflowPunct/>
        <w:topLinePunct w:val="0"/>
        <w:autoSpaceDE/>
        <w:autoSpaceDN/>
        <w:bidi w:val="0"/>
        <w:snapToGrid/>
        <w:spacing w:line="440" w:lineRule="exact"/>
        <w:rPr>
          <w:rFonts w:hint="eastAsia" w:ascii="宋体" w:hAnsi="宋体" w:eastAsia="宋体" w:cs="宋体"/>
          <w:color w:val="auto"/>
          <w:sz w:val="24"/>
          <w:szCs w:val="24"/>
          <w:highlight w:val="none"/>
          <w:lang w:eastAsia="zh-CN"/>
        </w:rPr>
      </w:pPr>
    </w:p>
    <w:p w14:paraId="036B541E">
      <w:pPr>
        <w:keepNext w:val="0"/>
        <w:keepLines w:val="0"/>
        <w:pageBreakBefore w:val="0"/>
        <w:widowControl/>
        <w:kinsoku/>
        <w:wordWrap/>
        <w:overflowPunct/>
        <w:topLinePunct w:val="0"/>
        <w:autoSpaceDE/>
        <w:autoSpaceDN/>
        <w:bidi w:val="0"/>
        <w:snapToGrid/>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w:t>
      </w:r>
      <w:r>
        <w:rPr>
          <w:rFonts w:hint="eastAsia" w:cs="宋体"/>
          <w:color w:val="auto"/>
          <w:sz w:val="24"/>
          <w:szCs w:val="24"/>
          <w:highlight w:val="none"/>
          <w:lang w:val="en-US" w:eastAsia="zh-CN"/>
        </w:rPr>
        <w:t>加盖电子公章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eastAsia="zh-CN"/>
        </w:rPr>
        <w:t>                     </w:t>
      </w:r>
    </w:p>
    <w:p w14:paraId="070F2892">
      <w:pPr>
        <w:keepNext w:val="0"/>
        <w:keepLines w:val="0"/>
        <w:pageBreakBefore w:val="0"/>
        <w:widowControl/>
        <w:kinsoku/>
        <w:wordWrap/>
        <w:overflowPunct/>
        <w:topLinePunct w:val="0"/>
        <w:autoSpaceDE/>
        <w:autoSpaceDN/>
        <w:bidi w:val="0"/>
        <w:snapToGrid/>
        <w:spacing w:line="440" w:lineRule="exact"/>
        <w:rPr>
          <w:rFonts w:hint="eastAsia" w:ascii="宋体" w:hAnsi="宋体" w:eastAsia="宋体" w:cs="宋体"/>
          <w:color w:val="auto"/>
          <w:sz w:val="24"/>
          <w:szCs w:val="24"/>
          <w:highlight w:val="none"/>
          <w:lang w:eastAsia="zh-CN"/>
        </w:rPr>
      </w:pPr>
    </w:p>
    <w:p w14:paraId="2F9D4E0E">
      <w:pPr>
        <w:keepNext w:val="0"/>
        <w:keepLines w:val="0"/>
        <w:pageBreakBefore w:val="0"/>
        <w:widowControl/>
        <w:kinsoku/>
        <w:wordWrap/>
        <w:overflowPunct/>
        <w:topLinePunct w:val="0"/>
        <w:autoSpaceDE/>
        <w:autoSpaceDN/>
        <w:bidi w:val="0"/>
        <w:snapToGrid/>
        <w:spacing w:line="440" w:lineRule="exact"/>
        <w:rPr>
          <w:rFonts w:hint="eastAsia" w:ascii="宋体" w:hAnsi="宋体" w:eastAsia="宋体" w:cs="宋体"/>
          <w:color w:val="auto"/>
          <w:sz w:val="24"/>
          <w:szCs w:val="24"/>
          <w:highlight w:val="none"/>
          <w:u w:val="single"/>
          <w:lang w:eastAsia="zh-CN"/>
        </w:rPr>
      </w:pPr>
    </w:p>
    <w:p w14:paraId="18E256A2">
      <w:pPr>
        <w:keepNext w:val="0"/>
        <w:keepLines w:val="0"/>
        <w:pageBreakBefore w:val="0"/>
        <w:kinsoku/>
        <w:wordWrap/>
        <w:overflowPunct/>
        <w:topLinePunct w:val="0"/>
        <w:bidi w:val="0"/>
        <w:snapToGrid/>
        <w:spacing w:line="44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注：按</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文件要求及评分标准的要求，提供证明材料等，附后；如果行数不够，请自行增加。</w:t>
      </w:r>
    </w:p>
    <w:p w14:paraId="55BFE222">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r>
    </w:p>
    <w:p w14:paraId="14464FF4">
      <w:pPr>
        <w:widowControl/>
        <w:autoSpaceDE/>
        <w:autoSpaceDN/>
        <w:spacing w:line="360" w:lineRule="auto"/>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t>九、投入本项目的车辆及主要设备</w:t>
      </w:r>
    </w:p>
    <w:p w14:paraId="549B1E61">
      <w:pPr>
        <w:widowControl/>
        <w:autoSpaceDE/>
        <w:autoSpaceDN/>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投入本项目的车辆及主要设备</w:t>
      </w:r>
      <w:r>
        <w:rPr>
          <w:rFonts w:hint="eastAsia" w:ascii="宋体" w:hAnsi="宋体" w:eastAsia="宋体" w:cs="宋体"/>
          <w:b w:val="0"/>
          <w:bCs w:val="0"/>
          <w:color w:val="auto"/>
          <w:sz w:val="24"/>
          <w:szCs w:val="24"/>
          <w:highlight w:val="none"/>
        </w:rPr>
        <w:t>的数量、型号种类、车辆设备的所有权等</w:t>
      </w:r>
    </w:p>
    <w:tbl>
      <w:tblPr>
        <w:tblStyle w:val="26"/>
        <w:tblW w:w="9681" w:type="dxa"/>
        <w:jc w:val="center"/>
        <w:tblLayout w:type="fixed"/>
        <w:tblCellMar>
          <w:top w:w="15" w:type="dxa"/>
          <w:left w:w="15" w:type="dxa"/>
          <w:bottom w:w="15" w:type="dxa"/>
          <w:right w:w="15" w:type="dxa"/>
        </w:tblCellMar>
      </w:tblPr>
      <w:tblGrid>
        <w:gridCol w:w="2121"/>
        <w:gridCol w:w="1140"/>
        <w:gridCol w:w="2221"/>
        <w:gridCol w:w="3040"/>
        <w:gridCol w:w="1159"/>
      </w:tblGrid>
      <w:tr w14:paraId="015CAFBD">
        <w:tblPrEx>
          <w:tblCellMar>
            <w:top w:w="15" w:type="dxa"/>
            <w:left w:w="15" w:type="dxa"/>
            <w:bottom w:w="15" w:type="dxa"/>
            <w:right w:w="15" w:type="dxa"/>
          </w:tblCellMar>
        </w:tblPrEx>
        <w:trPr>
          <w:trHeight w:val="600" w:hRule="atLeast"/>
          <w:jc w:val="center"/>
        </w:trPr>
        <w:tc>
          <w:tcPr>
            <w:tcW w:w="2121" w:type="dxa"/>
            <w:tcBorders>
              <w:top w:val="single" w:color="000000" w:sz="4" w:space="0"/>
              <w:left w:val="single" w:color="000000" w:sz="4" w:space="0"/>
              <w:bottom w:val="single" w:color="000000" w:sz="4" w:space="0"/>
              <w:right w:val="single" w:color="000000" w:sz="4" w:space="0"/>
            </w:tcBorders>
            <w:vAlign w:val="center"/>
          </w:tcPr>
          <w:p w14:paraId="34D9E15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设备名称</w:t>
            </w:r>
          </w:p>
        </w:tc>
        <w:tc>
          <w:tcPr>
            <w:tcW w:w="1140" w:type="dxa"/>
            <w:tcBorders>
              <w:top w:val="single" w:color="000000" w:sz="4" w:space="0"/>
              <w:right w:val="single" w:color="000000" w:sz="4" w:space="0"/>
            </w:tcBorders>
            <w:vAlign w:val="center"/>
          </w:tcPr>
          <w:p w14:paraId="696DA5B0">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tc>
        <w:tc>
          <w:tcPr>
            <w:tcW w:w="2221" w:type="dxa"/>
            <w:tcBorders>
              <w:top w:val="single" w:color="000000" w:sz="4" w:space="0"/>
              <w:left w:val="single" w:color="000000" w:sz="4" w:space="0"/>
              <w:right w:val="single" w:color="000000" w:sz="4" w:space="0"/>
            </w:tcBorders>
            <w:vAlign w:val="center"/>
          </w:tcPr>
          <w:p w14:paraId="1C2559ED">
            <w:pPr>
              <w:keepNext w:val="0"/>
              <w:keepLines w:val="0"/>
              <w:pageBreakBefore w:val="0"/>
              <w:widowControl/>
              <w:kinsoku/>
              <w:wordWrap/>
              <w:overflowPunct/>
              <w:topLinePunct w:val="0"/>
              <w:autoSpaceDE/>
              <w:autoSpaceDN/>
              <w:bidi w:val="0"/>
              <w:adjustRightInd/>
              <w:snapToGrid/>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型号种类</w:t>
            </w:r>
          </w:p>
        </w:tc>
        <w:tc>
          <w:tcPr>
            <w:tcW w:w="3040" w:type="dxa"/>
            <w:tcBorders>
              <w:top w:val="single" w:color="000000" w:sz="4" w:space="0"/>
              <w:left w:val="single" w:color="000000" w:sz="4" w:space="0"/>
              <w:bottom w:val="single" w:color="000000" w:sz="4" w:space="0"/>
              <w:right w:val="single" w:color="000000" w:sz="4" w:space="0"/>
            </w:tcBorders>
            <w:vAlign w:val="center"/>
          </w:tcPr>
          <w:p w14:paraId="17B0FF50">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车辆设备的所有权</w:t>
            </w:r>
          </w:p>
        </w:tc>
        <w:tc>
          <w:tcPr>
            <w:tcW w:w="1159" w:type="dxa"/>
            <w:tcBorders>
              <w:top w:val="single" w:color="000000" w:sz="4" w:space="0"/>
              <w:left w:val="single" w:color="000000" w:sz="4" w:space="0"/>
              <w:bottom w:val="single" w:color="000000" w:sz="4" w:space="0"/>
              <w:right w:val="single" w:color="000000" w:sz="4" w:space="0"/>
            </w:tcBorders>
            <w:vAlign w:val="center"/>
          </w:tcPr>
          <w:p w14:paraId="715498C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备注</w:t>
            </w:r>
          </w:p>
        </w:tc>
      </w:tr>
      <w:tr w14:paraId="1571352E">
        <w:tblPrEx>
          <w:tblCellMar>
            <w:top w:w="15" w:type="dxa"/>
            <w:left w:w="15" w:type="dxa"/>
            <w:bottom w:w="15" w:type="dxa"/>
            <w:right w:w="15" w:type="dxa"/>
          </w:tblCellMar>
        </w:tblPrEx>
        <w:trPr>
          <w:trHeight w:val="540" w:hRule="atLeast"/>
          <w:jc w:val="center"/>
        </w:trPr>
        <w:tc>
          <w:tcPr>
            <w:tcW w:w="2121" w:type="dxa"/>
            <w:tcBorders>
              <w:top w:val="single" w:color="000000" w:sz="4" w:space="0"/>
              <w:left w:val="single" w:color="000000" w:sz="4" w:space="0"/>
              <w:bottom w:val="single" w:color="000000" w:sz="4" w:space="0"/>
              <w:right w:val="single" w:color="000000" w:sz="4" w:space="0"/>
            </w:tcBorders>
            <w:vAlign w:val="center"/>
          </w:tcPr>
          <w:p w14:paraId="6E932F5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248DC327">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391FE83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3040" w:type="dxa"/>
            <w:tcBorders>
              <w:top w:val="single" w:color="000000" w:sz="4" w:space="0"/>
              <w:bottom w:val="single" w:color="000000" w:sz="4" w:space="0"/>
              <w:right w:val="single" w:color="000000" w:sz="4" w:space="0"/>
            </w:tcBorders>
            <w:vAlign w:val="center"/>
          </w:tcPr>
          <w:p w14:paraId="2A33607E">
            <w:pPr>
              <w:keepNext w:val="0"/>
              <w:keepLines w:val="0"/>
              <w:pageBreakBefore w:val="0"/>
              <w:kinsoku/>
              <w:wordWrap/>
              <w:overflowPunct/>
              <w:topLinePunct w:val="0"/>
              <w:autoSpaceDE/>
              <w:autoSpaceDN/>
              <w:bidi w:val="0"/>
              <w:adjustRightInd/>
              <w:snapToGrid/>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自有/租赁</w:t>
            </w:r>
          </w:p>
        </w:tc>
        <w:tc>
          <w:tcPr>
            <w:tcW w:w="1159" w:type="dxa"/>
            <w:tcBorders>
              <w:top w:val="single" w:color="000000" w:sz="4" w:space="0"/>
              <w:left w:val="single" w:color="000000" w:sz="4" w:space="0"/>
              <w:bottom w:val="single" w:color="000000" w:sz="4" w:space="0"/>
              <w:right w:val="single" w:color="000000" w:sz="4" w:space="0"/>
            </w:tcBorders>
            <w:vAlign w:val="center"/>
          </w:tcPr>
          <w:p w14:paraId="3359D3E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r>
      <w:tr w14:paraId="5E570389">
        <w:tblPrEx>
          <w:tblCellMar>
            <w:top w:w="15" w:type="dxa"/>
            <w:left w:w="15" w:type="dxa"/>
            <w:bottom w:w="15" w:type="dxa"/>
            <w:right w:w="15" w:type="dxa"/>
          </w:tblCellMar>
        </w:tblPrEx>
        <w:trPr>
          <w:trHeight w:val="540" w:hRule="atLeast"/>
          <w:jc w:val="center"/>
        </w:trPr>
        <w:tc>
          <w:tcPr>
            <w:tcW w:w="21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FF7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w:t>
            </w:r>
          </w:p>
        </w:tc>
        <w:tc>
          <w:tcPr>
            <w:tcW w:w="1140" w:type="dxa"/>
            <w:tcBorders>
              <w:top w:val="single" w:color="000000" w:sz="4" w:space="0"/>
              <w:bottom w:val="single" w:color="000000" w:sz="4" w:space="0"/>
              <w:right w:val="single" w:color="000000" w:sz="4" w:space="0"/>
            </w:tcBorders>
            <w:shd w:val="clear" w:color="auto" w:fill="auto"/>
            <w:vAlign w:val="center"/>
          </w:tcPr>
          <w:p w14:paraId="0CD8714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546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3040" w:type="dxa"/>
            <w:tcBorders>
              <w:top w:val="single" w:color="000000" w:sz="4" w:space="0"/>
              <w:bottom w:val="single" w:color="000000" w:sz="4" w:space="0"/>
              <w:right w:val="single" w:color="000000" w:sz="4" w:space="0"/>
            </w:tcBorders>
            <w:shd w:val="clear" w:color="auto" w:fill="auto"/>
            <w:vAlign w:val="center"/>
          </w:tcPr>
          <w:p w14:paraId="3776EAFD">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426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w:t>
            </w:r>
          </w:p>
        </w:tc>
      </w:tr>
      <w:tr w14:paraId="52101B51">
        <w:tblPrEx>
          <w:tblCellMar>
            <w:top w:w="15" w:type="dxa"/>
            <w:left w:w="15" w:type="dxa"/>
            <w:bottom w:w="15" w:type="dxa"/>
            <w:right w:w="15" w:type="dxa"/>
          </w:tblCellMar>
        </w:tblPrEx>
        <w:trPr>
          <w:trHeight w:val="540" w:hRule="atLeast"/>
          <w:jc w:val="center"/>
        </w:trPr>
        <w:tc>
          <w:tcPr>
            <w:tcW w:w="2121" w:type="dxa"/>
            <w:tcBorders>
              <w:top w:val="single" w:color="000000" w:sz="4" w:space="0"/>
              <w:left w:val="single" w:color="000000" w:sz="4" w:space="0"/>
              <w:bottom w:val="single" w:color="000000" w:sz="4" w:space="0"/>
              <w:right w:val="single" w:color="000000" w:sz="4" w:space="0"/>
            </w:tcBorders>
            <w:vAlign w:val="center"/>
          </w:tcPr>
          <w:p w14:paraId="5850177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lang w:eastAsia="zh-CN"/>
              </w:rPr>
            </w:pPr>
          </w:p>
        </w:tc>
        <w:tc>
          <w:tcPr>
            <w:tcW w:w="1140" w:type="dxa"/>
            <w:tcBorders>
              <w:top w:val="single" w:color="000000" w:sz="4" w:space="0"/>
              <w:bottom w:val="single" w:color="000000" w:sz="4" w:space="0"/>
              <w:right w:val="single" w:color="000000" w:sz="4" w:space="0"/>
            </w:tcBorders>
            <w:vAlign w:val="center"/>
          </w:tcPr>
          <w:p w14:paraId="794B49D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09CD3ED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3040" w:type="dxa"/>
            <w:tcBorders>
              <w:top w:val="single" w:color="000000" w:sz="4" w:space="0"/>
              <w:bottom w:val="single" w:color="000000" w:sz="4" w:space="0"/>
              <w:right w:val="single" w:color="000000" w:sz="4" w:space="0"/>
            </w:tcBorders>
            <w:vAlign w:val="center"/>
          </w:tcPr>
          <w:p w14:paraId="40F660D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159" w:type="dxa"/>
            <w:tcBorders>
              <w:top w:val="single" w:color="000000" w:sz="4" w:space="0"/>
              <w:left w:val="single" w:color="000000" w:sz="4" w:space="0"/>
              <w:bottom w:val="single" w:color="000000" w:sz="4" w:space="0"/>
              <w:right w:val="single" w:color="000000" w:sz="4" w:space="0"/>
            </w:tcBorders>
            <w:vAlign w:val="center"/>
          </w:tcPr>
          <w:p w14:paraId="2D585414">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r w14:paraId="75AF9A9C">
        <w:tblPrEx>
          <w:tblCellMar>
            <w:top w:w="15" w:type="dxa"/>
            <w:left w:w="15" w:type="dxa"/>
            <w:bottom w:w="15" w:type="dxa"/>
            <w:right w:w="15" w:type="dxa"/>
          </w:tblCellMar>
        </w:tblPrEx>
        <w:trPr>
          <w:trHeight w:val="540" w:hRule="atLeast"/>
          <w:jc w:val="center"/>
        </w:trPr>
        <w:tc>
          <w:tcPr>
            <w:tcW w:w="2121" w:type="dxa"/>
            <w:tcBorders>
              <w:top w:val="single" w:color="000000" w:sz="4" w:space="0"/>
              <w:left w:val="single" w:color="000000" w:sz="4" w:space="0"/>
              <w:bottom w:val="single" w:color="000000" w:sz="4" w:space="0"/>
              <w:right w:val="single" w:color="000000" w:sz="4" w:space="0"/>
            </w:tcBorders>
            <w:vAlign w:val="center"/>
          </w:tcPr>
          <w:p w14:paraId="3F62DFD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4BAB248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3B5E11EC">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3040" w:type="dxa"/>
            <w:tcBorders>
              <w:top w:val="single" w:color="000000" w:sz="4" w:space="0"/>
              <w:bottom w:val="single" w:color="000000" w:sz="4" w:space="0"/>
              <w:right w:val="single" w:color="000000" w:sz="4" w:space="0"/>
            </w:tcBorders>
            <w:vAlign w:val="center"/>
          </w:tcPr>
          <w:p w14:paraId="305C804B">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159" w:type="dxa"/>
            <w:tcBorders>
              <w:top w:val="single" w:color="000000" w:sz="4" w:space="0"/>
              <w:left w:val="single" w:color="000000" w:sz="4" w:space="0"/>
              <w:bottom w:val="single" w:color="000000" w:sz="4" w:space="0"/>
              <w:right w:val="single" w:color="000000" w:sz="4" w:space="0"/>
            </w:tcBorders>
            <w:vAlign w:val="center"/>
          </w:tcPr>
          <w:p w14:paraId="34D2FD0D">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r w14:paraId="23DDA07B">
        <w:tblPrEx>
          <w:tblCellMar>
            <w:top w:w="15" w:type="dxa"/>
            <w:left w:w="15" w:type="dxa"/>
            <w:bottom w:w="15" w:type="dxa"/>
            <w:right w:w="15" w:type="dxa"/>
          </w:tblCellMar>
        </w:tblPrEx>
        <w:trPr>
          <w:trHeight w:val="540" w:hRule="atLeast"/>
          <w:jc w:val="center"/>
        </w:trPr>
        <w:tc>
          <w:tcPr>
            <w:tcW w:w="2121" w:type="dxa"/>
            <w:tcBorders>
              <w:top w:val="single" w:color="000000" w:sz="4" w:space="0"/>
              <w:left w:val="single" w:color="000000" w:sz="4" w:space="0"/>
              <w:bottom w:val="single" w:color="000000" w:sz="4" w:space="0"/>
              <w:right w:val="single" w:color="000000" w:sz="4" w:space="0"/>
            </w:tcBorders>
            <w:vAlign w:val="center"/>
          </w:tcPr>
          <w:p w14:paraId="21B4E71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324721B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03FDB4B9">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3040" w:type="dxa"/>
            <w:tcBorders>
              <w:top w:val="single" w:color="000000" w:sz="4" w:space="0"/>
              <w:bottom w:val="single" w:color="000000" w:sz="4" w:space="0"/>
              <w:right w:val="single" w:color="000000" w:sz="4" w:space="0"/>
            </w:tcBorders>
            <w:vAlign w:val="center"/>
          </w:tcPr>
          <w:p w14:paraId="30B83BC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159" w:type="dxa"/>
            <w:tcBorders>
              <w:top w:val="single" w:color="000000" w:sz="4" w:space="0"/>
              <w:left w:val="single" w:color="000000" w:sz="4" w:space="0"/>
              <w:bottom w:val="single" w:color="000000" w:sz="4" w:space="0"/>
              <w:right w:val="single" w:color="000000" w:sz="4" w:space="0"/>
            </w:tcBorders>
            <w:vAlign w:val="center"/>
          </w:tcPr>
          <w:p w14:paraId="5C87518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r w14:paraId="382EAC4C">
        <w:tblPrEx>
          <w:tblCellMar>
            <w:top w:w="15" w:type="dxa"/>
            <w:left w:w="15" w:type="dxa"/>
            <w:bottom w:w="15" w:type="dxa"/>
            <w:right w:w="15" w:type="dxa"/>
          </w:tblCellMar>
        </w:tblPrEx>
        <w:trPr>
          <w:trHeight w:val="540" w:hRule="atLeast"/>
          <w:jc w:val="center"/>
        </w:trPr>
        <w:tc>
          <w:tcPr>
            <w:tcW w:w="2121" w:type="dxa"/>
            <w:tcBorders>
              <w:top w:val="single" w:color="000000" w:sz="4" w:space="0"/>
              <w:left w:val="single" w:color="000000" w:sz="4" w:space="0"/>
              <w:bottom w:val="single" w:color="000000" w:sz="4" w:space="0"/>
              <w:right w:val="single" w:color="000000" w:sz="4" w:space="0"/>
            </w:tcBorders>
            <w:vAlign w:val="center"/>
          </w:tcPr>
          <w:p w14:paraId="663866B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highlight w:val="none"/>
              </w:rPr>
            </w:pPr>
          </w:p>
        </w:tc>
        <w:tc>
          <w:tcPr>
            <w:tcW w:w="1140" w:type="dxa"/>
            <w:tcBorders>
              <w:top w:val="single" w:color="000000" w:sz="4" w:space="0"/>
              <w:bottom w:val="single" w:color="000000" w:sz="4" w:space="0"/>
              <w:right w:val="single" w:color="000000" w:sz="4" w:space="0"/>
            </w:tcBorders>
            <w:vAlign w:val="center"/>
          </w:tcPr>
          <w:p w14:paraId="739F87B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2221" w:type="dxa"/>
            <w:tcBorders>
              <w:top w:val="single" w:color="000000" w:sz="4" w:space="0"/>
              <w:left w:val="single" w:color="000000" w:sz="4" w:space="0"/>
              <w:bottom w:val="single" w:color="000000" w:sz="4" w:space="0"/>
              <w:right w:val="single" w:color="000000" w:sz="4" w:space="0"/>
            </w:tcBorders>
            <w:vAlign w:val="center"/>
          </w:tcPr>
          <w:p w14:paraId="1E050257">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3040" w:type="dxa"/>
            <w:tcBorders>
              <w:top w:val="single" w:color="000000" w:sz="4" w:space="0"/>
              <w:bottom w:val="single" w:color="000000" w:sz="4" w:space="0"/>
              <w:right w:val="single" w:color="000000" w:sz="4" w:space="0"/>
            </w:tcBorders>
            <w:vAlign w:val="center"/>
          </w:tcPr>
          <w:p w14:paraId="1CFDEC45">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c>
          <w:tcPr>
            <w:tcW w:w="1159" w:type="dxa"/>
            <w:tcBorders>
              <w:top w:val="single" w:color="000000" w:sz="4" w:space="0"/>
              <w:left w:val="single" w:color="000000" w:sz="4" w:space="0"/>
              <w:bottom w:val="single" w:color="000000" w:sz="4" w:space="0"/>
              <w:right w:val="single" w:color="000000" w:sz="4" w:space="0"/>
            </w:tcBorders>
            <w:vAlign w:val="center"/>
          </w:tcPr>
          <w:p w14:paraId="75020037">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highlight w:val="none"/>
              </w:rPr>
            </w:pPr>
          </w:p>
        </w:tc>
      </w:tr>
    </w:tbl>
    <w:p w14:paraId="10D16F5A">
      <w:pPr>
        <w:keepNext w:val="0"/>
        <w:keepLines w:val="0"/>
        <w:pageBreakBefore w:val="0"/>
        <w:kinsoku/>
        <w:wordWrap/>
        <w:overflowPunct/>
        <w:topLinePunct w:val="0"/>
        <w:bidi w:val="0"/>
        <w:snapToGrid/>
        <w:spacing w:line="44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注：按</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文件评分标准的要求，提供证明材料等，附后；如果行数不够，请自行增加。</w:t>
      </w:r>
    </w:p>
    <w:p w14:paraId="6DA09C5A">
      <w:pPr>
        <w:widowControl/>
        <w:autoSpaceDE/>
        <w:autoSpaceDN/>
        <w:spacing w:line="360" w:lineRule="auto"/>
        <w:jc w:val="left"/>
        <w:rPr>
          <w:rFonts w:hint="default" w:ascii="宋体" w:hAnsi="宋体" w:eastAsia="宋体" w:cs="宋体"/>
          <w:b/>
          <w:bCs/>
          <w:color w:val="auto"/>
          <w:spacing w:val="8"/>
          <w:sz w:val="28"/>
          <w:szCs w:val="28"/>
          <w:highlight w:val="none"/>
          <w:lang w:val="en-US" w:eastAsia="zh-CN"/>
        </w:rPr>
        <w:sectPr>
          <w:pgSz w:w="12240" w:h="15840"/>
          <w:pgMar w:top="1134" w:right="1191" w:bottom="1134" w:left="1191" w:header="720" w:footer="720" w:gutter="0"/>
          <w:pgNumType w:fmt="decimal"/>
          <w:cols w:space="0" w:num="1"/>
          <w:rtlGutter w:val="0"/>
          <w:docGrid w:linePitch="299" w:charSpace="0"/>
        </w:sectPr>
      </w:pPr>
      <w:r>
        <w:rPr>
          <w:rFonts w:hint="eastAsia" w:ascii="黑体" w:hAnsi="黑体" w:eastAsia="黑体" w:cs="Times New Roman"/>
          <w:i w:val="0"/>
          <w:iCs/>
          <w:color w:val="auto"/>
          <w:sz w:val="32"/>
          <w:szCs w:val="32"/>
          <w:highlight w:val="none"/>
          <w:u w:val="none"/>
          <w:lang w:val="en-US" w:eastAsia="zh-CN"/>
        </w:rPr>
        <w:br w:type="page"/>
      </w:r>
      <w:r>
        <w:rPr>
          <w:rFonts w:hint="eastAsia" w:ascii="宋体" w:hAnsi="宋体" w:eastAsia="宋体" w:cs="宋体"/>
          <w:b/>
          <w:bCs/>
          <w:color w:val="auto"/>
          <w:spacing w:val="8"/>
          <w:sz w:val="28"/>
          <w:szCs w:val="28"/>
          <w:highlight w:val="none"/>
          <w:lang w:val="en-US" w:eastAsia="zh-CN"/>
        </w:rPr>
        <w:t>十、供应商认为有必要提供的其它材料</w:t>
      </w:r>
    </w:p>
    <w:p w14:paraId="4C87A1C7">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十一、中小企业声明函</w:t>
      </w:r>
      <w:r>
        <w:rPr>
          <w:rFonts w:hint="eastAsia" w:ascii="黑体" w:hAnsi="黑体" w:eastAsia="黑体" w:cs="Times New Roman"/>
          <w:i w:val="0"/>
          <w:iCs w:val="0"/>
          <w:color w:val="auto"/>
          <w:sz w:val="32"/>
          <w:szCs w:val="32"/>
          <w:highlight w:val="none"/>
          <w:u w:val="none"/>
          <w:lang w:val="en-US" w:eastAsia="zh-CN"/>
        </w:rPr>
        <w:t>（</w:t>
      </w:r>
      <w:r>
        <w:rPr>
          <w:rFonts w:hint="eastAsia" w:ascii="黑体" w:hAnsi="黑体" w:eastAsia="黑体" w:cs="Times New Roman"/>
          <w:i w:val="0"/>
          <w:iCs/>
          <w:color w:val="auto"/>
          <w:sz w:val="32"/>
          <w:szCs w:val="32"/>
          <w:highlight w:val="none"/>
          <w:u w:val="none"/>
          <w:lang w:val="en-US" w:eastAsia="zh-CN"/>
        </w:rPr>
        <w:t>如有）</w:t>
      </w:r>
    </w:p>
    <w:p w14:paraId="72257846">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highlight w:val="none"/>
          <w:lang w:val="en-US" w:eastAsia="zh-CN"/>
        </w:rPr>
      </w:pPr>
      <w:bookmarkStart w:id="414" w:name="_Toc472"/>
      <w:r>
        <w:rPr>
          <w:rFonts w:hint="eastAsia" w:ascii="方正小标宋简体" w:hAnsi="方正小标宋简体" w:eastAsia="方正小标宋简体" w:cs="方正小标宋简体"/>
          <w:b w:val="0"/>
          <w:bCs w:val="0"/>
          <w:color w:val="auto"/>
          <w:kern w:val="2"/>
          <w:sz w:val="32"/>
          <w:szCs w:val="32"/>
          <w:highlight w:val="none"/>
          <w:lang w:val="en-US" w:eastAsia="zh-CN"/>
        </w:rPr>
        <w:t>中小企业声明函（服务）</w:t>
      </w:r>
      <w:bookmarkEnd w:id="414"/>
    </w:p>
    <w:p w14:paraId="0FB95A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本公司（联合体）郑重声明</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根据《政府采购促进中小企业发展管理办法》(财库〔2020〕46号)的规定</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本公司（联合体）参加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val="en-US" w:eastAsia="zh-CN"/>
        </w:rPr>
        <w:t>XXX</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rPr>
        <w:t>的采购活动</w:t>
      </w:r>
      <w:r>
        <w:rPr>
          <w:rFonts w:hint="eastAsia" w:ascii="宋体" w:hAnsi="宋体" w:eastAsia="宋体" w:cs="Times New Roman"/>
          <w:color w:val="auto"/>
          <w:sz w:val="24"/>
          <w:szCs w:val="24"/>
          <w:highlight w:val="none"/>
          <w:lang w:eastAsia="zh-CN"/>
        </w:rPr>
        <w:t>，</w:t>
      </w:r>
      <w:r>
        <w:rPr>
          <w:rFonts w:hint="eastAsia" w:ascii="宋体" w:hAnsi="宋体"/>
          <w:color w:val="auto"/>
          <w:sz w:val="24"/>
          <w:szCs w:val="24"/>
          <w:highlight w:val="none"/>
        </w:rPr>
        <w:t>服务全部由符合政策的</w:t>
      </w:r>
      <w:r>
        <w:rPr>
          <w:rFonts w:hint="eastAsia" w:ascii="宋体" w:hAnsi="宋体"/>
          <w:color w:val="auto"/>
          <w:sz w:val="24"/>
          <w:szCs w:val="24"/>
          <w:highlight w:val="none"/>
          <w:lang w:val="en-US" w:eastAsia="zh-CN"/>
        </w:rPr>
        <w:t>中</w:t>
      </w:r>
      <w:r>
        <w:rPr>
          <w:rFonts w:hint="eastAsia" w:ascii="宋体" w:hAnsi="宋体"/>
          <w:color w:val="auto"/>
          <w:sz w:val="24"/>
          <w:szCs w:val="24"/>
          <w:highlight w:val="none"/>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300号)的规定</w:t>
      </w:r>
      <w:r>
        <w:rPr>
          <w:rFonts w:hint="eastAsia" w:ascii="宋体" w:hAnsi="宋体"/>
          <w:color w:val="auto"/>
          <w:sz w:val="24"/>
          <w:szCs w:val="24"/>
          <w:highlight w:val="none"/>
          <w:lang w:eastAsia="zh-CN"/>
        </w:rPr>
        <w:t>，</w:t>
      </w:r>
      <w:r>
        <w:rPr>
          <w:rFonts w:hint="eastAsia" w:ascii="宋体" w:hAnsi="宋体"/>
          <w:color w:val="auto"/>
          <w:sz w:val="24"/>
          <w:szCs w:val="24"/>
          <w:highlight w:val="none"/>
        </w:rPr>
        <w:t>相关企业（含联合体中的小微企业、签订分包意向协议的</w:t>
      </w:r>
      <w:r>
        <w:rPr>
          <w:rFonts w:hint="eastAsia" w:ascii="宋体" w:hAnsi="宋体"/>
          <w:color w:val="auto"/>
          <w:sz w:val="24"/>
          <w:szCs w:val="24"/>
          <w:highlight w:val="none"/>
          <w:lang w:val="en-US" w:eastAsia="zh-CN"/>
        </w:rPr>
        <w:t>中</w:t>
      </w:r>
      <w:r>
        <w:rPr>
          <w:rFonts w:hint="eastAsia" w:ascii="宋体" w:hAnsi="宋体"/>
          <w:color w:val="auto"/>
          <w:sz w:val="24"/>
          <w:szCs w:val="24"/>
          <w:highlight w:val="none"/>
        </w:rPr>
        <w:t>小企业）的具体情况如下：</w:t>
      </w:r>
    </w:p>
    <w:p w14:paraId="170E10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（标的名称）</w:t>
      </w:r>
      <w:r>
        <w:rPr>
          <w:rFonts w:hint="eastAsia" w:ascii="宋体" w:hAnsi="宋体"/>
          <w:color w:val="auto"/>
          <w:sz w:val="24"/>
          <w:szCs w:val="24"/>
          <w:highlight w:val="none"/>
        </w:rPr>
        <w:t>属于</w:t>
      </w:r>
      <w:r>
        <w:rPr>
          <w:rFonts w:hint="eastAsia" w:ascii="宋体" w:hAnsi="宋体" w:eastAsia="宋体" w:cs="宋体"/>
          <w:b/>
          <w:bCs/>
          <w:color w:val="auto"/>
          <w:sz w:val="24"/>
          <w:szCs w:val="24"/>
          <w:highlight w:val="none"/>
          <w:u w:val="single"/>
          <w:lang w:val="en-US" w:eastAsia="zh-CN"/>
        </w:rPr>
        <w:t>其他未列明行业</w:t>
      </w:r>
      <w:r>
        <w:rPr>
          <w:rFonts w:hint="eastAsia" w:ascii="宋体" w:hAnsi="宋体"/>
          <w:color w:val="auto"/>
          <w:sz w:val="24"/>
          <w:szCs w:val="24"/>
          <w:highlight w:val="none"/>
        </w:rPr>
        <w:t>行业</w:t>
      </w:r>
      <w:r>
        <w:rPr>
          <w:rFonts w:hint="eastAsia" w:ascii="宋体" w:hAnsi="宋体"/>
          <w:color w:val="auto"/>
          <w:sz w:val="24"/>
          <w:szCs w:val="24"/>
          <w:highlight w:val="none"/>
          <w:u w:val="none"/>
          <w:lang w:eastAsia="zh-CN"/>
        </w:rPr>
        <w:t>（招标文件中明确的所属行业）</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承接企业</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lang w:eastAsia="zh-CN"/>
        </w:rPr>
        <w:t>，</w:t>
      </w:r>
      <w:r>
        <w:rPr>
          <w:rFonts w:hint="eastAsia" w:ascii="宋体" w:hAnsi="宋体"/>
          <w:color w:val="auto"/>
          <w:sz w:val="24"/>
          <w:szCs w:val="24"/>
          <w:highlight w:val="none"/>
        </w:rPr>
        <w:t>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属于</w:t>
      </w:r>
      <w:r>
        <w:rPr>
          <w:rFonts w:hint="eastAsia" w:ascii="宋体" w:hAnsi="宋体"/>
          <w:color w:val="auto"/>
          <w:sz w:val="24"/>
          <w:szCs w:val="24"/>
          <w:highlight w:val="none"/>
          <w:u w:val="none"/>
        </w:rPr>
        <w:sym w:font="Wingdings" w:char="00A8"/>
      </w:r>
      <w:r>
        <w:rPr>
          <w:rFonts w:hint="eastAsia" w:ascii="宋体" w:hAnsi="宋体"/>
          <w:color w:val="auto"/>
          <w:sz w:val="24"/>
          <w:szCs w:val="24"/>
          <w:highlight w:val="none"/>
          <w:u w:val="none"/>
          <w:lang w:eastAsia="zh-CN"/>
        </w:rPr>
        <w:t>中型企业</w:t>
      </w:r>
      <w:r>
        <w:rPr>
          <w:rFonts w:hint="eastAsia" w:ascii="宋体" w:hAnsi="宋体"/>
          <w:color w:val="auto"/>
          <w:sz w:val="24"/>
          <w:szCs w:val="24"/>
          <w:highlight w:val="none"/>
          <w:u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color w:val="auto"/>
          <w:sz w:val="24"/>
          <w:szCs w:val="24"/>
          <w:highlight w:val="none"/>
          <w:u w:val="none"/>
        </w:rPr>
        <w:t>小型企业</w:t>
      </w:r>
      <w:r>
        <w:rPr>
          <w:rFonts w:hint="eastAsia" w:ascii="宋体" w:hAnsi="宋体"/>
          <w:color w:val="auto"/>
          <w:sz w:val="24"/>
          <w:szCs w:val="24"/>
          <w:highlight w:val="none"/>
          <w:u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color w:val="auto"/>
          <w:sz w:val="24"/>
          <w:szCs w:val="24"/>
          <w:highlight w:val="none"/>
          <w:u w:val="none"/>
        </w:rPr>
        <w:t>微型企业</w:t>
      </w:r>
      <w:r>
        <w:rPr>
          <w:rFonts w:hint="eastAsia" w:ascii="宋体" w:hAnsi="宋体"/>
          <w:color w:val="auto"/>
          <w:sz w:val="24"/>
          <w:szCs w:val="24"/>
          <w:highlight w:val="none"/>
          <w:u w:val="none"/>
          <w:lang w:eastAsia="zh-CN"/>
        </w:rPr>
        <w:t>。</w:t>
      </w:r>
    </w:p>
    <w:p w14:paraId="451297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（标的名称）</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w:t>
      </w:r>
      <w:r>
        <w:rPr>
          <w:rFonts w:hint="eastAsia" w:ascii="宋体" w:hAnsi="宋体"/>
          <w:color w:val="auto"/>
          <w:sz w:val="24"/>
          <w:szCs w:val="24"/>
          <w:highlight w:val="none"/>
          <w:u w:val="none"/>
          <w:lang w:eastAsia="zh-CN"/>
        </w:rPr>
        <w:t>（招标文件中明确的所属行业）</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承接企业</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lang w:eastAsia="zh-CN"/>
        </w:rPr>
        <w:t>，</w:t>
      </w:r>
      <w:r>
        <w:rPr>
          <w:rFonts w:hint="eastAsia" w:ascii="宋体" w:hAnsi="宋体"/>
          <w:color w:val="auto"/>
          <w:sz w:val="24"/>
          <w:szCs w:val="24"/>
          <w:highlight w:val="none"/>
        </w:rPr>
        <w:t>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属于</w:t>
      </w:r>
      <w:r>
        <w:rPr>
          <w:rFonts w:hint="eastAsia" w:ascii="宋体" w:hAnsi="宋体"/>
          <w:color w:val="auto"/>
          <w:sz w:val="24"/>
          <w:szCs w:val="24"/>
          <w:highlight w:val="none"/>
          <w:u w:val="none"/>
        </w:rPr>
        <w:sym w:font="Wingdings" w:char="00A8"/>
      </w:r>
      <w:r>
        <w:rPr>
          <w:rFonts w:hint="eastAsia" w:ascii="宋体" w:hAnsi="宋体"/>
          <w:color w:val="auto"/>
          <w:sz w:val="24"/>
          <w:szCs w:val="24"/>
          <w:highlight w:val="none"/>
          <w:u w:val="none"/>
          <w:lang w:eastAsia="zh-CN"/>
        </w:rPr>
        <w:t>中型企业</w:t>
      </w:r>
      <w:r>
        <w:rPr>
          <w:rFonts w:hint="eastAsia" w:ascii="宋体" w:hAnsi="宋体"/>
          <w:color w:val="auto"/>
          <w:sz w:val="24"/>
          <w:szCs w:val="24"/>
          <w:highlight w:val="none"/>
          <w:u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color w:val="auto"/>
          <w:sz w:val="24"/>
          <w:szCs w:val="24"/>
          <w:highlight w:val="none"/>
          <w:u w:val="none"/>
        </w:rPr>
        <w:t>小型企业</w:t>
      </w:r>
      <w:r>
        <w:rPr>
          <w:rFonts w:hint="eastAsia" w:ascii="宋体" w:hAnsi="宋体"/>
          <w:color w:val="auto"/>
          <w:sz w:val="24"/>
          <w:szCs w:val="24"/>
          <w:highlight w:val="none"/>
          <w:u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color w:val="auto"/>
          <w:sz w:val="24"/>
          <w:szCs w:val="24"/>
          <w:highlight w:val="none"/>
          <w:u w:val="none"/>
        </w:rPr>
        <w:t>微型企业</w:t>
      </w:r>
      <w:r>
        <w:rPr>
          <w:rFonts w:hint="eastAsia" w:ascii="宋体" w:hAnsi="宋体"/>
          <w:color w:val="auto"/>
          <w:sz w:val="24"/>
          <w:szCs w:val="24"/>
          <w:highlight w:val="none"/>
          <w:u w:val="none"/>
          <w:lang w:eastAsia="zh-CN"/>
        </w:rPr>
        <w:t>。</w:t>
      </w:r>
    </w:p>
    <w:p w14:paraId="5D84F85B">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color w:val="auto"/>
          <w:sz w:val="24"/>
          <w:szCs w:val="24"/>
          <w:highlight w:val="none"/>
        </w:rPr>
      </w:pPr>
      <w:r>
        <w:rPr>
          <w:rFonts w:hint="eastAsia" w:ascii="宋体" w:hAnsi="宋体"/>
          <w:color w:val="auto"/>
          <w:sz w:val="24"/>
          <w:szCs w:val="24"/>
          <w:highlight w:val="none"/>
        </w:rPr>
        <w:t>……</w:t>
      </w:r>
    </w:p>
    <w:p w14:paraId="36139F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以上企业</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不属于大企业的分支机构</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不存在控股股东为大企业的情形</w:t>
      </w:r>
      <w:r>
        <w:rPr>
          <w:rFonts w:hint="eastAsia" w:ascii="宋体" w:hAnsi="宋体"/>
          <w:color w:val="auto"/>
          <w:sz w:val="24"/>
          <w:szCs w:val="24"/>
          <w:highlight w:val="none"/>
          <w:lang w:eastAsia="zh-CN"/>
        </w:rPr>
        <w:t>，</w:t>
      </w:r>
      <w:r>
        <w:rPr>
          <w:rFonts w:hint="eastAsia" w:ascii="宋体" w:hAnsi="宋体"/>
          <w:color w:val="auto"/>
          <w:sz w:val="24"/>
          <w:szCs w:val="24"/>
          <w:highlight w:val="none"/>
        </w:rPr>
        <w:t>也不存在与大企业的负责人为同一人的情形。</w:t>
      </w:r>
    </w:p>
    <w:p w14:paraId="050B86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本企业对上述声明内容的真实性负责</w:t>
      </w:r>
      <w:r>
        <w:rPr>
          <w:rFonts w:hint="eastAsia" w:ascii="宋体" w:hAnsi="宋体"/>
          <w:color w:val="auto"/>
          <w:sz w:val="24"/>
          <w:szCs w:val="24"/>
          <w:highlight w:val="none"/>
          <w:lang w:eastAsia="zh-CN"/>
        </w:rPr>
        <w:t>，</w:t>
      </w:r>
      <w:r>
        <w:rPr>
          <w:rFonts w:hint="eastAsia" w:ascii="宋体" w:hAnsi="宋体"/>
          <w:color w:val="auto"/>
          <w:sz w:val="24"/>
          <w:szCs w:val="24"/>
          <w:highlight w:val="none"/>
        </w:rPr>
        <w:t>如有虚假</w:t>
      </w:r>
      <w:r>
        <w:rPr>
          <w:rFonts w:hint="eastAsia" w:ascii="宋体" w:hAnsi="宋体"/>
          <w:color w:val="auto"/>
          <w:sz w:val="24"/>
          <w:szCs w:val="24"/>
          <w:highlight w:val="none"/>
          <w:lang w:eastAsia="zh-CN"/>
        </w:rPr>
        <w:t>，</w:t>
      </w:r>
      <w:r>
        <w:rPr>
          <w:rFonts w:hint="eastAsia" w:ascii="宋体" w:hAnsi="宋体"/>
          <w:color w:val="auto"/>
          <w:sz w:val="24"/>
          <w:szCs w:val="24"/>
          <w:highlight w:val="none"/>
        </w:rPr>
        <w:t>将依法承担相应责任</w:t>
      </w:r>
      <w:r>
        <w:rPr>
          <w:rFonts w:hint="eastAsia" w:ascii="宋体" w:hAnsi="宋体"/>
          <w:color w:val="auto"/>
          <w:sz w:val="24"/>
          <w:szCs w:val="24"/>
          <w:highlight w:val="none"/>
          <w:lang w:eastAsia="zh-CN"/>
        </w:rPr>
        <w:t>。</w:t>
      </w:r>
    </w:p>
    <w:p w14:paraId="205293B5">
      <w:pPr>
        <w:pStyle w:val="92"/>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olor w:val="auto"/>
          <w:sz w:val="24"/>
          <w:szCs w:val="24"/>
          <w:highlight w:val="none"/>
          <w:lang w:eastAsia="zh-CN"/>
        </w:rPr>
      </w:pPr>
    </w:p>
    <w:p w14:paraId="645FC7AA">
      <w:pPr>
        <w:keepNext w:val="0"/>
        <w:keepLines w:val="0"/>
        <w:pageBreakBefore w:val="0"/>
        <w:kinsoku/>
        <w:wordWrap/>
        <w:overflowPunct/>
        <w:topLinePunct w:val="0"/>
        <w:autoSpaceDE/>
        <w:autoSpaceDN/>
        <w:bidi w:val="0"/>
        <w:adjustRightInd w:val="0"/>
        <w:snapToGrid w:val="0"/>
        <w:spacing w:line="360" w:lineRule="auto"/>
        <w:textAlignment w:val="auto"/>
        <w:rPr>
          <w:rFonts w:hint="eastAsia"/>
          <w:color w:val="auto"/>
          <w:highlight w:val="none"/>
          <w:lang w:eastAsia="zh-CN"/>
        </w:rPr>
      </w:pPr>
    </w:p>
    <w:p w14:paraId="55944DE9">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14:paraId="61727627">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p>
    <w:p w14:paraId="62A4A1A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szCs w:val="24"/>
          <w:highlight w:val="none"/>
          <w:lang w:eastAsia="zh-CN"/>
        </w:rPr>
      </w:pPr>
    </w:p>
    <w:p w14:paraId="2B8813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备注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eastAsia="zh-CN"/>
        </w:rPr>
        <w:t>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2.在所属企业类型前的</w:t>
      </w:r>
      <w:r>
        <w:rPr>
          <w:rFonts w:hint="eastAsia" w:ascii="宋体" w:hAnsi="宋体" w:eastAsia="宋体" w:cs="Times New Roman"/>
          <w:color w:val="auto"/>
          <w:sz w:val="24"/>
          <w:szCs w:val="24"/>
          <w:highlight w:val="none"/>
          <w:u w:val="none"/>
        </w:rPr>
        <w:sym w:font="Wingdings" w:char="00A8"/>
      </w:r>
      <w:r>
        <w:rPr>
          <w:rFonts w:hint="eastAsia" w:ascii="宋体" w:hAnsi="宋体" w:eastAsia="宋体" w:cs="Times New Roman"/>
          <w:color w:val="auto"/>
          <w:sz w:val="24"/>
          <w:szCs w:val="24"/>
          <w:highlight w:val="none"/>
          <w:u w:val="none"/>
          <w:lang w:val="en-US" w:eastAsia="zh-CN"/>
        </w:rPr>
        <w:t>内打“√”。</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eastAsia="zh-CN"/>
        </w:rPr>
        <w:t>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不得享受小微企业价格扣除政策</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项目</w:t>
      </w:r>
      <w:r>
        <w:rPr>
          <w:rFonts w:hint="eastAsia" w:ascii="宋体" w:hAnsi="宋体" w:eastAsia="宋体" w:cs="Times New Roman"/>
          <w:color w:val="auto"/>
          <w:sz w:val="24"/>
          <w:szCs w:val="24"/>
          <w:highlight w:val="none"/>
          <w:lang w:eastAsia="zh-CN"/>
        </w:rPr>
        <w:t>清单中列示的所有</w:t>
      </w:r>
      <w:r>
        <w:rPr>
          <w:rFonts w:hint="default" w:ascii="宋体" w:hAnsi="宋体" w:eastAsia="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lang w:eastAsia="zh-CN"/>
        </w:rPr>
        <w:t>，投标人须在声明函中逐项列示并明确承接企业的类型，如有缺失将按“不提供声明函”处理。此声明函将随成交结果同时公告，接受社会监督。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4.服务</w:t>
      </w:r>
      <w:r>
        <w:rPr>
          <w:rFonts w:hint="eastAsia" w:ascii="宋体" w:hAnsi="宋体" w:eastAsia="宋体" w:cs="Times New Roman"/>
          <w:color w:val="auto"/>
          <w:sz w:val="24"/>
          <w:szCs w:val="24"/>
          <w:highlight w:val="none"/>
          <w:lang w:eastAsia="zh-CN"/>
        </w:rPr>
        <w:t>采购项目中，服务的承接商应当为中小企业，不对其中涉及的货物的制造商、工程的承建商作出要求。</w:t>
      </w:r>
    </w:p>
    <w:p w14:paraId="65757393">
      <w:pPr>
        <w:adjustRightInd w:val="0"/>
        <w:snapToGrid w:val="0"/>
        <w:spacing w:line="360" w:lineRule="auto"/>
        <w:ind w:firstLine="0" w:firstLineChars="0"/>
        <w:jc w:val="left"/>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十二、</w:t>
      </w:r>
      <w:r>
        <w:rPr>
          <w:rFonts w:hint="eastAsia" w:ascii="黑体" w:hAnsi="黑体" w:eastAsia="黑体" w:cs="Times New Roman"/>
          <w:i w:val="0"/>
          <w:iCs w:val="0"/>
          <w:color w:val="auto"/>
          <w:sz w:val="32"/>
          <w:szCs w:val="32"/>
          <w:highlight w:val="none"/>
          <w:u w:val="none"/>
          <w:lang w:val="en-US" w:eastAsia="zh-CN"/>
        </w:rPr>
        <w:t>残疾人福利性单位声明函（</w:t>
      </w:r>
      <w:r>
        <w:rPr>
          <w:rFonts w:hint="eastAsia" w:ascii="黑体" w:hAnsi="黑体" w:eastAsia="黑体" w:cs="Times New Roman"/>
          <w:i w:val="0"/>
          <w:iCs/>
          <w:color w:val="auto"/>
          <w:sz w:val="32"/>
          <w:szCs w:val="32"/>
          <w:highlight w:val="none"/>
          <w:u w:val="none"/>
          <w:lang w:val="en-US" w:eastAsia="zh-CN"/>
        </w:rPr>
        <w:t>如有）</w:t>
      </w:r>
    </w:p>
    <w:p w14:paraId="7763667B">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方正小标宋简体" w:hAnsi="方正小标宋简体" w:eastAsia="方正小标宋简体" w:cs="方正小标宋简体"/>
          <w:b w:val="0"/>
          <w:bCs w:val="0"/>
          <w:color w:val="auto"/>
          <w:kern w:val="2"/>
          <w:sz w:val="32"/>
          <w:szCs w:val="32"/>
          <w:highlight w:val="none"/>
          <w:lang w:val="en-US" w:eastAsia="zh-CN"/>
        </w:rPr>
        <w:t>残疾人福利性单位声明函</w:t>
      </w:r>
    </w:p>
    <w:p w14:paraId="22E861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1"/>
          <w:highlight w:val="none"/>
        </w:rPr>
      </w:pPr>
      <w:r>
        <w:rPr>
          <w:rFonts w:hint="eastAsia" w:ascii="宋体" w:hAnsi="宋体"/>
          <w:color w:val="auto"/>
          <w:sz w:val="24"/>
          <w:highlight w:val="none"/>
        </w:rPr>
        <w:t>本单位郑重声明</w:t>
      </w:r>
      <w:r>
        <w:rPr>
          <w:rFonts w:hint="eastAsia" w:ascii="宋体" w:hAnsi="宋体"/>
          <w:color w:val="auto"/>
          <w:sz w:val="24"/>
          <w:highlight w:val="none"/>
          <w:lang w:eastAsia="zh-CN"/>
        </w:rPr>
        <w:t>，</w:t>
      </w:r>
      <w:r>
        <w:rPr>
          <w:rFonts w:hint="eastAsia" w:ascii="宋体" w:hAnsi="宋体"/>
          <w:color w:val="auto"/>
          <w:sz w:val="24"/>
          <w:highlight w:val="none"/>
        </w:rPr>
        <w:t>根据《财政部 民政部 中国残疾人联合会关于促进残疾人就业政府采购政策的通知》（财库〔2017〕141号）的规定</w:t>
      </w:r>
      <w:r>
        <w:rPr>
          <w:rFonts w:hint="eastAsia" w:ascii="宋体" w:hAnsi="宋体"/>
          <w:color w:val="auto"/>
          <w:sz w:val="24"/>
          <w:highlight w:val="none"/>
          <w:lang w:eastAsia="zh-CN"/>
        </w:rPr>
        <w:t>，</w:t>
      </w:r>
      <w:r>
        <w:rPr>
          <w:rFonts w:hint="eastAsia" w:ascii="宋体" w:hAnsi="宋体"/>
          <w:color w:val="auto"/>
          <w:sz w:val="24"/>
          <w:highlight w:val="none"/>
        </w:rPr>
        <w:t>本单位为符合条件的残疾人福利性单位</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rPr>
        <w:t>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val="en-US" w:eastAsia="zh-CN"/>
        </w:rPr>
        <w:t>XXX</w:t>
      </w:r>
      <w:r>
        <w:rPr>
          <w:rFonts w:hint="eastAsia" w:ascii="宋体" w:hAnsi="宋体" w:eastAsia="宋体" w:cs="Times New Roman"/>
          <w:color w:val="auto"/>
          <w:sz w:val="24"/>
          <w:szCs w:val="24"/>
          <w:highlight w:val="none"/>
          <w:u w:val="none"/>
          <w:lang w:eastAsia="zh-CN"/>
        </w:rPr>
        <w:t>）</w:t>
      </w:r>
      <w:r>
        <w:rPr>
          <w:rFonts w:hint="eastAsia" w:ascii="宋体" w:hAnsi="宋体" w:eastAsia="宋体" w:cs="Times New Roman"/>
          <w:color w:val="auto"/>
          <w:sz w:val="24"/>
          <w:szCs w:val="24"/>
          <w:highlight w:val="none"/>
        </w:rPr>
        <w:t>的采购活动</w:t>
      </w:r>
      <w:r>
        <w:rPr>
          <w:rFonts w:hint="eastAsia" w:ascii="宋体" w:hAnsi="宋体"/>
          <w:color w:val="auto"/>
          <w:sz w:val="24"/>
          <w:highlight w:val="none"/>
          <w:lang w:eastAsia="zh-CN"/>
        </w:rPr>
        <w:t>，</w:t>
      </w:r>
      <w:r>
        <w:rPr>
          <w:rFonts w:hint="eastAsia" w:ascii="宋体" w:hAnsi="宋体"/>
          <w:color w:val="auto"/>
          <w:sz w:val="24"/>
          <w:szCs w:val="24"/>
          <w:highlight w:val="none"/>
        </w:rPr>
        <w:t>服务全部由</w:t>
      </w:r>
      <w:r>
        <w:rPr>
          <w:rFonts w:hint="eastAsia" w:ascii="宋体" w:hAnsi="宋体"/>
          <w:color w:val="auto"/>
          <w:sz w:val="24"/>
          <w:szCs w:val="24"/>
          <w:highlight w:val="none"/>
          <w:lang w:eastAsia="zh-CN"/>
        </w:rPr>
        <w:t>本单位提供</w:t>
      </w:r>
      <w:r>
        <w:rPr>
          <w:rFonts w:hint="eastAsia" w:ascii="宋体" w:hAnsi="宋体"/>
          <w:color w:val="auto"/>
          <w:sz w:val="24"/>
          <w:szCs w:val="21"/>
          <w:highlight w:val="none"/>
        </w:rPr>
        <w:t>。</w:t>
      </w:r>
    </w:p>
    <w:p w14:paraId="45449F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本单位对上述声明的真实性负责</w:t>
      </w:r>
      <w:r>
        <w:rPr>
          <w:rFonts w:hint="eastAsia" w:ascii="宋体" w:hAnsi="宋体"/>
          <w:color w:val="auto"/>
          <w:sz w:val="24"/>
          <w:highlight w:val="none"/>
          <w:lang w:eastAsia="zh-CN"/>
        </w:rPr>
        <w:t>，</w:t>
      </w:r>
      <w:r>
        <w:rPr>
          <w:rFonts w:hint="eastAsia" w:ascii="宋体" w:hAnsi="宋体"/>
          <w:color w:val="auto"/>
          <w:sz w:val="24"/>
          <w:highlight w:val="none"/>
        </w:rPr>
        <w:t>如有虚假</w:t>
      </w:r>
      <w:r>
        <w:rPr>
          <w:rFonts w:hint="eastAsia" w:ascii="宋体" w:hAnsi="宋体"/>
          <w:color w:val="auto"/>
          <w:sz w:val="24"/>
          <w:highlight w:val="none"/>
          <w:lang w:eastAsia="zh-CN"/>
        </w:rPr>
        <w:t>，</w:t>
      </w:r>
      <w:r>
        <w:rPr>
          <w:rFonts w:hint="eastAsia" w:ascii="宋体" w:hAnsi="宋体"/>
          <w:color w:val="auto"/>
          <w:sz w:val="24"/>
          <w:highlight w:val="none"/>
        </w:rPr>
        <w:t>将依法承担相应责任。</w:t>
      </w:r>
    </w:p>
    <w:p w14:paraId="509F78E9">
      <w:pPr>
        <w:pStyle w:val="92"/>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olor w:val="auto"/>
          <w:sz w:val="24"/>
          <w:szCs w:val="24"/>
          <w:highlight w:val="none"/>
          <w:lang w:eastAsia="zh-CN"/>
        </w:rPr>
      </w:pPr>
    </w:p>
    <w:p w14:paraId="64C22FB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olor w:val="auto"/>
          <w:highlight w:val="none"/>
          <w:lang w:eastAsia="zh-CN"/>
        </w:rPr>
      </w:pPr>
    </w:p>
    <w:p w14:paraId="049DED33">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14:paraId="4EA6C985">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p>
    <w:p w14:paraId="176426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p>
    <w:p w14:paraId="136ACC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备注：</w:t>
      </w:r>
    </w:p>
    <w:p w14:paraId="76B909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lang w:eastAsia="zh-CN"/>
        </w:rPr>
        <w:t>投标人</w:t>
      </w:r>
      <w:r>
        <w:rPr>
          <w:rFonts w:hint="eastAsia" w:ascii="宋体" w:hAnsi="宋体"/>
          <w:color w:val="auto"/>
          <w:sz w:val="24"/>
          <w:highlight w:val="none"/>
        </w:rPr>
        <w:t>如不提供此声明函</w:t>
      </w:r>
      <w:r>
        <w:rPr>
          <w:rFonts w:hint="eastAsia" w:ascii="宋体" w:hAnsi="宋体"/>
          <w:color w:val="auto"/>
          <w:sz w:val="24"/>
          <w:highlight w:val="none"/>
          <w:lang w:eastAsia="zh-CN"/>
        </w:rPr>
        <w:t>，</w:t>
      </w:r>
      <w:r>
        <w:rPr>
          <w:rFonts w:hint="eastAsia" w:ascii="宋体" w:hAnsi="宋体"/>
          <w:color w:val="auto"/>
          <w:sz w:val="24"/>
          <w:highlight w:val="none"/>
        </w:rPr>
        <w:t>价格将不</w:t>
      </w:r>
      <w:r>
        <w:rPr>
          <w:rFonts w:hint="eastAsia" w:ascii="宋体" w:hAnsi="宋体"/>
          <w:color w:val="auto"/>
          <w:sz w:val="24"/>
          <w:highlight w:val="none"/>
          <w:lang w:eastAsia="zh-CN"/>
        </w:rPr>
        <w:t>作</w:t>
      </w:r>
      <w:r>
        <w:rPr>
          <w:rFonts w:hint="eastAsia" w:ascii="宋体" w:hAnsi="宋体"/>
          <w:color w:val="auto"/>
          <w:sz w:val="24"/>
          <w:highlight w:val="none"/>
        </w:rPr>
        <w:t>相应扣除。</w:t>
      </w:r>
    </w:p>
    <w:p w14:paraId="3975F4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rPr>
        <w:t>中标人为残疾人福利</w:t>
      </w:r>
      <w:r>
        <w:rPr>
          <w:rFonts w:hint="eastAsia" w:ascii="宋体" w:hAnsi="宋体"/>
          <w:color w:val="auto"/>
          <w:sz w:val="24"/>
          <w:highlight w:val="none"/>
          <w:lang w:val="en-US" w:eastAsia="zh-CN"/>
        </w:rPr>
        <w:t>性</w:t>
      </w:r>
      <w:r>
        <w:rPr>
          <w:rFonts w:hint="eastAsia" w:ascii="宋体" w:hAnsi="宋体"/>
          <w:color w:val="auto"/>
          <w:sz w:val="24"/>
          <w:highlight w:val="none"/>
        </w:rPr>
        <w:t>单位的</w:t>
      </w:r>
      <w:r>
        <w:rPr>
          <w:rFonts w:hint="eastAsia" w:ascii="宋体" w:hAnsi="宋体"/>
          <w:color w:val="auto"/>
          <w:sz w:val="24"/>
          <w:highlight w:val="none"/>
          <w:lang w:eastAsia="zh-CN"/>
        </w:rPr>
        <w:t>，</w:t>
      </w:r>
      <w:r>
        <w:rPr>
          <w:rFonts w:hint="eastAsia" w:ascii="宋体" w:hAnsi="宋体"/>
          <w:color w:val="auto"/>
          <w:sz w:val="24"/>
          <w:highlight w:val="none"/>
        </w:rPr>
        <w:t>此声明函将随中标结果同时公告</w:t>
      </w:r>
      <w:r>
        <w:rPr>
          <w:rFonts w:hint="eastAsia" w:ascii="宋体" w:hAnsi="宋体"/>
          <w:color w:val="auto"/>
          <w:sz w:val="24"/>
          <w:highlight w:val="none"/>
          <w:lang w:eastAsia="zh-CN"/>
        </w:rPr>
        <w:t>，</w:t>
      </w:r>
      <w:r>
        <w:rPr>
          <w:rFonts w:hint="eastAsia" w:ascii="宋体" w:hAnsi="宋体"/>
          <w:color w:val="auto"/>
          <w:sz w:val="24"/>
          <w:highlight w:val="none"/>
        </w:rPr>
        <w:t>接受社会监督</w:t>
      </w:r>
      <w:r>
        <w:rPr>
          <w:rFonts w:hint="eastAsia" w:ascii="宋体" w:hAnsi="宋体"/>
          <w:color w:val="auto"/>
          <w:sz w:val="24"/>
          <w:highlight w:val="none"/>
          <w:lang w:eastAsia="zh-CN"/>
        </w:rPr>
        <w:t>。</w:t>
      </w:r>
    </w:p>
    <w:p w14:paraId="2BBD8227">
      <w:pPr>
        <w:spacing w:line="480" w:lineRule="exact"/>
        <w:ind w:firstLine="480" w:firstLineChars="200"/>
        <w:rPr>
          <w:rFonts w:ascii="宋体" w:hAnsi="宋体"/>
          <w:color w:val="auto"/>
          <w:sz w:val="24"/>
          <w:highlight w:val="none"/>
        </w:rPr>
      </w:pPr>
    </w:p>
    <w:p w14:paraId="0ADD7EB8">
      <w:pPr>
        <w:spacing w:line="560" w:lineRule="exact"/>
        <w:jc w:val="center"/>
        <w:rPr>
          <w:rFonts w:hint="eastAsia" w:ascii="黑体" w:hAnsi="黑体" w:eastAsia="黑体"/>
          <w:b/>
          <w:color w:val="auto"/>
          <w:sz w:val="32"/>
          <w:szCs w:val="32"/>
          <w:highlight w:val="none"/>
        </w:rPr>
      </w:pPr>
    </w:p>
    <w:p w14:paraId="497D3720">
      <w:pPr>
        <w:spacing w:line="560" w:lineRule="exact"/>
        <w:jc w:val="center"/>
        <w:rPr>
          <w:rFonts w:hint="eastAsia" w:ascii="黑体" w:hAnsi="黑体" w:eastAsia="黑体"/>
          <w:b/>
          <w:color w:val="auto"/>
          <w:sz w:val="32"/>
          <w:szCs w:val="32"/>
          <w:highlight w:val="none"/>
        </w:rPr>
      </w:pPr>
    </w:p>
    <w:p w14:paraId="650B6FED">
      <w:pPr>
        <w:spacing w:line="560" w:lineRule="exact"/>
        <w:jc w:val="center"/>
        <w:rPr>
          <w:rFonts w:hint="eastAsia" w:ascii="黑体" w:hAnsi="黑体" w:eastAsia="黑体"/>
          <w:b/>
          <w:color w:val="auto"/>
          <w:sz w:val="32"/>
          <w:szCs w:val="32"/>
          <w:highlight w:val="none"/>
        </w:rPr>
      </w:pPr>
    </w:p>
    <w:p w14:paraId="1A28893B">
      <w:pPr>
        <w:spacing w:line="560" w:lineRule="exact"/>
        <w:jc w:val="center"/>
        <w:rPr>
          <w:rFonts w:hint="eastAsia" w:ascii="黑体" w:hAnsi="黑体" w:eastAsia="黑体"/>
          <w:b/>
          <w:color w:val="auto"/>
          <w:sz w:val="32"/>
          <w:szCs w:val="32"/>
          <w:highlight w:val="none"/>
        </w:rPr>
      </w:pPr>
    </w:p>
    <w:p w14:paraId="3F5381C1">
      <w:pPr>
        <w:spacing w:line="560" w:lineRule="exact"/>
        <w:jc w:val="center"/>
        <w:rPr>
          <w:rFonts w:hint="eastAsia" w:ascii="黑体" w:hAnsi="黑体" w:eastAsia="黑体"/>
          <w:b/>
          <w:color w:val="auto"/>
          <w:sz w:val="32"/>
          <w:szCs w:val="32"/>
          <w:highlight w:val="none"/>
        </w:rPr>
      </w:pPr>
    </w:p>
    <w:p w14:paraId="2FCE167B">
      <w:pPr>
        <w:spacing w:line="560" w:lineRule="exact"/>
        <w:jc w:val="center"/>
        <w:rPr>
          <w:rFonts w:hint="eastAsia" w:ascii="黑体" w:hAnsi="黑体" w:eastAsia="黑体"/>
          <w:b/>
          <w:color w:val="auto"/>
          <w:sz w:val="32"/>
          <w:szCs w:val="32"/>
          <w:highlight w:val="none"/>
        </w:rPr>
      </w:pPr>
    </w:p>
    <w:p w14:paraId="1D067D57">
      <w:pPr>
        <w:spacing w:line="560" w:lineRule="exact"/>
        <w:jc w:val="center"/>
        <w:rPr>
          <w:rFonts w:hint="eastAsia" w:ascii="黑体" w:hAnsi="黑体" w:eastAsia="黑体"/>
          <w:b/>
          <w:color w:val="auto"/>
          <w:sz w:val="32"/>
          <w:szCs w:val="32"/>
          <w:highlight w:val="none"/>
        </w:rPr>
      </w:pPr>
    </w:p>
    <w:p w14:paraId="5D97644B">
      <w:pPr>
        <w:spacing w:line="560" w:lineRule="exact"/>
        <w:jc w:val="center"/>
        <w:rPr>
          <w:rFonts w:hint="eastAsia" w:ascii="黑体" w:hAnsi="黑体" w:eastAsia="黑体"/>
          <w:b/>
          <w:color w:val="auto"/>
          <w:sz w:val="32"/>
          <w:szCs w:val="32"/>
          <w:highlight w:val="none"/>
        </w:rPr>
      </w:pPr>
    </w:p>
    <w:p w14:paraId="61184F83">
      <w:pPr>
        <w:spacing w:line="560" w:lineRule="exact"/>
        <w:jc w:val="center"/>
        <w:rPr>
          <w:rFonts w:hint="eastAsia" w:ascii="黑体" w:hAnsi="黑体" w:eastAsia="黑体"/>
          <w:b/>
          <w:color w:val="auto"/>
          <w:sz w:val="32"/>
          <w:szCs w:val="32"/>
          <w:highlight w:val="none"/>
        </w:rPr>
      </w:pPr>
    </w:p>
    <w:p w14:paraId="2D6C8A35">
      <w:pPr>
        <w:spacing w:line="560" w:lineRule="exact"/>
        <w:jc w:val="center"/>
        <w:rPr>
          <w:rFonts w:hint="eastAsia" w:ascii="黑体" w:hAnsi="黑体" w:eastAsia="黑体"/>
          <w:b/>
          <w:color w:val="auto"/>
          <w:sz w:val="32"/>
          <w:szCs w:val="32"/>
          <w:highlight w:val="none"/>
        </w:rPr>
      </w:pPr>
    </w:p>
    <w:p w14:paraId="1CBA1288">
      <w:pPr>
        <w:numPr>
          <w:ilvl w:val="0"/>
          <w:numId w:val="0"/>
        </w:numPr>
        <w:adjustRightInd w:val="0"/>
        <w:snapToGrid w:val="0"/>
        <w:spacing w:line="360" w:lineRule="auto"/>
        <w:jc w:val="left"/>
        <w:rPr>
          <w:rFonts w:hint="eastAsia" w:ascii="黑体" w:hAnsi="黑体" w:eastAsia="黑体" w:cs="Times New Roman"/>
          <w:i w:val="0"/>
          <w:iCs w:val="0"/>
          <w:color w:val="auto"/>
          <w:sz w:val="32"/>
          <w:szCs w:val="32"/>
          <w:highlight w:val="none"/>
          <w:u w:val="none"/>
          <w:lang w:val="en-US" w:eastAsia="zh-CN"/>
        </w:rPr>
      </w:pPr>
    </w:p>
    <w:p w14:paraId="5BD22F44">
      <w:pPr>
        <w:adjustRightInd w:val="0"/>
        <w:snapToGrid w:val="0"/>
        <w:spacing w:line="360" w:lineRule="auto"/>
        <w:ind w:firstLine="0" w:firstLineChars="0"/>
        <w:jc w:val="left"/>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十三、联合体协议（如有）</w:t>
      </w:r>
    </w:p>
    <w:p w14:paraId="5A266E7B">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方正小标宋简体" w:hAnsi="方正小标宋简体" w:eastAsia="方正小标宋简体" w:cs="方正小标宋简体"/>
          <w:b w:val="0"/>
          <w:bCs w:val="0"/>
          <w:color w:val="auto"/>
          <w:kern w:val="2"/>
          <w:sz w:val="32"/>
          <w:szCs w:val="32"/>
          <w:highlight w:val="none"/>
          <w:lang w:val="en-US" w:eastAsia="zh-CN"/>
        </w:rPr>
        <w:t>联合体协议</w:t>
      </w:r>
    </w:p>
    <w:p w14:paraId="35691107">
      <w:pPr>
        <w:spacing w:line="360" w:lineRule="auto"/>
        <w:rPr>
          <w:rFonts w:ascii="宋体" w:hAnsi="宋体"/>
          <w:color w:val="auto"/>
          <w:sz w:val="24"/>
          <w:highlight w:val="none"/>
        </w:rPr>
      </w:pPr>
      <w:r>
        <w:rPr>
          <w:rFonts w:hint="eastAsia" w:ascii="宋体" w:hAnsi="宋体"/>
          <w:color w:val="auto"/>
          <w:sz w:val="24"/>
          <w:highlight w:val="none"/>
        </w:rPr>
        <w:t>（联合体中各供应商全称）在此达成以下协议：</w:t>
      </w:r>
    </w:p>
    <w:p w14:paraId="7068C349">
      <w:pPr>
        <w:spacing w:line="360" w:lineRule="auto"/>
        <w:ind w:firstLine="645"/>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w:t>
      </w:r>
      <w:r>
        <w:rPr>
          <w:rFonts w:ascii="宋体" w:hAnsi="宋体"/>
          <w:color w:val="auto"/>
          <w:sz w:val="24"/>
          <w:highlight w:val="none"/>
          <w:u w:val="single"/>
        </w:rPr>
        <w:t>……</w:t>
      </w:r>
      <w:r>
        <w:rPr>
          <w:rFonts w:hint="eastAsia" w:ascii="宋体" w:hAnsi="宋体"/>
          <w:color w:val="auto"/>
          <w:sz w:val="24"/>
          <w:highlight w:val="none"/>
        </w:rPr>
        <w:t>自愿组成联合体</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rPr>
        <w:t>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eastAsia="zh-CN"/>
        </w:rPr>
        <w:t>XXX</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rPr>
        <w:t>的采购活动</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并</w:t>
      </w:r>
      <w:r>
        <w:rPr>
          <w:rFonts w:hint="eastAsia" w:ascii="宋体" w:hAnsi="宋体"/>
          <w:color w:val="auto"/>
          <w:sz w:val="24"/>
          <w:highlight w:val="none"/>
        </w:rPr>
        <w:t>指定</w:t>
      </w:r>
      <w:r>
        <w:rPr>
          <w:rFonts w:hint="eastAsia" w:ascii="宋体" w:hAnsi="宋体" w:eastAsia="宋体" w:cs="Times New Roman"/>
          <w:color w:val="auto"/>
          <w:sz w:val="24"/>
          <w:szCs w:val="24"/>
          <w:highlight w:val="none"/>
          <w:u w:val="single"/>
          <w:lang w:val="en-US" w:eastAsia="zh-CN"/>
        </w:rPr>
        <w:t>XXXXXXXXXXXXXXXXXXX</w:t>
      </w:r>
      <w:r>
        <w:rPr>
          <w:rFonts w:hint="eastAsia" w:ascii="宋体" w:hAnsi="宋体"/>
          <w:color w:val="auto"/>
          <w:sz w:val="24"/>
          <w:highlight w:val="none"/>
          <w:u w:val="none"/>
        </w:rPr>
        <w:t>（供应商</w:t>
      </w:r>
      <w:r>
        <w:rPr>
          <w:rFonts w:hint="eastAsia" w:ascii="宋体" w:hAnsi="宋体"/>
          <w:color w:val="auto"/>
          <w:sz w:val="24"/>
          <w:highlight w:val="none"/>
          <w:u w:val="none"/>
          <w:lang w:val="en-US" w:eastAsia="zh-CN"/>
        </w:rPr>
        <w:t>名称</w:t>
      </w:r>
      <w:r>
        <w:rPr>
          <w:rFonts w:hint="eastAsia" w:ascii="宋体" w:hAnsi="宋体"/>
          <w:color w:val="auto"/>
          <w:sz w:val="24"/>
          <w:highlight w:val="none"/>
          <w:u w:val="none"/>
        </w:rPr>
        <w:t>）</w:t>
      </w:r>
      <w:r>
        <w:rPr>
          <w:rFonts w:hint="eastAsia" w:ascii="宋体" w:hAnsi="宋体"/>
          <w:color w:val="auto"/>
          <w:sz w:val="24"/>
          <w:highlight w:val="none"/>
        </w:rPr>
        <w:t>为牵头单位。</w:t>
      </w:r>
    </w:p>
    <w:p w14:paraId="058BD076">
      <w:pPr>
        <w:spacing w:line="360" w:lineRule="auto"/>
        <w:ind w:firstLine="645"/>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rPr>
        <w:t>若我们联合中标</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u w:val="single"/>
          <w:lang w:val="en-US" w:eastAsia="zh-CN"/>
        </w:rPr>
        <w:t>XXXXXXXXXXXXXXXXXXX</w:t>
      </w:r>
      <w:r>
        <w:rPr>
          <w:rFonts w:hint="eastAsia" w:ascii="宋体" w:hAnsi="宋体"/>
          <w:color w:val="auto"/>
          <w:sz w:val="24"/>
          <w:highlight w:val="none"/>
          <w:u w:val="none"/>
        </w:rPr>
        <w:t>（供应商</w:t>
      </w:r>
      <w:r>
        <w:rPr>
          <w:rFonts w:hint="eastAsia" w:ascii="宋体" w:hAnsi="宋体"/>
          <w:color w:val="auto"/>
          <w:sz w:val="24"/>
          <w:highlight w:val="none"/>
          <w:u w:val="none"/>
          <w:lang w:val="en-US" w:eastAsia="zh-CN"/>
        </w:rPr>
        <w:t>名称</w:t>
      </w:r>
      <w:r>
        <w:rPr>
          <w:rFonts w:hint="eastAsia" w:ascii="宋体" w:hAnsi="宋体"/>
          <w:color w:val="auto"/>
          <w:sz w:val="24"/>
          <w:highlight w:val="none"/>
          <w:u w:val="none"/>
        </w:rPr>
        <w:t>）</w:t>
      </w:r>
      <w:r>
        <w:rPr>
          <w:rFonts w:hint="eastAsia" w:ascii="宋体" w:hAnsi="宋体"/>
          <w:color w:val="auto"/>
          <w:sz w:val="24"/>
          <w:highlight w:val="none"/>
        </w:rPr>
        <w:t>实施项目中</w:t>
      </w:r>
      <w:r>
        <w:rPr>
          <w:rFonts w:hint="eastAsia" w:ascii="宋体" w:hAnsi="宋体"/>
          <w:color w:val="auto"/>
          <w:sz w:val="24"/>
          <w:highlight w:val="none"/>
          <w:u w:val="single"/>
          <w:lang w:val="en-US" w:eastAsia="zh-CN"/>
        </w:rPr>
        <w:t>XXXXXXXXX</w:t>
      </w:r>
      <w:r>
        <w:rPr>
          <w:rFonts w:hint="eastAsia" w:ascii="宋体" w:hAnsi="宋体"/>
          <w:color w:val="auto"/>
          <w:sz w:val="24"/>
          <w:highlight w:val="none"/>
          <w:u w:val="none"/>
        </w:rPr>
        <w:t>（工作内容）</w:t>
      </w:r>
      <w:r>
        <w:rPr>
          <w:rFonts w:hint="eastAsia" w:ascii="宋体" w:hAnsi="宋体"/>
          <w:color w:val="auto"/>
          <w:sz w:val="24"/>
          <w:highlight w:val="none"/>
        </w:rPr>
        <w:t>部分工作</w:t>
      </w:r>
      <w:r>
        <w:rPr>
          <w:rFonts w:hint="eastAsia" w:ascii="宋体" w:hAnsi="宋体"/>
          <w:color w:val="auto"/>
          <w:sz w:val="24"/>
          <w:highlight w:val="none"/>
          <w:lang w:eastAsia="zh-CN"/>
        </w:rPr>
        <w:t>，</w:t>
      </w:r>
      <w:r>
        <w:rPr>
          <w:rFonts w:hint="eastAsia" w:ascii="宋体" w:hAnsi="宋体"/>
          <w:color w:val="auto"/>
          <w:sz w:val="24"/>
          <w:highlight w:val="none"/>
        </w:rPr>
        <w:t>并承担相应的责任</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u w:val="single"/>
          <w:lang w:val="en-US" w:eastAsia="zh-CN"/>
        </w:rPr>
        <w:t>XXXXXXXXXXXXXXXXXXX</w:t>
      </w:r>
      <w:r>
        <w:rPr>
          <w:rFonts w:hint="eastAsia" w:ascii="宋体" w:hAnsi="宋体"/>
          <w:color w:val="auto"/>
          <w:sz w:val="24"/>
          <w:highlight w:val="none"/>
          <w:u w:val="none"/>
        </w:rPr>
        <w:t>（供应商</w:t>
      </w:r>
      <w:r>
        <w:rPr>
          <w:rFonts w:hint="eastAsia" w:ascii="宋体" w:hAnsi="宋体"/>
          <w:color w:val="auto"/>
          <w:sz w:val="24"/>
          <w:highlight w:val="none"/>
          <w:u w:val="none"/>
          <w:lang w:val="en-US" w:eastAsia="zh-CN"/>
        </w:rPr>
        <w:t>名称</w:t>
      </w:r>
      <w:r>
        <w:rPr>
          <w:rFonts w:hint="eastAsia" w:ascii="宋体" w:hAnsi="宋体"/>
          <w:color w:val="auto"/>
          <w:sz w:val="24"/>
          <w:highlight w:val="none"/>
          <w:u w:val="none"/>
        </w:rPr>
        <w:t>）</w:t>
      </w:r>
      <w:r>
        <w:rPr>
          <w:rFonts w:hint="eastAsia" w:ascii="宋体" w:hAnsi="宋体"/>
          <w:color w:val="auto"/>
          <w:sz w:val="24"/>
          <w:highlight w:val="none"/>
        </w:rPr>
        <w:t>实施项目中</w:t>
      </w:r>
      <w:r>
        <w:rPr>
          <w:rFonts w:hint="eastAsia" w:ascii="宋体" w:hAnsi="宋体"/>
          <w:color w:val="auto"/>
          <w:sz w:val="24"/>
          <w:highlight w:val="none"/>
          <w:u w:val="single"/>
          <w:lang w:val="en-US" w:eastAsia="zh-CN"/>
        </w:rPr>
        <w:t>XXXXXXXXX</w:t>
      </w:r>
      <w:r>
        <w:rPr>
          <w:rFonts w:hint="eastAsia" w:ascii="宋体" w:hAnsi="宋体"/>
          <w:color w:val="auto"/>
          <w:sz w:val="24"/>
          <w:highlight w:val="none"/>
          <w:u w:val="none"/>
        </w:rPr>
        <w:t>（工作内容）</w:t>
      </w:r>
      <w:r>
        <w:rPr>
          <w:rFonts w:hint="eastAsia" w:ascii="宋体" w:hAnsi="宋体"/>
          <w:color w:val="auto"/>
          <w:sz w:val="24"/>
          <w:highlight w:val="none"/>
        </w:rPr>
        <w:t>部分工作</w:t>
      </w:r>
      <w:r>
        <w:rPr>
          <w:rFonts w:hint="eastAsia" w:ascii="宋体" w:hAnsi="宋体"/>
          <w:color w:val="auto"/>
          <w:sz w:val="24"/>
          <w:highlight w:val="none"/>
          <w:lang w:eastAsia="zh-CN"/>
        </w:rPr>
        <w:t>，</w:t>
      </w:r>
      <w:r>
        <w:rPr>
          <w:rFonts w:hint="eastAsia" w:ascii="宋体" w:hAnsi="宋体"/>
          <w:color w:val="auto"/>
          <w:sz w:val="24"/>
          <w:highlight w:val="none"/>
        </w:rPr>
        <w:t>并承担相应的责任</w:t>
      </w:r>
      <w:r>
        <w:rPr>
          <w:rFonts w:hint="eastAsia" w:ascii="宋体" w:hAnsi="宋体"/>
          <w:color w:val="auto"/>
          <w:sz w:val="24"/>
          <w:highlight w:val="none"/>
          <w:lang w:eastAsia="zh-CN"/>
        </w:rPr>
        <w:t>；</w:t>
      </w:r>
      <w:r>
        <w:rPr>
          <w:rFonts w:hint="eastAsia" w:ascii="宋体" w:hAnsi="宋体"/>
          <w:color w:val="auto"/>
          <w:sz w:val="24"/>
          <w:highlight w:val="none"/>
        </w:rPr>
        <w:t>……。（注：</w:t>
      </w:r>
      <w:r>
        <w:rPr>
          <w:rFonts w:hint="eastAsia" w:ascii="宋体" w:hAnsi="宋体"/>
          <w:color w:val="auto"/>
          <w:sz w:val="24"/>
          <w:highlight w:val="none"/>
          <w:lang w:val="en-US" w:eastAsia="zh-CN"/>
        </w:rPr>
        <w:t>需明确</w:t>
      </w:r>
      <w:r>
        <w:rPr>
          <w:rFonts w:hint="eastAsia" w:ascii="宋体" w:hAnsi="宋体"/>
          <w:color w:val="auto"/>
          <w:sz w:val="24"/>
          <w:highlight w:val="none"/>
        </w:rPr>
        <w:t>联合体中各供应商所承担的工作和相应的责任）。</w:t>
      </w:r>
    </w:p>
    <w:p w14:paraId="75CBFB79">
      <w:pPr>
        <w:spacing w:line="360" w:lineRule="auto"/>
        <w:ind w:firstLine="645"/>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w:t>
      </w:r>
      <w:r>
        <w:rPr>
          <w:rFonts w:hint="eastAsia" w:ascii="宋体" w:hAnsi="宋体"/>
          <w:color w:val="auto"/>
          <w:sz w:val="24"/>
          <w:highlight w:val="none"/>
        </w:rPr>
        <w:t>其中</w:t>
      </w:r>
      <w:r>
        <w:rPr>
          <w:rFonts w:hint="eastAsia" w:ascii="宋体" w:hAnsi="宋体"/>
          <w:color w:val="auto"/>
          <w:sz w:val="24"/>
          <w:highlight w:val="none"/>
          <w:lang w:eastAsia="zh-CN"/>
        </w:rPr>
        <w:t>，</w:t>
      </w:r>
      <w:r>
        <w:rPr>
          <w:rFonts w:hint="eastAsia" w:ascii="宋体" w:hAnsi="宋体"/>
          <w:color w:val="auto"/>
          <w:sz w:val="24"/>
          <w:highlight w:val="none"/>
          <w:u w:val="single"/>
          <w:lang w:val="en-US" w:eastAsia="zh-CN"/>
        </w:rPr>
        <w:t>XXXXXXXXX</w:t>
      </w:r>
      <w:r>
        <w:rPr>
          <w:rFonts w:hint="eastAsia" w:ascii="宋体" w:hAnsi="宋体"/>
          <w:color w:val="auto"/>
          <w:sz w:val="24"/>
          <w:highlight w:val="none"/>
          <w:u w:val="none"/>
        </w:rPr>
        <w:t>（企业全称）</w:t>
      </w:r>
      <w:r>
        <w:rPr>
          <w:rFonts w:hint="eastAsia" w:ascii="宋体" w:hAnsi="宋体"/>
          <w:color w:val="auto"/>
          <w:sz w:val="24"/>
          <w:highlight w:val="none"/>
        </w:rPr>
        <w:t>为</w:t>
      </w:r>
      <w:r>
        <w:rPr>
          <w:rFonts w:hint="eastAsia" w:ascii="宋体" w:hAnsi="宋体"/>
          <w:color w:val="auto"/>
          <w:sz w:val="24"/>
          <w:szCs w:val="24"/>
          <w:highlight w:val="none"/>
          <w:u w:val="none"/>
        </w:rPr>
        <w:sym w:font="Wingdings" w:char="00A8"/>
      </w:r>
      <w:r>
        <w:rPr>
          <w:rFonts w:hint="eastAsia" w:ascii="宋体" w:hAnsi="宋体"/>
          <w:color w:val="auto"/>
          <w:sz w:val="24"/>
          <w:highlight w:val="none"/>
          <w:u w:val="none"/>
        </w:rPr>
        <w:t>小型、微型企业</w:t>
      </w:r>
      <w:r>
        <w:rPr>
          <w:rFonts w:hint="eastAsia" w:ascii="宋体" w:hAnsi="宋体"/>
          <w:color w:val="auto"/>
          <w:sz w:val="24"/>
          <w:highlight w:val="none"/>
          <w:u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color w:val="auto"/>
          <w:sz w:val="24"/>
          <w:highlight w:val="none"/>
          <w:u w:val="none"/>
        </w:rPr>
        <w:t>残疾人福利性单位</w:t>
      </w:r>
      <w:r>
        <w:rPr>
          <w:rFonts w:hint="eastAsia" w:ascii="宋体" w:hAnsi="宋体"/>
          <w:color w:val="auto"/>
          <w:sz w:val="24"/>
          <w:highlight w:val="none"/>
          <w:u w:val="none"/>
          <w:lang w:val="en-US" w:eastAsia="zh-CN"/>
        </w:rPr>
        <w:t xml:space="preserve"> </w:t>
      </w:r>
      <w:r>
        <w:rPr>
          <w:rFonts w:hint="eastAsia" w:ascii="宋体" w:hAnsi="宋体"/>
          <w:color w:val="auto"/>
          <w:sz w:val="24"/>
          <w:szCs w:val="24"/>
          <w:highlight w:val="none"/>
          <w:u w:val="none"/>
        </w:rPr>
        <w:sym w:font="Wingdings" w:char="00A8"/>
      </w:r>
      <w:r>
        <w:rPr>
          <w:rFonts w:hint="eastAsia" w:ascii="宋体" w:hAnsi="宋体"/>
          <w:color w:val="auto"/>
          <w:sz w:val="24"/>
          <w:highlight w:val="none"/>
          <w:u w:val="none"/>
        </w:rPr>
        <w:t>监狱企业</w:t>
      </w:r>
      <w:r>
        <w:rPr>
          <w:rFonts w:hint="eastAsia" w:ascii="宋体" w:hAnsi="宋体"/>
          <w:color w:val="auto"/>
          <w:sz w:val="24"/>
          <w:highlight w:val="none"/>
          <w:lang w:eastAsia="zh-CN"/>
        </w:rPr>
        <w:t>，</w:t>
      </w:r>
      <w:r>
        <w:rPr>
          <w:rFonts w:hint="eastAsia" w:ascii="宋体" w:hAnsi="宋体"/>
          <w:color w:val="auto"/>
          <w:sz w:val="24"/>
          <w:highlight w:val="none"/>
        </w:rPr>
        <w:t>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w:t>
      </w:r>
    </w:p>
    <w:p w14:paraId="69A3FDE2">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auto"/>
        <w:rPr>
          <w:rFonts w:hint="eastAsia" w:ascii="宋体" w:hAnsi="宋体"/>
          <w:color w:val="auto"/>
          <w:sz w:val="24"/>
          <w:highlight w:val="none"/>
        </w:rPr>
      </w:pPr>
    </w:p>
    <w:p w14:paraId="7B69F759">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p>
    <w:p w14:paraId="7634DC08">
      <w:pPr>
        <w:keepNext w:val="0"/>
        <w:keepLines w:val="0"/>
        <w:pageBreakBefore w:val="0"/>
        <w:widowControl w:val="0"/>
        <w:kinsoku/>
        <w:wordWrap/>
        <w:overflowPunct/>
        <w:topLinePunct w:val="0"/>
        <w:autoSpaceDE/>
        <w:autoSpaceDN/>
        <w:bidi w:val="0"/>
        <w:adjustRightInd w:val="0"/>
        <w:snapToGrid w:val="0"/>
        <w:spacing w:line="360" w:lineRule="auto"/>
        <w:ind w:firstLine="645"/>
        <w:jc w:val="right"/>
        <w:textAlignment w:val="auto"/>
        <w:rPr>
          <w:rFonts w:ascii="宋体" w:hAnsi="宋体"/>
          <w:color w:val="auto"/>
          <w:sz w:val="24"/>
          <w:highlight w:val="none"/>
        </w:rPr>
      </w:pPr>
      <w:r>
        <w:rPr>
          <w:rFonts w:hint="eastAsia" w:ascii="宋体" w:hAnsi="宋体"/>
          <w:color w:val="auto"/>
          <w:sz w:val="24"/>
          <w:highlight w:val="none"/>
        </w:rPr>
        <w:t>联合体中各供应商全称</w:t>
      </w:r>
      <w:r>
        <w:rPr>
          <w:rFonts w:hint="eastAsia" w:ascii="宋体" w:hAnsi="宋体"/>
          <w:color w:val="auto"/>
          <w:sz w:val="24"/>
          <w:highlight w:val="none"/>
          <w:lang w:eastAsia="zh-CN"/>
        </w:rPr>
        <w:t>：</w:t>
      </w:r>
      <w:r>
        <w:rPr>
          <w:rFonts w:hint="eastAsia" w:ascii="宋体" w:hAnsi="宋体"/>
          <w:color w:val="auto"/>
          <w:sz w:val="24"/>
          <w:szCs w:val="24"/>
          <w:highlight w:val="none"/>
        </w:rPr>
        <w:t>（加盖电子公章）</w:t>
      </w:r>
      <w:r>
        <w:rPr>
          <w:rFonts w:ascii="宋体" w:hAnsi="宋体"/>
          <w:color w:val="auto"/>
          <w:sz w:val="24"/>
          <w:highlight w:val="none"/>
        </w:rPr>
        <w:t xml:space="preserve">    </w:t>
      </w:r>
    </w:p>
    <w:p w14:paraId="4FE6F37D">
      <w:pPr>
        <w:keepNext w:val="0"/>
        <w:keepLines w:val="0"/>
        <w:pageBreakBefore w:val="0"/>
        <w:widowControl w:val="0"/>
        <w:kinsoku/>
        <w:wordWrap/>
        <w:overflowPunct/>
        <w:topLinePunct w:val="0"/>
        <w:autoSpaceDE/>
        <w:autoSpaceDN/>
        <w:bidi w:val="0"/>
        <w:adjustRightInd w:val="0"/>
        <w:snapToGrid w:val="0"/>
        <w:spacing w:line="360" w:lineRule="auto"/>
        <w:ind w:firstLine="5280" w:firstLineChars="2200"/>
        <w:textAlignment w:val="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r>
        <w:rPr>
          <w:rFonts w:hint="eastAsia"/>
          <w:color w:val="auto"/>
          <w:sz w:val="24"/>
          <w:szCs w:val="24"/>
          <w:highlight w:val="none"/>
          <w:lang w:eastAsia="zh-CN"/>
        </w:rPr>
        <w:t>：</w:t>
      </w:r>
    </w:p>
    <w:p w14:paraId="346421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p>
    <w:p w14:paraId="02D22F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备注：</w:t>
      </w:r>
    </w:p>
    <w:p w14:paraId="247416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rPr>
        <w:t>牵头单位必须为联合体成员</w:t>
      </w:r>
      <w:r>
        <w:rPr>
          <w:rFonts w:hint="eastAsia" w:ascii="宋体" w:hAnsi="宋体" w:eastAsia="宋体" w:cs="Times New Roman"/>
          <w:color w:val="auto"/>
          <w:sz w:val="24"/>
          <w:highlight w:val="none"/>
          <w:lang w:eastAsia="zh-CN"/>
        </w:rPr>
        <w:t>。</w:t>
      </w:r>
    </w:p>
    <w:p w14:paraId="3326DC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2.在所属企业类型前的</w:t>
      </w:r>
      <w:r>
        <w:rPr>
          <w:rFonts w:hint="eastAsia" w:ascii="宋体" w:hAnsi="宋体"/>
          <w:color w:val="auto"/>
          <w:sz w:val="24"/>
          <w:szCs w:val="24"/>
          <w:highlight w:val="none"/>
          <w:u w:val="none"/>
        </w:rPr>
        <w:sym w:font="Wingdings" w:char="00A8"/>
      </w:r>
      <w:r>
        <w:rPr>
          <w:rFonts w:hint="eastAsia" w:ascii="宋体" w:hAnsi="宋体"/>
          <w:color w:val="auto"/>
          <w:sz w:val="24"/>
          <w:szCs w:val="24"/>
          <w:highlight w:val="none"/>
          <w:u w:val="none"/>
          <w:lang w:val="en-US" w:eastAsia="zh-CN"/>
        </w:rPr>
        <w:t>内打“</w:t>
      </w:r>
      <w:r>
        <w:rPr>
          <w:rFonts w:hint="default" w:ascii="Arial" w:hAnsi="Arial" w:cs="Arial"/>
          <w:color w:val="auto"/>
          <w:sz w:val="24"/>
          <w:szCs w:val="24"/>
          <w:highlight w:val="none"/>
          <w:u w:val="none"/>
          <w:lang w:val="en-US" w:eastAsia="zh-CN"/>
        </w:rPr>
        <w:t>√</w:t>
      </w:r>
      <w:r>
        <w:rPr>
          <w:rFonts w:hint="eastAsia" w:ascii="宋体" w:hAnsi="宋体"/>
          <w:color w:val="auto"/>
          <w:sz w:val="24"/>
          <w:szCs w:val="24"/>
          <w:highlight w:val="none"/>
          <w:u w:val="none"/>
          <w:lang w:val="en-US" w:eastAsia="zh-CN"/>
        </w:rPr>
        <w:t>”。</w:t>
      </w:r>
    </w:p>
    <w:p w14:paraId="0A4A34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3.除另有说明外，本</w:t>
      </w:r>
      <w:r>
        <w:rPr>
          <w:rFonts w:hint="eastAsia" w:ascii="宋体" w:hAnsi="宋体" w:eastAsia="宋体" w:cs="Times New Roman"/>
          <w:color w:val="auto"/>
          <w:sz w:val="24"/>
          <w:highlight w:val="none"/>
        </w:rPr>
        <w:t>招标文件要求加盖电子</w:t>
      </w:r>
      <w:r>
        <w:rPr>
          <w:rFonts w:hint="eastAsia" w:ascii="宋体" w:hAnsi="宋体" w:eastAsia="宋体" w:cs="Times New Roman"/>
          <w:color w:val="auto"/>
          <w:sz w:val="24"/>
          <w:highlight w:val="none"/>
          <w:lang w:val="en-US" w:eastAsia="zh-CN"/>
        </w:rPr>
        <w:t>公</w:t>
      </w:r>
      <w:r>
        <w:rPr>
          <w:rFonts w:hint="eastAsia" w:ascii="宋体" w:hAnsi="宋体" w:eastAsia="宋体" w:cs="Times New Roman"/>
          <w:color w:val="auto"/>
          <w:sz w:val="24"/>
          <w:highlight w:val="none"/>
        </w:rPr>
        <w:t>章</w:t>
      </w:r>
      <w:r>
        <w:rPr>
          <w:rFonts w:hint="eastAsia" w:ascii="宋体" w:hAnsi="宋体" w:eastAsia="宋体" w:cs="Times New Roman"/>
          <w:color w:val="auto"/>
          <w:sz w:val="24"/>
          <w:highlight w:val="none"/>
          <w:lang w:val="en-US" w:eastAsia="zh-CN"/>
        </w:rPr>
        <w:t>之处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加盖牵头单位的电子</w:t>
      </w:r>
      <w:r>
        <w:rPr>
          <w:rFonts w:hint="eastAsia" w:ascii="宋体" w:hAnsi="宋体" w:eastAsia="宋体" w:cs="Times New Roman"/>
          <w:color w:val="auto"/>
          <w:sz w:val="24"/>
          <w:highlight w:val="none"/>
          <w:lang w:val="en-US" w:eastAsia="zh-CN"/>
        </w:rPr>
        <w:t>公</w:t>
      </w:r>
      <w:r>
        <w:rPr>
          <w:rFonts w:hint="eastAsia" w:ascii="宋体" w:hAnsi="宋体" w:eastAsia="宋体" w:cs="Times New Roman"/>
          <w:color w:val="auto"/>
          <w:sz w:val="24"/>
          <w:highlight w:val="none"/>
        </w:rPr>
        <w:t>章</w:t>
      </w:r>
      <w:r>
        <w:rPr>
          <w:rFonts w:hint="eastAsia" w:ascii="宋体" w:hAnsi="宋体" w:eastAsia="宋体" w:cs="Times New Roman"/>
          <w:color w:val="auto"/>
          <w:sz w:val="24"/>
          <w:highlight w:val="none"/>
          <w:lang w:val="en-US" w:eastAsia="zh-CN"/>
        </w:rPr>
        <w:t>即可</w:t>
      </w:r>
      <w:r>
        <w:rPr>
          <w:rFonts w:hint="eastAsia" w:ascii="宋体" w:hAnsi="宋体" w:eastAsia="宋体" w:cs="Times New Roman"/>
          <w:color w:val="auto"/>
          <w:sz w:val="24"/>
          <w:highlight w:val="none"/>
        </w:rPr>
        <w:t>。</w:t>
      </w:r>
    </w:p>
    <w:p w14:paraId="50A1C7D2">
      <w:pPr>
        <w:pStyle w:val="25"/>
        <w:rPr>
          <w:rFonts w:hint="eastAsia" w:ascii="宋体" w:hAnsi="宋体" w:eastAsia="宋体" w:cs="Times New Roman"/>
          <w:color w:val="auto"/>
          <w:sz w:val="24"/>
          <w:highlight w:val="none"/>
        </w:rPr>
      </w:pPr>
    </w:p>
    <w:p w14:paraId="1AEDEB8C">
      <w:pPr>
        <w:rPr>
          <w:rFonts w:hint="eastAsia"/>
          <w:color w:val="auto"/>
          <w:highlight w:val="none"/>
        </w:rPr>
      </w:pPr>
    </w:p>
    <w:p w14:paraId="3C792E40">
      <w:pPr>
        <w:spacing w:line="560" w:lineRule="exact"/>
        <w:ind w:firstLine="645"/>
        <w:rPr>
          <w:rFonts w:ascii="宋体" w:hAnsi="宋体"/>
          <w:color w:val="auto"/>
          <w:sz w:val="24"/>
          <w:highlight w:val="none"/>
        </w:rPr>
      </w:pPr>
    </w:p>
    <w:p w14:paraId="18E9B335">
      <w:pPr>
        <w:spacing w:line="560" w:lineRule="exact"/>
        <w:ind w:firstLine="645"/>
        <w:rPr>
          <w:rFonts w:hint="eastAsia" w:ascii="宋体" w:hAnsi="宋体"/>
          <w:color w:val="auto"/>
          <w:sz w:val="24"/>
          <w:highlight w:val="none"/>
        </w:rPr>
      </w:pPr>
    </w:p>
    <w:p w14:paraId="70337CEE">
      <w:pPr>
        <w:pStyle w:val="92"/>
        <w:rPr>
          <w:rFonts w:hint="eastAsia" w:ascii="宋体" w:hAnsi="宋体"/>
          <w:color w:val="auto"/>
          <w:sz w:val="24"/>
          <w:highlight w:val="none"/>
        </w:rPr>
      </w:pPr>
    </w:p>
    <w:p w14:paraId="18655509">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r>
      <w:r>
        <w:rPr>
          <w:rFonts w:hint="eastAsia" w:ascii="方正小标宋简体" w:hAnsi="方正小标宋简体" w:eastAsia="方正小标宋简体" w:cs="方正小标宋简体"/>
          <w:b w:val="0"/>
          <w:bCs w:val="0"/>
          <w:color w:val="auto"/>
          <w:sz w:val="32"/>
          <w:szCs w:val="32"/>
          <w:highlight w:val="none"/>
        </w:rPr>
        <w:t>质疑函</w:t>
      </w:r>
      <w:r>
        <w:rPr>
          <w:rFonts w:hint="eastAsia" w:ascii="方正小标宋简体" w:hAnsi="方正小标宋简体" w:eastAsia="方正小标宋简体" w:cs="方正小标宋简体"/>
          <w:b w:val="0"/>
          <w:bCs w:val="0"/>
          <w:color w:val="auto"/>
          <w:sz w:val="32"/>
          <w:szCs w:val="32"/>
          <w:highlight w:val="none"/>
          <w:lang w:val="en-US" w:eastAsia="zh-CN"/>
        </w:rPr>
        <w:t>范本</w:t>
      </w:r>
    </w:p>
    <w:p w14:paraId="6D161632">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14:paraId="1C8FCBAE">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供应商</w:t>
      </w:r>
      <w:r>
        <w:rPr>
          <w:rFonts w:hint="eastAsia" w:ascii="宋体" w:hAnsi="宋体" w:cs="仿宋"/>
          <w:color w:val="auto"/>
          <w:sz w:val="24"/>
          <w:szCs w:val="24"/>
          <w:highlight w:val="none"/>
          <w:lang w:val="en-US" w:eastAsia="zh-CN"/>
        </w:rPr>
        <w:t>名称</w:t>
      </w:r>
      <w:r>
        <w:rPr>
          <w:rFonts w:hint="eastAsia" w:ascii="宋体" w:hAnsi="宋体" w:cs="仿宋"/>
          <w:color w:val="auto"/>
          <w:sz w:val="24"/>
          <w:szCs w:val="24"/>
          <w:highlight w:val="none"/>
        </w:rPr>
        <w:t>：</w:t>
      </w:r>
      <w:r>
        <w:rPr>
          <w:rFonts w:hint="eastAsia" w:ascii="宋体" w:hAnsi="宋体" w:cs="仿宋"/>
          <w:color w:val="auto"/>
          <w:sz w:val="24"/>
          <w:szCs w:val="24"/>
          <w:highlight w:val="none"/>
          <w:u w:val="dotted"/>
        </w:rPr>
        <w:t xml:space="preserve">                                                              </w:t>
      </w:r>
    </w:p>
    <w:p w14:paraId="1D14D464">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2912B18F">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75064FDF">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2E1C852E">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14:paraId="4FA9E021">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项目名称：</w:t>
      </w:r>
      <w:r>
        <w:rPr>
          <w:rFonts w:hint="eastAsia" w:ascii="宋体" w:hAnsi="宋体" w:cs="仿宋"/>
          <w:color w:val="auto"/>
          <w:sz w:val="24"/>
          <w:szCs w:val="24"/>
          <w:highlight w:val="none"/>
          <w:u w:val="dotted"/>
        </w:rPr>
        <w:t xml:space="preserve">                                                          </w:t>
      </w:r>
    </w:p>
    <w:p w14:paraId="3BD45FE0">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lang w:val="en-US" w:eastAsia="zh-CN"/>
        </w:rPr>
        <w:t>采购包</w:t>
      </w:r>
      <w:r>
        <w:rPr>
          <w:rFonts w:hint="eastAsia" w:ascii="宋体" w:hAnsi="宋体" w:cs="仿宋"/>
          <w:color w:val="auto"/>
          <w:sz w:val="24"/>
          <w:szCs w:val="24"/>
          <w:highlight w:val="none"/>
        </w:rPr>
        <w:t>号：</w:t>
      </w:r>
      <w:r>
        <w:rPr>
          <w:rFonts w:hint="eastAsia" w:ascii="宋体" w:hAnsi="宋体" w:cs="仿宋"/>
          <w:color w:val="auto"/>
          <w:sz w:val="24"/>
          <w:szCs w:val="24"/>
          <w:highlight w:val="none"/>
          <w:u w:val="dotted"/>
        </w:rPr>
        <w:t xml:space="preserve">                   </w:t>
      </w:r>
    </w:p>
    <w:p w14:paraId="452A3A69">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015D97A0">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14:paraId="35DADAA2">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62E8C6C5">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1EEFEF57">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08FB49F6">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29C3F84E">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114427CE">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u w:val="dotted"/>
        </w:rPr>
        <w:t xml:space="preserve">                                                                </w:t>
      </w:r>
    </w:p>
    <w:p w14:paraId="74AC8A20">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7B9F0A7F">
      <w:pPr>
        <w:adjustRightInd w:val="0"/>
        <w:snapToGrid w:val="0"/>
        <w:spacing w:before="290" w:beforeLines="10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14:paraId="5B6B87A7">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38B03DBB">
      <w:pPr>
        <w:rPr>
          <w:rFonts w:hint="eastAsia" w:ascii="宋体" w:hAnsi="宋体"/>
          <w:color w:val="auto"/>
          <w:sz w:val="24"/>
          <w:szCs w:val="24"/>
          <w:highlight w:val="none"/>
        </w:rPr>
      </w:pPr>
    </w:p>
    <w:p w14:paraId="41BCDA3A">
      <w:pPr>
        <w:rPr>
          <w:rFonts w:ascii="宋体" w:hAnsi="宋体"/>
          <w:color w:val="auto"/>
          <w:sz w:val="24"/>
          <w:szCs w:val="24"/>
          <w:highlight w:val="none"/>
        </w:rPr>
      </w:pPr>
      <w:r>
        <w:rPr>
          <w:rFonts w:hint="eastAsia" w:ascii="宋体" w:hAnsi="宋体"/>
          <w:color w:val="auto"/>
          <w:sz w:val="24"/>
          <w:szCs w:val="24"/>
          <w:highlight w:val="none"/>
        </w:rPr>
        <w:t>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p>
    <w:p w14:paraId="2FDC409B">
      <w:pPr>
        <w:rPr>
          <w:rFonts w:ascii="宋体" w:hAnsi="宋体"/>
          <w:color w:val="auto"/>
          <w:sz w:val="24"/>
          <w:szCs w:val="24"/>
          <w:highlight w:val="none"/>
        </w:rPr>
      </w:pP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p>
    <w:p w14:paraId="2CF4AC2A">
      <w:pPr>
        <w:spacing w:line="480" w:lineRule="exact"/>
        <w:ind w:firstLine="480" w:firstLineChars="200"/>
        <w:rPr>
          <w:rFonts w:hint="eastAsia" w:ascii="宋体" w:hAnsi="宋体"/>
          <w:b w:val="0"/>
          <w:bCs/>
          <w:color w:val="auto"/>
          <w:sz w:val="24"/>
          <w:szCs w:val="24"/>
          <w:highlight w:val="none"/>
          <w:lang w:val="en-US" w:eastAsia="zh-CN"/>
        </w:rPr>
      </w:pPr>
    </w:p>
    <w:p w14:paraId="5372E770">
      <w:pPr>
        <w:spacing w:line="480" w:lineRule="exact"/>
        <w:ind w:firstLine="480" w:firstLineChars="200"/>
        <w:rPr>
          <w:rFonts w:hint="eastAsia" w:ascii="宋体" w:hAnsi="宋体"/>
          <w:b w:val="0"/>
          <w:bCs/>
          <w:color w:val="auto"/>
          <w:sz w:val="24"/>
          <w:szCs w:val="24"/>
          <w:highlight w:val="none"/>
          <w:lang w:val="en-US" w:eastAsia="zh-CN"/>
        </w:rPr>
      </w:pPr>
    </w:p>
    <w:p w14:paraId="0963BC3C">
      <w:pPr>
        <w:spacing w:line="480" w:lineRule="exact"/>
        <w:ind w:firstLine="480" w:firstLineChars="200"/>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相关</w:t>
      </w:r>
      <w:r>
        <w:rPr>
          <w:rFonts w:hint="eastAsia" w:ascii="宋体" w:hAnsi="宋体"/>
          <w:b w:val="0"/>
          <w:bCs/>
          <w:color w:val="auto"/>
          <w:sz w:val="24"/>
          <w:szCs w:val="24"/>
          <w:highlight w:val="none"/>
        </w:rPr>
        <w:t>说明：</w:t>
      </w:r>
    </w:p>
    <w:p w14:paraId="016B7574">
      <w:pPr>
        <w:spacing w:line="480" w:lineRule="exact"/>
        <w:ind w:firstLine="480" w:firstLineChars="200"/>
        <w:rPr>
          <w:rFonts w:hint="eastAsia" w:ascii="宋体" w:hAnsi="宋体" w:eastAsia="宋体" w:cs="仿宋"/>
          <w:b w:val="0"/>
          <w:bCs w:val="0"/>
          <w:color w:val="auto"/>
          <w:kern w:val="0"/>
          <w:sz w:val="24"/>
          <w:szCs w:val="24"/>
          <w:highlight w:val="none"/>
        </w:rPr>
      </w:pPr>
      <w:r>
        <w:rPr>
          <w:rFonts w:hint="eastAsia" w:ascii="宋体" w:hAnsi="宋体" w:eastAsia="宋体" w:cs="仿宋"/>
          <w:b w:val="0"/>
          <w:bCs w:val="0"/>
          <w:color w:val="auto"/>
          <w:kern w:val="0"/>
          <w:sz w:val="24"/>
          <w:szCs w:val="24"/>
          <w:highlight w:val="none"/>
        </w:rPr>
        <w:t>1.供应商提出质疑</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应提交</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质疑函</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和必要的证明材料。</w:t>
      </w:r>
    </w:p>
    <w:p w14:paraId="7E15C215">
      <w:pPr>
        <w:spacing w:line="480" w:lineRule="exact"/>
        <w:ind w:firstLine="480" w:firstLineChars="200"/>
        <w:rPr>
          <w:rFonts w:hint="eastAsia" w:ascii="宋体" w:hAnsi="宋体" w:eastAsia="宋体" w:cs="仿宋"/>
          <w:b w:val="0"/>
          <w:bCs w:val="0"/>
          <w:color w:val="auto"/>
          <w:kern w:val="0"/>
          <w:sz w:val="24"/>
          <w:szCs w:val="24"/>
          <w:highlight w:val="none"/>
        </w:rPr>
      </w:pPr>
      <w:r>
        <w:rPr>
          <w:rFonts w:hint="eastAsia" w:ascii="宋体" w:hAnsi="宋体" w:eastAsia="宋体" w:cs="仿宋"/>
          <w:b w:val="0"/>
          <w:bCs w:val="0"/>
          <w:color w:val="auto"/>
          <w:kern w:val="0"/>
          <w:sz w:val="24"/>
          <w:szCs w:val="24"/>
          <w:highlight w:val="none"/>
        </w:rPr>
        <w:t>2.</w:t>
      </w:r>
      <w:r>
        <w:rPr>
          <w:rFonts w:hint="eastAsia" w:ascii="宋体" w:hAnsi="宋体" w:eastAsia="宋体" w:cs="仿宋"/>
          <w:color w:val="auto"/>
          <w:kern w:val="0"/>
          <w:sz w:val="24"/>
          <w:szCs w:val="24"/>
          <w:highlight w:val="none"/>
          <w:lang w:val="en-US" w:eastAsia="zh-CN"/>
        </w:rPr>
        <w:t>由授权代表负责</w:t>
      </w:r>
      <w:r>
        <w:rPr>
          <w:rFonts w:hint="eastAsia" w:ascii="宋体" w:hAnsi="宋体" w:eastAsia="宋体" w:cs="仿宋"/>
          <w:color w:val="auto"/>
          <w:kern w:val="0"/>
          <w:sz w:val="24"/>
          <w:szCs w:val="24"/>
          <w:highlight w:val="none"/>
          <w:lang w:eastAsia="zh-CN"/>
        </w:rPr>
        <w:t>质疑</w:t>
      </w:r>
      <w:r>
        <w:rPr>
          <w:rFonts w:hint="eastAsia" w:ascii="宋体" w:hAnsi="宋体" w:eastAsia="宋体" w:cs="仿宋"/>
          <w:color w:val="auto"/>
          <w:kern w:val="0"/>
          <w:sz w:val="24"/>
          <w:szCs w:val="24"/>
          <w:highlight w:val="none"/>
          <w:lang w:val="en-US" w:eastAsia="zh-CN"/>
        </w:rPr>
        <w:t>事宜</w:t>
      </w:r>
      <w:r>
        <w:rPr>
          <w:rFonts w:hint="eastAsia" w:ascii="宋体" w:hAnsi="宋体" w:eastAsia="宋体" w:cs="仿宋"/>
          <w:color w:val="auto"/>
          <w:kern w:val="0"/>
          <w:sz w:val="24"/>
          <w:szCs w:val="24"/>
          <w:highlight w:val="none"/>
          <w:lang w:eastAsia="zh-CN"/>
        </w:rPr>
        <w:t>的</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质疑函</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lang w:val="en-US" w:eastAsia="zh-CN"/>
        </w:rPr>
        <w:t>附件中</w:t>
      </w:r>
      <w:r>
        <w:rPr>
          <w:rFonts w:hint="eastAsia" w:ascii="宋体" w:hAnsi="宋体" w:eastAsia="宋体" w:cs="仿宋"/>
          <w:b w:val="0"/>
          <w:bCs w:val="0"/>
          <w:color w:val="auto"/>
          <w:kern w:val="0"/>
          <w:sz w:val="24"/>
          <w:szCs w:val="24"/>
          <w:highlight w:val="none"/>
        </w:rPr>
        <w:t>应</w:t>
      </w:r>
      <w:r>
        <w:rPr>
          <w:rFonts w:hint="eastAsia" w:ascii="宋体" w:hAnsi="宋体" w:eastAsia="宋体" w:cs="仿宋"/>
          <w:b w:val="0"/>
          <w:bCs w:val="0"/>
          <w:color w:val="auto"/>
          <w:kern w:val="0"/>
          <w:sz w:val="24"/>
          <w:szCs w:val="24"/>
          <w:highlight w:val="none"/>
          <w:lang w:val="en-US" w:eastAsia="zh-CN"/>
        </w:rPr>
        <w:t>提交</w:t>
      </w:r>
      <w:r>
        <w:rPr>
          <w:rFonts w:hint="eastAsia" w:ascii="宋体" w:hAnsi="宋体" w:eastAsia="宋体" w:cs="仿宋"/>
          <w:color w:val="auto"/>
          <w:kern w:val="0"/>
          <w:sz w:val="24"/>
          <w:szCs w:val="24"/>
          <w:highlight w:val="none"/>
          <w:lang w:eastAsia="zh-CN"/>
        </w:rPr>
        <w:t>由质疑供应商法定代表人签署的《授权委托书》</w:t>
      </w:r>
      <w:r>
        <w:rPr>
          <w:rFonts w:hint="eastAsia" w:ascii="宋体" w:hAnsi="宋体" w:eastAsia="宋体" w:cs="仿宋"/>
          <w:b w:val="0"/>
          <w:bCs w:val="0"/>
          <w:color w:val="auto"/>
          <w:kern w:val="0"/>
          <w:sz w:val="24"/>
          <w:szCs w:val="24"/>
          <w:highlight w:val="none"/>
        </w:rPr>
        <w:t>。</w:t>
      </w:r>
    </w:p>
    <w:p w14:paraId="0E25D709">
      <w:pPr>
        <w:spacing w:line="480" w:lineRule="exact"/>
        <w:ind w:firstLine="480" w:firstLineChars="200"/>
        <w:rPr>
          <w:rFonts w:hint="eastAsia" w:ascii="宋体" w:hAnsi="宋体" w:eastAsia="宋体" w:cs="仿宋"/>
          <w:b w:val="0"/>
          <w:bCs w:val="0"/>
          <w:color w:val="auto"/>
          <w:kern w:val="0"/>
          <w:sz w:val="24"/>
          <w:szCs w:val="24"/>
          <w:highlight w:val="none"/>
        </w:rPr>
      </w:pPr>
      <w:r>
        <w:rPr>
          <w:rFonts w:hint="eastAsia" w:ascii="宋体" w:hAnsi="宋体" w:eastAsia="宋体" w:cs="仿宋"/>
          <w:b w:val="0"/>
          <w:bCs w:val="0"/>
          <w:color w:val="auto"/>
          <w:kern w:val="0"/>
          <w:sz w:val="24"/>
          <w:szCs w:val="24"/>
          <w:highlight w:val="none"/>
        </w:rPr>
        <w:t>3.质疑供应商</w:t>
      </w:r>
      <w:r>
        <w:rPr>
          <w:rFonts w:hint="eastAsia" w:ascii="宋体" w:hAnsi="宋体" w:eastAsia="宋体" w:cs="仿宋"/>
          <w:b w:val="0"/>
          <w:bCs w:val="0"/>
          <w:color w:val="auto"/>
          <w:kern w:val="0"/>
          <w:sz w:val="24"/>
          <w:szCs w:val="24"/>
          <w:highlight w:val="none"/>
          <w:lang w:val="en-US" w:eastAsia="zh-CN"/>
        </w:rPr>
        <w:t>针</w:t>
      </w:r>
      <w:r>
        <w:rPr>
          <w:rFonts w:hint="eastAsia" w:ascii="宋体" w:hAnsi="宋体" w:eastAsia="宋体" w:cs="仿宋"/>
          <w:b w:val="0"/>
          <w:bCs w:val="0"/>
          <w:color w:val="auto"/>
          <w:kern w:val="0"/>
          <w:sz w:val="24"/>
          <w:szCs w:val="24"/>
          <w:highlight w:val="none"/>
        </w:rPr>
        <w:t>对项目的某一</w:t>
      </w:r>
      <w:r>
        <w:rPr>
          <w:rFonts w:hint="eastAsia" w:ascii="宋体" w:hAnsi="宋体" w:eastAsia="宋体" w:cs="仿宋"/>
          <w:b w:val="0"/>
          <w:bCs w:val="0"/>
          <w:color w:val="auto"/>
          <w:kern w:val="0"/>
          <w:sz w:val="24"/>
          <w:szCs w:val="24"/>
          <w:highlight w:val="none"/>
          <w:lang w:eastAsia="zh-CN"/>
        </w:rPr>
        <w:t>采购包</w:t>
      </w:r>
      <w:r>
        <w:rPr>
          <w:rFonts w:hint="eastAsia" w:ascii="宋体" w:hAnsi="宋体" w:eastAsia="宋体" w:cs="仿宋"/>
          <w:b w:val="0"/>
          <w:bCs w:val="0"/>
          <w:color w:val="auto"/>
          <w:kern w:val="0"/>
          <w:sz w:val="24"/>
          <w:szCs w:val="24"/>
          <w:highlight w:val="none"/>
        </w:rPr>
        <w:t>进行质疑</w:t>
      </w:r>
      <w:r>
        <w:rPr>
          <w:rFonts w:hint="eastAsia" w:ascii="宋体" w:hAnsi="宋体" w:eastAsia="宋体" w:cs="仿宋"/>
          <w:b w:val="0"/>
          <w:bCs w:val="0"/>
          <w:color w:val="auto"/>
          <w:kern w:val="0"/>
          <w:sz w:val="24"/>
          <w:szCs w:val="24"/>
          <w:highlight w:val="none"/>
          <w:lang w:val="en-US" w:eastAsia="zh-CN"/>
        </w:rPr>
        <w:t>的</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质疑函</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中应</w:t>
      </w:r>
      <w:r>
        <w:rPr>
          <w:rFonts w:hint="eastAsia" w:ascii="宋体" w:hAnsi="宋体" w:eastAsia="宋体" w:cs="仿宋"/>
          <w:b w:val="0"/>
          <w:bCs w:val="0"/>
          <w:color w:val="auto"/>
          <w:kern w:val="0"/>
          <w:sz w:val="24"/>
          <w:szCs w:val="24"/>
          <w:highlight w:val="none"/>
          <w:lang w:val="en-US" w:eastAsia="zh-CN"/>
        </w:rPr>
        <w:t>明确</w:t>
      </w:r>
      <w:r>
        <w:rPr>
          <w:rFonts w:hint="eastAsia" w:ascii="宋体" w:hAnsi="宋体" w:eastAsia="宋体" w:cs="仿宋"/>
          <w:b w:val="0"/>
          <w:bCs w:val="0"/>
          <w:color w:val="auto"/>
          <w:kern w:val="0"/>
          <w:sz w:val="24"/>
          <w:szCs w:val="24"/>
          <w:highlight w:val="none"/>
          <w:lang w:eastAsia="zh-CN"/>
        </w:rPr>
        <w:t>采购包</w:t>
      </w:r>
      <w:r>
        <w:rPr>
          <w:rFonts w:hint="eastAsia" w:ascii="宋体" w:hAnsi="宋体" w:eastAsia="宋体" w:cs="仿宋"/>
          <w:b w:val="0"/>
          <w:bCs w:val="0"/>
          <w:color w:val="auto"/>
          <w:kern w:val="0"/>
          <w:sz w:val="24"/>
          <w:szCs w:val="24"/>
          <w:highlight w:val="none"/>
        </w:rPr>
        <w:t>号。</w:t>
      </w:r>
    </w:p>
    <w:p w14:paraId="54CE0280">
      <w:pPr>
        <w:spacing w:line="480" w:lineRule="exact"/>
        <w:ind w:firstLine="480" w:firstLineChars="200"/>
        <w:rPr>
          <w:rFonts w:hint="eastAsia" w:ascii="宋体" w:hAnsi="宋体" w:eastAsia="宋体" w:cs="仿宋"/>
          <w:b w:val="0"/>
          <w:bCs w:val="0"/>
          <w:color w:val="auto"/>
          <w:kern w:val="0"/>
          <w:sz w:val="24"/>
          <w:szCs w:val="24"/>
          <w:highlight w:val="none"/>
        </w:rPr>
      </w:pPr>
      <w:r>
        <w:rPr>
          <w:rFonts w:hint="eastAsia" w:ascii="宋体" w:hAnsi="宋体" w:eastAsia="宋体" w:cs="仿宋"/>
          <w:b w:val="0"/>
          <w:bCs w:val="0"/>
          <w:color w:val="auto"/>
          <w:kern w:val="0"/>
          <w:sz w:val="24"/>
          <w:szCs w:val="24"/>
          <w:highlight w:val="none"/>
        </w:rPr>
        <w:t>4.</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质疑函</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的质疑事项应具体、明确</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并有必要的事实依据和法律依据。</w:t>
      </w:r>
    </w:p>
    <w:p w14:paraId="7B08C75F">
      <w:pPr>
        <w:spacing w:line="480" w:lineRule="exact"/>
        <w:ind w:firstLine="480" w:firstLineChars="200"/>
        <w:rPr>
          <w:rFonts w:hint="eastAsia" w:ascii="宋体" w:hAnsi="宋体" w:eastAsia="宋体" w:cs="仿宋"/>
          <w:b w:val="0"/>
          <w:bCs w:val="0"/>
          <w:color w:val="auto"/>
          <w:kern w:val="0"/>
          <w:sz w:val="24"/>
          <w:szCs w:val="24"/>
          <w:highlight w:val="none"/>
        </w:rPr>
      </w:pPr>
      <w:r>
        <w:rPr>
          <w:rFonts w:hint="eastAsia" w:ascii="宋体" w:hAnsi="宋体" w:eastAsia="宋体" w:cs="仿宋"/>
          <w:b w:val="0"/>
          <w:bCs w:val="0"/>
          <w:color w:val="auto"/>
          <w:kern w:val="0"/>
          <w:sz w:val="24"/>
          <w:szCs w:val="24"/>
          <w:highlight w:val="none"/>
        </w:rPr>
        <w:t>5.</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质疑函</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的质疑请求应与质疑事项相关。</w:t>
      </w:r>
    </w:p>
    <w:p w14:paraId="027D3380">
      <w:pPr>
        <w:spacing w:line="480" w:lineRule="exact"/>
        <w:ind w:firstLine="480" w:firstLineChars="200"/>
        <w:rPr>
          <w:rFonts w:hint="eastAsia" w:ascii="宋体" w:hAnsi="宋体" w:eastAsia="宋体" w:cs="仿宋"/>
          <w:b w:val="0"/>
          <w:bCs w:val="0"/>
          <w:color w:val="auto"/>
          <w:kern w:val="0"/>
          <w:sz w:val="24"/>
          <w:szCs w:val="24"/>
          <w:highlight w:val="none"/>
        </w:rPr>
      </w:pPr>
      <w:r>
        <w:rPr>
          <w:rFonts w:hint="eastAsia" w:ascii="宋体" w:hAnsi="宋体" w:eastAsia="宋体" w:cs="仿宋"/>
          <w:b w:val="0"/>
          <w:bCs w:val="0"/>
          <w:color w:val="auto"/>
          <w:kern w:val="0"/>
          <w:sz w:val="24"/>
          <w:szCs w:val="24"/>
          <w:highlight w:val="none"/>
        </w:rPr>
        <w:t>6.质疑供应商为自然人的</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质疑函</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应由本人签字；质疑供应商为法人或者其他组织的</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质疑函</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应由法定代表人、主要负责人</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或者其授权代表签字或者</w:t>
      </w:r>
      <w:r>
        <w:rPr>
          <w:rFonts w:hint="eastAsia" w:ascii="宋体" w:hAnsi="宋体" w:eastAsia="宋体" w:cs="仿宋"/>
          <w:b w:val="0"/>
          <w:bCs w:val="0"/>
          <w:color w:val="auto"/>
          <w:kern w:val="0"/>
          <w:sz w:val="24"/>
          <w:szCs w:val="24"/>
          <w:highlight w:val="none"/>
          <w:lang w:val="en-US" w:eastAsia="zh-CN"/>
        </w:rPr>
        <w:t>签</w:t>
      </w:r>
      <w:r>
        <w:rPr>
          <w:rFonts w:hint="eastAsia" w:ascii="宋体" w:hAnsi="宋体" w:eastAsia="宋体" w:cs="仿宋"/>
          <w:b w:val="0"/>
          <w:bCs w:val="0"/>
          <w:color w:val="auto"/>
          <w:kern w:val="0"/>
          <w:sz w:val="24"/>
          <w:szCs w:val="24"/>
          <w:highlight w:val="none"/>
        </w:rPr>
        <w:t>章</w:t>
      </w:r>
      <w:r>
        <w:rPr>
          <w:rFonts w:hint="eastAsia" w:ascii="宋体" w:hAnsi="宋体" w:eastAsia="宋体" w:cs="仿宋"/>
          <w:b w:val="0"/>
          <w:bCs w:val="0"/>
          <w:color w:val="auto"/>
          <w:kern w:val="0"/>
          <w:sz w:val="24"/>
          <w:szCs w:val="24"/>
          <w:highlight w:val="none"/>
          <w:lang w:eastAsia="zh-CN"/>
        </w:rPr>
        <w:t>，</w:t>
      </w:r>
      <w:r>
        <w:rPr>
          <w:rFonts w:hint="eastAsia" w:ascii="宋体" w:hAnsi="宋体" w:eastAsia="宋体" w:cs="仿宋"/>
          <w:b w:val="0"/>
          <w:bCs w:val="0"/>
          <w:color w:val="auto"/>
          <w:kern w:val="0"/>
          <w:sz w:val="24"/>
          <w:szCs w:val="24"/>
          <w:highlight w:val="none"/>
        </w:rPr>
        <w:t>并加盖公章。</w:t>
      </w:r>
    </w:p>
    <w:p w14:paraId="7A4C8406">
      <w:pPr>
        <w:spacing w:line="480" w:lineRule="exact"/>
        <w:ind w:firstLine="480" w:firstLineChars="200"/>
        <w:rPr>
          <w:rFonts w:hint="eastAsia" w:ascii="宋体" w:hAnsi="宋体" w:eastAsia="宋体" w:cs="仿宋"/>
          <w:b w:val="0"/>
          <w:bCs w:val="0"/>
          <w:color w:val="auto"/>
          <w:kern w:val="0"/>
          <w:sz w:val="24"/>
          <w:szCs w:val="24"/>
          <w:highlight w:val="none"/>
          <w:lang w:eastAsia="zh-CN"/>
        </w:rPr>
      </w:pPr>
      <w:r>
        <w:rPr>
          <w:rFonts w:hint="eastAsia" w:ascii="宋体" w:hAnsi="宋体" w:eastAsia="宋体" w:cs="仿宋"/>
          <w:b w:val="0"/>
          <w:bCs w:val="0"/>
          <w:color w:val="auto"/>
          <w:kern w:val="0"/>
          <w:sz w:val="24"/>
          <w:szCs w:val="24"/>
          <w:highlight w:val="none"/>
          <w:lang w:val="en-US" w:eastAsia="zh-CN"/>
        </w:rPr>
        <w:t>7.质疑</w:t>
      </w:r>
      <w:r>
        <w:rPr>
          <w:rFonts w:hint="eastAsia" w:ascii="宋体" w:hAnsi="宋体" w:eastAsia="宋体" w:cs="仿宋"/>
          <w:b w:val="0"/>
          <w:bCs w:val="0"/>
          <w:color w:val="auto"/>
          <w:kern w:val="0"/>
          <w:sz w:val="24"/>
          <w:szCs w:val="24"/>
          <w:highlight w:val="none"/>
          <w:lang w:val="zh-CN" w:eastAsia="zh-CN"/>
        </w:rPr>
        <w:t>供应商</w:t>
      </w:r>
      <w:r>
        <w:rPr>
          <w:rFonts w:hint="eastAsia" w:ascii="宋体" w:hAnsi="宋体" w:eastAsia="宋体" w:cs="仿宋"/>
          <w:b w:val="0"/>
          <w:bCs w:val="0"/>
          <w:color w:val="auto"/>
          <w:kern w:val="0"/>
          <w:sz w:val="24"/>
          <w:szCs w:val="24"/>
          <w:highlight w:val="none"/>
          <w:lang w:val="en-US" w:eastAsia="zh-CN"/>
        </w:rPr>
        <w:t>为</w:t>
      </w:r>
      <w:r>
        <w:rPr>
          <w:rFonts w:hint="eastAsia" w:ascii="宋体" w:hAnsi="宋体" w:eastAsia="宋体" w:cs="仿宋"/>
          <w:b w:val="0"/>
          <w:bCs w:val="0"/>
          <w:color w:val="auto"/>
          <w:kern w:val="0"/>
          <w:sz w:val="24"/>
          <w:szCs w:val="24"/>
          <w:highlight w:val="none"/>
          <w:lang w:val="zh-CN" w:eastAsia="zh-CN"/>
        </w:rPr>
        <w:t>联合体</w:t>
      </w:r>
      <w:r>
        <w:rPr>
          <w:rFonts w:hint="eastAsia" w:ascii="宋体" w:hAnsi="宋体" w:eastAsia="宋体" w:cs="仿宋"/>
          <w:b w:val="0"/>
          <w:bCs w:val="0"/>
          <w:color w:val="auto"/>
          <w:kern w:val="0"/>
          <w:sz w:val="24"/>
          <w:szCs w:val="24"/>
          <w:highlight w:val="none"/>
          <w:lang w:val="en-US" w:eastAsia="zh-CN"/>
        </w:rPr>
        <w:t>的</w:t>
      </w:r>
      <w:r>
        <w:rPr>
          <w:rFonts w:hint="eastAsia" w:ascii="宋体" w:hAnsi="宋体" w:eastAsia="宋体" w:cs="仿宋"/>
          <w:b w:val="0"/>
          <w:bCs w:val="0"/>
          <w:color w:val="auto"/>
          <w:kern w:val="0"/>
          <w:sz w:val="24"/>
          <w:szCs w:val="24"/>
          <w:highlight w:val="none"/>
          <w:lang w:val="zh-CN" w:eastAsia="zh-CN"/>
        </w:rPr>
        <w:t>，则《质疑函》中要求加盖公章之处，联合体各方均须按要求加盖公章。</w:t>
      </w:r>
    </w:p>
    <w:p w14:paraId="71EE709C">
      <w:pPr>
        <w:pStyle w:val="5"/>
        <w:rPr>
          <w:rFonts w:hint="eastAsia"/>
          <w:color w:val="auto"/>
          <w:highlight w:val="none"/>
          <w:lang w:val="en-US" w:eastAsia="zh-CN"/>
        </w:rPr>
      </w:pPr>
    </w:p>
    <w:sectPr>
      <w:headerReference r:id="rId5" w:type="default"/>
      <w:footerReference r:id="rId6" w:type="default"/>
      <w:pgSz w:w="12240" w:h="15840"/>
      <w:pgMar w:top="1134" w:right="1134" w:bottom="1134" w:left="1134" w:header="720" w:footer="720" w:gutter="0"/>
      <w:pgNumType w:fmt="decimal"/>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10B167C-EBCF-4528-9166-CE4CFE6CCA33}"/>
  </w:font>
  <w:font w:name="Arial">
    <w:panose1 w:val="020B0604020202020204"/>
    <w:charset w:val="01"/>
    <w:family w:val="swiss"/>
    <w:pitch w:val="default"/>
    <w:sig w:usb0="E0002EFF" w:usb1="C000785B" w:usb2="00000009" w:usb3="00000000" w:csb0="400001FF" w:csb1="FFFF0000"/>
    <w:embedRegular r:id="rId2" w:fontKey="{39F1B8CA-5F83-48A8-A071-D2B41C32B474}"/>
  </w:font>
  <w:font w:name="黑体">
    <w:panose1 w:val="02010609060101010101"/>
    <w:charset w:val="86"/>
    <w:family w:val="auto"/>
    <w:pitch w:val="default"/>
    <w:sig w:usb0="800002BF" w:usb1="38CF7CFA" w:usb2="00000016" w:usb3="00000000" w:csb0="00040001" w:csb1="00000000"/>
    <w:embedRegular r:id="rId3" w:fontKey="{6FBB9A13-8AB6-45E6-8FFC-79C3DBA366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embedRegular r:id="rId4" w:fontKey="{CE4D4950-2A9F-4000-BCED-53EA23E4DFF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auto"/>
    <w:pitch w:val="default"/>
    <w:sig w:usb0="00000000" w:usb1="00000000" w:usb2="00000000" w:usb3="00000000" w:csb0="00040000" w:csb1="00000000"/>
    <w:embedRegular r:id="rId5" w:fontKey="{C677E0F5-6F7B-45A3-AE21-4E7E13140F78}"/>
  </w:font>
  <w:font w:name="方正黑体_GBK">
    <w:altName w:val="微软雅黑"/>
    <w:panose1 w:val="03000509000000000000"/>
    <w:charset w:val="86"/>
    <w:family w:val="script"/>
    <w:pitch w:val="default"/>
    <w:sig w:usb0="00000000" w:usb1="00000000" w:usb2="00000000" w:usb3="00000000" w:csb0="00040000" w:csb1="00000000"/>
    <w:embedRegular r:id="rId6" w:fontKey="{4C14D4A2-95C7-4D12-81A5-40AC9E84C96C}"/>
  </w:font>
  <w:font w:name="方正小标宋简体">
    <w:panose1 w:val="02000000000000000000"/>
    <w:charset w:val="86"/>
    <w:family w:val="auto"/>
    <w:pitch w:val="default"/>
    <w:sig w:usb0="00000001" w:usb1="08000000" w:usb2="00000000" w:usb3="00000000" w:csb0="00040000" w:csb1="00000000"/>
    <w:embedRegular r:id="rId7" w:fontKey="{62164421-8017-42A1-9CDB-73866A6105D0}"/>
  </w:font>
  <w:font w:name="Verdana">
    <w:panose1 w:val="020B0604030504040204"/>
    <w:charset w:val="00"/>
    <w:family w:val="swiss"/>
    <w:pitch w:val="default"/>
    <w:sig w:usb0="A00006FF" w:usb1="4000205B" w:usb2="00000010" w:usb3="00000000" w:csb0="2000019F" w:csb1="00000000"/>
    <w:embedRegular r:id="rId8" w:fontKey="{BD2A1ADA-FDEB-4F32-86E3-3F77322132D8}"/>
  </w:font>
  <w:font w:name="楷体">
    <w:panose1 w:val="02010609060101010101"/>
    <w:charset w:val="86"/>
    <w:family w:val="auto"/>
    <w:pitch w:val="default"/>
    <w:sig w:usb0="800002BF" w:usb1="38CF7CFA" w:usb2="00000016" w:usb3="00000000" w:csb0="00040001" w:csb1="00000000"/>
    <w:embedRegular r:id="rId9" w:fontKey="{822B28B5-AEFB-4A0D-910D-E76FA84C3AA4}"/>
  </w:font>
  <w:font w:name="仿宋_GB2312">
    <w:panose1 w:val="02010609030101010101"/>
    <w:charset w:val="86"/>
    <w:family w:val="modern"/>
    <w:pitch w:val="default"/>
    <w:sig w:usb0="00000001" w:usb1="080E0000" w:usb2="00000000" w:usb3="00000000" w:csb0="00040000" w:csb1="00000000"/>
    <w:embedRegular r:id="rId10" w:fontKey="{CDAAFA93-C58C-48CC-A736-34649A25BFA2}"/>
  </w:font>
  <w:font w:name="KSOFF3CEDE7F">
    <w:panose1 w:val="020B0703020204020201"/>
    <w:charset w:val="86"/>
    <w:family w:val="auto"/>
    <w:pitch w:val="default"/>
    <w:sig w:usb0="00000001" w:usb1="00000000" w:usb2="00000000" w:usb3="00000000" w:csb0="00040001" w:csb1="00000000"/>
  </w:font>
  <w:font w:name="WPSEMBED1">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FA63F">
    <w:pPr>
      <w:pStyle w:val="16"/>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68046">
    <w:pPr>
      <w:pStyle w:val="16"/>
      <w:rPr>
        <w:rFonts w:cs="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9F083">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929F083">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5E007">
    <w:pPr>
      <w:pStyle w:val="18"/>
      <w:pBdr>
        <w:bottom w:val="none" w:color="auto" w:sz="0" w:space="0"/>
      </w:pBdr>
      <w:jc w:val="lef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C627C">
    <w:pPr>
      <w:pStyle w:val="18"/>
      <w:pBdr>
        <w:bottom w:val="none" w:color="auto" w:sz="0" w:space="0"/>
      </w:pBdr>
      <w:jc w:val="lef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4DB80"/>
    <w:multiLevelType w:val="singleLevel"/>
    <w:tmpl w:val="9F94DB80"/>
    <w:lvl w:ilvl="0" w:tentative="0">
      <w:start w:val="1"/>
      <w:numFmt w:val="chineseCounting"/>
      <w:suff w:val="nothing"/>
      <w:lvlText w:val="%1、"/>
      <w:lvlJc w:val="left"/>
      <w:rPr>
        <w:rFonts w:hint="eastAsia"/>
      </w:rPr>
    </w:lvl>
  </w:abstractNum>
  <w:abstractNum w:abstractNumId="1">
    <w:nsid w:val="CD94808E"/>
    <w:multiLevelType w:val="singleLevel"/>
    <w:tmpl w:val="CD94808E"/>
    <w:lvl w:ilvl="0" w:tentative="0">
      <w:start w:val="3"/>
      <w:numFmt w:val="chineseCounting"/>
      <w:suff w:val="space"/>
      <w:lvlText w:val="第%1章"/>
      <w:lvlJc w:val="left"/>
      <w:rPr>
        <w:rFonts w:hint="eastAsia"/>
      </w:rPr>
    </w:lvl>
  </w:abstractNum>
  <w:abstractNum w:abstractNumId="2">
    <w:nsid w:val="18519D80"/>
    <w:multiLevelType w:val="singleLevel"/>
    <w:tmpl w:val="18519D80"/>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TrueTypeFonts/>
  <w:saveSubsetFonts/>
  <w:bordersDoNotSurroundHeader w:val="0"/>
  <w:bordersDoNotSurroundFooter w:val="0"/>
  <w:documentProtection w:enforcement="0"/>
  <w:defaultTabStop w:val="720"/>
  <w:doNotHyphenateCaps/>
  <w:drawingGridHorizontalSpacing w:val="110"/>
  <w:displayHorizontalDrawingGridEvery w:val="1"/>
  <w:displayVerticalDrawingGridEvery w:val="1"/>
  <w:noPunctuationKerning w:val="1"/>
  <w:characterSpacingControl w:val="doNotCompress"/>
  <w:noLineBreaksAfter w:lang="zh-CN" w:val="([{·‘“〈《「『【〔〖（．［｛￡￥"/>
  <w:noLineBreaksBefore w:lang="zh-CN" w:val="!),.:;?]}¨·ˇˉ―‖’”…∶、。〃々〉》」』】〕〗！＂＇），．：；？］｀｜｝～￠"/>
  <w:doNotValidateAgainstSchema/>
  <w:doNotDemarcateInvalidXml/>
  <w:compat>
    <w:doNotExpandShiftReturn/>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ViMjVmZTJlM2VhOGE4MGY5N2U3Yzk3MzE3ZDY3MDIifQ=="/>
  </w:docVars>
  <w:rsids>
    <w:rsidRoot w:val="00000000"/>
    <w:rsid w:val="00244870"/>
    <w:rsid w:val="0098214A"/>
    <w:rsid w:val="00B80844"/>
    <w:rsid w:val="00D743B5"/>
    <w:rsid w:val="00F4223F"/>
    <w:rsid w:val="014F53D2"/>
    <w:rsid w:val="024C4754"/>
    <w:rsid w:val="02876E50"/>
    <w:rsid w:val="02A40196"/>
    <w:rsid w:val="02C4104D"/>
    <w:rsid w:val="02D54271"/>
    <w:rsid w:val="02F508F4"/>
    <w:rsid w:val="035A7CB2"/>
    <w:rsid w:val="03980C43"/>
    <w:rsid w:val="045A1585"/>
    <w:rsid w:val="04694765"/>
    <w:rsid w:val="04843EA8"/>
    <w:rsid w:val="0491590C"/>
    <w:rsid w:val="04AE36DF"/>
    <w:rsid w:val="04AF34D6"/>
    <w:rsid w:val="04C0022C"/>
    <w:rsid w:val="04CA23C2"/>
    <w:rsid w:val="04F76DD4"/>
    <w:rsid w:val="04F82300"/>
    <w:rsid w:val="051F47B5"/>
    <w:rsid w:val="05637854"/>
    <w:rsid w:val="057B7A05"/>
    <w:rsid w:val="059F3A2A"/>
    <w:rsid w:val="05AF3B52"/>
    <w:rsid w:val="05C07CEB"/>
    <w:rsid w:val="05EE629D"/>
    <w:rsid w:val="0605353C"/>
    <w:rsid w:val="061279EB"/>
    <w:rsid w:val="06133164"/>
    <w:rsid w:val="067C0EE4"/>
    <w:rsid w:val="06B37672"/>
    <w:rsid w:val="06BE23B6"/>
    <w:rsid w:val="06BF2E06"/>
    <w:rsid w:val="06D7510F"/>
    <w:rsid w:val="074F3297"/>
    <w:rsid w:val="07C9674B"/>
    <w:rsid w:val="07D17DB0"/>
    <w:rsid w:val="08323340"/>
    <w:rsid w:val="08420CAE"/>
    <w:rsid w:val="08481C32"/>
    <w:rsid w:val="084D7C2D"/>
    <w:rsid w:val="08776677"/>
    <w:rsid w:val="087E2144"/>
    <w:rsid w:val="08884AB7"/>
    <w:rsid w:val="08BB280E"/>
    <w:rsid w:val="08D64548"/>
    <w:rsid w:val="08E840E0"/>
    <w:rsid w:val="093A638A"/>
    <w:rsid w:val="094620D8"/>
    <w:rsid w:val="09510593"/>
    <w:rsid w:val="0966277A"/>
    <w:rsid w:val="09CA0F5B"/>
    <w:rsid w:val="0A0D7099"/>
    <w:rsid w:val="0A137A6A"/>
    <w:rsid w:val="0A650C83"/>
    <w:rsid w:val="0AA93258"/>
    <w:rsid w:val="0AAC38A7"/>
    <w:rsid w:val="0AB07C5F"/>
    <w:rsid w:val="0AD60CF1"/>
    <w:rsid w:val="0B0B5A66"/>
    <w:rsid w:val="0B41349E"/>
    <w:rsid w:val="0B623F32"/>
    <w:rsid w:val="0B971310"/>
    <w:rsid w:val="0BB36EDB"/>
    <w:rsid w:val="0BD85E41"/>
    <w:rsid w:val="0C160487"/>
    <w:rsid w:val="0C395F24"/>
    <w:rsid w:val="0C4B5628"/>
    <w:rsid w:val="0C9E30CE"/>
    <w:rsid w:val="0CC2416B"/>
    <w:rsid w:val="0CEA6DC6"/>
    <w:rsid w:val="0D077DD0"/>
    <w:rsid w:val="0D145034"/>
    <w:rsid w:val="0D5E25D9"/>
    <w:rsid w:val="0DB37F58"/>
    <w:rsid w:val="0DBD1272"/>
    <w:rsid w:val="0DF0015F"/>
    <w:rsid w:val="0E0D22D8"/>
    <w:rsid w:val="0E1A5AD0"/>
    <w:rsid w:val="0E90719B"/>
    <w:rsid w:val="0EBC0406"/>
    <w:rsid w:val="0F0A5959"/>
    <w:rsid w:val="0F1262C1"/>
    <w:rsid w:val="0F2E55AE"/>
    <w:rsid w:val="0F3114F7"/>
    <w:rsid w:val="0F3A26DF"/>
    <w:rsid w:val="0F410916"/>
    <w:rsid w:val="0F497AA2"/>
    <w:rsid w:val="0F5C552E"/>
    <w:rsid w:val="0F7B17FE"/>
    <w:rsid w:val="0FAE09D7"/>
    <w:rsid w:val="100B5E29"/>
    <w:rsid w:val="1010343F"/>
    <w:rsid w:val="104D087C"/>
    <w:rsid w:val="1087118F"/>
    <w:rsid w:val="10A849BC"/>
    <w:rsid w:val="10BC78CC"/>
    <w:rsid w:val="10EE19D3"/>
    <w:rsid w:val="10FD426E"/>
    <w:rsid w:val="11192C45"/>
    <w:rsid w:val="11355409"/>
    <w:rsid w:val="118243B8"/>
    <w:rsid w:val="11A95860"/>
    <w:rsid w:val="12081424"/>
    <w:rsid w:val="120945EA"/>
    <w:rsid w:val="124B55AF"/>
    <w:rsid w:val="12C801EC"/>
    <w:rsid w:val="12D215D2"/>
    <w:rsid w:val="12E34F1A"/>
    <w:rsid w:val="130F5C30"/>
    <w:rsid w:val="131B2827"/>
    <w:rsid w:val="13220BC5"/>
    <w:rsid w:val="13712447"/>
    <w:rsid w:val="13796B64"/>
    <w:rsid w:val="13A76D5B"/>
    <w:rsid w:val="13DC6019"/>
    <w:rsid w:val="13EE3435"/>
    <w:rsid w:val="144D675B"/>
    <w:rsid w:val="148B0CDA"/>
    <w:rsid w:val="14AA3E63"/>
    <w:rsid w:val="14CF4495"/>
    <w:rsid w:val="1524083D"/>
    <w:rsid w:val="152D57AF"/>
    <w:rsid w:val="154236C4"/>
    <w:rsid w:val="154C26C8"/>
    <w:rsid w:val="155140F8"/>
    <w:rsid w:val="159B7C4F"/>
    <w:rsid w:val="15CA4090"/>
    <w:rsid w:val="162215C1"/>
    <w:rsid w:val="16673A33"/>
    <w:rsid w:val="16887CEB"/>
    <w:rsid w:val="16892446"/>
    <w:rsid w:val="16945809"/>
    <w:rsid w:val="169703F4"/>
    <w:rsid w:val="1699418F"/>
    <w:rsid w:val="16B03286"/>
    <w:rsid w:val="17084E70"/>
    <w:rsid w:val="172F064F"/>
    <w:rsid w:val="17451CD6"/>
    <w:rsid w:val="1759519B"/>
    <w:rsid w:val="177A2364"/>
    <w:rsid w:val="178D7311"/>
    <w:rsid w:val="17CE7E68"/>
    <w:rsid w:val="17D2246F"/>
    <w:rsid w:val="17E22290"/>
    <w:rsid w:val="18801E4B"/>
    <w:rsid w:val="18864849"/>
    <w:rsid w:val="18B64F08"/>
    <w:rsid w:val="18BE628D"/>
    <w:rsid w:val="18C70B28"/>
    <w:rsid w:val="18CD382B"/>
    <w:rsid w:val="18E90CD1"/>
    <w:rsid w:val="19642B1F"/>
    <w:rsid w:val="19BC1C90"/>
    <w:rsid w:val="19FA13E8"/>
    <w:rsid w:val="1A7B3BAB"/>
    <w:rsid w:val="1A8C400A"/>
    <w:rsid w:val="1ADA2FC8"/>
    <w:rsid w:val="1B0B7D4C"/>
    <w:rsid w:val="1B3844D0"/>
    <w:rsid w:val="1B395C34"/>
    <w:rsid w:val="1B49414F"/>
    <w:rsid w:val="1BBA06AA"/>
    <w:rsid w:val="1C381D54"/>
    <w:rsid w:val="1C5E0883"/>
    <w:rsid w:val="1C7A6810"/>
    <w:rsid w:val="1C8150ED"/>
    <w:rsid w:val="1C8C6544"/>
    <w:rsid w:val="1C96621C"/>
    <w:rsid w:val="1CAD786A"/>
    <w:rsid w:val="1CC9303F"/>
    <w:rsid w:val="1D555710"/>
    <w:rsid w:val="1DAD0520"/>
    <w:rsid w:val="1DC261DD"/>
    <w:rsid w:val="1E29229C"/>
    <w:rsid w:val="1E2B7FD1"/>
    <w:rsid w:val="1EBC3110"/>
    <w:rsid w:val="1EEC6966"/>
    <w:rsid w:val="1F3D3B25"/>
    <w:rsid w:val="1F485BCD"/>
    <w:rsid w:val="1F980D5B"/>
    <w:rsid w:val="1FD03B91"/>
    <w:rsid w:val="1FDD3029"/>
    <w:rsid w:val="20014A97"/>
    <w:rsid w:val="200206E5"/>
    <w:rsid w:val="20A41B57"/>
    <w:rsid w:val="20E01AE9"/>
    <w:rsid w:val="20EB3A59"/>
    <w:rsid w:val="2145625A"/>
    <w:rsid w:val="21B77BBF"/>
    <w:rsid w:val="21B95756"/>
    <w:rsid w:val="21DB4464"/>
    <w:rsid w:val="22570E40"/>
    <w:rsid w:val="225B679C"/>
    <w:rsid w:val="228C4793"/>
    <w:rsid w:val="22AC3B77"/>
    <w:rsid w:val="22EB33C1"/>
    <w:rsid w:val="22ED5A17"/>
    <w:rsid w:val="230442DD"/>
    <w:rsid w:val="231352C9"/>
    <w:rsid w:val="23673D54"/>
    <w:rsid w:val="237D428F"/>
    <w:rsid w:val="23AB4DFB"/>
    <w:rsid w:val="23D108B8"/>
    <w:rsid w:val="24231158"/>
    <w:rsid w:val="244A0270"/>
    <w:rsid w:val="246017E5"/>
    <w:rsid w:val="24836E44"/>
    <w:rsid w:val="24B84D43"/>
    <w:rsid w:val="25227A45"/>
    <w:rsid w:val="25665B84"/>
    <w:rsid w:val="258450D5"/>
    <w:rsid w:val="26261FDA"/>
    <w:rsid w:val="263C0693"/>
    <w:rsid w:val="26752C23"/>
    <w:rsid w:val="268A7650"/>
    <w:rsid w:val="26AD77E2"/>
    <w:rsid w:val="27225ADA"/>
    <w:rsid w:val="273934A1"/>
    <w:rsid w:val="27441EF5"/>
    <w:rsid w:val="27A44741"/>
    <w:rsid w:val="27C10EB5"/>
    <w:rsid w:val="286C45C7"/>
    <w:rsid w:val="286F620C"/>
    <w:rsid w:val="28AA241D"/>
    <w:rsid w:val="28B641C7"/>
    <w:rsid w:val="28D64AE7"/>
    <w:rsid w:val="28F27C41"/>
    <w:rsid w:val="28F434A6"/>
    <w:rsid w:val="29170E1D"/>
    <w:rsid w:val="292323AE"/>
    <w:rsid w:val="292B6003"/>
    <w:rsid w:val="29345C2F"/>
    <w:rsid w:val="294C32E2"/>
    <w:rsid w:val="29C55FDF"/>
    <w:rsid w:val="2A19049E"/>
    <w:rsid w:val="2A2102CB"/>
    <w:rsid w:val="2A7478B3"/>
    <w:rsid w:val="2AAE1231"/>
    <w:rsid w:val="2AF02E62"/>
    <w:rsid w:val="2B045363"/>
    <w:rsid w:val="2B360673"/>
    <w:rsid w:val="2B975AE0"/>
    <w:rsid w:val="2BA86C11"/>
    <w:rsid w:val="2C2C62DD"/>
    <w:rsid w:val="2C591884"/>
    <w:rsid w:val="2C6171DF"/>
    <w:rsid w:val="2CA04667"/>
    <w:rsid w:val="2CAD1EFF"/>
    <w:rsid w:val="2CB6709C"/>
    <w:rsid w:val="2CE850D0"/>
    <w:rsid w:val="2D17110F"/>
    <w:rsid w:val="2D4252BA"/>
    <w:rsid w:val="2D5E4CD1"/>
    <w:rsid w:val="2D8D7A26"/>
    <w:rsid w:val="2DAD20AF"/>
    <w:rsid w:val="2DD82970"/>
    <w:rsid w:val="2DE55AB4"/>
    <w:rsid w:val="2DFC4A0C"/>
    <w:rsid w:val="2E6655C5"/>
    <w:rsid w:val="2EAD1881"/>
    <w:rsid w:val="2F027EE8"/>
    <w:rsid w:val="2F2443BA"/>
    <w:rsid w:val="2F831BFF"/>
    <w:rsid w:val="30213B81"/>
    <w:rsid w:val="302D6BA1"/>
    <w:rsid w:val="306457FD"/>
    <w:rsid w:val="307373A7"/>
    <w:rsid w:val="30754575"/>
    <w:rsid w:val="30833FAF"/>
    <w:rsid w:val="3094324B"/>
    <w:rsid w:val="30D86416"/>
    <w:rsid w:val="30EE2ED1"/>
    <w:rsid w:val="315632FA"/>
    <w:rsid w:val="31B25DB1"/>
    <w:rsid w:val="31D529D8"/>
    <w:rsid w:val="31E87920"/>
    <w:rsid w:val="31FB29FF"/>
    <w:rsid w:val="32073C31"/>
    <w:rsid w:val="32105B50"/>
    <w:rsid w:val="32193B79"/>
    <w:rsid w:val="32317519"/>
    <w:rsid w:val="32601BAD"/>
    <w:rsid w:val="32747406"/>
    <w:rsid w:val="32A36D88"/>
    <w:rsid w:val="32F30852"/>
    <w:rsid w:val="332B36E5"/>
    <w:rsid w:val="33482D6D"/>
    <w:rsid w:val="337A0A4C"/>
    <w:rsid w:val="343B7207"/>
    <w:rsid w:val="3474193F"/>
    <w:rsid w:val="347A00FD"/>
    <w:rsid w:val="35453714"/>
    <w:rsid w:val="355308EE"/>
    <w:rsid w:val="356A7324"/>
    <w:rsid w:val="359258B9"/>
    <w:rsid w:val="35EB5C31"/>
    <w:rsid w:val="35EB70CE"/>
    <w:rsid w:val="35F04FF6"/>
    <w:rsid w:val="35FD6324"/>
    <w:rsid w:val="360C51B1"/>
    <w:rsid w:val="363B64E4"/>
    <w:rsid w:val="368461D9"/>
    <w:rsid w:val="368F0CB2"/>
    <w:rsid w:val="368F550E"/>
    <w:rsid w:val="36953B64"/>
    <w:rsid w:val="369F7D55"/>
    <w:rsid w:val="36C83C74"/>
    <w:rsid w:val="36E04CEE"/>
    <w:rsid w:val="37186E98"/>
    <w:rsid w:val="37226157"/>
    <w:rsid w:val="37482CF9"/>
    <w:rsid w:val="374B2E2B"/>
    <w:rsid w:val="376157A2"/>
    <w:rsid w:val="37636F4C"/>
    <w:rsid w:val="3798259B"/>
    <w:rsid w:val="38030013"/>
    <w:rsid w:val="385E26EA"/>
    <w:rsid w:val="38855EC9"/>
    <w:rsid w:val="389A4FAB"/>
    <w:rsid w:val="38F07584"/>
    <w:rsid w:val="394E2B46"/>
    <w:rsid w:val="3A175D1B"/>
    <w:rsid w:val="3A275148"/>
    <w:rsid w:val="3A2E24D0"/>
    <w:rsid w:val="3A5C0EAC"/>
    <w:rsid w:val="3A6F4C37"/>
    <w:rsid w:val="3A802DEC"/>
    <w:rsid w:val="3AC30F2B"/>
    <w:rsid w:val="3AE269C3"/>
    <w:rsid w:val="3AF14337"/>
    <w:rsid w:val="3B096234"/>
    <w:rsid w:val="3B4C7172"/>
    <w:rsid w:val="3B7C1D59"/>
    <w:rsid w:val="3B997E8E"/>
    <w:rsid w:val="3BF86A03"/>
    <w:rsid w:val="3C61687C"/>
    <w:rsid w:val="3C74072E"/>
    <w:rsid w:val="3C7921E9"/>
    <w:rsid w:val="3C933906"/>
    <w:rsid w:val="3CBF315F"/>
    <w:rsid w:val="3D635F76"/>
    <w:rsid w:val="3D675213"/>
    <w:rsid w:val="3D98229D"/>
    <w:rsid w:val="3DB50FFF"/>
    <w:rsid w:val="3DDD2303"/>
    <w:rsid w:val="3DE62EEB"/>
    <w:rsid w:val="3E1247DB"/>
    <w:rsid w:val="3E1A48FA"/>
    <w:rsid w:val="3E301535"/>
    <w:rsid w:val="3E481E73"/>
    <w:rsid w:val="3EA101DD"/>
    <w:rsid w:val="3F1F5D70"/>
    <w:rsid w:val="3F445F33"/>
    <w:rsid w:val="3F4553C3"/>
    <w:rsid w:val="3F546091"/>
    <w:rsid w:val="3F7942AE"/>
    <w:rsid w:val="3FCE7FEF"/>
    <w:rsid w:val="3FEA294D"/>
    <w:rsid w:val="40046496"/>
    <w:rsid w:val="401364B0"/>
    <w:rsid w:val="401F6B7C"/>
    <w:rsid w:val="40302BBE"/>
    <w:rsid w:val="404C0D0E"/>
    <w:rsid w:val="405E1032"/>
    <w:rsid w:val="40952C78"/>
    <w:rsid w:val="40B05AAD"/>
    <w:rsid w:val="40D2307A"/>
    <w:rsid w:val="40E51BFB"/>
    <w:rsid w:val="410B3E07"/>
    <w:rsid w:val="41421E90"/>
    <w:rsid w:val="417D0484"/>
    <w:rsid w:val="419453CF"/>
    <w:rsid w:val="41A03D74"/>
    <w:rsid w:val="41A54620"/>
    <w:rsid w:val="42857334"/>
    <w:rsid w:val="428C6591"/>
    <w:rsid w:val="42955E57"/>
    <w:rsid w:val="42A72EE0"/>
    <w:rsid w:val="42C910A8"/>
    <w:rsid w:val="42F01176"/>
    <w:rsid w:val="42F425C9"/>
    <w:rsid w:val="431C677E"/>
    <w:rsid w:val="438671CF"/>
    <w:rsid w:val="439074A5"/>
    <w:rsid w:val="43D939AE"/>
    <w:rsid w:val="43DF1117"/>
    <w:rsid w:val="441E7095"/>
    <w:rsid w:val="446C618F"/>
    <w:rsid w:val="448B2AB9"/>
    <w:rsid w:val="44B11AC8"/>
    <w:rsid w:val="44B32010"/>
    <w:rsid w:val="44B933A8"/>
    <w:rsid w:val="44BF77B4"/>
    <w:rsid w:val="44C10289"/>
    <w:rsid w:val="44D051C4"/>
    <w:rsid w:val="44FF61F4"/>
    <w:rsid w:val="454B3315"/>
    <w:rsid w:val="457878E1"/>
    <w:rsid w:val="466878C2"/>
    <w:rsid w:val="46753A21"/>
    <w:rsid w:val="469A07E6"/>
    <w:rsid w:val="46F35C57"/>
    <w:rsid w:val="46F70F9A"/>
    <w:rsid w:val="477261B2"/>
    <w:rsid w:val="47802144"/>
    <w:rsid w:val="47FB22C7"/>
    <w:rsid w:val="481C2445"/>
    <w:rsid w:val="487F51A6"/>
    <w:rsid w:val="48911AC8"/>
    <w:rsid w:val="48E41F3C"/>
    <w:rsid w:val="49040521"/>
    <w:rsid w:val="49444977"/>
    <w:rsid w:val="49447842"/>
    <w:rsid w:val="49476478"/>
    <w:rsid w:val="494D5A3B"/>
    <w:rsid w:val="496A30C8"/>
    <w:rsid w:val="497C0C22"/>
    <w:rsid w:val="49804BB7"/>
    <w:rsid w:val="49F64D91"/>
    <w:rsid w:val="49F71BF7"/>
    <w:rsid w:val="4A0B7BEC"/>
    <w:rsid w:val="4A387ADD"/>
    <w:rsid w:val="4A452632"/>
    <w:rsid w:val="4ABF7BA6"/>
    <w:rsid w:val="4AC76CFA"/>
    <w:rsid w:val="4AD12FC2"/>
    <w:rsid w:val="4AEC59E7"/>
    <w:rsid w:val="4B257098"/>
    <w:rsid w:val="4B2652EA"/>
    <w:rsid w:val="4B741C44"/>
    <w:rsid w:val="4B987D78"/>
    <w:rsid w:val="4BF005DD"/>
    <w:rsid w:val="4C01359E"/>
    <w:rsid w:val="4C0F32DC"/>
    <w:rsid w:val="4C207F8B"/>
    <w:rsid w:val="4C2831C8"/>
    <w:rsid w:val="4C583FEF"/>
    <w:rsid w:val="4C8F32D7"/>
    <w:rsid w:val="4C9D50C7"/>
    <w:rsid w:val="4CF636EA"/>
    <w:rsid w:val="4D0C1142"/>
    <w:rsid w:val="4D0E7ED4"/>
    <w:rsid w:val="4D251BA9"/>
    <w:rsid w:val="4DC94652"/>
    <w:rsid w:val="4DD454D1"/>
    <w:rsid w:val="4DFF4E27"/>
    <w:rsid w:val="4E3961B1"/>
    <w:rsid w:val="4EEA4395"/>
    <w:rsid w:val="4F0D1A1D"/>
    <w:rsid w:val="4F3110F3"/>
    <w:rsid w:val="4F3B14FB"/>
    <w:rsid w:val="4F55738A"/>
    <w:rsid w:val="4F596105"/>
    <w:rsid w:val="4F5F701C"/>
    <w:rsid w:val="4F686E07"/>
    <w:rsid w:val="4F89714E"/>
    <w:rsid w:val="4FA57856"/>
    <w:rsid w:val="4FB3581D"/>
    <w:rsid w:val="4FBE01E7"/>
    <w:rsid w:val="4FE90FDC"/>
    <w:rsid w:val="4FF138F7"/>
    <w:rsid w:val="50037CEF"/>
    <w:rsid w:val="501B1C41"/>
    <w:rsid w:val="50236424"/>
    <w:rsid w:val="50472993"/>
    <w:rsid w:val="505E0265"/>
    <w:rsid w:val="509563EB"/>
    <w:rsid w:val="50AD6D11"/>
    <w:rsid w:val="50B16E7E"/>
    <w:rsid w:val="50B25872"/>
    <w:rsid w:val="50FD0976"/>
    <w:rsid w:val="51004FE6"/>
    <w:rsid w:val="51383FC9"/>
    <w:rsid w:val="51393D1D"/>
    <w:rsid w:val="51881020"/>
    <w:rsid w:val="519B00B4"/>
    <w:rsid w:val="51D25385"/>
    <w:rsid w:val="524F55D7"/>
    <w:rsid w:val="525A6314"/>
    <w:rsid w:val="5294522F"/>
    <w:rsid w:val="52A15B9E"/>
    <w:rsid w:val="52E8340F"/>
    <w:rsid w:val="53222E9A"/>
    <w:rsid w:val="53395DD6"/>
    <w:rsid w:val="53431FBA"/>
    <w:rsid w:val="534722A1"/>
    <w:rsid w:val="534F73A8"/>
    <w:rsid w:val="53545AF0"/>
    <w:rsid w:val="535471BE"/>
    <w:rsid w:val="540939FA"/>
    <w:rsid w:val="54650AEF"/>
    <w:rsid w:val="546A1353"/>
    <w:rsid w:val="547B1974"/>
    <w:rsid w:val="5481126E"/>
    <w:rsid w:val="548F1073"/>
    <w:rsid w:val="5492579E"/>
    <w:rsid w:val="54AD6F7A"/>
    <w:rsid w:val="54C811C0"/>
    <w:rsid w:val="54E04E3F"/>
    <w:rsid w:val="54E51D72"/>
    <w:rsid w:val="55694437"/>
    <w:rsid w:val="556A0DE8"/>
    <w:rsid w:val="55933427"/>
    <w:rsid w:val="55B26E5F"/>
    <w:rsid w:val="566401D2"/>
    <w:rsid w:val="56721586"/>
    <w:rsid w:val="56877819"/>
    <w:rsid w:val="56C1236A"/>
    <w:rsid w:val="57241278"/>
    <w:rsid w:val="57400AA7"/>
    <w:rsid w:val="57A25B7B"/>
    <w:rsid w:val="57A8352A"/>
    <w:rsid w:val="57CA4BF5"/>
    <w:rsid w:val="57D4087C"/>
    <w:rsid w:val="583D7E91"/>
    <w:rsid w:val="585F61E4"/>
    <w:rsid w:val="587D6765"/>
    <w:rsid w:val="58907828"/>
    <w:rsid w:val="58AF2F63"/>
    <w:rsid w:val="58C2346F"/>
    <w:rsid w:val="59851D75"/>
    <w:rsid w:val="598F6750"/>
    <w:rsid w:val="59BD5DBA"/>
    <w:rsid w:val="59F24396"/>
    <w:rsid w:val="5A0F4559"/>
    <w:rsid w:val="5AC0437F"/>
    <w:rsid w:val="5AC46040"/>
    <w:rsid w:val="5B0B0058"/>
    <w:rsid w:val="5B302BB2"/>
    <w:rsid w:val="5B7F374A"/>
    <w:rsid w:val="5BB73703"/>
    <w:rsid w:val="5BBC1352"/>
    <w:rsid w:val="5BCE2031"/>
    <w:rsid w:val="5BD7735D"/>
    <w:rsid w:val="5C171F05"/>
    <w:rsid w:val="5CC9103A"/>
    <w:rsid w:val="5CED3EB9"/>
    <w:rsid w:val="5CFE60C6"/>
    <w:rsid w:val="5D23534E"/>
    <w:rsid w:val="5D637BD6"/>
    <w:rsid w:val="5E2D4789"/>
    <w:rsid w:val="5E5166CA"/>
    <w:rsid w:val="5E8F792F"/>
    <w:rsid w:val="5E975575"/>
    <w:rsid w:val="5EB75C18"/>
    <w:rsid w:val="5EE56411"/>
    <w:rsid w:val="5EEC1F4F"/>
    <w:rsid w:val="5F024888"/>
    <w:rsid w:val="5F031BC4"/>
    <w:rsid w:val="5F7E1979"/>
    <w:rsid w:val="5F943AE4"/>
    <w:rsid w:val="5FCC070D"/>
    <w:rsid w:val="5FCC4EDE"/>
    <w:rsid w:val="5FDD1413"/>
    <w:rsid w:val="5FEB6E4C"/>
    <w:rsid w:val="5FF70E10"/>
    <w:rsid w:val="6008100A"/>
    <w:rsid w:val="601F2FAD"/>
    <w:rsid w:val="60874625"/>
    <w:rsid w:val="609D5BF6"/>
    <w:rsid w:val="60A7695D"/>
    <w:rsid w:val="60B12805"/>
    <w:rsid w:val="61157A1C"/>
    <w:rsid w:val="61363955"/>
    <w:rsid w:val="614F38DA"/>
    <w:rsid w:val="615E2D65"/>
    <w:rsid w:val="61F21F72"/>
    <w:rsid w:val="61F4554D"/>
    <w:rsid w:val="61F82802"/>
    <w:rsid w:val="62571DD5"/>
    <w:rsid w:val="62D8753A"/>
    <w:rsid w:val="62ED1183"/>
    <w:rsid w:val="634D0152"/>
    <w:rsid w:val="63712A5E"/>
    <w:rsid w:val="639F48C1"/>
    <w:rsid w:val="63C353C0"/>
    <w:rsid w:val="63CD67F3"/>
    <w:rsid w:val="63F41FD1"/>
    <w:rsid w:val="64432BC5"/>
    <w:rsid w:val="647824C1"/>
    <w:rsid w:val="64AF5EF8"/>
    <w:rsid w:val="64BF28C4"/>
    <w:rsid w:val="64EF4547"/>
    <w:rsid w:val="64F55CAD"/>
    <w:rsid w:val="652F1D8E"/>
    <w:rsid w:val="654C0FE7"/>
    <w:rsid w:val="65735178"/>
    <w:rsid w:val="65A86DC6"/>
    <w:rsid w:val="66584CE9"/>
    <w:rsid w:val="6671129A"/>
    <w:rsid w:val="66C951BA"/>
    <w:rsid w:val="681744E0"/>
    <w:rsid w:val="681C680B"/>
    <w:rsid w:val="683010FE"/>
    <w:rsid w:val="68325541"/>
    <w:rsid w:val="68356714"/>
    <w:rsid w:val="68771F38"/>
    <w:rsid w:val="68CF033D"/>
    <w:rsid w:val="68FE730A"/>
    <w:rsid w:val="692769A5"/>
    <w:rsid w:val="696872E9"/>
    <w:rsid w:val="69807B3F"/>
    <w:rsid w:val="69F5747C"/>
    <w:rsid w:val="6A0734D2"/>
    <w:rsid w:val="6A0F03A9"/>
    <w:rsid w:val="6A682DD1"/>
    <w:rsid w:val="6AA67D9D"/>
    <w:rsid w:val="6ABE50E7"/>
    <w:rsid w:val="6ADE7686"/>
    <w:rsid w:val="6AE6723A"/>
    <w:rsid w:val="6AF254D8"/>
    <w:rsid w:val="6B0A5038"/>
    <w:rsid w:val="6B55332A"/>
    <w:rsid w:val="6B611442"/>
    <w:rsid w:val="6B661494"/>
    <w:rsid w:val="6BAB00CD"/>
    <w:rsid w:val="6BAC1ACB"/>
    <w:rsid w:val="6C30177A"/>
    <w:rsid w:val="6C5415DE"/>
    <w:rsid w:val="6C9F2875"/>
    <w:rsid w:val="6CBE3E74"/>
    <w:rsid w:val="6CC25CE0"/>
    <w:rsid w:val="6DC5273D"/>
    <w:rsid w:val="6DD63A67"/>
    <w:rsid w:val="6DED07A9"/>
    <w:rsid w:val="6E001573"/>
    <w:rsid w:val="6E310F56"/>
    <w:rsid w:val="6E3A4A84"/>
    <w:rsid w:val="6E694C64"/>
    <w:rsid w:val="6E7B384B"/>
    <w:rsid w:val="6E967FF1"/>
    <w:rsid w:val="6EE42C42"/>
    <w:rsid w:val="6F23376B"/>
    <w:rsid w:val="6FC84312"/>
    <w:rsid w:val="70224688"/>
    <w:rsid w:val="70255161"/>
    <w:rsid w:val="702F596C"/>
    <w:rsid w:val="70FA2FAA"/>
    <w:rsid w:val="71934328"/>
    <w:rsid w:val="7193510F"/>
    <w:rsid w:val="71AC37DB"/>
    <w:rsid w:val="71B85507"/>
    <w:rsid w:val="71C07997"/>
    <w:rsid w:val="71D84CE0"/>
    <w:rsid w:val="72023B57"/>
    <w:rsid w:val="722A4AED"/>
    <w:rsid w:val="723F14F3"/>
    <w:rsid w:val="72472141"/>
    <w:rsid w:val="72907631"/>
    <w:rsid w:val="72B920A1"/>
    <w:rsid w:val="72DD0E4F"/>
    <w:rsid w:val="73124F6C"/>
    <w:rsid w:val="731C7037"/>
    <w:rsid w:val="73F919C5"/>
    <w:rsid w:val="74125E4D"/>
    <w:rsid w:val="741744A7"/>
    <w:rsid w:val="745019EE"/>
    <w:rsid w:val="745919DD"/>
    <w:rsid w:val="74AE3AD6"/>
    <w:rsid w:val="74B03005"/>
    <w:rsid w:val="74C4725C"/>
    <w:rsid w:val="74C758F8"/>
    <w:rsid w:val="75A650F5"/>
    <w:rsid w:val="760A030E"/>
    <w:rsid w:val="760A11E0"/>
    <w:rsid w:val="76430A74"/>
    <w:rsid w:val="76653F91"/>
    <w:rsid w:val="766C1E9B"/>
    <w:rsid w:val="77425036"/>
    <w:rsid w:val="776D7693"/>
    <w:rsid w:val="77751833"/>
    <w:rsid w:val="77BD3D93"/>
    <w:rsid w:val="783402F8"/>
    <w:rsid w:val="78776069"/>
    <w:rsid w:val="788E199A"/>
    <w:rsid w:val="78A0407E"/>
    <w:rsid w:val="78B40E7C"/>
    <w:rsid w:val="792E3438"/>
    <w:rsid w:val="79622FD9"/>
    <w:rsid w:val="79745AFD"/>
    <w:rsid w:val="7A0917AF"/>
    <w:rsid w:val="7A0A5870"/>
    <w:rsid w:val="7A1413F1"/>
    <w:rsid w:val="7A551895"/>
    <w:rsid w:val="7A5C4AB6"/>
    <w:rsid w:val="7A69553F"/>
    <w:rsid w:val="7A8228E4"/>
    <w:rsid w:val="7AA339B1"/>
    <w:rsid w:val="7AB07953"/>
    <w:rsid w:val="7AC15EF1"/>
    <w:rsid w:val="7AD46261"/>
    <w:rsid w:val="7B25353B"/>
    <w:rsid w:val="7B725B12"/>
    <w:rsid w:val="7B7F3AB6"/>
    <w:rsid w:val="7B853D80"/>
    <w:rsid w:val="7B866190"/>
    <w:rsid w:val="7B872B63"/>
    <w:rsid w:val="7BAE4B40"/>
    <w:rsid w:val="7C141B05"/>
    <w:rsid w:val="7C2F7189"/>
    <w:rsid w:val="7C834433"/>
    <w:rsid w:val="7CFF57E1"/>
    <w:rsid w:val="7D130B64"/>
    <w:rsid w:val="7D2232B3"/>
    <w:rsid w:val="7D292894"/>
    <w:rsid w:val="7D3F6E38"/>
    <w:rsid w:val="7D6C14C3"/>
    <w:rsid w:val="7D81001B"/>
    <w:rsid w:val="7DEF24AB"/>
    <w:rsid w:val="7DFF1136"/>
    <w:rsid w:val="7E2F17B6"/>
    <w:rsid w:val="7E792AEF"/>
    <w:rsid w:val="7E7F64E4"/>
    <w:rsid w:val="7EC9775F"/>
    <w:rsid w:val="7F204B4A"/>
    <w:rsid w:val="7F4219EB"/>
    <w:rsid w:val="7F6C1B8A"/>
    <w:rsid w:val="7FB86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99"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qFormat="1" w:unhideWhenUsed="0"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qFormat="1" w:unhideWhenUsed="0"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99" w:semiHidden="0" w:name="Strong"/>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qFormat="1" w:uiPriority="99" w:semiHidden="0" w:name="HTML Code"/>
    <w:lsdException w:uiPriority="99"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83"/>
    <w:qFormat/>
    <w:uiPriority w:val="0"/>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44"/>
    <w:qFormat/>
    <w:uiPriority w:val="99"/>
    <w:pPr>
      <w:spacing w:before="39"/>
      <w:ind w:left="100"/>
      <w:outlineLvl w:val="0"/>
    </w:pPr>
    <w:rPr>
      <w:sz w:val="27"/>
      <w:szCs w:val="27"/>
    </w:rPr>
  </w:style>
  <w:style w:type="paragraph" w:styleId="4">
    <w:name w:val="heading 2"/>
    <w:basedOn w:val="1"/>
    <w:next w:val="1"/>
    <w:link w:val="51"/>
    <w:qFormat/>
    <w:uiPriority w:val="99"/>
    <w:pPr>
      <w:spacing w:before="54"/>
      <w:ind w:left="100"/>
      <w:outlineLvl w:val="1"/>
    </w:pPr>
    <w:rPr>
      <w:sz w:val="24"/>
      <w:szCs w:val="24"/>
    </w:rPr>
  </w:style>
  <w:style w:type="paragraph" w:styleId="5">
    <w:name w:val="heading 3"/>
    <w:basedOn w:val="1"/>
    <w:next w:val="6"/>
    <w:link w:val="53"/>
    <w:qFormat/>
    <w:uiPriority w:val="99"/>
    <w:pPr>
      <w:spacing w:before="60"/>
      <w:ind w:left="521"/>
      <w:outlineLvl w:val="2"/>
    </w:pPr>
    <w:rPr>
      <w:sz w:val="21"/>
      <w:szCs w:val="21"/>
    </w:rPr>
  </w:style>
  <w:style w:type="paragraph" w:styleId="7">
    <w:name w:val="heading 4"/>
    <w:basedOn w:val="1"/>
    <w:next w:val="6"/>
    <w:link w:val="54"/>
    <w:qFormat/>
    <w:uiPriority w:val="99"/>
    <w:pPr>
      <w:keepNext/>
      <w:keepLines/>
      <w:spacing w:before="280" w:after="290" w:line="376" w:lineRule="auto"/>
      <w:outlineLvl w:val="3"/>
    </w:pPr>
    <w:rPr>
      <w:rFonts w:ascii="Cambria" w:hAnsi="Cambria" w:cs="Cambria"/>
      <w:b/>
      <w:bCs/>
      <w:sz w:val="28"/>
      <w:szCs w:val="28"/>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styleId="2">
    <w:name w:val="Body Text"/>
    <w:basedOn w:val="1"/>
    <w:link w:val="57"/>
    <w:qFormat/>
    <w:uiPriority w:val="1"/>
    <w:pPr>
      <w:spacing w:before="129"/>
      <w:ind w:left="100"/>
    </w:pPr>
    <w:rPr>
      <w:sz w:val="18"/>
      <w:szCs w:val="18"/>
    </w:rPr>
  </w:style>
  <w:style w:type="paragraph" w:styleId="6">
    <w:name w:val="Normal Indent"/>
    <w:basedOn w:val="1"/>
    <w:link w:val="55"/>
    <w:qFormat/>
    <w:uiPriority w:val="99"/>
    <w:pPr>
      <w:autoSpaceDE/>
      <w:autoSpaceDN/>
      <w:ind w:firstLine="420"/>
      <w:jc w:val="both"/>
    </w:pPr>
    <w:rPr>
      <w:rFonts w:ascii="Times New Roman" w:hAnsi="Times New Roman" w:cs="Times New Roman"/>
      <w:b/>
      <w:bCs/>
      <w:kern w:val="2"/>
      <w:sz w:val="20"/>
      <w:szCs w:val="20"/>
      <w:lang w:eastAsia="zh-CN"/>
    </w:rPr>
  </w:style>
  <w:style w:type="paragraph" w:styleId="8">
    <w:name w:val="annotation text"/>
    <w:basedOn w:val="1"/>
    <w:link w:val="56"/>
    <w:unhideWhenUsed/>
    <w:qFormat/>
    <w:uiPriority w:val="99"/>
  </w:style>
  <w:style w:type="paragraph" w:styleId="9">
    <w:name w:val="Body Text Indent"/>
    <w:basedOn w:val="1"/>
    <w:link w:val="58"/>
    <w:semiHidden/>
    <w:qFormat/>
    <w:uiPriority w:val="99"/>
    <w:pPr>
      <w:spacing w:after="120"/>
      <w:ind w:left="420" w:leftChars="200"/>
    </w:pPr>
  </w:style>
  <w:style w:type="paragraph" w:styleId="10">
    <w:name w:val="index 4"/>
    <w:basedOn w:val="1"/>
    <w:next w:val="1"/>
    <w:qFormat/>
    <w:uiPriority w:val="99"/>
    <w:pPr>
      <w:ind w:left="600"/>
    </w:pPr>
  </w:style>
  <w:style w:type="paragraph" w:styleId="11">
    <w:name w:val="toc 3"/>
    <w:basedOn w:val="1"/>
    <w:next w:val="1"/>
    <w:semiHidden/>
    <w:qFormat/>
    <w:uiPriority w:val="99"/>
    <w:pPr>
      <w:widowControl/>
      <w:autoSpaceDE/>
      <w:autoSpaceDN/>
      <w:spacing w:after="100" w:line="259" w:lineRule="auto"/>
      <w:ind w:left="440"/>
    </w:pPr>
    <w:rPr>
      <w:rFonts w:ascii="Calibri" w:hAnsi="Calibri" w:cs="Calibri"/>
      <w:lang w:eastAsia="zh-CN"/>
    </w:rPr>
  </w:style>
  <w:style w:type="paragraph" w:styleId="12">
    <w:name w:val="Plain Text"/>
    <w:basedOn w:val="1"/>
    <w:link w:val="66"/>
    <w:qFormat/>
    <w:uiPriority w:val="99"/>
    <w:pPr>
      <w:autoSpaceDE/>
      <w:autoSpaceDN/>
      <w:spacing w:line="460" w:lineRule="exact"/>
      <w:jc w:val="both"/>
    </w:pPr>
    <w:rPr>
      <w:rFonts w:hAnsi="Courier New" w:cs="Times New Roman"/>
      <w:spacing w:val="10"/>
      <w:sz w:val="21"/>
      <w:szCs w:val="21"/>
    </w:rPr>
  </w:style>
  <w:style w:type="paragraph" w:styleId="13">
    <w:name w:val="Date"/>
    <w:basedOn w:val="1"/>
    <w:next w:val="1"/>
    <w:link w:val="67"/>
    <w:qFormat/>
    <w:uiPriority w:val="99"/>
    <w:pPr>
      <w:autoSpaceDE/>
      <w:autoSpaceDN/>
      <w:jc w:val="both"/>
    </w:pPr>
    <w:rPr>
      <w:rFonts w:hAnsi="Calibri" w:cs="Times New Roman"/>
      <w:spacing w:val="12"/>
      <w:sz w:val="24"/>
      <w:szCs w:val="24"/>
    </w:rPr>
  </w:style>
  <w:style w:type="paragraph" w:styleId="14">
    <w:name w:val="Body Text Indent 2"/>
    <w:basedOn w:val="1"/>
    <w:next w:val="1"/>
    <w:qFormat/>
    <w:uiPriority w:val="0"/>
    <w:pPr>
      <w:spacing w:line="560" w:lineRule="exact"/>
      <w:ind w:firstLine="560" w:firstLineChars="200"/>
    </w:pPr>
    <w:rPr>
      <w:sz w:val="28"/>
    </w:rPr>
  </w:style>
  <w:style w:type="paragraph" w:styleId="15">
    <w:name w:val="Balloon Text"/>
    <w:basedOn w:val="1"/>
    <w:link w:val="52"/>
    <w:semiHidden/>
    <w:qFormat/>
    <w:uiPriority w:val="99"/>
    <w:rPr>
      <w:sz w:val="18"/>
      <w:szCs w:val="18"/>
    </w:rPr>
  </w:style>
  <w:style w:type="paragraph" w:styleId="16">
    <w:name w:val="footer"/>
    <w:basedOn w:val="1"/>
    <w:link w:val="61"/>
    <w:qFormat/>
    <w:uiPriority w:val="99"/>
    <w:pPr>
      <w:tabs>
        <w:tab w:val="center" w:pos="4153"/>
        <w:tab w:val="right" w:pos="8306"/>
      </w:tabs>
      <w:snapToGrid w:val="0"/>
    </w:pPr>
    <w:rPr>
      <w:sz w:val="18"/>
      <w:szCs w:val="18"/>
    </w:rPr>
  </w:style>
  <w:style w:type="paragraph" w:styleId="17">
    <w:name w:val="envelope return"/>
    <w:basedOn w:val="1"/>
    <w:qFormat/>
    <w:uiPriority w:val="0"/>
    <w:pPr>
      <w:snapToGrid w:val="0"/>
    </w:pPr>
    <w:rPr>
      <w:rFonts w:ascii="Arial" w:hAnsi="Arial" w:eastAsia="宋体" w:cs="宋体"/>
    </w:rPr>
  </w:style>
  <w:style w:type="paragraph" w:styleId="18">
    <w:name w:val="header"/>
    <w:basedOn w:val="1"/>
    <w:link w:val="62"/>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widowControl/>
      <w:tabs>
        <w:tab w:val="right" w:leader="dot" w:pos="8630"/>
      </w:tabs>
      <w:autoSpaceDE/>
      <w:autoSpaceDN/>
      <w:spacing w:after="100" w:line="360" w:lineRule="auto"/>
    </w:pPr>
    <w:rPr>
      <w:rFonts w:ascii="Calibri" w:hAnsi="Calibri" w:cs="Calibri"/>
      <w:lang w:eastAsia="zh-CN"/>
    </w:rPr>
  </w:style>
  <w:style w:type="paragraph" w:styleId="20">
    <w:name w:val="footnote text"/>
    <w:basedOn w:val="1"/>
    <w:link w:val="63"/>
    <w:semiHidden/>
    <w:qFormat/>
    <w:uiPriority w:val="99"/>
    <w:pPr>
      <w:autoSpaceDE/>
      <w:autoSpaceDN/>
      <w:snapToGrid w:val="0"/>
    </w:pPr>
    <w:rPr>
      <w:rFonts w:ascii="Times New Roman" w:hAnsi="Times New Roman" w:cs="Times New Roman"/>
      <w:kern w:val="2"/>
      <w:sz w:val="18"/>
      <w:szCs w:val="18"/>
      <w:lang w:eastAsia="zh-CN"/>
    </w:rPr>
  </w:style>
  <w:style w:type="paragraph" w:styleId="21">
    <w:name w:val="toc 2"/>
    <w:basedOn w:val="1"/>
    <w:next w:val="1"/>
    <w:qFormat/>
    <w:uiPriority w:val="39"/>
    <w:pPr>
      <w:widowControl/>
      <w:tabs>
        <w:tab w:val="right" w:leader="dot" w:pos="8630"/>
      </w:tabs>
      <w:autoSpaceDE/>
      <w:autoSpaceDN/>
      <w:spacing w:after="100" w:line="360" w:lineRule="auto"/>
      <w:ind w:left="221" w:firstLine="440" w:firstLineChars="200"/>
    </w:pPr>
    <w:rPr>
      <w:rFonts w:ascii="Calibri" w:hAnsi="Calibri" w:cs="Calibri"/>
      <w:lang w:eastAsia="zh-CN"/>
    </w:rPr>
  </w:style>
  <w:style w:type="paragraph" w:styleId="22">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23">
    <w:name w:val="Title"/>
    <w:basedOn w:val="1"/>
    <w:link w:val="64"/>
    <w:qFormat/>
    <w:uiPriority w:val="99"/>
    <w:pPr>
      <w:spacing w:line="930" w:lineRule="exact"/>
      <w:ind w:left="2875"/>
    </w:pPr>
    <w:rPr>
      <w:sz w:val="75"/>
      <w:szCs w:val="75"/>
    </w:rPr>
  </w:style>
  <w:style w:type="paragraph" w:styleId="24">
    <w:name w:val="Body Text First Indent"/>
    <w:basedOn w:val="2"/>
    <w:link w:val="65"/>
    <w:unhideWhenUsed/>
    <w:qFormat/>
    <w:uiPriority w:val="99"/>
    <w:pPr>
      <w:spacing w:before="0" w:after="120"/>
      <w:ind w:left="0" w:firstLine="420" w:firstLineChars="100"/>
    </w:pPr>
    <w:rPr>
      <w:sz w:val="22"/>
      <w:szCs w:val="22"/>
    </w:rPr>
  </w:style>
  <w:style w:type="paragraph" w:styleId="25">
    <w:name w:val="Body Text First Indent 2"/>
    <w:basedOn w:val="9"/>
    <w:next w:val="1"/>
    <w:unhideWhenUsed/>
    <w:qFormat/>
    <w:uiPriority w:val="99"/>
    <w:pPr>
      <w:tabs>
        <w:tab w:val="left" w:pos="993"/>
        <w:tab w:val="left" w:pos="1134"/>
      </w:tabs>
      <w:ind w:firstLine="420" w:firstLineChars="200"/>
    </w:pPr>
    <w:rPr>
      <w:rFonts w:ascii="Times New Roman" w:hAnsi="Times New Roman" w:cs="Arial Unicode MS"/>
      <w:kern w:val="2"/>
      <w:sz w:val="21"/>
      <w:szCs w:val="21"/>
    </w:rPr>
  </w:style>
  <w:style w:type="table" w:styleId="27">
    <w:name w:val="Table Grid"/>
    <w:basedOn w:val="26"/>
    <w:qFormat/>
    <w:uiPriority w:val="9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99"/>
    <w:rPr>
      <w:b/>
      <w:bCs/>
    </w:rPr>
  </w:style>
  <w:style w:type="character" w:styleId="30">
    <w:name w:val="page number"/>
    <w:qFormat/>
    <w:uiPriority w:val="0"/>
    <w:rPr>
      <w:lang w:val="zh-TW" w:eastAsia="zh-TW"/>
    </w:rPr>
  </w:style>
  <w:style w:type="character" w:styleId="31">
    <w:name w:val="FollowedHyperlink"/>
    <w:unhideWhenUsed/>
    <w:qFormat/>
    <w:uiPriority w:val="99"/>
    <w:rPr>
      <w:color w:val="800080"/>
      <w:u w:val="none"/>
    </w:rPr>
  </w:style>
  <w:style w:type="character" w:styleId="32">
    <w:name w:val="Emphasis"/>
    <w:basedOn w:val="28"/>
    <w:qFormat/>
    <w:locked/>
    <w:uiPriority w:val="0"/>
    <w:rPr>
      <w:i/>
    </w:rPr>
  </w:style>
  <w:style w:type="character" w:styleId="33">
    <w:name w:val="HTML Typewriter"/>
    <w:unhideWhenUsed/>
    <w:qFormat/>
    <w:uiPriority w:val="99"/>
    <w:rPr>
      <w:rFonts w:hint="default" w:ascii="monospace" w:hAnsi="monospace" w:eastAsia="monospace" w:cs="monospace"/>
      <w:sz w:val="20"/>
    </w:rPr>
  </w:style>
  <w:style w:type="character" w:styleId="34">
    <w:name w:val="HTML Acronym"/>
    <w:unhideWhenUsed/>
    <w:qFormat/>
    <w:uiPriority w:val="99"/>
  </w:style>
  <w:style w:type="character" w:styleId="35">
    <w:name w:val="Hyperlink"/>
    <w:qFormat/>
    <w:uiPriority w:val="99"/>
    <w:rPr>
      <w:color w:val="0000FF"/>
      <w:u w:val="none"/>
    </w:rPr>
  </w:style>
  <w:style w:type="character" w:styleId="36">
    <w:name w:val="HTML Code"/>
    <w:unhideWhenUsed/>
    <w:qFormat/>
    <w:uiPriority w:val="99"/>
    <w:rPr>
      <w:rFonts w:hint="default" w:ascii="monospace" w:hAnsi="monospace" w:eastAsia="monospace" w:cs="monospace"/>
      <w:sz w:val="20"/>
    </w:rPr>
  </w:style>
  <w:style w:type="character" w:styleId="37">
    <w:name w:val="footnote reference"/>
    <w:semiHidden/>
    <w:qFormat/>
    <w:uiPriority w:val="99"/>
    <w:rPr>
      <w:vertAlign w:val="superscript"/>
    </w:rPr>
  </w:style>
  <w:style w:type="character" w:styleId="38">
    <w:name w:val="HTML Keyboard"/>
    <w:unhideWhenUsed/>
    <w:qFormat/>
    <w:uiPriority w:val="99"/>
    <w:rPr>
      <w:rFonts w:ascii="monospace" w:hAnsi="monospace" w:eastAsia="monospace" w:cs="monospace"/>
      <w:sz w:val="20"/>
    </w:rPr>
  </w:style>
  <w:style w:type="character" w:styleId="39">
    <w:name w:val="HTML Sample"/>
    <w:unhideWhenUsed/>
    <w:qFormat/>
    <w:uiPriority w:val="99"/>
    <w:rPr>
      <w:rFonts w:hint="default" w:ascii="monospace" w:hAnsi="monospace" w:eastAsia="monospace" w:cs="monospace"/>
    </w:rPr>
  </w:style>
  <w:style w:type="paragraph" w:customStyle="1" w:styleId="40">
    <w:name w:val="首行缩进"/>
    <w:basedOn w:val="1"/>
    <w:qFormat/>
    <w:uiPriority w:val="0"/>
    <w:pPr>
      <w:ind w:firstLine="480" w:firstLineChars="200"/>
    </w:pPr>
    <w:rPr>
      <w:szCs w:val="20"/>
      <w:lang w:val="zh-CN"/>
    </w:rPr>
  </w:style>
  <w:style w:type="paragraph" w:customStyle="1" w:styleId="41">
    <w:name w:val="正文首行缩进 21"/>
    <w:basedOn w:val="42"/>
    <w:next w:val="1"/>
    <w:qFormat/>
    <w:uiPriority w:val="0"/>
    <w:pPr>
      <w:spacing w:line="360" w:lineRule="auto"/>
      <w:ind w:firstLine="420"/>
    </w:pPr>
    <w:rPr>
      <w:rFonts w:ascii="宋体" w:hAnsi="宋体" w:eastAsia="宋体"/>
      <w:sz w:val="21"/>
      <w:szCs w:val="20"/>
    </w:rPr>
  </w:style>
  <w:style w:type="paragraph" w:customStyle="1" w:styleId="42">
    <w:name w:val="正文文本缩进11"/>
    <w:basedOn w:val="1"/>
    <w:next w:val="43"/>
    <w:unhideWhenUsed/>
    <w:qFormat/>
    <w:uiPriority w:val="0"/>
    <w:pPr>
      <w:spacing w:after="120"/>
      <w:ind w:left="420"/>
    </w:pPr>
  </w:style>
  <w:style w:type="paragraph" w:customStyle="1" w:styleId="43">
    <w:name w:val="寄信人地址1"/>
    <w:basedOn w:val="1"/>
    <w:qFormat/>
    <w:uiPriority w:val="0"/>
    <w:rPr>
      <w:rFonts w:ascii="Arial" w:hAnsi="Arial" w:eastAsia="宋体" w:cs="宋体"/>
    </w:rPr>
  </w:style>
  <w:style w:type="character" w:customStyle="1" w:styleId="44">
    <w:name w:val="标题 1 Char"/>
    <w:link w:val="3"/>
    <w:qFormat/>
    <w:uiPriority w:val="9"/>
    <w:rPr>
      <w:rFonts w:ascii="宋体" w:hAnsi="宋体" w:cs="宋体"/>
      <w:b/>
      <w:bCs/>
      <w:kern w:val="44"/>
      <w:sz w:val="44"/>
      <w:szCs w:val="44"/>
      <w:lang w:eastAsia="en-US"/>
    </w:rPr>
  </w:style>
  <w:style w:type="paragraph" w:customStyle="1" w:styleId="45">
    <w:name w:val="正文首行缩进 211"/>
    <w:basedOn w:val="42"/>
    <w:qFormat/>
    <w:uiPriority w:val="0"/>
    <w:pPr>
      <w:spacing w:after="0" w:line="360" w:lineRule="auto"/>
      <w:ind w:left="0" w:firstLine="420"/>
    </w:pPr>
    <w:rPr>
      <w:rFonts w:ascii="宋体" w:hAnsi="宋体" w:eastAsia="宋体" w:cs="Times New Roman"/>
      <w:szCs w:val="20"/>
    </w:rPr>
  </w:style>
  <w:style w:type="paragraph" w:customStyle="1" w:styleId="46">
    <w:name w:val="列表段落1"/>
    <w:basedOn w:val="1"/>
    <w:qFormat/>
    <w:uiPriority w:val="99"/>
  </w:style>
  <w:style w:type="paragraph" w:styleId="47">
    <w:name w:val="List Paragraph"/>
    <w:basedOn w:val="1"/>
    <w:next w:val="1"/>
    <w:autoRedefine/>
    <w:qFormat/>
    <w:uiPriority w:val="99"/>
    <w:pPr>
      <w:ind w:firstLine="420" w:firstLineChars="200"/>
    </w:pPr>
    <w:rPr>
      <w:rFonts w:cs="Times New Roman"/>
      <w:sz w:val="21"/>
      <w:szCs w:val="24"/>
    </w:rPr>
  </w:style>
  <w:style w:type="paragraph" w:customStyle="1" w:styleId="48">
    <w:name w:val="标题 41"/>
    <w:basedOn w:val="1"/>
    <w:next w:val="1"/>
    <w:qFormat/>
    <w:uiPriority w:val="0"/>
    <w:pPr>
      <w:keepNext/>
      <w:keepLines/>
      <w:spacing w:before="120" w:after="120"/>
      <w:outlineLvl w:val="3"/>
    </w:pPr>
    <w:rPr>
      <w:rFonts w:ascii="Arial" w:hAnsi="Arial" w:eastAsia="黑体"/>
      <w:b/>
      <w:sz w:val="28"/>
      <w:lang w:val="en-US" w:eastAsia="en-US"/>
    </w:rPr>
  </w:style>
  <w:style w:type="paragraph" w:customStyle="1" w:styleId="49">
    <w:name w:val="Default"/>
    <w:qFormat/>
    <w:uiPriority w:val="0"/>
    <w:pPr>
      <w:widowControl w:val="0"/>
      <w:autoSpaceDE w:val="0"/>
      <w:autoSpaceDN w:val="0"/>
      <w:adjustRightInd w:val="0"/>
    </w:pPr>
    <w:rPr>
      <w:rFonts w:ascii="宋体" w:hAnsi="Times New Roman" w:eastAsia="宋体" w:cs="宋体"/>
      <w:color w:val="000000"/>
      <w:sz w:val="24"/>
      <w:szCs w:val="24"/>
      <w:lang w:val="en-US" w:eastAsia="en-US" w:bidi="ar-SA"/>
    </w:rPr>
  </w:style>
  <w:style w:type="paragraph" w:customStyle="1" w:styleId="50">
    <w:name w:val="_Style 59"/>
    <w:basedOn w:val="1"/>
    <w:semiHidden/>
    <w:qFormat/>
    <w:uiPriority w:val="0"/>
    <w:pPr>
      <w:autoSpaceDE/>
      <w:autoSpaceDN/>
      <w:jc w:val="both"/>
    </w:pPr>
    <w:rPr>
      <w:rFonts w:ascii="Times New Roman" w:hAnsi="Times New Roman" w:cs="Times New Roman"/>
      <w:kern w:val="2"/>
      <w:sz w:val="21"/>
      <w:szCs w:val="24"/>
      <w:lang w:eastAsia="zh-CN"/>
    </w:rPr>
  </w:style>
  <w:style w:type="character" w:customStyle="1" w:styleId="51">
    <w:name w:val="标题 2 Char"/>
    <w:link w:val="4"/>
    <w:semiHidden/>
    <w:qFormat/>
    <w:uiPriority w:val="9"/>
    <w:rPr>
      <w:rFonts w:ascii="Cambria" w:hAnsi="Cambria" w:eastAsia="宋体" w:cs="Times New Roman"/>
      <w:b/>
      <w:bCs/>
      <w:kern w:val="0"/>
      <w:sz w:val="32"/>
      <w:szCs w:val="32"/>
      <w:lang w:eastAsia="en-US"/>
    </w:rPr>
  </w:style>
  <w:style w:type="character" w:customStyle="1" w:styleId="52">
    <w:name w:val="批注框文本 Char"/>
    <w:link w:val="15"/>
    <w:semiHidden/>
    <w:qFormat/>
    <w:uiPriority w:val="99"/>
    <w:rPr>
      <w:rFonts w:ascii="宋体" w:hAnsi="宋体" w:cs="宋体"/>
      <w:sz w:val="18"/>
      <w:szCs w:val="18"/>
      <w:lang w:eastAsia="en-US"/>
    </w:rPr>
  </w:style>
  <w:style w:type="character" w:customStyle="1" w:styleId="53">
    <w:name w:val="标题 3 Char"/>
    <w:link w:val="5"/>
    <w:semiHidden/>
    <w:qFormat/>
    <w:uiPriority w:val="9"/>
    <w:rPr>
      <w:rFonts w:ascii="宋体" w:hAnsi="宋体" w:cs="宋体"/>
      <w:b/>
      <w:bCs/>
      <w:kern w:val="0"/>
      <w:sz w:val="32"/>
      <w:szCs w:val="32"/>
      <w:lang w:eastAsia="en-US"/>
    </w:rPr>
  </w:style>
  <w:style w:type="character" w:customStyle="1" w:styleId="54">
    <w:name w:val="标题 4 Char"/>
    <w:link w:val="7"/>
    <w:qFormat/>
    <w:locked/>
    <w:uiPriority w:val="99"/>
    <w:rPr>
      <w:rFonts w:ascii="Cambria" w:hAnsi="Cambria" w:eastAsia="宋体" w:cs="Cambria"/>
      <w:b/>
      <w:bCs/>
      <w:sz w:val="28"/>
      <w:szCs w:val="28"/>
    </w:rPr>
  </w:style>
  <w:style w:type="character" w:customStyle="1" w:styleId="55">
    <w:name w:val="正文缩进 Char"/>
    <w:link w:val="6"/>
    <w:qFormat/>
    <w:locked/>
    <w:uiPriority w:val="99"/>
    <w:rPr>
      <w:rFonts w:ascii="Times New Roman" w:hAnsi="Times New Roman" w:eastAsia="宋体" w:cs="Times New Roman"/>
      <w:b/>
      <w:bCs/>
      <w:kern w:val="2"/>
      <w:sz w:val="20"/>
      <w:szCs w:val="20"/>
      <w:lang w:eastAsia="zh-CN"/>
    </w:rPr>
  </w:style>
  <w:style w:type="character" w:customStyle="1" w:styleId="56">
    <w:name w:val="批注文字 Char"/>
    <w:link w:val="8"/>
    <w:qFormat/>
    <w:uiPriority w:val="99"/>
    <w:rPr>
      <w:rFonts w:ascii="宋体" w:hAnsi="宋体" w:cs="宋体"/>
      <w:sz w:val="22"/>
      <w:szCs w:val="22"/>
      <w:lang w:eastAsia="en-US"/>
    </w:rPr>
  </w:style>
  <w:style w:type="character" w:customStyle="1" w:styleId="57">
    <w:name w:val="正文文本 Char"/>
    <w:link w:val="2"/>
    <w:qFormat/>
    <w:locked/>
    <w:uiPriority w:val="1"/>
    <w:rPr>
      <w:rFonts w:ascii="宋体" w:hAnsi="宋体" w:eastAsia="宋体" w:cs="宋体"/>
      <w:sz w:val="18"/>
      <w:szCs w:val="18"/>
    </w:rPr>
  </w:style>
  <w:style w:type="character" w:customStyle="1" w:styleId="58">
    <w:name w:val="正文文本缩进 Char"/>
    <w:link w:val="9"/>
    <w:semiHidden/>
    <w:qFormat/>
    <w:locked/>
    <w:uiPriority w:val="99"/>
    <w:rPr>
      <w:rFonts w:ascii="宋体" w:hAnsi="宋体" w:eastAsia="宋体" w:cs="宋体"/>
    </w:rPr>
  </w:style>
  <w:style w:type="character" w:customStyle="1" w:styleId="59">
    <w:name w:val="纯文本 Char"/>
    <w:semiHidden/>
    <w:qFormat/>
    <w:uiPriority w:val="99"/>
    <w:rPr>
      <w:rFonts w:ascii="宋体" w:hAnsi="Courier New" w:cs="Courier New"/>
      <w:kern w:val="0"/>
      <w:szCs w:val="21"/>
      <w:lang w:eastAsia="en-US"/>
    </w:rPr>
  </w:style>
  <w:style w:type="character" w:customStyle="1" w:styleId="60">
    <w:name w:val="日期 Char"/>
    <w:semiHidden/>
    <w:qFormat/>
    <w:uiPriority w:val="99"/>
    <w:rPr>
      <w:rFonts w:ascii="宋体" w:hAnsi="宋体" w:cs="宋体"/>
      <w:kern w:val="0"/>
      <w:sz w:val="22"/>
      <w:lang w:eastAsia="en-US"/>
    </w:rPr>
  </w:style>
  <w:style w:type="character" w:customStyle="1" w:styleId="61">
    <w:name w:val="页脚 Char"/>
    <w:link w:val="16"/>
    <w:qFormat/>
    <w:locked/>
    <w:uiPriority w:val="99"/>
    <w:rPr>
      <w:rFonts w:ascii="宋体" w:hAnsi="宋体" w:eastAsia="宋体" w:cs="宋体"/>
      <w:sz w:val="18"/>
      <w:szCs w:val="18"/>
    </w:rPr>
  </w:style>
  <w:style w:type="character" w:customStyle="1" w:styleId="62">
    <w:name w:val="页眉 Char"/>
    <w:link w:val="18"/>
    <w:qFormat/>
    <w:locked/>
    <w:uiPriority w:val="99"/>
    <w:rPr>
      <w:rFonts w:ascii="宋体" w:hAnsi="宋体" w:eastAsia="宋体" w:cs="宋体"/>
      <w:sz w:val="18"/>
      <w:szCs w:val="18"/>
    </w:rPr>
  </w:style>
  <w:style w:type="character" w:customStyle="1" w:styleId="63">
    <w:name w:val="脚注文本 Char"/>
    <w:link w:val="20"/>
    <w:qFormat/>
    <w:locked/>
    <w:uiPriority w:val="99"/>
    <w:rPr>
      <w:rFonts w:ascii="Times New Roman" w:hAnsi="Times New Roman" w:eastAsia="宋体" w:cs="Times New Roman"/>
      <w:kern w:val="2"/>
      <w:sz w:val="18"/>
      <w:szCs w:val="18"/>
      <w:lang w:eastAsia="zh-CN"/>
    </w:rPr>
  </w:style>
  <w:style w:type="character" w:customStyle="1" w:styleId="64">
    <w:name w:val="标题 Char"/>
    <w:link w:val="23"/>
    <w:qFormat/>
    <w:uiPriority w:val="10"/>
    <w:rPr>
      <w:rFonts w:ascii="Cambria" w:hAnsi="Cambria" w:cs="Times New Roman"/>
      <w:b/>
      <w:bCs/>
      <w:kern w:val="0"/>
      <w:sz w:val="32"/>
      <w:szCs w:val="32"/>
      <w:lang w:eastAsia="en-US"/>
    </w:rPr>
  </w:style>
  <w:style w:type="character" w:customStyle="1" w:styleId="65">
    <w:name w:val="正文首行缩进 Char"/>
    <w:link w:val="24"/>
    <w:semiHidden/>
    <w:qFormat/>
    <w:uiPriority w:val="99"/>
    <w:rPr>
      <w:rFonts w:ascii="宋体" w:hAnsi="宋体" w:eastAsia="宋体" w:cs="宋体"/>
      <w:sz w:val="22"/>
      <w:szCs w:val="22"/>
      <w:lang w:eastAsia="en-US"/>
    </w:rPr>
  </w:style>
  <w:style w:type="character" w:customStyle="1" w:styleId="66">
    <w:name w:val="纯文本 Char1"/>
    <w:link w:val="12"/>
    <w:qFormat/>
    <w:locked/>
    <w:uiPriority w:val="99"/>
    <w:rPr>
      <w:rFonts w:ascii="宋体" w:hAnsi="Courier New" w:cs="宋体"/>
      <w:spacing w:val="10"/>
      <w:sz w:val="21"/>
      <w:szCs w:val="21"/>
    </w:rPr>
  </w:style>
  <w:style w:type="character" w:customStyle="1" w:styleId="67">
    <w:name w:val="日期 Char1"/>
    <w:link w:val="13"/>
    <w:qFormat/>
    <w:locked/>
    <w:uiPriority w:val="99"/>
    <w:rPr>
      <w:rFonts w:ascii="宋体" w:cs="宋体"/>
      <w:spacing w:val="12"/>
      <w:sz w:val="24"/>
      <w:szCs w:val="24"/>
    </w:rPr>
  </w:style>
  <w:style w:type="table" w:customStyle="1" w:styleId="68">
    <w:name w:val="Table Normal1"/>
    <w:semiHidden/>
    <w:qFormat/>
    <w:uiPriority w:val="99"/>
    <w:pPr>
      <w:widowControl w:val="0"/>
      <w:autoSpaceDE w:val="0"/>
      <w:autoSpaceDN w:val="0"/>
    </w:pPr>
    <w:rPr>
      <w:rFonts w:cs="Calibri"/>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99"/>
  </w:style>
  <w:style w:type="paragraph" w:customStyle="1" w:styleId="70">
    <w:name w:val="p0"/>
    <w:basedOn w:val="1"/>
    <w:qFormat/>
    <w:uiPriority w:val="0"/>
    <w:pPr>
      <w:widowControl/>
      <w:suppressAutoHyphens/>
      <w:autoSpaceDE/>
      <w:spacing w:before="100" w:beforeAutospacing="1" w:after="100" w:afterAutospacing="1"/>
      <w:textAlignment w:val="baseline"/>
    </w:pPr>
    <w:rPr>
      <w:sz w:val="24"/>
      <w:szCs w:val="24"/>
      <w:lang w:eastAsia="zh-CN"/>
    </w:rPr>
  </w:style>
  <w:style w:type="paragraph" w:customStyle="1" w:styleId="71">
    <w:name w:val="格式３"/>
    <w:basedOn w:val="1"/>
    <w:qFormat/>
    <w:uiPriority w:val="99"/>
    <w:pPr>
      <w:autoSpaceDE/>
      <w:autoSpaceDN/>
      <w:spacing w:line="420" w:lineRule="exact"/>
      <w:ind w:left="600" w:hanging="600" w:hangingChars="250"/>
      <w:jc w:val="both"/>
    </w:pPr>
    <w:rPr>
      <w:color w:val="000000"/>
      <w:kern w:val="2"/>
      <w:sz w:val="24"/>
      <w:szCs w:val="24"/>
      <w:lang w:eastAsia="zh-CN"/>
    </w:rPr>
  </w:style>
  <w:style w:type="paragraph" w:customStyle="1" w:styleId="72">
    <w:name w:val="TOC 标题1"/>
    <w:basedOn w:val="3"/>
    <w:next w:val="1"/>
    <w:qFormat/>
    <w:uiPriority w:val="99"/>
    <w:pPr>
      <w:keepNext/>
      <w:keepLines/>
      <w:widowControl/>
      <w:autoSpaceDE/>
      <w:autoSpaceDN/>
      <w:spacing w:before="240" w:line="259" w:lineRule="auto"/>
      <w:ind w:left="0"/>
      <w:outlineLvl w:val="9"/>
    </w:pPr>
    <w:rPr>
      <w:rFonts w:ascii="Cambria" w:hAnsi="Cambria" w:cs="Cambria"/>
      <w:color w:val="365F91"/>
      <w:sz w:val="32"/>
      <w:szCs w:val="32"/>
      <w:lang w:eastAsia="zh-CN"/>
    </w:rPr>
  </w:style>
  <w:style w:type="character" w:customStyle="1" w:styleId="73">
    <w:name w:val="Normal Char"/>
    <w:link w:val="74"/>
    <w:qFormat/>
    <w:locked/>
    <w:uiPriority w:val="99"/>
    <w:rPr>
      <w:rFonts w:cs="Calibri"/>
      <w:sz w:val="24"/>
      <w:szCs w:val="24"/>
      <w:lang w:val="en-US" w:eastAsia="en-US" w:bidi="ar-SA"/>
    </w:rPr>
  </w:style>
  <w:style w:type="paragraph" w:customStyle="1" w:styleId="74">
    <w:name w:val="正文1"/>
    <w:link w:val="73"/>
    <w:qFormat/>
    <w:uiPriority w:val="99"/>
    <w:rPr>
      <w:rFonts w:ascii="Times New Roman" w:hAnsi="Times New Roman" w:eastAsia="宋体" w:cs="Calibri"/>
      <w:sz w:val="24"/>
      <w:szCs w:val="24"/>
      <w:lang w:val="en-US" w:eastAsia="en-US" w:bidi="ar-SA"/>
    </w:rPr>
  </w:style>
  <w:style w:type="character" w:customStyle="1" w:styleId="75">
    <w:name w:val="未处理的提及1"/>
    <w:semiHidden/>
    <w:qFormat/>
    <w:uiPriority w:val="99"/>
    <w:rPr>
      <w:color w:val="auto"/>
      <w:shd w:val="clear" w:color="auto" w:fill="auto"/>
    </w:rPr>
  </w:style>
  <w:style w:type="character" w:customStyle="1" w:styleId="76">
    <w:name w:val="日期 字符1"/>
    <w:semiHidden/>
    <w:qFormat/>
    <w:uiPriority w:val="99"/>
    <w:rPr>
      <w:rFonts w:ascii="宋体" w:hAnsi="宋体" w:eastAsia="宋体" w:cs="宋体"/>
    </w:rPr>
  </w:style>
  <w:style w:type="character" w:customStyle="1" w:styleId="77">
    <w:name w:val="纯文本 字符1"/>
    <w:semiHidden/>
    <w:qFormat/>
    <w:uiPriority w:val="99"/>
    <w:rPr>
      <w:rFonts w:ascii="宋体" w:hAnsi="Courier New" w:cs="宋体"/>
    </w:rPr>
  </w:style>
  <w:style w:type="character" w:customStyle="1" w:styleId="78">
    <w:name w:val="NormalCharacter"/>
    <w:semiHidden/>
    <w:qFormat/>
    <w:uiPriority w:val="99"/>
  </w:style>
  <w:style w:type="paragraph" w:customStyle="1" w:styleId="79">
    <w:name w:val="_Style 66"/>
    <w:semiHidden/>
    <w:qFormat/>
    <w:uiPriority w:val="99"/>
    <w:rPr>
      <w:rFonts w:ascii="宋体" w:hAnsi="宋体" w:eastAsia="宋体" w:cs="宋体"/>
      <w:sz w:val="22"/>
      <w:szCs w:val="22"/>
      <w:lang w:val="en-US" w:eastAsia="en-US" w:bidi="ar-SA"/>
    </w:rPr>
  </w:style>
  <w:style w:type="paragraph" w:customStyle="1" w:styleId="80">
    <w:name w:val="ewb-con-p2"/>
    <w:basedOn w:val="1"/>
    <w:qFormat/>
    <w:uiPriority w:val="0"/>
    <w:pPr>
      <w:widowControl/>
      <w:autoSpaceDE/>
      <w:autoSpaceDN/>
      <w:spacing w:before="100" w:beforeAutospacing="1" w:after="100" w:afterAutospacing="1"/>
    </w:pPr>
    <w:rPr>
      <w:sz w:val="24"/>
      <w:szCs w:val="24"/>
      <w:lang w:eastAsia="zh-CN"/>
    </w:rPr>
  </w:style>
  <w:style w:type="paragraph" w:customStyle="1" w:styleId="81">
    <w:name w:val="列出段落1"/>
    <w:basedOn w:val="1"/>
    <w:qFormat/>
    <w:uiPriority w:val="0"/>
    <w:pPr>
      <w:ind w:firstLine="200" w:firstLineChars="200"/>
    </w:pPr>
  </w:style>
  <w:style w:type="paragraph" w:customStyle="1" w:styleId="8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3">
    <w:name w:val="NormalCharacter1"/>
    <w:link w:val="1"/>
    <w:qFormat/>
    <w:uiPriority w:val="0"/>
    <w:rPr>
      <w:rFonts w:ascii="宋体" w:hAnsi="宋体" w:eastAsia="宋体" w:cs="宋体"/>
      <w:sz w:val="22"/>
      <w:szCs w:val="22"/>
      <w:lang w:val="en-US" w:eastAsia="en-US" w:bidi="ar-SA"/>
    </w:rPr>
  </w:style>
  <w:style w:type="character" w:customStyle="1" w:styleId="84">
    <w:name w:val="font41"/>
    <w:basedOn w:val="28"/>
    <w:qFormat/>
    <w:uiPriority w:val="0"/>
    <w:rPr>
      <w:rFonts w:ascii="仿宋" w:hAnsi="仿宋" w:eastAsia="仿宋" w:cs="仿宋"/>
      <w:color w:val="000000"/>
      <w:sz w:val="22"/>
      <w:szCs w:val="22"/>
      <w:u w:val="none"/>
    </w:rPr>
  </w:style>
  <w:style w:type="paragraph" w:customStyle="1" w:styleId="85">
    <w:name w:val="样式4"/>
    <w:basedOn w:val="1"/>
    <w:qFormat/>
    <w:uiPriority w:val="0"/>
    <w:pPr>
      <w:widowControl/>
      <w:adjustRightInd w:val="0"/>
      <w:spacing w:line="360" w:lineRule="auto"/>
      <w:ind w:firstLine="420"/>
      <w:jc w:val="center"/>
    </w:pPr>
    <w:rPr>
      <w:rFonts w:ascii="宋体" w:hAnsi="宋体"/>
      <w:bCs/>
      <w:sz w:val="21"/>
      <w:szCs w:val="21"/>
    </w:rPr>
  </w:style>
  <w:style w:type="character" w:customStyle="1" w:styleId="86">
    <w:name w:val="font51"/>
    <w:basedOn w:val="28"/>
    <w:qFormat/>
    <w:uiPriority w:val="0"/>
    <w:rPr>
      <w:rFonts w:hint="default" w:ascii="Times New Roman" w:hAnsi="Times New Roman" w:cs="Times New Roman"/>
      <w:b/>
      <w:bCs/>
      <w:color w:val="000000"/>
      <w:sz w:val="18"/>
      <w:szCs w:val="18"/>
      <w:u w:val="none"/>
    </w:rPr>
  </w:style>
  <w:style w:type="character" w:customStyle="1" w:styleId="87">
    <w:name w:val="font31"/>
    <w:basedOn w:val="28"/>
    <w:qFormat/>
    <w:uiPriority w:val="0"/>
    <w:rPr>
      <w:rFonts w:hint="eastAsia" w:ascii="宋体" w:hAnsi="宋体" w:eastAsia="宋体" w:cs="宋体"/>
      <w:b/>
      <w:bCs/>
      <w:color w:val="000000"/>
      <w:sz w:val="18"/>
      <w:szCs w:val="18"/>
      <w:u w:val="none"/>
    </w:rPr>
  </w:style>
  <w:style w:type="character" w:customStyle="1" w:styleId="88">
    <w:name w:val="font91"/>
    <w:basedOn w:val="28"/>
    <w:qFormat/>
    <w:uiPriority w:val="0"/>
    <w:rPr>
      <w:rFonts w:hint="eastAsia" w:ascii="宋体" w:hAnsi="宋体" w:eastAsia="宋体" w:cs="宋体"/>
      <w:b/>
      <w:bCs/>
      <w:color w:val="000000"/>
      <w:sz w:val="22"/>
      <w:szCs w:val="22"/>
      <w:u w:val="none"/>
    </w:rPr>
  </w:style>
  <w:style w:type="table" w:customStyle="1" w:styleId="89">
    <w:name w:val="Table Normal"/>
    <w:qFormat/>
    <w:uiPriority w:val="0"/>
    <w:tblPr>
      <w:tblCellMar>
        <w:top w:w="0" w:type="dxa"/>
        <w:left w:w="0" w:type="dxa"/>
        <w:bottom w:w="0" w:type="dxa"/>
        <w:right w:w="0" w:type="dxa"/>
      </w:tblCellMar>
    </w:tblPr>
  </w:style>
  <w:style w:type="paragraph" w:customStyle="1" w:styleId="90">
    <w:name w:val="Char"/>
    <w:basedOn w:val="1"/>
    <w:qFormat/>
    <w:uiPriority w:val="0"/>
    <w:pPr>
      <w:tabs>
        <w:tab w:val="left" w:pos="360"/>
      </w:tabs>
      <w:ind w:firstLine="200" w:firstLineChars="200"/>
    </w:pPr>
    <w:rPr>
      <w:rFonts w:ascii="Times New Roman" w:hAnsi="Times New Roman" w:eastAsia="宋体" w:cs="Times New Roman"/>
      <w:sz w:val="28"/>
      <w:szCs w:val="30"/>
    </w:rPr>
  </w:style>
  <w:style w:type="paragraph" w:customStyle="1" w:styleId="91">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92">
    <w:name w:val="索引 41"/>
    <w:basedOn w:val="1"/>
    <w:next w:val="1"/>
    <w:semiHidden/>
    <w:qFormat/>
    <w:uiPriority w:val="0"/>
    <w:pPr>
      <w:ind w:left="1260"/>
    </w:pPr>
    <w:rPr>
      <w:rFonts w:ascii="Calibri" w:hAnsi="Calibri" w:eastAsia="Calibri" w:cs="宋体"/>
      <w:sz w:val="20"/>
      <w:lang w:val="zh-CN"/>
    </w:rPr>
  </w:style>
  <w:style w:type="character" w:customStyle="1" w:styleId="93">
    <w:name w:val="font61"/>
    <w:basedOn w:val="28"/>
    <w:autoRedefine/>
    <w:qFormat/>
    <w:uiPriority w:val="0"/>
    <w:rPr>
      <w:rFonts w:hint="default" w:ascii="Times New Roman" w:hAnsi="Times New Roman" w:cs="Times New Roman"/>
      <w:color w:val="000000"/>
      <w:sz w:val="24"/>
      <w:szCs w:val="24"/>
      <w:u w:val="none"/>
    </w:rPr>
  </w:style>
  <w:style w:type="character" w:customStyle="1" w:styleId="94">
    <w:name w:val="font81"/>
    <w:basedOn w:val="28"/>
    <w:qFormat/>
    <w:uiPriority w:val="0"/>
    <w:rPr>
      <w:rFonts w:hint="eastAsia" w:ascii="方正仿宋_GBK" w:hAnsi="方正仿宋_GBK" w:eastAsia="方正仿宋_GBK" w:cs="方正仿宋_GBK"/>
      <w:color w:val="000000"/>
      <w:sz w:val="24"/>
      <w:szCs w:val="24"/>
      <w:u w:val="none"/>
    </w:rPr>
  </w:style>
  <w:style w:type="paragraph" w:customStyle="1" w:styleId="95">
    <w:name w:val="_Style 1"/>
    <w:basedOn w:val="1"/>
    <w:qFormat/>
    <w:uiPriority w:val="0"/>
    <w:pPr>
      <w:ind w:firstLine="420"/>
    </w:pPr>
  </w:style>
  <w:style w:type="paragraph" w:customStyle="1" w:styleId="96">
    <w:name w:val="正文文本12"/>
    <w:basedOn w:val="1"/>
    <w:qFormat/>
    <w:uiPriority w:val="1"/>
    <w:pPr>
      <w:ind w:left="120"/>
    </w:pPr>
    <w:rPr>
      <w:rFonts w:ascii="宋体" w:hAnsi="宋体" w:eastAsia="宋体" w:cs="宋体"/>
      <w:sz w:val="21"/>
      <w:szCs w:val="21"/>
      <w:lang w:val="zh-CN" w:eastAsia="zh-CN" w:bidi="zh-CN"/>
    </w:rPr>
  </w:style>
  <w:style w:type="paragraph" w:customStyle="1" w:styleId="97">
    <w:name w:val="正文文本 211"/>
    <w:basedOn w:val="1"/>
    <w:qFormat/>
    <w:uiPriority w:val="99"/>
    <w:pPr>
      <w:jc w:val="center"/>
    </w:pPr>
    <w:rPr>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17500</Words>
  <Characters>18682</Characters>
  <Lines>188</Lines>
  <Paragraphs>52</Paragraphs>
  <TotalTime>4</TotalTime>
  <ScaleCrop>false</ScaleCrop>
  <LinksUpToDate>false</LinksUpToDate>
  <CharactersWithSpaces>19321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2024-08-15T01:28:00Z</dcterms:created>
  <dc:creator>haoyang</dc:creator>
  <cp:lastModifiedBy>周涵</cp:lastModifiedBy>
  <cp:lastPrinted>2024-11-19T04:52:00Z</cp:lastPrinted>
  <dcterms:modified xsi:type="dcterms:W3CDTF">2026-06-30T06:16:02Z</dcterms:modified>
  <dc:title>仙林大学城三幅拟出让地块林地可行性报告编制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B641EB4C23DF40F5AFFC6E2B9F9473E4_13</vt:lpwstr>
  </property>
  <property fmtid="{D5CDD505-2E9C-101B-9397-08002B2CF9AE}" pid="4" name="KSOTemplateDocerSaveRecord">
    <vt:lpwstr>eyJoZGlkIjoiMjRlZjBkNzE0NDcxYzEyNWUwYTMyMzlmODE4OGNkYWQiLCJ1c2VySWQiOiI1NDYyMDUyNDEifQ==</vt:lpwstr>
  </property>
</Properties>
</file>