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56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highlight w:val="none"/>
        </w:rPr>
        <w:t xml:space="preserve">竞争性磋商文件</w:t>
      </w:r>
      <w:r>
        <w:rPr>
          <w:highlight w:val="none"/>
        </w:rPr>
      </w:r>
      <w:r/>
    </w:p>
    <w:p>
      <w:pPr>
        <w:ind w:left="0" w:right="0" w:firstLine="0"/>
        <w:jc w:val="center"/>
        <w:spacing w:before="0" w:after="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t xml:space="preserve"> </w:t>
      </w:r>
      <w:r>
        <w:rPr>
          <w:highlight w:val="none"/>
        </w:rPr>
      </w:r>
      <w:r/>
    </w:p>
    <w:p>
      <w:pPr>
        <w:ind w:left="0" w:right="0" w:firstLine="0"/>
        <w:jc w:val="center"/>
        <w:spacing w:before="0" w:after="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t xml:space="preserve"> </w:t>
      </w:r>
      <w:r>
        <w:rPr>
          <w:highlight w:val="none"/>
        </w:rPr>
      </w:r>
      <w:r/>
    </w:p>
    <w:p>
      <w:pPr>
        <w:ind w:left="0" w:right="0" w:firstLine="72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t xml:space="preserve"> </w:t>
      </w:r>
      <w:r>
        <w:rPr>
          <w:highlight w:val="none"/>
        </w:rPr>
      </w:r>
      <w:r/>
    </w:p>
    <w:p>
      <w:pPr>
        <w:ind w:left="0" w:right="0" w:firstLine="72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t xml:space="preserve"> </w:t>
      </w:r>
      <w:r>
        <w:rPr>
          <w:highlight w:val="none"/>
        </w:rPr>
      </w:r>
      <w:r/>
    </w:p>
    <w:p>
      <w:pPr>
        <w:ind w:left="0" w:right="0" w:firstLine="0"/>
        <w:spacing w:before="0" w:after="0"/>
        <w:rPr>
          <w:color w:val="000000" w:themeColor="text1"/>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t xml:space="preserve">项</w:t>
      </w:r>
      <w:r>
        <w:rPr>
          <w:rFonts w:ascii="SimSun" w:hAnsi="SimSun" w:eastAsia="SimSun" w:cs="SimSun"/>
          <w:color w:val="000000" w:themeColor="text1"/>
          <w:sz w:val="36"/>
          <w:highlight w:val="none"/>
        </w:rPr>
        <w:t xml:space="preserve">目编号：</w:t>
      </w:r>
      <w:r>
        <w:rPr>
          <w:rFonts w:ascii="SimSun" w:hAnsi="SimSun" w:eastAsia="SimSun" w:cs="SimSun"/>
          <w:color w:val="000000" w:themeColor="text1"/>
          <w:sz w:val="36"/>
          <w:highlight w:val="none"/>
          <w:u w:val="none"/>
        </w:rPr>
        <w:t xml:space="preserve">JSZC-320115-DJGS-C2026-0003</w:t>
      </w:r>
      <w:r>
        <w:rPr>
          <w:color w:val="000000" w:themeColor="text1"/>
          <w:highlight w:val="none"/>
          <w:u w:val="none"/>
        </w:rPr>
      </w:r>
      <w:r/>
    </w:p>
    <w:p>
      <w:pPr>
        <w:ind w:left="0" w:right="0" w:firstLine="0"/>
        <w:spacing w:before="0" w:after="0" w:line="85"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highlight w:val="none"/>
        </w:rPr>
        <w:t xml:space="preserve">项目名称：东山街道中心河等3条河道堤防管护服务</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采购人：南京市江宁区人民政府东山街道办事处</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采购代理机构：江苏东佳工程项目管理咨询有限公司</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2026年</w:t>
      </w:r>
      <w:r>
        <w:rPr>
          <w:rFonts w:ascii="SimSun" w:hAnsi="SimSun" w:eastAsia="SimSun" w:cs="SimSun"/>
          <w:color w:val="000000" w:themeColor="text1"/>
          <w:sz w:val="32"/>
          <w:highlight w:val="none"/>
          <w:u w:val="none"/>
        </w:rPr>
        <w:t xml:space="preserve">0</w:t>
      </w:r>
      <w:r>
        <w:rPr>
          <w:rFonts w:ascii="SimSun" w:hAnsi="SimSun" w:eastAsia="SimSun" w:cs="SimSun"/>
          <w:color w:val="000000" w:themeColor="text1"/>
          <w:sz w:val="32"/>
          <w:highlight w:val="none"/>
          <w:u w:val="none"/>
        </w:rPr>
        <w:t xml:space="preserve">4</w:t>
      </w:r>
      <w:r>
        <w:rPr>
          <w:rFonts w:ascii="SimSun" w:hAnsi="SimSun" w:eastAsia="SimSun" w:cs="SimSun"/>
          <w:color w:val="000000" w:themeColor="text1"/>
          <w:sz w:val="32"/>
          <w:highlight w:val="none"/>
          <w:u w:val="none"/>
        </w:rPr>
        <w:t xml:space="preserve">月</w:t>
      </w:r>
      <w:r>
        <w:rPr>
          <w:rFonts w:ascii="SimSun" w:hAnsi="SimSun" w:eastAsia="SimSun" w:cs="SimSun"/>
          <w:color w:val="000000" w:themeColor="text1"/>
          <w:sz w:val="32"/>
          <w:highlight w:val="none"/>
          <w:u w:val="none"/>
        </w:rPr>
        <w:t xml:space="preserve">0</w:t>
      </w:r>
      <w:r>
        <w:rPr>
          <w:rFonts w:ascii="SimSun" w:hAnsi="SimSun" w:eastAsia="SimSun" w:cs="SimSun"/>
          <w:color w:val="000000" w:themeColor="text1"/>
          <w:sz w:val="32"/>
          <w:highlight w:val="none"/>
          <w:u w:val="none"/>
        </w:rPr>
        <w:t xml:space="preserve">1日</w:t>
      </w:r>
      <w:r>
        <w:rPr>
          <w:color w:val="000000" w:themeColor="text1"/>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highlight w:val="none"/>
        </w:rPr>
        <w:t xml:space="preserve">目录</w:t>
      </w:r>
      <w:r>
        <w:rPr>
          <w:highlight w:val="none"/>
        </w:rPr>
      </w:r>
      <w:r/>
    </w:p>
    <w:p>
      <w:pPr>
        <w:ind w:left="0" w:right="0" w:firstLine="42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281"/>
        <w:spacing w:before="240" w:after="240" w:line="113" w:lineRule="atLeast"/>
        <w:tabs>
          <w:tab w:val="left" w:pos="8720" w:leader="none"/>
          <w:tab w:val="left" w:pos="9072" w:leader="none"/>
        </w:tabs>
        <w:rPr>
          <w:color w:val="000000" w:themeColor="text1"/>
          <w:highlight w:val="none"/>
          <w:u w:val="none"/>
        </w:rPr>
        <w:pBdr>
          <w:top w:val="none" w:color="000000" w:sz="4" w:space="0"/>
          <w:left w:val="none" w:color="000000" w:sz="4" w:space="0"/>
          <w:bottom w:val="none" w:color="000000" w:sz="4" w:space="0"/>
          <w:right w:val="none" w:color="000000" w:sz="4" w:space="0"/>
        </w:pBdr>
      </w:pPr>
      <w:r>
        <w:rPr>
          <w:color w:val="000000" w:themeColor="text1"/>
          <w:highlight w:val="none"/>
          <w:u w:val="none"/>
        </w:rPr>
      </w:r>
      <w:hyperlink r:id="rId12" w:tooltip="http://jszfcg.jsczt.cn/jszc/onlyoffice/7.2.1-34/web-apps/apps/documenteditor/main/index_loader.html?_dc=7.2.1-34&amp;lang=zh&amp;customer=%20&amp;logo=%20&amp;headerlogo=%2Ffavicon.ico&amp;frameEditorId=iframePage&amp;compact=true&amp;parentOrigin=http://jszfcg.jsczt.cn#_Toc23564" w:history="1">
        <w:r>
          <w:rPr>
            <w:rStyle w:val="749"/>
            <w:rFonts w:ascii="SimSun" w:hAnsi="SimSun" w:eastAsia="SimSun" w:cs="SimSun"/>
            <w:color w:val="000000" w:themeColor="text1"/>
            <w:sz w:val="28"/>
            <w:highlight w:val="none"/>
            <w:u w:val="none"/>
          </w:rPr>
          <w:t xml:space="preserve">第一章</w:t>
        </w:r>
        <w:r>
          <w:rPr>
            <w:rStyle w:val="749"/>
            <w:rFonts w:ascii="SimSun" w:hAnsi="SimSun" w:eastAsia="SimSun" w:cs="SimSun"/>
            <w:color w:val="000000" w:themeColor="text1"/>
            <w:sz w:val="28"/>
            <w:highlight w:val="none"/>
            <w:u w:val="none"/>
          </w:rPr>
          <w:t xml:space="preserve"> </w:t>
        </w:r>
        <w:r>
          <w:rPr>
            <w:rStyle w:val="749"/>
            <w:rFonts w:ascii="SimSun" w:hAnsi="SimSun" w:eastAsia="SimSun" w:cs="SimSun"/>
            <w:color w:val="000000" w:themeColor="text1"/>
            <w:sz w:val="28"/>
            <w:highlight w:val="none"/>
            <w:u w:val="none"/>
          </w:rPr>
          <w:t xml:space="preserve">竞争性磋商公告</w:t>
          <w:tab/>
        </w:r>
      </w:hyperlink>
      <w:r>
        <w:rPr>
          <w:color w:val="000000" w:themeColor="text1"/>
          <w:highlight w:val="none"/>
          <w:u w:val="none"/>
        </w:rPr>
      </w:r>
      <w:r/>
    </w:p>
    <w:p>
      <w:pPr>
        <w:ind w:left="0" w:right="0" w:firstLine="280"/>
        <w:spacing w:before="240" w:after="240" w:line="113" w:lineRule="atLeast"/>
        <w:tabs>
          <w:tab w:val="left" w:pos="8720" w:leader="none"/>
          <w:tab w:val="left" w:pos="9072" w:leader="none"/>
        </w:tabs>
        <w:rPr>
          <w:color w:val="000000" w:themeColor="text1"/>
          <w:highlight w:val="none"/>
          <w:u w:val="none"/>
        </w:rPr>
        <w:pBdr>
          <w:top w:val="none" w:color="000000" w:sz="4" w:space="0"/>
          <w:left w:val="none" w:color="000000" w:sz="4" w:space="0"/>
          <w:bottom w:val="none" w:color="000000" w:sz="4" w:space="0"/>
          <w:right w:val="none" w:color="000000" w:sz="4" w:space="0"/>
        </w:pBdr>
      </w:pPr>
      <w:r>
        <w:rPr>
          <w:color w:val="000000" w:themeColor="text1"/>
          <w:highlight w:val="none"/>
          <w:u w:val="none"/>
        </w:rPr>
      </w:r>
      <w:hyperlink r:id="rId13" w:tooltip="http://jszfcg.jsczt.cn/jszc/onlyoffice/7.2.1-34/web-apps/apps/documenteditor/main/index_loader.html?_dc=7.2.1-34&amp;lang=zh&amp;customer=%20&amp;logo=%20&amp;headerlogo=%2Ffavicon.ico&amp;frameEditorId=iframePage&amp;compact=true&amp;parentOrigin=http://jszfcg.jsczt.cn#_Toc16626" w:history="1">
        <w:r>
          <w:rPr>
            <w:rStyle w:val="749"/>
            <w:rFonts w:ascii="SimSun" w:hAnsi="SimSun" w:eastAsia="SimSun" w:cs="SimSun"/>
            <w:color w:val="000000" w:themeColor="text1"/>
            <w:sz w:val="28"/>
            <w:highlight w:val="none"/>
            <w:u w:val="none"/>
          </w:rPr>
          <w:t xml:space="preserve">第二章</w:t>
        </w:r>
        <w:r>
          <w:rPr>
            <w:rStyle w:val="749"/>
            <w:rFonts w:ascii="SimSun" w:hAnsi="SimSun" w:eastAsia="SimSun" w:cs="SimSun"/>
            <w:color w:val="000000" w:themeColor="text1"/>
            <w:sz w:val="28"/>
            <w:highlight w:val="none"/>
            <w:u w:val="none"/>
          </w:rPr>
          <w:t xml:space="preserve"> </w:t>
        </w:r>
        <w:r>
          <w:rPr>
            <w:rStyle w:val="749"/>
            <w:rFonts w:ascii="SimSun" w:hAnsi="SimSun" w:eastAsia="SimSun" w:cs="SimSun"/>
            <w:color w:val="000000" w:themeColor="text1"/>
            <w:sz w:val="28"/>
            <w:highlight w:val="none"/>
            <w:u w:val="none"/>
          </w:rPr>
          <w:t xml:space="preserve">供应商须知</w:t>
          <w:tab/>
        </w:r>
      </w:hyperlink>
      <w:r>
        <w:rPr>
          <w:color w:val="000000" w:themeColor="text1"/>
          <w:highlight w:val="none"/>
          <w:u w:val="none"/>
        </w:rPr>
      </w:r>
      <w:r/>
    </w:p>
    <w:p>
      <w:pPr>
        <w:ind w:left="0" w:right="0" w:firstLine="280"/>
        <w:spacing w:before="240" w:after="240" w:line="113" w:lineRule="atLeast"/>
        <w:tabs>
          <w:tab w:val="left" w:pos="8720" w:leader="none"/>
          <w:tab w:val="left" w:pos="9072" w:leader="none"/>
        </w:tabs>
        <w:rPr>
          <w:color w:val="000000" w:themeColor="text1"/>
          <w:highlight w:val="none"/>
          <w:u w:val="none"/>
        </w:rPr>
        <w:pBdr>
          <w:top w:val="none" w:color="000000" w:sz="4" w:space="0"/>
          <w:left w:val="none" w:color="000000" w:sz="4" w:space="0"/>
          <w:bottom w:val="none" w:color="000000" w:sz="4" w:space="0"/>
          <w:right w:val="none" w:color="000000" w:sz="4" w:space="0"/>
        </w:pBdr>
      </w:pPr>
      <w:r>
        <w:rPr>
          <w:color w:val="000000" w:themeColor="text1"/>
          <w:highlight w:val="none"/>
          <w:u w:val="none"/>
        </w:rPr>
      </w:r>
      <w:hyperlink r:id="rId14" w:tooltip="http://jszfcg.jsczt.cn/jszc/onlyoffice/7.2.1-34/web-apps/apps/documenteditor/main/index_loader.html?_dc=7.2.1-34&amp;lang=zh&amp;customer=%20&amp;logo=%20&amp;headerlogo=%2Ffavicon.ico&amp;frameEditorId=iframePage&amp;compact=true&amp;parentOrigin=http://jszfcg.jsczt.cn#_Toc22802" w:history="1">
        <w:r>
          <w:rPr>
            <w:rStyle w:val="749"/>
            <w:rFonts w:ascii="SimSun" w:hAnsi="SimSun" w:eastAsia="SimSun" w:cs="SimSun"/>
            <w:color w:val="000000" w:themeColor="text1"/>
            <w:sz w:val="28"/>
            <w:highlight w:val="none"/>
            <w:u w:val="none"/>
          </w:rPr>
          <w:t xml:space="preserve">第三章</w:t>
        </w:r>
        <w:r>
          <w:rPr>
            <w:rStyle w:val="749"/>
            <w:rFonts w:ascii="SimSun" w:hAnsi="SimSun" w:eastAsia="SimSun" w:cs="SimSun"/>
            <w:color w:val="000000" w:themeColor="text1"/>
            <w:sz w:val="28"/>
            <w:highlight w:val="none"/>
            <w:u w:val="none"/>
          </w:rPr>
          <w:t xml:space="preserve"> </w:t>
        </w:r>
        <w:r>
          <w:rPr>
            <w:rStyle w:val="749"/>
            <w:rFonts w:ascii="SimSun" w:hAnsi="SimSun" w:eastAsia="SimSun" w:cs="SimSun"/>
            <w:color w:val="000000" w:themeColor="text1"/>
            <w:sz w:val="28"/>
            <w:highlight w:val="none"/>
            <w:u w:val="none"/>
          </w:rPr>
          <w:t xml:space="preserve">评审方法与评审标准</w:t>
          <w:tab/>
        </w:r>
      </w:hyperlink>
      <w:r>
        <w:rPr>
          <w:color w:val="000000" w:themeColor="text1"/>
          <w:highlight w:val="none"/>
          <w:u w:val="none"/>
        </w:rPr>
      </w:r>
      <w:r/>
    </w:p>
    <w:p>
      <w:pPr>
        <w:ind w:left="0" w:right="0" w:firstLine="280"/>
        <w:spacing w:before="240" w:after="240" w:line="113" w:lineRule="atLeast"/>
        <w:tabs>
          <w:tab w:val="left" w:pos="8720" w:leader="none"/>
          <w:tab w:val="left" w:pos="9072" w:leader="none"/>
        </w:tabs>
        <w:rPr>
          <w:color w:val="000000" w:themeColor="text1"/>
          <w:highlight w:val="none"/>
          <w:u w:val="none"/>
        </w:rPr>
        <w:pBdr>
          <w:top w:val="none" w:color="000000" w:sz="4" w:space="0"/>
          <w:left w:val="none" w:color="000000" w:sz="4" w:space="0"/>
          <w:bottom w:val="none" w:color="000000" w:sz="4" w:space="0"/>
          <w:right w:val="none" w:color="000000" w:sz="4" w:space="0"/>
        </w:pBdr>
      </w:pPr>
      <w:r>
        <w:rPr>
          <w:color w:val="000000" w:themeColor="text1"/>
          <w:highlight w:val="none"/>
          <w:u w:val="none"/>
        </w:rPr>
      </w:r>
      <w:hyperlink r:id="rId15" w:tooltip="http://jszfcg.jsczt.cn/jszc/onlyoffice/7.2.1-34/web-apps/apps/documenteditor/main/index_loader.html?_dc=7.2.1-34&amp;lang=zh&amp;customer=%20&amp;logo=%20&amp;headerlogo=%2Ffavicon.ico&amp;frameEditorId=iframePage&amp;compact=true&amp;parentOrigin=http://jszfcg.jsczt.cn#_Toc13803" w:history="1">
        <w:r>
          <w:rPr>
            <w:rStyle w:val="749"/>
            <w:rFonts w:ascii="SimSun" w:hAnsi="SimSun" w:eastAsia="SimSun" w:cs="SimSun"/>
            <w:color w:val="000000" w:themeColor="text1"/>
            <w:sz w:val="28"/>
            <w:highlight w:val="none"/>
            <w:u w:val="none"/>
          </w:rPr>
          <w:t xml:space="preserve">第四章</w:t>
        </w:r>
        <w:r>
          <w:rPr>
            <w:rStyle w:val="749"/>
            <w:rFonts w:ascii="SimSun" w:hAnsi="SimSun" w:eastAsia="SimSun" w:cs="SimSun"/>
            <w:color w:val="000000" w:themeColor="text1"/>
            <w:sz w:val="28"/>
            <w:highlight w:val="none"/>
            <w:u w:val="none"/>
          </w:rPr>
          <w:t xml:space="preserve"> </w:t>
        </w:r>
        <w:r>
          <w:rPr>
            <w:rStyle w:val="749"/>
            <w:rFonts w:ascii="SimSun" w:hAnsi="SimSun" w:eastAsia="SimSun" w:cs="SimSun"/>
            <w:color w:val="000000" w:themeColor="text1"/>
            <w:sz w:val="28"/>
            <w:highlight w:val="none"/>
            <w:u w:val="none"/>
          </w:rPr>
          <w:t xml:space="preserve">采购需求</w:t>
          <w:tab/>
        </w:r>
      </w:hyperlink>
      <w:r>
        <w:rPr>
          <w:color w:val="000000" w:themeColor="text1"/>
          <w:highlight w:val="none"/>
          <w:u w:val="none"/>
        </w:rPr>
      </w:r>
      <w:r/>
    </w:p>
    <w:p>
      <w:pPr>
        <w:ind w:left="0" w:right="0" w:firstLine="280"/>
        <w:spacing w:before="240" w:after="240" w:line="113" w:lineRule="atLeast"/>
        <w:tabs>
          <w:tab w:val="left" w:pos="8720" w:leader="none"/>
          <w:tab w:val="left" w:pos="9072" w:leader="none"/>
        </w:tabs>
        <w:rPr>
          <w:color w:val="000000" w:themeColor="text1"/>
          <w:highlight w:val="none"/>
          <w:u w:val="none"/>
        </w:rPr>
        <w:pBdr>
          <w:top w:val="none" w:color="000000" w:sz="4" w:space="0"/>
          <w:left w:val="none" w:color="000000" w:sz="4" w:space="0"/>
          <w:bottom w:val="none" w:color="000000" w:sz="4" w:space="0"/>
          <w:right w:val="none" w:color="000000" w:sz="4" w:space="0"/>
        </w:pBdr>
      </w:pPr>
      <w:r>
        <w:rPr>
          <w:color w:val="000000" w:themeColor="text1"/>
          <w:highlight w:val="none"/>
          <w:u w:val="none"/>
        </w:rPr>
      </w:r>
      <w:hyperlink r:id="rId16" w:tooltip="http://jszfcg.jsczt.cn/jszc/onlyoffice/7.2.1-34/web-apps/apps/documenteditor/main/index_loader.html?_dc=7.2.1-34&amp;lang=zh&amp;customer=%20&amp;logo=%20&amp;headerlogo=%2Ffavicon.ico&amp;frameEditorId=iframePage&amp;compact=true&amp;parentOrigin=http://jszfcg.jsczt.cn#_Toc679" w:history="1">
        <w:r>
          <w:rPr>
            <w:rStyle w:val="749"/>
            <w:rFonts w:ascii="SimSun" w:hAnsi="SimSun" w:eastAsia="SimSun" w:cs="SimSun"/>
            <w:color w:val="000000" w:themeColor="text1"/>
            <w:sz w:val="28"/>
            <w:highlight w:val="none"/>
            <w:u w:val="none"/>
          </w:rPr>
          <w:t xml:space="preserve">第五章</w:t>
        </w:r>
        <w:r>
          <w:rPr>
            <w:rStyle w:val="749"/>
            <w:rFonts w:ascii="SimSun" w:hAnsi="SimSun" w:eastAsia="SimSun" w:cs="SimSun"/>
            <w:color w:val="000000" w:themeColor="text1"/>
            <w:sz w:val="28"/>
            <w:highlight w:val="none"/>
            <w:u w:val="none"/>
          </w:rPr>
          <w:t xml:space="preserve"> </w:t>
        </w:r>
        <w:r>
          <w:rPr>
            <w:rStyle w:val="749"/>
            <w:rFonts w:ascii="SimSun" w:hAnsi="SimSun" w:eastAsia="SimSun" w:cs="SimSun"/>
            <w:color w:val="000000" w:themeColor="text1"/>
            <w:sz w:val="28"/>
            <w:highlight w:val="none"/>
            <w:u w:val="none"/>
          </w:rPr>
          <w:t xml:space="preserve">合同主要条款及格式</w:t>
          <w:tab/>
        </w:r>
      </w:hyperlink>
      <w:r>
        <w:rPr>
          <w:color w:val="000000" w:themeColor="text1"/>
          <w:highlight w:val="none"/>
          <w:u w:val="none"/>
        </w:rPr>
      </w:r>
      <w:r/>
    </w:p>
    <w:p>
      <w:pPr>
        <w:ind w:left="0" w:right="0" w:firstLine="280"/>
        <w:spacing w:before="240" w:after="240" w:line="113" w:lineRule="atLeast"/>
        <w:tabs>
          <w:tab w:val="left" w:pos="8720" w:leader="none"/>
          <w:tab w:val="left" w:pos="9072" w:leader="none"/>
        </w:tabs>
        <w:rPr>
          <w:color w:val="000000" w:themeColor="text1"/>
          <w:highlight w:val="none"/>
          <w:u w:val="none"/>
        </w:rPr>
        <w:pBdr>
          <w:top w:val="none" w:color="000000" w:sz="4" w:space="0"/>
          <w:left w:val="none" w:color="000000" w:sz="4" w:space="0"/>
          <w:bottom w:val="none" w:color="000000" w:sz="4" w:space="0"/>
          <w:right w:val="none" w:color="000000" w:sz="4" w:space="0"/>
        </w:pBdr>
      </w:pPr>
      <w:r>
        <w:rPr>
          <w:color w:val="000000" w:themeColor="text1"/>
          <w:highlight w:val="none"/>
          <w:u w:val="none"/>
        </w:rPr>
      </w:r>
      <w:hyperlink r:id="rId17" w:tooltip="http://jszfcg.jsczt.cn/jszc/onlyoffice/7.2.1-34/web-apps/apps/documenteditor/main/index_loader.html?_dc=7.2.1-34&amp;lang=zh&amp;customer=%20&amp;logo=%20&amp;headerlogo=%2Ffavicon.ico&amp;frameEditorId=iframePage&amp;compact=true&amp;parentOrigin=http://jszfcg.jsczt.cn#_Toc14794" w:history="1">
        <w:r>
          <w:rPr>
            <w:rStyle w:val="749"/>
            <w:rFonts w:ascii="SimSun" w:hAnsi="SimSun" w:eastAsia="SimSun" w:cs="SimSun"/>
            <w:color w:val="000000" w:themeColor="text1"/>
            <w:sz w:val="28"/>
            <w:highlight w:val="none"/>
            <w:u w:val="none"/>
          </w:rPr>
          <w:t xml:space="preserve">第六章</w:t>
        </w:r>
        <w:r>
          <w:rPr>
            <w:rStyle w:val="749"/>
            <w:rFonts w:ascii="SimSun" w:hAnsi="SimSun" w:eastAsia="SimSun" w:cs="SimSun"/>
            <w:color w:val="000000" w:themeColor="text1"/>
            <w:sz w:val="28"/>
            <w:highlight w:val="none"/>
            <w:u w:val="none"/>
          </w:rPr>
          <w:t xml:space="preserve"> </w:t>
        </w:r>
        <w:r>
          <w:rPr>
            <w:rStyle w:val="749"/>
            <w:rFonts w:ascii="SimSun" w:hAnsi="SimSun" w:eastAsia="SimSun" w:cs="SimSun"/>
            <w:color w:val="000000" w:themeColor="text1"/>
            <w:sz w:val="28"/>
            <w:highlight w:val="none"/>
            <w:u w:val="none"/>
          </w:rPr>
          <w:t xml:space="preserve">响应文件格式及附件</w:t>
          <w:tab/>
        </w:r>
      </w:hyperlink>
      <w:r>
        <w:rPr>
          <w:color w:val="000000" w:themeColor="text1"/>
          <w:highlight w:val="none"/>
          <w:u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第一章 竞争性磋商公告</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spacing w:before="12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u w:val="none"/>
              </w:rPr>
              <w:t xml:space="preserve">项目概况</w:t>
            </w:r>
            <w:r>
              <w:rPr>
                <w:color w:val="000000" w:themeColor="text1"/>
                <w:highlight w:val="none"/>
              </w:rPr>
            </w:r>
            <w:r/>
          </w:p>
          <w:p>
            <w:pPr>
              <w:ind w:left="0" w:right="0" w:firstLine="440"/>
              <w:spacing w:before="20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东山街道中心河等3条河道堤防管护服务 </w:t>
            </w:r>
            <w:r>
              <w:rPr>
                <w:rFonts w:ascii="SimSun" w:hAnsi="SimSun" w:eastAsia="SimSun" w:cs="SimSun"/>
                <w:color w:val="000000" w:themeColor="text1"/>
                <w:sz w:val="24"/>
                <w:highlight w:val="none"/>
                <w:u w:val="single"/>
              </w:rPr>
              <w:t xml:space="preserve">JSZC-320115-DJGS-C2026-0003</w:t>
            </w:r>
            <w:r>
              <w:rPr>
                <w:rFonts w:ascii="SimSun" w:hAnsi="SimSun" w:eastAsia="SimSun" w:cs="SimSun"/>
                <w:color w:val="000000" w:themeColor="text1"/>
                <w:sz w:val="24"/>
                <w:highlight w:val="none"/>
              </w:rPr>
              <w:t xml:space="preserve"> 采购项目的潜在供应商应在江苏政府采购网获取采购文件，并于2026年4月13日 14:30（北京时间）前提交响应文件。</w:t>
            </w:r>
            <w:r>
              <w:rPr>
                <w:color w:val="000000" w:themeColor="text1"/>
                <w:highlight w:val="none"/>
              </w:rPr>
            </w:r>
            <w:r/>
          </w:p>
        </w:tc>
      </w:tr>
    </w:tbl>
    <w:p>
      <w:pPr>
        <w:ind w:left="0" w:right="0" w:firstLine="442"/>
        <w:spacing w:before="18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一、项目基本情况</w:t>
      </w:r>
      <w:r>
        <w:rPr>
          <w:color w:val="000000" w:themeColor="text1"/>
          <w:highlight w:val="none"/>
        </w:rPr>
      </w:r>
      <w:r/>
    </w:p>
    <w:p>
      <w:pPr>
        <w:ind w:left="0" w:right="0" w:firstLine="440"/>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1.1项目编号：</w:t>
      </w:r>
      <w:r>
        <w:rPr>
          <w:rFonts w:ascii="SimSun" w:hAnsi="SimSun" w:eastAsia="SimSun" w:cs="SimSun"/>
          <w:color w:val="000000" w:themeColor="text1"/>
          <w:sz w:val="24"/>
          <w:highlight w:val="none"/>
          <w:u w:val="single"/>
        </w:rPr>
        <w:t xml:space="preserve">JSZC-320115-DJGS-C2026-0003</w:t>
      </w:r>
      <w:r>
        <w:rPr>
          <w:color w:val="000000" w:themeColor="text1"/>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1.2项目名称：东山街道中心河等3条河道堤防管护服务</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1.3采购方式：竞争性磋商</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1.4预算金额：40万元/年</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1.5最高限价（如有）：39.292500万元/年</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1.6采购需求：本项目为东山街道中心河等3条河道堤防管护服务，具体要求详见第四章采购需求。</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1.7合同履行期限：三年，合同一年一签。</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1.8本项目（是/否）接受联合体：否</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二、申请人的资格要求</w:t>
      </w:r>
      <w:r>
        <w:rPr>
          <w:highlight w:val="none"/>
        </w:rPr>
      </w:r>
      <w:r/>
    </w:p>
    <w:p>
      <w:pPr>
        <w:ind w:left="0" w:right="0" w:firstLine="442"/>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2.1满足《中华人民共和国政府采购法》第二十二条规定（提供由法人签字并盖单位公章的《南京市政府采购投标人信用记录表暨信用承诺书》，</w:t>
      </w:r>
      <w:r>
        <w:rPr>
          <w:rFonts w:ascii="SimSun" w:hAnsi="SimSun" w:eastAsia="SimSun" w:cs="SimSun"/>
          <w:color w:val="000000"/>
          <w:sz w:val="24"/>
          <w:highlight w:val="none"/>
        </w:rPr>
        <w:t xml:space="preserve">本表打印时间必须在采购文件发布之日起至提交响应文件截止日前</w:t>
      </w:r>
      <w:r>
        <w:rPr>
          <w:rFonts w:ascii="SimSun" w:hAnsi="SimSun" w:eastAsia="SimSun" w:cs="SimSun"/>
          <w:b/>
          <w:color w:val="000000"/>
          <w:sz w:val="24"/>
          <w:highlight w:val="none"/>
        </w:rPr>
        <w:t xml:space="preserve">）:</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（1）具有独立承担民事责任的能力</w:t>
      </w:r>
      <w:r>
        <w:rPr>
          <w:rFonts w:ascii="SimSun" w:hAnsi="SimSun" w:eastAsia="SimSun" w:cs="SimSun"/>
          <w:color w:val="000000"/>
          <w:sz w:val="24"/>
          <w:highlight w:val="none"/>
        </w:rPr>
        <w:t xml:space="preserve">（提供法人或者其他组织的营业执照，自然人的身份证明，复印件加盖公章）</w:t>
      </w:r>
      <w:r>
        <w:rPr>
          <w:rFonts w:ascii="SimSun" w:hAnsi="SimSun" w:eastAsia="SimSun" w:cs="SimSun"/>
          <w:color w:val="000000"/>
          <w:sz w:val="24"/>
          <w:highlight w:val="none"/>
        </w:rPr>
        <w:t xml:space="preserve">；</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（2）具有良好的商业信誉和健全的财务会计制度</w:t>
      </w:r>
      <w:r>
        <w:rPr>
          <w:rFonts w:ascii="SimSun" w:hAnsi="SimSun" w:eastAsia="SimSun" w:cs="SimSun"/>
          <w:color w:val="000000"/>
          <w:sz w:val="24"/>
          <w:highlight w:val="none"/>
        </w:rPr>
        <w:t xml:space="preserve">（提供2025年度财务审计报告或近半年（2025年9月-2026年2月）任一月份的财务状况报告（至少包括资产负债表和利润表，法人或者其他组织成立未满一年的可以不提供，复印件加盖公章）</w:t>
      </w:r>
      <w:r>
        <w:rPr>
          <w:rFonts w:ascii="SimSun" w:hAnsi="SimSun" w:eastAsia="SimSun" w:cs="SimSun"/>
          <w:color w:val="000000"/>
          <w:sz w:val="24"/>
          <w:highlight w:val="none"/>
        </w:rPr>
        <w:t xml:space="preserve">；</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（3）具有履行合同所必需的设备和专业技术能力</w:t>
      </w:r>
      <w:r>
        <w:rPr>
          <w:rFonts w:ascii="SimSun" w:hAnsi="SimSun" w:eastAsia="SimSun" w:cs="SimSun"/>
          <w:color w:val="000000"/>
          <w:sz w:val="24"/>
          <w:highlight w:val="none"/>
        </w:rPr>
        <w:t xml:space="preserve">（提供书面声明加盖公章，格式见附件）</w:t>
      </w:r>
      <w:r>
        <w:rPr>
          <w:rFonts w:ascii="SimSun" w:hAnsi="SimSun" w:eastAsia="SimSun" w:cs="SimSun"/>
          <w:color w:val="000000"/>
          <w:sz w:val="24"/>
          <w:highlight w:val="none"/>
        </w:rPr>
        <w:t xml:space="preserve">； </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（4）有依法缴纳税收和社会保障资金的良好记录</w:t>
      </w:r>
      <w:r>
        <w:rPr>
          <w:rFonts w:ascii="SimSun" w:hAnsi="SimSun" w:eastAsia="SimSun" w:cs="SimSun"/>
          <w:color w:val="000000"/>
          <w:sz w:val="24"/>
          <w:highlight w:val="none"/>
        </w:rPr>
        <w:t xml:space="preserve">（提供参加本次采购活动近半年内</w:t>
      </w: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2025年9月-2026年2月</w:t>
      </w: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至少一个月依法缴纳税收和社会保障资金的相关资料，复印件加盖公章）</w:t>
      </w:r>
      <w:r>
        <w:rPr>
          <w:rFonts w:ascii="SimSun" w:hAnsi="SimSun" w:eastAsia="SimSun" w:cs="SimSun"/>
          <w:color w:val="000000"/>
          <w:sz w:val="24"/>
          <w:highlight w:val="none"/>
        </w:rPr>
        <w:t xml:space="preserve">；</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（5）参加采购活动前三年内，在经营活动中没有重大违法记录</w:t>
      </w:r>
      <w:r>
        <w:rPr>
          <w:rFonts w:ascii="SimSun" w:hAnsi="SimSun" w:eastAsia="SimSun" w:cs="SimSun"/>
          <w:color w:val="000000"/>
          <w:sz w:val="24"/>
          <w:highlight w:val="none"/>
        </w:rPr>
        <w:t xml:space="preserve">（提供书面声明加盖公章，格式见附件）</w:t>
      </w:r>
      <w:r>
        <w:rPr>
          <w:rFonts w:ascii="SimSun" w:hAnsi="SimSun" w:eastAsia="SimSun" w:cs="SimSun"/>
          <w:color w:val="000000"/>
          <w:sz w:val="24"/>
          <w:highlight w:val="none"/>
        </w:rPr>
        <w:t xml:space="preserve">；</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（6）法律、行政法规规定的其他条件：无。</w:t>
      </w:r>
      <w:r>
        <w:rPr>
          <w:highlight w:val="none"/>
        </w:rPr>
      </w:r>
      <w:r/>
    </w:p>
    <w:p>
      <w:pPr>
        <w:ind w:left="0" w:right="0" w:firstLine="442"/>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2.2落实政府采购政策需满足的资格要求：</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2.3本项目的特定资格要求：</w:t>
      </w:r>
      <w:r>
        <w:rPr>
          <w:rFonts w:ascii="SimSun" w:hAnsi="SimSun" w:eastAsia="SimSun" w:cs="SimSun"/>
          <w:color w:val="000000"/>
          <w:sz w:val="24"/>
          <w:highlight w:val="none"/>
        </w:rPr>
        <w:t xml:space="preserve">无</w:t>
      </w:r>
      <w:r>
        <w:rPr>
          <w:highlight w:val="none"/>
        </w:rPr>
      </w:r>
      <w:r/>
    </w:p>
    <w:p>
      <w:pPr>
        <w:ind w:left="0" w:right="0" w:firstLine="442"/>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三、获取采购文件</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时间：自磋商文件公告发布之日起5个工作日</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地点：江苏政府采购网</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售价：0.00元</w:t>
      </w:r>
      <w:r>
        <w:rPr>
          <w:highlight w:val="none"/>
        </w:rPr>
      </w:r>
      <w:r/>
    </w:p>
    <w:p>
      <w:pPr>
        <w:ind w:left="0" w:right="0" w:firstLine="442"/>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四、响应文件提交</w:t>
      </w:r>
      <w:r>
        <w:rPr>
          <w:highlight w:val="none"/>
        </w:rPr>
      </w:r>
      <w:r/>
    </w:p>
    <w:p>
      <w:pPr>
        <w:ind w:left="0" w:right="0" w:firstLine="440"/>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截止时间：2026</w:t>
      </w:r>
      <w:r>
        <w:rPr>
          <w:rFonts w:ascii="SimSun" w:hAnsi="SimSun" w:eastAsia="SimSun" w:cs="SimSun"/>
          <w:color w:val="000000" w:themeColor="text1"/>
          <w:sz w:val="24"/>
          <w:highlight w:val="none"/>
        </w:rPr>
        <w:t xml:space="preserve">年4月</w:t>
      </w:r>
      <w:r>
        <w:rPr>
          <w:rFonts w:ascii="SimSun" w:hAnsi="SimSun" w:eastAsia="SimSun" w:cs="SimSun"/>
          <w:color w:val="000000" w:themeColor="text1"/>
          <w:sz w:val="24"/>
          <w:highlight w:val="none"/>
          <w:u w:val="single"/>
        </w:rPr>
        <w:t xml:space="preserve">13</w:t>
      </w:r>
      <w:r>
        <w:rPr>
          <w:rFonts w:ascii="SimSun" w:hAnsi="SimSun" w:eastAsia="SimSun" w:cs="SimSun"/>
          <w:color w:val="000000" w:themeColor="text1"/>
          <w:sz w:val="24"/>
          <w:highlight w:val="none"/>
        </w:rPr>
        <w:t xml:space="preserve">日 14:30（北京时间）</w:t>
      </w:r>
      <w:r>
        <w:rPr>
          <w:color w:val="000000" w:themeColor="text1"/>
          <w:highlight w:val="none"/>
        </w:rPr>
      </w:r>
      <w:r/>
    </w:p>
    <w:p>
      <w:pPr>
        <w:ind w:left="0" w:right="0" w:firstLine="440"/>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地点：“苏采云”政府采购交易系统网上开标大厅</w:t>
      </w:r>
      <w:r>
        <w:rPr>
          <w:color w:val="000000" w:themeColor="text1"/>
          <w:highlight w:val="none"/>
        </w:rPr>
      </w:r>
      <w:r/>
    </w:p>
    <w:p>
      <w:pPr>
        <w:ind w:left="0" w:right="0" w:firstLine="442"/>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五、开启</w:t>
      </w:r>
      <w:r>
        <w:rPr>
          <w:color w:val="000000" w:themeColor="text1"/>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时间：2026年4月</w:t>
      </w:r>
      <w:r>
        <w:rPr>
          <w:rFonts w:ascii="SimSun" w:hAnsi="SimSun" w:eastAsia="SimSun" w:cs="SimSun"/>
          <w:color w:val="000000" w:themeColor="text1"/>
          <w:sz w:val="24"/>
          <w:highlight w:val="none"/>
          <w:u w:val="single"/>
        </w:rPr>
        <w:t xml:space="preserve">13</w:t>
      </w:r>
      <w:r>
        <w:rPr>
          <w:rFonts w:ascii="SimSun" w:hAnsi="SimSun" w:eastAsia="SimSun" w:cs="SimSun"/>
          <w:color w:val="000000" w:themeColor="text1"/>
          <w:sz w:val="24"/>
          <w:highlight w:val="none"/>
        </w:rPr>
        <w:t xml:space="preserve">日 14:30（北京</w:t>
      </w:r>
      <w:r>
        <w:rPr>
          <w:rFonts w:ascii="SimSun" w:hAnsi="SimSun" w:eastAsia="SimSun" w:cs="SimSun"/>
          <w:color w:val="000000"/>
          <w:sz w:val="24"/>
          <w:highlight w:val="none"/>
        </w:rPr>
        <w:t xml:space="preserve">时间）</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地点：“苏采云”政府采购交易系统网上开标大厅</w:t>
      </w:r>
      <w:r>
        <w:rPr>
          <w:highlight w:val="none"/>
        </w:rPr>
      </w:r>
      <w:r/>
    </w:p>
    <w:p>
      <w:pPr>
        <w:ind w:left="0" w:right="0" w:firstLine="442"/>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六、公告期限</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自本公告发布之日起3个工作日。</w:t>
      </w:r>
      <w:r>
        <w:rPr>
          <w:highlight w:val="none"/>
        </w:rPr>
      </w:r>
      <w:r/>
    </w:p>
    <w:p>
      <w:pPr>
        <w:ind w:left="0" w:right="0" w:firstLine="442"/>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七、其他补充事宜</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（一）政府采购信用承诺：</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根据南京市财政局《关于在政府采购活动中推行信用承诺制的通知》（宁财购通【2021】5号），政府采购供应商只需在资格审查环节提供满足相应条件的书面承诺书，不再需要提供上述“（一）满足《中华人民共和国政府采购法》第二十二条规定”中（2-5）的证明材料。供应商在中标（成交）后，应按采购文件要求，将由信用承诺书代替的证明材料提交采购人或采购代理机构核验。经核验无误后，由采购人或采购代理机构发出中标（成交）通知书。</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供应商涉及以下情形的，不适用信用承诺，仍须在响应文件中提供相关证明资格证明材料：①供应商被列入严重失信主体名单；②被相关监管部门作出行政处罚且尚在处罚有效期内；③其他法律、行政法规规定的不适用信用承诺的情形。</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（3）供应商对信用承诺内容的真实性、合法性、有效性负责。如作出虚假信用承诺，视同为“提供虚假材料谋取中标、成交”的违法行为。</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（二）拒绝下述供应商参加本次采购活动：</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（1）供应商单位负责人为同一人或者存在直接控股、管理关系的不同供应商，不得参加同一合同项下的政府采购活动。</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（2）除单一来源采购项目外，凡为采购项目提供整体设计、规范编制或者项目管理、监理、检测等服务的供应商，不得再参加该采购项目的其它采购活动。</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（3）供应商被“信用中国”网站(www.creditchina.gov.cn) 、“中国政府采购网" (www.ccgp.gov.cn)列入失信被执行人、重大税收违法案件当事人名单、政府采购严重违法失信行为记录名单。</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（三）公告媒体：</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（1）本磋商公告在南京公共采购信息网（https://njgc.jfh.com/）和江苏政府采购网（http://www.ccgp-jiangsu.gov.cn/）公示发布，敬请各供应商关注；</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（2）若有关本次磋商存在变动或修改，敬请各供应商及时关注南京公共采购信息网（https://njgc.jfh.com/）和江苏政府采购网（http://www.ccgp-jiangsu.gov.cn/）发布的关于本项目的信息更正公告。</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（四）采购人将不统一组织供应商现场考察及磋商前答疑会，供应商认为需要可自行进行现场考察，采购人将予以必要的协助，费用由供应商自理。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（五）供应商诚信档案注册登记：</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南京市政府采购供应商信用管理工作暂行办法》（宁财规【2018】10号）有关规定，凡在南京地区参加政府采购活动的供应商，应当事先登陆“信用南京”（www.njcredit.gov.cn）或“南京公共采购信息网”（https://njgc.jfh.com/）主页“南京市政府采购供应商诚信档案”栏目进行注册登记。由于特殊原因未及时注册的供应商可先行获取采购文件，但必须在提交响应文件截止日2天前办理登记注册手续。</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六）本次采购采用“政府采购管理交易系统（苏采云）”，招标、投标、评标和成交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r>
        <w:rPr>
          <w:highlight w:val="none"/>
        </w:rPr>
      </w:r>
      <w:r/>
    </w:p>
    <w:p>
      <w:pPr>
        <w:ind w:left="0" w:right="0" w:firstLine="442"/>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八、凡对本次采购提出询问，请按以下方式联系。</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1、采购人信息</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单位名称：南京市江宁区人民政府东山街道办事处</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单位地址：南京市江宁区上元大街229号</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联系人：曹工</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联系电话：025-86111302</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2、采购代理机构信息</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单位名称：江苏东佳工程项目管理咨询有限公司</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单位地址：南京市江宁区湖西路146号瑞祥佳苑11幢芯动空间二楼</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联系人：许工</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联系电话：18602530317</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3.项目联系方式</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项目联系人：许工</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联系电话：18602530317</w:t>
      </w:r>
      <w:r>
        <w:rPr>
          <w:highlight w:val="none"/>
        </w:rPr>
      </w:r>
      <w:r/>
    </w:p>
    <w:p>
      <w:pPr>
        <w:ind w:left="0" w:right="0" w:firstLine="0"/>
        <w:jc w:val="center"/>
        <w:spacing w:before="240" w:after="24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240" w:after="24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第二章 供应商须知</w:t>
      </w:r>
      <w:r>
        <w:rPr>
          <w:highlight w:val="none"/>
        </w:rPr>
      </w:r>
      <w:r/>
    </w:p>
    <w:p>
      <w:pPr>
        <w:ind w:left="0" w:right="0" w:firstLine="0"/>
        <w:jc w:val="center"/>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u w:val="none"/>
        </w:rPr>
        <w:t xml:space="preserve">供应商须知前附表</w:t>
      </w:r>
      <w:r>
        <w:rPr>
          <w:highlight w:val="none"/>
        </w:rPr>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序号</w:t>
            </w: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项  目</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内         容</w:t>
            </w:r>
            <w:r>
              <w:rPr>
                <w:highlight w:val="none"/>
              </w:rPr>
            </w:r>
            <w:r/>
          </w:p>
        </w:tc>
      </w:tr>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项目编号</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u w:val="single"/>
              </w:rPr>
              <w:t xml:space="preserve">JSZC-320115-DJGS-C2026-0003</w:t>
            </w:r>
            <w:r>
              <w:rPr>
                <w:color w:val="000000" w:themeColor="text1"/>
                <w:highlight w:val="none"/>
              </w:rPr>
            </w:r>
            <w:r/>
          </w:p>
        </w:tc>
      </w:tr>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项目名称</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东山街道中心河等3条河道堤防管护服务</w:t>
            </w:r>
            <w:r>
              <w:rPr>
                <w:color w:val="000000" w:themeColor="text1"/>
                <w:highlight w:val="none"/>
              </w:rPr>
            </w:r>
            <w:r/>
          </w:p>
        </w:tc>
      </w:tr>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采购人</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名称</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南京市江宁区人民政府东山街道办事处</w:t>
            </w:r>
            <w:r>
              <w:rPr>
                <w:color w:val="000000" w:themeColor="text1"/>
                <w:highlight w:val="none"/>
              </w:rPr>
            </w:r>
            <w:r/>
          </w:p>
        </w:tc>
      </w:tr>
      <w:tr>
        <w:trPr>
          <w:trHeight w:val="68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地址</w:t>
            </w:r>
            <w:r>
              <w:rPr>
                <w:highlight w:val="none"/>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南京市江宁区上元大街229号</w:t>
            </w:r>
            <w:r>
              <w:rPr>
                <w:highlight w:val="none"/>
              </w:rPr>
            </w:r>
            <w:r/>
          </w:p>
        </w:tc>
      </w:tr>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采购代理机构</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名称</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江苏东佳工程项目管理咨询有限公司</w:t>
            </w:r>
            <w:r>
              <w:rPr>
                <w:highlight w:val="none"/>
              </w:rPr>
            </w:r>
            <w:r/>
          </w:p>
        </w:tc>
      </w:tr>
      <w:tr>
        <w:trPr>
          <w:trHeight w:val="68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地址</w:t>
            </w:r>
            <w:r>
              <w:rPr>
                <w:highlight w:val="none"/>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南京市江宁区湖西路146号瑞祥佳苑11幢芯动空间二楼</w:t>
            </w:r>
            <w:r>
              <w:rPr>
                <w:highlight w:val="none"/>
              </w:rPr>
            </w:r>
            <w:r/>
          </w:p>
        </w:tc>
      </w:tr>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w:t>
            </w: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采购范围</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详见采购文件第四章</w:t>
            </w:r>
            <w:r>
              <w:rPr>
                <w:highlight w:val="none"/>
              </w:rPr>
            </w:r>
            <w:r/>
          </w:p>
        </w:tc>
      </w:tr>
      <w:tr>
        <w:trPr>
          <w:trHeight w:val="24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w:t>
            </w: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磋商文件获取方法</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1、时间：自磋商文件公告发布之日起5个工作日</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2、地点：江苏政府采购网</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4、售价：0.00元</w:t>
            </w:r>
            <w:r>
              <w:rPr>
                <w:highlight w:val="none"/>
              </w:rPr>
            </w:r>
            <w:r/>
          </w:p>
        </w:tc>
      </w:tr>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w:t>
            </w: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最高限价</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39.292500万元/年，超过此限价按未实质性响应磋商文件要求处理</w:t>
            </w:r>
            <w:r>
              <w:rPr>
                <w:highlight w:val="none"/>
              </w:rPr>
            </w:r>
            <w:r/>
          </w:p>
        </w:tc>
      </w:tr>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w:t>
            </w: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合同履行期限</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三年，合同一年一签</w:t>
            </w:r>
            <w:r>
              <w:rPr>
                <w:highlight w:val="none"/>
              </w:rPr>
            </w:r>
            <w:r/>
          </w:p>
        </w:tc>
      </w:tr>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w:t>
            </w: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磋商有效期</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磋商之日起60天</w:t>
            </w:r>
            <w:r>
              <w:rPr>
                <w:highlight w:val="none"/>
              </w:rPr>
            </w:r>
            <w:r/>
          </w:p>
        </w:tc>
      </w:tr>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响应文件递交</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时间</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2026年4月</w:t>
            </w:r>
            <w:r>
              <w:rPr>
                <w:rFonts w:ascii="SimSun" w:hAnsi="SimSun" w:eastAsia="SimSun" w:cs="SimSun"/>
                <w:color w:val="000000" w:themeColor="text1"/>
                <w:sz w:val="24"/>
                <w:highlight w:val="none"/>
                <w:u w:val="single"/>
              </w:rPr>
              <w:t xml:space="preserve">13</w:t>
            </w:r>
            <w:r>
              <w:rPr>
                <w:rFonts w:ascii="SimSun" w:hAnsi="SimSun" w:eastAsia="SimSun" w:cs="SimSun"/>
                <w:color w:val="000000" w:themeColor="text1"/>
                <w:sz w:val="24"/>
                <w:highlight w:val="none"/>
              </w:rPr>
              <w:t xml:space="preserve">日14时30分</w:t>
            </w:r>
            <w:r>
              <w:rPr>
                <w:color w:val="000000" w:themeColor="text1"/>
                <w:highlight w:val="none"/>
              </w:rPr>
            </w:r>
            <w:r/>
          </w:p>
        </w:tc>
      </w:tr>
      <w:tr>
        <w:trPr>
          <w:trHeight w:val="68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地点</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“苏采云”政府采购交易系统网上开标大厅</w:t>
            </w:r>
            <w:r>
              <w:rPr>
                <w:color w:val="000000" w:themeColor="text1"/>
                <w:highlight w:val="none"/>
              </w:rPr>
            </w:r>
            <w:r/>
          </w:p>
        </w:tc>
      </w:tr>
      <w:tr>
        <w:trPr>
          <w:trHeight w:val="2381"/>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其它说明</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次采购采用“政府采购管理交易系统（苏采云）”，招标、投标、评标和成交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r>
              <w:rPr>
                <w:highlight w:val="none"/>
              </w:rPr>
            </w:r>
            <w:r/>
          </w:p>
        </w:tc>
      </w:tr>
      <w:tr>
        <w:trPr>
          <w:trHeight w:val="10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w:t>
            </w: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纸质版响应文件</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供应商须在成交后两日内提供纸质版响应文件一式叁份，纸质版响应文件均应加盖成交供应商公章，且装订成册。供应商提供的纸质版响应文件必须与苏采云系统中电子文件一致。</w:t>
            </w:r>
            <w:r>
              <w:rPr>
                <w:color w:val="000000" w:themeColor="text1"/>
                <w:highlight w:val="none"/>
              </w:rPr>
            </w:r>
            <w:r/>
          </w:p>
        </w:tc>
      </w:tr>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磋商时间地点</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时间</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2026年4月</w:t>
            </w:r>
            <w:r>
              <w:rPr>
                <w:rFonts w:ascii="SimSun" w:hAnsi="SimSun" w:eastAsia="SimSun" w:cs="SimSun"/>
                <w:color w:val="000000" w:themeColor="text1"/>
                <w:sz w:val="24"/>
                <w:highlight w:val="none"/>
                <w:u w:val="single"/>
              </w:rPr>
              <w:t xml:space="preserve">13</w:t>
            </w:r>
            <w:r>
              <w:rPr>
                <w:rFonts w:ascii="SimSun" w:hAnsi="SimSun" w:eastAsia="SimSun" w:cs="SimSun"/>
                <w:color w:val="000000" w:themeColor="text1"/>
                <w:sz w:val="24"/>
                <w:highlight w:val="none"/>
              </w:rPr>
              <w:t xml:space="preserve">日14时30分</w:t>
            </w:r>
            <w:r>
              <w:rPr>
                <w:color w:val="000000" w:themeColor="text1"/>
                <w:highlight w:val="none"/>
              </w:rPr>
            </w:r>
            <w:r/>
          </w:p>
        </w:tc>
      </w:tr>
      <w:tr>
        <w:trPr>
          <w:trHeight w:val="68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地点</w:t>
            </w:r>
            <w:r>
              <w:rPr>
                <w:highlight w:val="none"/>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0"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“苏采云”政府采购交易系统网上开标大厅</w:t>
            </w:r>
            <w:r>
              <w:rPr>
                <w:color w:val="000000" w:themeColor="text1"/>
                <w:highlight w:val="none"/>
              </w:rPr>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 方式</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采购人</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联系人</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曹工</w:t>
            </w:r>
            <w:r>
              <w:rPr>
                <w:highlight w:val="none"/>
              </w:rPr>
            </w:r>
            <w:r/>
          </w:p>
        </w:tc>
      </w:tr>
      <w:tr>
        <w:trPr>
          <w:trHeight w:val="56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联系电话</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025-86111302</w:t>
            </w:r>
            <w:r>
              <w:rPr>
                <w:highlight w:val="none"/>
              </w:rPr>
            </w:r>
            <w:r/>
          </w:p>
        </w:tc>
      </w:tr>
      <w:tr>
        <w:trPr>
          <w:trHeight w:val="56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采购代理机构</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联系人</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8" w:type="dxa"/>
            <w:vAlign w:val="center"/>
            <w:textDirection w:val="lrTb"/>
            <w:noWrap w:val="false"/>
          </w:tcPr>
          <w:p>
            <w:pPr>
              <w:ind w:left="0" w:right="0" w:firstLine="0"/>
              <w:spacing w:before="0" w:after="0"/>
              <w:tabs>
                <w:tab w:val="left" w:pos="510" w:leader="none"/>
                <w:tab w:val="left" w:pos="1134"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许工</w:t>
            </w:r>
            <w:r>
              <w:rPr>
                <w:highlight w:val="none"/>
              </w:rPr>
            </w:r>
            <w:r/>
          </w:p>
        </w:tc>
      </w:tr>
      <w:tr>
        <w:trPr>
          <w:trHeight w:val="56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联系电话</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8" w:type="dxa"/>
            <w:vAlign w:val="center"/>
            <w:textDirection w:val="lrTb"/>
            <w:noWrap w:val="false"/>
          </w:tcPr>
          <w:p>
            <w:pPr>
              <w:ind w:left="0" w:right="0" w:firstLine="0"/>
              <w:spacing w:before="0" w:after="0"/>
              <w:tabs>
                <w:tab w:val="left" w:pos="510" w:leader="none"/>
                <w:tab w:val="left" w:pos="1134"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18602530317</w:t>
            </w:r>
            <w:r>
              <w:rPr>
                <w:highlight w:val="none"/>
              </w:rPr>
            </w:r>
            <w:r/>
          </w:p>
        </w:tc>
      </w:tr>
    </w:tbl>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t xml:space="preserve"> </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一、总则</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1、适用法律</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1《中华人民共和国政府采购法》、《中华人民共和国政府采购法实施条例》、《政府采购竞争性磋商采购方式管理暂行办法》等有关法律、规章和规定等。</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2、定义</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 “采购人”是指依法进行政府采购的国家机关、事业单位、团体组织。</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2.2“供应商”是指参加磋商竞争，并符合采购文件规定资格条件的法人、其他组织或者自然人。</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 “货物、服务和工程”指本磋商文件中所述产品及相关货物、工程和服务。</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 “用户或使用单位”是指工程建设单位或使用货物、接受服务的单位。</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3、政策功能</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3.1 政府采购促进中小企业发展政策</w:t>
      </w:r>
      <w:r>
        <w:rPr>
          <w:rFonts w:ascii="SimSun" w:hAnsi="SimSun" w:eastAsia="SimSun" w:cs="SimSun"/>
          <w:color w:val="000000"/>
          <w:sz w:val="24"/>
          <w:highlight w:val="none"/>
        </w:rPr>
        <w:t xml:space="preserve"> </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小企业（含小型、微型企业）提供的货物、工程和服务在评审时将获得优势，参加磋商的小企业（含小型、微型企业）应当提供《中小企业声明函》，“中小企业划型标准”详见《统计上大中小微型企业划分办法（2017）》（国统字〔2017〕213 号），中小企业享受政府采购支持政策的要求详见《政府采购促进中小企业发展管理办法》（财库〔2020〕46 号）的相关规定。</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对于专门面向中小企业或小型、微型企业的项目，只面向中小企业或小型、微型企业采购。对于非专门面向中小企业的项目，对小型和微型企业产品的价格给予10%（工程项目为5%）的扣除，用扣除后的价格参与评审。</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对于未预留份额专门面向中小企业采购的采购项目或预留份额项目中的非预留部分采购包，对小型和微型企业产品的价格给予10%扣除，用扣除后的价格参与评审。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工程项目为5%）价格扣除，用扣除后的价格参与评审。</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（4）小企业（含小型、微型企业）应当同时符合以下条件：</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①供应商为小企业，且符合中小企业划分标准；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②提供本企业制造的货物、承担的工程或者服务，或者提供其他小企业制造的货物。如果提供的货物为大中型企业注册商标的货物，视同大中型企业。</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（5）规定依据本办法规定享受扶持政策获得政府采购合同的，小微企业不得将合同分包或转包给大中型企业，中型企业不得将合同分包或转包给大型企业。</w:t>
      </w:r>
      <w:r>
        <w:rPr>
          <w:highlight w:val="none"/>
        </w:rPr>
      </w:r>
      <w:r/>
    </w:p>
    <w:p>
      <w:pPr>
        <w:ind w:left="0" w:right="0" w:firstLine="442"/>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（6）本项目对应的中小企业划分标准所属行业为：其他未列明行业。</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3.2 政府采购支持监狱和戒毒企业发展政策</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监狱和戒毒企业提供的货物、工程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3.3 政府采购促进残疾人就业政策</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残疾人福利性单位提供的货物、工程和服务在评审时将获得优势，参加磋商的残疾人福利性单位，应当提供《残疾人福利性单位声明函》，残疾人福利性单位享受政府采购支持政策的要求详见《关于促进残疾人就业政府采购政策的通知》（财库〔2017〕141 号）。</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3.4 政府采购节能产品政策</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（1）拟采购产品属于节能产品政府采购清单规定必须强制采购的，实行强制采购。</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（2）拟采购产品属于节能产品政府采购清单规定优先采购的，在技术、服务等指标同等条件下，实行优先采购，优先采购的评审标准详见本招标文件评标办法。</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（3）参加政府采购活动的节能产品供应商应当提供产品在《节能产品政府采购清单》中相应的页面。</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3.5 政府采购环境标志产品政策</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（1）拟采购产品属于环境标志产品政府采购清单规定优先采购的，在性能、技术、服务等指标同等条件下，实行优先采购。</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（2）参加政府采购活动的环境标志产品应当提供产品在《环境标志产品政府采购清单》中相应的页面。</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3.6 强制采购信息安全产品</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（1）参加政府采购活动的产品供应商应当选择经国家认证的信息安全产品，并提供由中国信息安全认证中心按国家标准认证颁发的有效认证证书复印件。</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3.7 政府采购进口产品政策</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（1）除磋商文件载明接受进口产品参加外，不允许进口产品参加。进口产品认定依照《财政部关于政府采购进口产品管理有关问题的通知》（财办库〔2008〕248 号）的规定。</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（2）允许进口产品参加的，满足需求的国内产品可以参加。</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（3）允许进口产品参加的，优先采购向我国企业转让技术、与我国企业签订消化吸收再创新方案的供应商的进口产品。</w:t>
      </w:r>
      <w:r>
        <w:rPr>
          <w:highlight w:val="none"/>
        </w:rPr>
      </w:r>
      <w:r/>
    </w:p>
    <w:p>
      <w:pPr>
        <w:ind w:left="0" w:right="0" w:firstLine="442"/>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3.8 未按要求提供相关材料的，不享受相关政策。</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二、磋商文件</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4、磋商文件组成</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4.1 磋商文件组成：竞争性磋商公告、供应商须知、评审方法与评审标准、采购项目需求、合同草案条款及格式、响应文件格式及附件等。</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4.2 磋商文件如果要求供应商提交备选响应方案的，供应商可以提交备选方案；否则，备选方案将被拒绝。</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5、磋商文件的澄清、修改</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5.1 代理机构对已发出的磋商文件进行必要澄清或者修改的，将在磋商文件要求提交投标文件截止时间三日前，使用原发布途径发布更正或补遗文件，该澄清或者修改的内容为磋商文件的组成部分。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5.2 代理机构在磋商文件要求提交响应文件截止时间前，有权决定延长提交响应文件截止时间和响应文件开启时间，使用原发布途径发布更正或补遗文件。</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5.3供应商应在磋商文件要求提交响应文件截止时间前关注原采购信息发布媒体上有关本磋商项目有无变更公告。</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三、响应文件</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6、响应文件的语言、计量单位、货币和编制</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6.1 供应商提交的响应文件、技术文件和资料，包括图纸中的说明，以及供应商与采购代理机构就有关响应的所有来往函电均应使用中文。响应文件中若有英文或其他语言文字的资料，应提供相应的中文翻译资料。对不同文本响应文件的解释发生异议的，以中文文本为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6.2 供应商所使用的计量单位应为国家法定计量单位。</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6.3 供应商应用人民币报价。</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6.4 供应商应在响应文件中写清相应的项目编号、项目名称、供应商名称、地址、电话、传真等。</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7、联合投标</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7.1 两个以上的自然人、法人或者其他组织可以组成一个联合体，以一个供应商的身份共同参加政府采购。</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7.2 鼓励大中型企业和其他自然人、法人或者其他组织与小型、微型企业组成联合体共同参加非专门面向中小企业的政府采购活动。</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7.3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w:t>
      </w:r>
      <w:r>
        <w:rPr>
          <w:rFonts w:ascii="SimSun" w:hAnsi="SimSun" w:eastAsia="SimSun" w:cs="SimSun"/>
          <w:color w:val="000000"/>
          <w:sz w:val="24"/>
          <w:highlight w:val="none"/>
        </w:rPr>
        <w:t xml:space="preserve">确定。</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7.4 联合体各方之间应当签订联合体协议，明确约定联合体各方承担的工作和相应的责任，并将联合体协议连同响应文件一并提交。</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7.5 以联合体形式参加政府采购活动的，联合体各方不得再单独参加或者与其他供应商另外组成联合体参加同一合同项下的政府采购活动。</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8、磋商费用</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8.1 供应商应承担所有与准备和参加竞争性磋商有关的费用，无论采购结果如何，采购代理机构和采购人在任何情况下均无义务和责任承担这些费用。</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8.2 本项目代理费由采购人支付。</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9、响应文件的组成</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9.1 供应商应当根据磋商文件要求编制响应文件，响应文件应对磋商文件提出的要求和条件作出实质性响应，并在《商务条款偏离表》和《技术条款偏离表》等处逐条标明满足与否。</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9.2 响应文件由商务部分、技术部分、价格部分，以及其他部分组成（电子响应文件按竞争性磋商文件要求签署、盖章或加盖电子公章）。</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10、响应文件的商务部分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10.1 商务部分是证明供应商有资格参加磋商和成交后有能力履行合同的文件，这些文件应能满足竞争性磋商文件的要求，包括但不限于下列文件，其中加星号（“★”）的项目不得有缺失或无效。</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（1）★磋商申请及声明；</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法定代表人授权委托书及委托代理人的身份证明文件的扫描件、近三个月内任意一个月（2025年12月-2026年2月）供应商为委托代理人缴纳的社保缴纳凭证，加盖社保公章或具有可验证的二维码（或验证码），以上材料提供扫描件并加盖投标供应商公章后上传至投标系统；</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（3）★磋商报价表及分项报价表；</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（4）第一章“竞争性磋商公告”中《中华人民共和国政府采购法》第二十二条规定的资格条件证明文件；</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（5）★“南京公共采购信息网”（www.njgc.jfh.com）网站在线打印的南京市政府采购供应商信用记录表（经法定代表签名并盖章）</w:t>
      </w:r>
      <w:r>
        <w:rPr>
          <w:rFonts w:ascii="SimSun" w:hAnsi="SimSun" w:eastAsia="SimSun" w:cs="SimSun"/>
          <w:b/>
          <w:color w:val="000000"/>
          <w:sz w:val="24"/>
          <w:highlight w:val="none"/>
        </w:rPr>
        <w:t xml:space="preserve">，本表打印时间必须在采购文件发布之日起至提交响应文件截止日前</w:t>
      </w:r>
      <w:r>
        <w:rPr>
          <w:rFonts w:ascii="SimSun" w:hAnsi="SimSun" w:eastAsia="SimSun" w:cs="SimSun"/>
          <w:color w:val="000000"/>
          <w:sz w:val="24"/>
          <w:highlight w:val="none"/>
        </w:rPr>
        <w:t xml:space="preserve">；</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（6）★《商务条款偏离表》；</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（7）《联合体协议书》（如有）；</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（8）★中小企业声明函；</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（9）供应商认为需要提供的其他资格证明文件和商务资料等。</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11、响应文件的技术部分</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11.1 技术部分是证明供应商提供的货物、工程和服务是合格的，并符合竞争性磋商文件要求的证明文件，以及对提供的货物、工程和服务的详细说明，这些文件可以是文字资料、图纸和数据等。</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11.2 响应文件应按照磋商文件的要求提供技术资料、文件和有关证明，包括但不限于下列文件，其中加星号（“★”）的项目不得有缺失或无效：</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（1）★《技术条款偏离表》；</w:t>
      </w:r>
      <w:r>
        <w:rPr>
          <w:highlight w:val="none"/>
        </w:rPr>
      </w:r>
      <w:r/>
    </w:p>
    <w:p>
      <w:pPr>
        <w:ind w:left="0" w:right="0" w:firstLine="44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（2）服务或工程内容的详细说明；</w:t>
      </w:r>
      <w:r>
        <w:rPr>
          <w:highlight w:val="none"/>
        </w:rPr>
      </w:r>
      <w:r/>
    </w:p>
    <w:p>
      <w:pPr>
        <w:ind w:left="0" w:right="0" w:firstLine="44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（3）服务承诺；</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（4）供应商认为需要提供的其他技术资料。</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12、响应文件的价格部分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12.1 价格部分是对所提供的货物、工程和服务价格构成的说明，磋商文件如没有特别说明的话，对每一项货物、工程和服务仅接受一个价格。</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12.2报价应包含完成本服务项目发生的所有含税费用、支付给员工的工资和国家强制缴纳的各种社会保障资金以及供应商为完成相关服务所承担的全部费用（包括利润、税金、政策性文件规定及合同包含内的所有风险、责任等各项应有费用）。磋商供应商应充分考虑到市场价格变动，以及项目实施过程中的不可预见因素，一旦成交，总价格不变。如果有漏项，视同让利。</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12.3 供应商应在《报价表》中标明提供货物、工程和服务的单价、总价以及分项报价。</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12.4 经磋商后，如果成交价高于或低于供应商在响应文件报价的，分项报价同比例调整。</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13、响应文件的其他部分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13.1 其他部分由供应商根据编制响应文件需要提供的其他相关文件。</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14、磋商保证金（以下为格式文本，本项目无须提供磋商保证金）</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14.1 供应商应按照要求提交磋商保证金，并作为其响应文件的一部分。磋商保证金是为了保护采购人免遭因供应商的行为而蒙受的损失，采购代理在因供应商的行为受到损害时，磋商保证金将不予退还。</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14.3 成交供应商的磋商保证金，将在采购合同签订后退回。竞争性磋商文件另有约定的从其约定。</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14.4 下列任何情况发生时，磋商保证金不予退还：</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（1）成交通知书发出后三十日内，成交供应商未与采购人签订合同的；</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（2）提供虚假材料谋取成交的；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（3）经查实与采购人、其他供应商或者采购代理恶意串通的等。</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15、磋商有效期</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15.1 自响应文件开启之日起60日内有效。</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16、响应文件签署</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16.1 供应商应当按照《操作手册》规定，在磋商公告规定的提交响应文件截止时间前制作并上传电子响应文件。</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17、响应文件的密封和递交</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17.1 供应商应当按照《操作手册》规定，在磋商公告规定的提交响应文件截止时间前制作并上传电子响应文件。</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17.2 供应商应充分考虑网络环境、网络带宽等因素可能对磋商产生的影响，如因供应商自身原因造成的电子响应文件上传不成功的，按照本磋商文件第二章第21.10条规定做无效响应处理。</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18、有下列情形之一的响应文件将拒收</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18.1  在磋商文件要求提交响应文件的截止时间之后送达的。</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19、响应文件的修改和撤回</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19.1 供应商在提交响应文件截止时间前，可以对所递交的响应文件进行补充、修改或撤回，具体操作方法见《操作手册》。</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19.2 提交响应文件截止时间之后，投标文件不得撤回；如果撤回的，投标保证金不予退还，一年内不得参加采购人组织的政府采购活动。</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四、磋商</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20、磋商组织</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20.1 在提交响应文件时间截止后，采购代理机构将在磋商文件确定的时间和地点组织磋商小组分别与供应商进行磋商。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20.2 磋商前，供应商应当按照《操作手册》规定，在苏采云系统规定的时间内对响应文件进行解密。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20.3 磋商工作由采购代理机构负责组织，具体磋商事务由依法组建的磋商小组负责。</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20.4 提交响应文件时间截止后，提交响应文件的供应商不足三家的，不开启响应文件。除采购任务取消情形外，采购人报经监管部门批准后，可变更为竞争性谈判或者单一来源方式采购。如果变更为竞争性谈判采购的，代理机构根据招标文件中的采购需求编制谈判文件，与参加磋商的两家供应商进行竞争性谈判采购。</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21、磋商程序</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21.1 磋商工作由采购代理机构负责组织，具体磋商事务由依法组建的磋商小组负责。</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21.2 磋商小组评审供应商所递交的响应性文件，并根据磋商文件规定的程序、评定成交的标准等事项与实质性响应磋商文件要求的供应商进行磋商。未实质性响应磋商文件的响应文件按无效处理，磋商小组将通过苏采云系统告知具体原因，评审结束后将不再接受有关询问。</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21.3 磋商小组所有成员集中与供应商进行磋商，磋商小组通过苏采云系统向供应商发出《磋商函》，供应商应当按照要求在苏采云系统提交《磋商响应函》并加盖电子公章。</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21.4 磋商过程中，磋商小组根据磋商文件和磋商情况可能实质性变动采购需求中的技术、服务要求以及合同草案条款，但不得变动磋商文件中的其他内容。实质性变动的内容，须经采购人代表确认。</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21.5 对磋商文件作出的实质性变动是磋商文件的有效组成部分，磋商小组将以书面形式通知所有参加磋商的供应商。用“★”加注或特别说明的内容为实质性要求。</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21.6 如磋商文件有实质性变动的，供应商应当按照磋商文件的变动情况和磋商小组的要求重新提交响应（或补充）文件，并加盖电子公章。</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21.7 磋商结束后，磋商小组将在苏采云系统向所有实质性响应的供应商发布《最后报价要求函》及最后报价格式表，要求所有实质性响应的供应商在规定时间内提交最后报价，最后报价是供应商响应文件的有效组成部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21.8 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21.9 </w:t>
      </w:r>
      <w:r>
        <w:rPr>
          <w:rFonts w:ascii="SimSun" w:hAnsi="SimSun" w:eastAsia="SimSun" w:cs="SimSun"/>
          <w:b/>
          <w:color w:val="000000"/>
          <w:sz w:val="24"/>
          <w:highlight w:val="none"/>
        </w:rPr>
        <w:t xml:space="preserve">供应商未在磋商小组规定的时间内在苏采云系统中提交最后报价的视为放弃磋商，其响应文件按无效响应处理，最后报价格式表须加盖电子公章,否则视为未提交最后报价。</w:t>
      </w:r>
      <w:r>
        <w:rPr>
          <w:rFonts w:ascii="SimSun" w:hAnsi="SimSun" w:eastAsia="SimSun" w:cs="SimSun"/>
          <w:color w:val="000000"/>
          <w:sz w:val="24"/>
          <w:highlight w:val="none"/>
        </w:rPr>
        <w:t xml:space="preserve">已提交响应文件的供应商，在提交最后报价之前，可以根据磋商情况退出磋商。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21.10 出现下列情形之一的响应文件按照无效处理： </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（1）供应商在苏采云系统规定的时间内未成功解密电子响应文件；</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（2）供应商未按照磋商文件要求签署、盖章或加盖电子公章的；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（3）不具备磋商文件中规定资格条件的；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（4）未实质性响应磋商文件要求的；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（5）供应商报价超出采购预算限额的；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（6）不同供应商的响应文件由同一单位或者个人编制；</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（7）不同供应商委托同一单位或者个人办理投标事宜；</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（8）不同供应商的响应文件载明的项目管理成员为同一人；</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（9）不同供应商的响应文件异常一致或者投标报价呈规律性差异；</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（10）不同供应商的响应文件相互混装；</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（11）不同供应商的磋商保证金从同一单位或者个人的账户转出；</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（12）不同供应商的法定代表人或委托代理人有夫妻、直系血亲关系的；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（13）不同供应商的负责人为同一人或者存在控股、管理关系的；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（14）没有逐一说明投标产品名称、品牌、规格型号、技术参数和服务响应，而是直接拷贝磋商文件技术要求的；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（15）不同供应商的委托代理人(或法定代表人、项目经理、项目总监、项目负责人等)在采购文件发布日上月至投标截止日当月在同一单位缴纳社会保险的；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（16）服务承诺和付款条件未响应采购文件要求的；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17）磋商小组认为供应商的报价明显低于其他通过符合性审查的供应商的报价，有可能影响工程质量或者不能诚信履约的，应当要求其在磋商现场合理的时间内提供书面说明，必要时提交相关证明材料；供应商不能证明其报价合理性的，磋商小组应当将其作为无效响应处理； </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（18）响应文件含有采购人不能接受的附加条件的；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（19）不同供应商的IP地址、MAC地址、标书制作工具客户端标识码一致的（以系统核查结果为准）；</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（20）根据财库〔2026〕2号文件要求，出现下列情形之一的，评审委员会应当启动异常低价投标（响应）审查程序： </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1）投标（响应）报价低于全部通过符合性审查供应商投标（响应）报价平均值50%的，即投标（响应）报价&lt;全部通过符合性审查供应商投标（响应）报价平均值×50%； </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2）投标（响应）报价低于通过符合性审查的次低报价供应商投标（响应）报价50%的，即投标（响应）报价&lt;通过符合性审查的次低报价供应商投标（响应）报价×50%； </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3）投标（响应）报价低于采购项目最高限价45%的，即投标（响应）报价&lt;采购项目最高限价×45%； </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4）评审委员会基于专业判断，认为供应商报价过低，有可能影响产品质量或者不能诚信履约的其他情形。 </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（21）不符合法律、法规和磋商文件规定的其他实质性要求的。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21.11 出现下列情形之一的，磋商终止：</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（1）因情况变化，不再符合规定的竞争性磋商采购方式适用情形的；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（2）所有供应商的响应文件被磋商小组认定为无效的；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（3）出现影响采购公正的违法、违规行为的；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（4）所有供应商的报价均超过了采购预算或最高限价，采购人不能支付的；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（5）因重大变故，采购任务取消的；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（6）除市场竞争不充分的科研项目、需要扶持的科技成果转化项目以及政府购买服务项目（含政府和社会资本合作项目）外，在采购过程中符合要求的供应商或提交最后报价不足3家的；</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（7）采购人需求发生重大变化暂时不能确定或供应商提供的货物、服务和工程不能满足需求等。</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22、评审方法和标准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22.1 采用综合评分法。即在最大限度地满足竞争性磋商文件实质性要求前提下，按照竞争性磋商文件中规定的各项因素进行综合评审后，以评标总得分最高的供应商作为成交候选供应商或者成交供应商的评标方法。</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22.2 综合评分的主要因素是：详见评审方法与评审标准。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22.3 评审方法与评审标准详见文件第三章。</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23、确定成交供应商</w:t>
      </w:r>
      <w:r>
        <w:rPr>
          <w:highlight w:val="none"/>
        </w:rPr>
      </w: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23.1 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本次采购得分最高者为成交供应商，第二名为备选供应商，当成交供应商不能履行其义务时，由备选供应商顶替，成为新的成交供应商，也可重新组织采购。</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23.2 磋商小组将严格按照采购文件的要求和条件进行比较,根据评审办法直接确定成交供应商或推荐出成交候选人。</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23.3 按以下第（1）种方式确定成交供应商</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（1）磋商小组直接确定排名第一的成交候选人为成交供应商；</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（2）采购人在磋商小组推荐的成交候选人中按顺序确定成交供应商。</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按第二种方式确定成交供应商的，招标代理公司自评审结束之日起两个工作日内将评审报告送交采购人，采购人应当自收到评审报告之日起五个工作日内，在评审报告推荐的成交候选人中按顺序确定成交供应商。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23.4 成交供应商确定之日起两个工作日内，将在财政部门指定的政府采购信息发布媒体上公告，成交供应商及时到代理机构领取成交通知书。</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23.5 成交通知书对采购人和成交供应商具有同等法律效力。</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23.6 </w:t>
      </w:r>
      <w:r>
        <w:rPr>
          <w:rFonts w:ascii="SimSun" w:hAnsi="SimSun" w:eastAsia="SimSun" w:cs="SimSun"/>
          <w:b/>
          <w:color w:val="000000"/>
          <w:sz w:val="24"/>
          <w:highlight w:val="none"/>
        </w:rPr>
        <w:t xml:space="preserve">成交通知书发出后，成交供应商除发生法律规定的不能预见、不能避免并不能克服的客观情况外不得放弃或拒绝签订合同的。放弃或拒绝签订合同的，情节严重的在一至三年内不得参加采购人采购活动</w:t>
      </w:r>
      <w:r>
        <w:rPr>
          <w:rFonts w:ascii="SimSun" w:hAnsi="SimSun" w:eastAsia="SimSun" w:cs="SimSun"/>
          <w:color w:val="000000"/>
          <w:sz w:val="24"/>
          <w:highlight w:val="none"/>
        </w:rPr>
        <w:t xml:space="preserve">。</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23.7 采购代理机构和磋商小组对未成交的供应商不作未成交原因的解释。</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23.8 所有响应文件都将作为档案保存，不论成交与否，均不退回。</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24、编写评审报告</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 磋商小组根据全体评审成员签字的原始评审记录和评审结果编写评审报告。</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五、签订合同</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25、签订合同</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25.1 成交供应商应当自成交通知书发出之日起三十日内，按照竞争性磋商文件和成交供应商响应文件的约定与采购人签订政府采购合同，所签订的合同不得对竞争性磋商文件和成交供应商响应文件作实质性修改。</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25.2采购人不得向成交供应商提出任何不合理的要求作为签订合同的条件，不得与成交供应商私下订立背离合同实质性内容的协议。</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25.3 除不可抗力等因素外，成交通知书发出后，采购人改变成交结果，或者成交供应商拒绝签订政府采购合同的，应当承担相应的法律责任。</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25.4 成交供应商除发生法律规定的不能预见、不能避免并不能克服的客观情况外不得放弃或拒绝签订合同的。放弃或拒绝签订合同的，财政部门视情将其列入不良行为名单，在一至三年内不得参加江苏省政府采购活动。</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25.5 成交供应商拒绝与采购人签订合同，或因不可抗力或者自身原因不能履行政府采购合同的，采购人可以按照评审报告推荐的成交候选人名单排序，确定下一候选人为成交供应商，也可以重新开展政府采购活动。</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25.6 政府采购合同履行中，采购人需追加与合同标的相同的服务的，在不改变合同其他条款的前提下，可以与供应商协商签订补充合同，但所有补充合同的采购金额不得超过原合同采购金额的百分之十。</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六、询问、质疑、投诉和诚实信用</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26、询问</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26.1 供应商对采购活动事项有疑问的，可以向代理机构或采购人提出询问，代理机构或采购人将在两个工作日内作出答复，但答复的内容不涉及商业秘密。</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27、质疑</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 供应商认为采购文件、采购过程和成交结果使自己的合法权益受到损害的，可以在知道或者应当知道其权益受到损害之日起七个工作日内，将质疑文件原件送达采购代理单位。</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27.2 质疑文件应包括以下主要内容，并按照“谁主张、谁举证”的原则，附上相关证明材料。否则，采购人不予受理：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（1）质疑项目名称、项目编号、包号、采购公告发出时间、磋商时间；</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（2）提起质疑的日期、具体的质疑事项及事实根据（具体条款）；</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（3）认为自己合法权益受到损害或可能受到损害的相关证据材料。</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（4）质疑供应商名称、地址、邮编、联系人、联系电话（包括座机、手机、传真号码等）；</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（5）质疑函应当署名，质疑人为自然人的，应当由本人签字并附有效身份证明；质疑人为法人或其他组织的，应当由法定代表人签字并加盖单位公章。</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（6）供应商委托代理质疑的，应当提交授权委托书，并载明委托代理的具体权限和事项。</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27.4采购人（或采购代理机构）在收到供应商的书面质疑后将及时组织调查核实，在七个工作日内作出答复，并以书面通知质疑供应商和其他有关供应商，答复的内容不涉及商业秘密。采购人（或采购代理机构）遵循“谁过错谁负担”的原则，有过错的一方承担调查论证费用。</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28、投诉</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质疑供应商对代理机构的答复不满意，或代理机构未在规定的时间内作出答复的，可以在答复期满后十五个工作日内向采购项目同级财政部门投诉。</w:t>
      </w:r>
      <w:r>
        <w:rPr>
          <w:highlight w:val="none"/>
        </w:rPr>
      </w:r>
      <w:r/>
    </w:p>
    <w:p>
      <w:pPr>
        <w:ind w:left="0" w:right="0" w:firstLine="4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29、诚实信用</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29.1 供应商之间不得相互串通投标报价，不得妨碍其他供应商的公平竞争，不得损害采购人和其他供应商的合法权益。</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29.2 供应商不得以向代理机构工作人员、磋商小组成员行贿或者采取其他不正当手段谋取成交。经查实供应商有此行为的，政府采购管理部门将供应商列入不良行为记录名单，按照《政府采购法》有关规定处理。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29.3 供应商提出书面质疑必须有理、有据，不得虚假质疑和恶意质疑，并对质疑内容的真实性承担责任。否则，一经查实，采购人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人提请财政部门将其列入不良行为记录名单，并依法予以处罚。</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29.4 供应商不得虚假承诺，否则，按照提供虚假材料谋取中标成交处理。</w:t>
      </w:r>
      <w:r>
        <w:rPr>
          <w:highlight w:val="none"/>
        </w:rPr>
      </w:r>
      <w:r/>
    </w:p>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29.5 供应商应自觉遵守磋商、评审纪律，扰乱磋商、评审现场秩序的，属于失信行为，根据《江苏省政府采购供应商监督管理暂行办法》，失信行为将被记入供应商诚信档案。</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29.6 供应商在成交后，应按采购文件要求，将由信用承诺书替代的证明材料提交采购代理机构核验。经核验无误后，由采购人或采购代理机构发出成交通知书。</w:t>
      </w:r>
      <w:r>
        <w:rPr>
          <w:highlight w:val="none"/>
        </w:rPr>
      </w:r>
      <w:r/>
    </w:p>
    <w:p>
      <w:pPr>
        <w:ind w:left="0" w:right="0" w:firstLine="44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29.7 供应商对信用承诺内容的真实性、合法性、有效性负责。如作出虚假信用承诺，视同为“提供虚假材料谋取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highlight w:val="none"/>
        </w:rPr>
      </w:r>
      <w:r/>
    </w:p>
    <w:p>
      <w:pPr>
        <w:ind w:left="0" w:right="0" w:firstLine="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第三章 评审方法与评审标准</w:t>
      </w:r>
      <w:r>
        <w:rPr>
          <w:highlight w:val="none"/>
        </w:rPr>
      </w: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本次采购得分最高者为成交供应商，第二名为备选供应商，当成交供应商不能履行其义务时，由备选供应商顶替，成为新的成交供应商，也可重新组织采购。</w:t>
      </w:r>
      <w:r>
        <w:rPr>
          <w:highlight w:val="none"/>
        </w:rPr>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0"/>
        <w:gridCol w:w="1370"/>
        <w:gridCol w:w="5696"/>
        <w:gridCol w:w="821"/>
      </w:tblGrid>
      <w:tr>
        <w:trPr>
          <w:trHeight w:val="5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评分因素</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6"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评分标准</w:t>
            </w:r>
            <w:r>
              <w:rPr>
                <w:highlight w:val="none"/>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分值</w:t>
            </w:r>
            <w:r>
              <w:rPr>
                <w:highlight w:val="none"/>
              </w:rPr>
            </w:r>
            <w:r/>
          </w:p>
        </w:tc>
      </w:tr>
      <w:tr>
        <w:trPr>
          <w:trHeight w:val="20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价格</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6"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10（小数点保留两位）</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10</w:t>
            </w:r>
            <w:r>
              <w:rPr>
                <w:highlight w:val="none"/>
              </w:rPr>
            </w:r>
            <w:r/>
          </w:p>
        </w:tc>
      </w:tr>
      <w:tr>
        <w:trPr>
          <w:trHeight w:val="39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服务整体设想及实施方案</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6" w:type="dxa"/>
            <w:vAlign w:val="center"/>
            <w:textDirection w:val="lrTb"/>
            <w:noWrap w:val="false"/>
          </w:tcPr>
          <w:p>
            <w:pPr>
              <w:ind w:left="0" w:right="0" w:firstLine="0"/>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评委根据供应商提供的服务整体设想及实施方案进行评分：方案包括但不限于项目的认识、服务定位、总体目标、整体设想、服务组织结构、服务项目现状分析、重点难点分析及对应的解决方案等。</w:t>
            </w:r>
            <w:r>
              <w:rPr>
                <w:highlight w:val="none"/>
              </w:rPr>
            </w:r>
            <w:r/>
          </w:p>
          <w:p>
            <w:pPr>
              <w:numPr>
                <w:ilvl w:val="0"/>
                <w:numId w:val="8"/>
              </w:numPr>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方案完整合理、针对性强，服务理念先进，目标定位准确的得12分；</w:t>
            </w:r>
            <w:r>
              <w:rPr>
                <w:highlight w:val="none"/>
              </w:rPr>
            </w:r>
            <w:r/>
          </w:p>
          <w:p>
            <w:pPr>
              <w:numPr>
                <w:ilvl w:val="0"/>
                <w:numId w:val="8"/>
              </w:numPr>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方案完整合理、目标定位准确，具有针对性的得9分；</w:t>
            </w:r>
            <w:r>
              <w:rPr>
                <w:highlight w:val="none"/>
              </w:rPr>
            </w:r>
            <w:r/>
          </w:p>
          <w:p>
            <w:pPr>
              <w:numPr>
                <w:ilvl w:val="0"/>
                <w:numId w:val="8"/>
              </w:numPr>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方案整体简单，欠缺针对性、先进性、准确性的得6分；</w:t>
            </w:r>
            <w:r>
              <w:rPr>
                <w:highlight w:val="none"/>
              </w:rPr>
            </w:r>
            <w:r/>
          </w:p>
          <w:p>
            <w:pPr>
              <w:numPr>
                <w:ilvl w:val="0"/>
                <w:numId w:val="8"/>
              </w:numPr>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未提供不得分。</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12</w:t>
            </w:r>
            <w:r>
              <w:rPr>
                <w:highlight w:val="none"/>
              </w:rPr>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管理方案和工作流程</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6" w:type="dxa"/>
            <w:vAlign w:val="center"/>
            <w:textDirection w:val="lrTb"/>
            <w:noWrap w:val="false"/>
          </w:tcPr>
          <w:p>
            <w:pPr>
              <w:ind w:left="0" w:right="0" w:firstLine="0"/>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评委根据供应商提供的管理方案和工作流程进行综合评分，管理方案包括但不限于项目管理机构、工作职能组织，管理职责、内部分工，日常管理考核办法等。</w:t>
            </w:r>
            <w:r>
              <w:rPr>
                <w:highlight w:val="none"/>
              </w:rPr>
            </w:r>
            <w:r/>
          </w:p>
          <w:p>
            <w:pPr>
              <w:numPr>
                <w:ilvl w:val="0"/>
                <w:numId w:val="9"/>
              </w:numPr>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管理方案和工作流程等清晰完善合理，可行性、针对性强的得12分；</w:t>
            </w:r>
            <w:r>
              <w:rPr>
                <w:highlight w:val="none"/>
              </w:rPr>
            </w:r>
            <w:r/>
          </w:p>
          <w:p>
            <w:pPr>
              <w:numPr>
                <w:ilvl w:val="0"/>
                <w:numId w:val="9"/>
              </w:numPr>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管理方案和工作流程等完善合理、具有可行性、针对性的得9分；</w:t>
            </w:r>
            <w:r>
              <w:rPr>
                <w:highlight w:val="none"/>
              </w:rPr>
            </w:r>
            <w:r/>
          </w:p>
          <w:p>
            <w:pPr>
              <w:numPr>
                <w:ilvl w:val="0"/>
                <w:numId w:val="9"/>
              </w:numPr>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管理方案和工作流程等简单粗糙、欠缺可行性、针对性的得6分；</w:t>
            </w:r>
            <w:r>
              <w:rPr>
                <w:highlight w:val="none"/>
              </w:rPr>
            </w:r>
            <w:r/>
          </w:p>
          <w:p>
            <w:pPr>
              <w:numPr>
                <w:ilvl w:val="0"/>
                <w:numId w:val="9"/>
              </w:numPr>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未提供不得分。</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12</w:t>
            </w:r>
            <w:r>
              <w:rPr>
                <w:highlight w:val="none"/>
              </w:rPr>
            </w:r>
            <w:r/>
          </w:p>
        </w:tc>
      </w:tr>
      <w:tr>
        <w:trPr>
          <w:trHeight w:val="8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236" w:right="0" w:hanging="236"/>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堤防管护</w:t>
            </w:r>
            <w:r>
              <w:rPr>
                <w:highlight w:val="none"/>
              </w:rPr>
            </w:r>
            <w:r/>
          </w:p>
          <w:p>
            <w:pPr>
              <w:ind w:left="236" w:right="0" w:hanging="236"/>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方案</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6" w:type="dxa"/>
            <w:vAlign w:val="center"/>
            <w:textDirection w:val="lrTb"/>
            <w:noWrap w:val="false"/>
          </w:tcPr>
          <w:p>
            <w:pPr>
              <w:ind w:left="0" w:right="0" w:firstLine="0"/>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评委根据供应商提供的堤防管护方案（应包含管护计划、管护措施）进行综合评审。</w:t>
            </w:r>
            <w:r>
              <w:rPr>
                <w:highlight w:val="none"/>
              </w:rPr>
            </w:r>
            <w:r/>
          </w:p>
          <w:p>
            <w:pPr>
              <w:numPr>
                <w:ilvl w:val="0"/>
                <w:numId w:val="10"/>
              </w:numPr>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方案科学合理、详细具体，分析透彻、应对措施完善，可行性强的得12分；</w:t>
            </w:r>
            <w:r>
              <w:rPr>
                <w:highlight w:val="none"/>
              </w:rPr>
            </w:r>
            <w:r/>
          </w:p>
          <w:p>
            <w:pPr>
              <w:numPr>
                <w:ilvl w:val="0"/>
                <w:numId w:val="10"/>
              </w:numPr>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方案内容完整，分析详细，但应对措施存在细微不合理或缺陷，不影响项目执行的得9分；</w:t>
            </w:r>
            <w:r>
              <w:rPr>
                <w:highlight w:val="none"/>
              </w:rPr>
            </w:r>
            <w:r/>
          </w:p>
          <w:p>
            <w:pPr>
              <w:numPr>
                <w:ilvl w:val="0"/>
                <w:numId w:val="10"/>
              </w:numPr>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内容有所欠缺，不利于项目执行的得6分。</w:t>
            </w:r>
            <w:r>
              <w:rPr>
                <w:highlight w:val="none"/>
              </w:rPr>
            </w:r>
            <w:r/>
          </w:p>
          <w:p>
            <w:pPr>
              <w:numPr>
                <w:ilvl w:val="0"/>
                <w:numId w:val="10"/>
              </w:numPr>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未提供不得分。</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12</w:t>
            </w:r>
            <w:r>
              <w:rPr>
                <w:highlight w:val="none"/>
              </w:rPr>
            </w:r>
            <w:r/>
          </w:p>
        </w:tc>
      </w:tr>
      <w:tr>
        <w:trPr>
          <w:trHeight w:val="8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质量、进度保证措施</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6" w:type="dxa"/>
            <w:vAlign w:val="top"/>
            <w:textDirection w:val="lrTb"/>
            <w:noWrap w:val="false"/>
          </w:tcPr>
          <w:p>
            <w:pPr>
              <w:ind w:left="0" w:right="0" w:firstLine="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评委根据供应商提供的质量、进度保证措施进行综合评分：</w:t>
            </w:r>
            <w:r>
              <w:rPr>
                <w:highlight w:val="none"/>
              </w:rPr>
            </w:r>
            <w:r/>
          </w:p>
          <w:p>
            <w:pPr>
              <w:numPr>
                <w:ilvl w:val="0"/>
                <w:numId w:val="11"/>
              </w:numPr>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进度计划安排合理可行，质量保证措施详尽，管理制度完善，能保证较好完成任务的得12分；</w:t>
            </w:r>
            <w:r>
              <w:rPr>
                <w:highlight w:val="none"/>
              </w:rPr>
            </w:r>
            <w:r/>
          </w:p>
          <w:p>
            <w:pPr>
              <w:numPr>
                <w:ilvl w:val="0"/>
                <w:numId w:val="11"/>
              </w:numPr>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进度计划安排基本合理可行，质量保证措施基本详尽，管理制度基本完善，能保证完成任务的得9分；</w:t>
            </w:r>
            <w:r>
              <w:rPr>
                <w:highlight w:val="none"/>
              </w:rPr>
            </w:r>
            <w:r/>
          </w:p>
          <w:p>
            <w:pPr>
              <w:numPr>
                <w:ilvl w:val="0"/>
                <w:numId w:val="11"/>
              </w:numPr>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进度计划安排不够合理可行，质量保证措施不够详尽，管理制度不够完善，不能保证完成任务的得6分；</w:t>
            </w:r>
            <w:r>
              <w:rPr>
                <w:highlight w:val="none"/>
              </w:rPr>
            </w:r>
            <w:r/>
          </w:p>
          <w:p>
            <w:pPr>
              <w:numPr>
                <w:ilvl w:val="0"/>
                <w:numId w:val="11"/>
              </w:numPr>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未提供不得分。</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12</w:t>
            </w:r>
            <w:r>
              <w:rPr>
                <w:highlight w:val="none"/>
              </w:rPr>
            </w:r>
            <w:r/>
          </w:p>
        </w:tc>
      </w:tr>
      <w:tr>
        <w:trPr>
          <w:trHeight w:val="8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重难点分析及应对措施</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6" w:type="dxa"/>
            <w:vAlign w:val="top"/>
            <w:textDirection w:val="lrTb"/>
            <w:noWrap w:val="false"/>
          </w:tcPr>
          <w:p>
            <w:pPr>
              <w:ind w:left="0" w:right="0" w:firstLine="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评委根据供应商提供的针对本项目的重点和难点分析及应对措施进行综合评分：</w:t>
            </w:r>
            <w:r>
              <w:rPr>
                <w:highlight w:val="none"/>
              </w:rPr>
            </w:r>
            <w:r/>
          </w:p>
          <w:p>
            <w:pPr>
              <w:numPr>
                <w:ilvl w:val="0"/>
                <w:numId w:val="12"/>
              </w:numPr>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提出问题针对性强，能突出重点难点，解决方案详细合理可操作性强的得12分；</w:t>
            </w:r>
            <w:r>
              <w:rPr>
                <w:highlight w:val="none"/>
              </w:rPr>
            </w:r>
            <w:r/>
          </w:p>
          <w:p>
            <w:pPr>
              <w:numPr>
                <w:ilvl w:val="0"/>
                <w:numId w:val="12"/>
              </w:numPr>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提出问题具有针对性，对重点难点有一定认识，解决方案较合理，具有可操作性的得9分；</w:t>
            </w:r>
            <w:r>
              <w:rPr>
                <w:highlight w:val="none"/>
              </w:rPr>
            </w:r>
            <w:r/>
          </w:p>
          <w:p>
            <w:pPr>
              <w:numPr>
                <w:ilvl w:val="0"/>
                <w:numId w:val="12"/>
              </w:numPr>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提出的问题不具有针对性，解决方案不合理的得6分；</w:t>
            </w:r>
            <w:r>
              <w:rPr>
                <w:highlight w:val="none"/>
              </w:rPr>
            </w:r>
            <w:r/>
          </w:p>
          <w:p>
            <w:pPr>
              <w:numPr>
                <w:ilvl w:val="0"/>
                <w:numId w:val="12"/>
              </w:numPr>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未提供不得分。</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12</w:t>
            </w:r>
            <w:r>
              <w:rPr>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应急预案</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6" w:type="dxa"/>
            <w:vAlign w:val="top"/>
            <w:textDirection w:val="lrTb"/>
            <w:noWrap w:val="false"/>
          </w:tcPr>
          <w:p>
            <w:pPr>
              <w:ind w:left="0" w:right="0" w:firstLine="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评委根据供应商提供的应急方案（包括且不限于节假日重大活动期间、突发事件、上级突击检查等）进行综合评分：</w:t>
            </w:r>
            <w:r>
              <w:rPr>
                <w:highlight w:val="none"/>
              </w:rPr>
            </w:r>
            <w:r/>
          </w:p>
          <w:p>
            <w:pPr>
              <w:numPr>
                <w:ilvl w:val="0"/>
                <w:numId w:val="13"/>
              </w:numPr>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应急预案完整，保障措施全面，有针对性且可操作性强的得12分；</w:t>
            </w:r>
            <w:r>
              <w:rPr>
                <w:highlight w:val="none"/>
              </w:rPr>
            </w:r>
            <w:r/>
          </w:p>
          <w:p>
            <w:pPr>
              <w:numPr>
                <w:ilvl w:val="0"/>
                <w:numId w:val="13"/>
              </w:numPr>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应急预案比较合理，保障措施简单，针对性不强或可操作性一般的得9分；</w:t>
            </w:r>
            <w:r>
              <w:rPr>
                <w:highlight w:val="none"/>
              </w:rPr>
            </w:r>
            <w:r/>
          </w:p>
          <w:p>
            <w:pPr>
              <w:numPr>
                <w:ilvl w:val="0"/>
                <w:numId w:val="13"/>
              </w:numPr>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应急预案不完整或没有保障措施，没有针对性的得6分；</w:t>
            </w:r>
            <w:r>
              <w:rPr>
                <w:highlight w:val="none"/>
              </w:rPr>
            </w:r>
            <w:r/>
          </w:p>
          <w:p>
            <w:pPr>
              <w:numPr>
                <w:ilvl w:val="0"/>
                <w:numId w:val="13"/>
              </w:numPr>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未提供不得分。</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12</w:t>
            </w:r>
            <w:r>
              <w:rPr>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236" w:right="0" w:hanging="236"/>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人员配备</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6" w:type="dxa"/>
            <w:vAlign w:val="center"/>
            <w:textDirection w:val="lrTb"/>
            <w:noWrap w:val="false"/>
          </w:tcPr>
          <w:p>
            <w:pPr>
              <w:ind w:left="0" w:right="0" w:firstLine="0"/>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供应商拟投入本项目人员具有</w:t>
            </w:r>
            <w:r>
              <w:rPr>
                <w:rFonts w:ascii="SimSun" w:hAnsi="SimSun" w:eastAsia="SimSun" w:cs="SimSun"/>
                <w:color w:val="000000"/>
                <w:sz w:val="24"/>
                <w:highlight w:val="none"/>
              </w:rPr>
              <w:t xml:space="preserve">市政专业或水利专业</w:t>
            </w:r>
            <w:r>
              <w:rPr>
                <w:rFonts w:ascii="SimSun" w:hAnsi="SimSun" w:eastAsia="SimSun" w:cs="SimSun"/>
                <w:color w:val="000000"/>
                <w:sz w:val="24"/>
                <w:highlight w:val="none"/>
              </w:rPr>
              <w:t xml:space="preserve">中级及以上职称的，每提供1人得2分，最高得6分。</w:t>
            </w:r>
            <w:r>
              <w:rPr>
                <w:highlight w:val="none"/>
              </w:rPr>
            </w:r>
            <w:r/>
          </w:p>
          <w:p>
            <w:pPr>
              <w:ind w:left="0" w:right="0" w:firstLine="0"/>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（提供相关职称证书扫描件件加盖供应商单位公章及供应商为其缴纳的近三个月内任意一个月社保缴纳证明材料扫描件上传至投标系统，未提供不得分。）</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6</w:t>
            </w:r>
            <w:r>
              <w:rPr>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236" w:right="0" w:hanging="236"/>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业绩</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6" w:type="dxa"/>
            <w:vAlign w:val="center"/>
            <w:textDirection w:val="lrTb"/>
            <w:noWrap w:val="false"/>
          </w:tcPr>
          <w:p>
            <w:pPr>
              <w:ind w:left="0" w:right="0" w:firstLine="0"/>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供应商自2023年3月1日以来承接过类似堤防管养业绩的每提供一个得3分。（提供合同扫描件，加盖供应商单位公章后上传至投标系统）</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w:t>
            </w:r>
            <w:r>
              <w:rPr>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236" w:right="0" w:hanging="236"/>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机械设备</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6" w:type="dxa"/>
            <w:vAlign w:val="center"/>
            <w:textDirection w:val="lrTb"/>
            <w:noWrap w:val="false"/>
          </w:tcPr>
          <w:p>
            <w:pPr>
              <w:ind w:left="0" w:right="0" w:firstLine="0"/>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1、供应商拟投入本项目的机械设备具有挖掘机、小型货车或皮卡、洒水车的，每提供一个得2分；</w:t>
            </w:r>
            <w:r>
              <w:rPr>
                <w:highlight w:val="none"/>
              </w:rPr>
            </w:r>
            <w:r/>
          </w:p>
          <w:p>
            <w:pPr>
              <w:ind w:left="0" w:right="0" w:firstLine="0"/>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2、供应商投入本项目的污水泵、割草机、发电机的，每提供一个得1分。</w:t>
            </w:r>
            <w:r>
              <w:rPr>
                <w:highlight w:val="none"/>
              </w:rPr>
            </w:r>
            <w:r/>
          </w:p>
          <w:p>
            <w:pPr>
              <w:ind w:left="0" w:right="0" w:firstLine="0"/>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（自有机械设备需提供购置发票，租赁设备需提供租赁合同，以上材料提供扫描件并加盖供应商单位公章后上传至投标系统。提供不齐全或未提供不得分）</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9</w:t>
            </w:r>
            <w:r>
              <w:rPr>
                <w:highlight w:val="none"/>
              </w:rPr>
            </w:r>
            <w:r/>
          </w:p>
        </w:tc>
      </w:tr>
      <w:tr>
        <w:trPr>
          <w:trHeight w:val="591"/>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37"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合计</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100</w:t>
            </w:r>
            <w:r>
              <w:rPr>
                <w:highlight w:val="none"/>
              </w:rPr>
            </w:r>
            <w:r/>
          </w:p>
        </w:tc>
      </w:tr>
    </w:tbl>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说明：</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评审评分标准涉及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2、政策功能：</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 本项目专门面向中小企业采购，供应商应为中小微企业、监狱企业、残疾人福利性单位。</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  小企业（含小型、微型企业）应当符合以下条件：</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（2）提供本企业制造的货物、承担的工程或者服务，或者提供其他小企业制造的货物。如果提供的货物为大中型企业注册商标的货物，视同大中型企业。</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（3）在货物采购项目中，供应商提供的货物既有中小企业制造货物，也有大型企业制造货物的，不享受本办法规定的中小企业扶持政策。</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（4）以联合体形式参加政府采购活动，联合体各方均为中小企业的，联合体视同中小企业。其中，联合体各方均为小微企业的，联合体视同小微企业。</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 监狱和戒毒企业   </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 残疾人福利性单位 </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残疾人福利单位需按照采购文件的要求提供《残疾人福利性单位声明函》。 残疾人福利单位标准请参照《关于促进残疾人就业政府采购政策的通知》（财库〔2017〕141 号）。</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 监狱企业、残疾人福利单位属于小型、微型企业的，不重复享受政策。</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 价格扣除</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2.6.1 对国家认定的节能产品和环保产品分别给予投标价的5%价格扣除，用扣除后的价格参与评审。</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br w:type="page" w:clear="all"/>
      </w:r>
      <w:r>
        <w:rPr>
          <w:highlight w:val="none"/>
        </w:rPr>
      </w:r>
      <w:r/>
    </w:p>
    <w:p>
      <w:pPr>
        <w:ind w:left="0" w:right="0" w:firstLine="0"/>
        <w:jc w:val="center"/>
        <w:spacing w:before="0" w:after="0" w:line="85" w:lineRule="atLeast"/>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第四章 采购需求</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一、项目概况</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本次堤防（中心河、运粮河、翻身河等，堤防总长20.15公里）养护项目主要包括 2个方面：堤防管护和绿化管理。</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本项目主要由江宁区东山街道水务管理服务站负责定期对养护单位的养护情况和养护资料进行考核。</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二、服务期限：</w:t>
      </w:r>
      <w:r>
        <w:rPr>
          <w:rFonts w:ascii="SimSun" w:hAnsi="SimSun" w:eastAsia="SimSun" w:cs="SimSun"/>
          <w:color w:val="000000"/>
          <w:sz w:val="24"/>
          <w:highlight w:val="none"/>
        </w:rPr>
        <w:t xml:space="preserve">三年，合同一年一签。</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三、养护要求</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（一）堤防管护</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1、堤防沿线各类水利设施巡查检查到位；非汛期每周巡查3次，汛期每天巡查2次（早、晚各一次）；认真查找险情，发现险情及时标记和详细记录，并及时上报；</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2、制止违章种植、搭建、倾倒垃圾、渣土或其他影响防汛能力的生产和建设活动等现象，及时发现、及时清理；</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3、堤顶（后戗、防汛路）路面满足防汛抢险通车要求，路面完整、平坦，雨后无积水，便于防汛检查和抢险，各类标志标牌保持清洁、完整，有破损情况及时上报，并做好详细记录；</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4、河道防护工程质量达到设计要求，无缺损、坍塌、松动现象，工程整洁美观。</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5、养护期间，养护资料须按照东山街道水务站提供的样式按时填写完整，并每月上报东山街道水务站检查。</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6、协助完成交办的其它有关工作。</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（二）绿化管理</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1、清除堤防迎、背水坡杂草、杂树；</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2、清除垃圾及其他堆放物，堤防坡面达到平整、无雨淋沟、塌陷、滑坡、裂缝、渗漏等现象；</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3、按规定对堤防上各类排水沟内杂草、杂物及时清理，确保畅通，无堵塞、破损现象。</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4、运距、处置及相关所有费用由投标单位自行考虑；</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5、其他满足验收要求。</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四、考核机制</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（一）考核内容及标准（考核分值100分）</w:t>
      </w:r>
      <w:r>
        <w:rPr>
          <w:highlight w:val="none"/>
        </w:rPr>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1"/>
        <w:gridCol w:w="1578"/>
        <w:gridCol w:w="535"/>
      </w:tblGrid>
      <w:tr>
        <w:trPr>
          <w:trHeight w:val="4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1"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考核内容</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考核要求</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得分</w:t>
            </w:r>
            <w:r>
              <w:rPr>
                <w:highlight w:val="none"/>
              </w:rPr>
            </w:r>
            <w:r/>
          </w:p>
        </w:tc>
      </w:tr>
      <w:tr>
        <w:trPr>
          <w:trHeight w:val="1634"/>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7241"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堤顶高程、宽度、边坡、护堤地（面积）保持设计或竣工验收的尺度，堤坡平顺，堤身无裂缝、冲沟、洞穴，无杂物垃圾堆放。（10分）</w:t>
            </w:r>
            <w:r>
              <w:rPr>
                <w:highlight w:val="none"/>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42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1582"/>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241"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堤顶（后戗、防汛路）路面满足防汛抢险通车要求，路面完整、平坦，雨后无积水，便于防汛检查和抢险。（15分）</w:t>
            </w:r>
            <w:r>
              <w:rPr>
                <w:highlight w:val="none"/>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42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127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241"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河道防护工程质量达到设计要求，无缺损、坍塌、松动现象，工程整洁美观。（15分）</w:t>
            </w:r>
            <w:r>
              <w:rPr>
                <w:highlight w:val="none"/>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42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127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241"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工程突发险情及汛情上报准确及时，无瞒报、漏报，工作记录规范。（15分）</w:t>
            </w:r>
            <w:r>
              <w:rPr>
                <w:highlight w:val="none"/>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42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127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241"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各种巡查检查记录表、图件、照片均应整理归档，资料存档及时，管护记录规范及上报及时。（10分）</w:t>
            </w:r>
            <w:r>
              <w:rPr>
                <w:highlight w:val="none"/>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42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127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241"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清除堤防迎、背水坡杂草、杂树；对堤防上各类排水沟内杂草、杂物及时清理，确保畅通，无堵塞、破损现象。（15分）</w:t>
            </w:r>
            <w:r>
              <w:rPr>
                <w:highlight w:val="none"/>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42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1009"/>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241"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各类工程管理标志、标牌齐全、醒目、美观。（10分）</w:t>
            </w:r>
            <w:r>
              <w:rPr>
                <w:highlight w:val="none"/>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42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1009"/>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241"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河道管护范围内阻水生物、建筑物、构筑物的数量、位置等情况清楚，无新设现象。（10分）</w:t>
            </w:r>
            <w:r>
              <w:rPr>
                <w:highlight w:val="none"/>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42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5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1" w:type="dxa"/>
            <w:vAlign w:val="center"/>
            <w:textDirection w:val="lrTb"/>
            <w:noWrap/>
          </w:tcPr>
          <w:p>
            <w:pPr>
              <w:ind w:left="0" w:right="0" w:firstLine="42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总分：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42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1"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考核人员</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负责人：</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42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1"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管护单位：</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42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bl>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（二）考核方式</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采购人按月对供应商进行考核，根据考核结果计算应付服务费，具体如下：</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（1）月考核得分大于等于90 分核定为优，按100%计取当月管护服务费；</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（2）月考核得分大于等于 80 分小于 90 分核定为良，按90%计取当月管护服务费；</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（3）月考核得分大于等于 70 分小于 80 分核定为合格，按80%计取当月管护服务费；</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（4）月考核得分小于 70 分当月考核不合格，不支付当月管护服务费并给予警告一次。累计两个月考核为不合格，甲方有权立即解除服务合同并不再续签下一年度服务合同。</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五、相关管理要求</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1、接受采购人业务主管部门及政府有关部门的监督指导，遵守采购人的管理制度，服从采购人整体管理。</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2、建立健全河道养护服务的各项规章制度和应急预案，明确各种岗位工作标准，并制定具体的落实措施和考核办法。</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3、建立完整的河道养护台帐，每月底向采购人提交河道养护计划、养护情况工作报告，每月公开1次员工考核情况，每季度向采购人提供员工编制及档案材料。</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4、设立服务电话，受理工作要求、建议、质疑、投诉等，处理质疑和投诉时，必须在1个工作日内以电话或书面或上门等形式回复处理进展情况；投诉率不超过0.2%，处理率和回访率100%。</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5、管理人员和专业技术人员持证上岗，佩戴标志明显，在工作期间，必须统一着装，做到文明礼貌，热情周到。</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如在养护服务过程中因成交供应商的原因发生事故，造成财物损坏、人员伤害的，成交供应商应积极妥善解决，并承担由此引发的一切经济、人员伤亡损失及法律责任，采购人不负任何责任。在事件解决完毕前，采购人可暂停支付与成交供应商责任相当金额的合同款。 </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7、供应商还须具备应急抢险机制与能力，配备应急抢险工具，按行政中心应急联动要求，能在接到应急抢险指令半小时内到达现场组织抢险。</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六、报价要求</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项目报价为固定总价方式。投标报价包括一年服务期内人员费用、交通费用、车辆费用（油耗、维修、保险等相关费用）、服装费用、工具费用、服务费、管理费和税金等一切费用。采购人不再支付任何费用。具体为： </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养护服务人员的年度工资（员工工资、福利补贴、节假门加班工资、高温补贴，工作时间不得低于南京市对于最低工资标准、每月最高工作时间的相关规定，法定节日加班按照国家规定计算并支付的超时工资和加班工资、特定岗位的高温费等，必须缴纳的国家规定的社会保险及住房公积金等）；</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（2）完成采购文件规定的养护服务工作所涉及到的一切相关费用（含必备的各种机械、工具以及设备、设备维护所需的登高工具和安全防护用品等）、用于养护服务的劳动用品、用具、耗材等费用； </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（3）提供养护服务的合理利润及法定税费、公众责任保险费;</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（4）包括管理、劳务、服装、培训、保修、通讯、安全保卫、风险及政策性文件规定等各项应有费用，以及为完成项目服务规定的养护服务工作所涉及到的一切相关费用。</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注：报价中应包含市场价格风险和政策风险在内的一切费用，中标后，承包单位由于考虑不周，漏报、少报而要求追加报价将不会被采购单位所接受。</w:t>
      </w:r>
      <w:r>
        <w:rPr>
          <w:highlight w:val="none"/>
        </w:rPr>
      </w:r>
      <w:r/>
    </w:p>
    <w:p>
      <w:pPr>
        <w:numPr>
          <w:ilvl w:val="0"/>
          <w:numId w:val="14"/>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付款方式：</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（1）每半年度支付。</w:t>
      </w:r>
      <w:r>
        <w:rPr>
          <w:rFonts w:ascii="Segoe UI" w:hAnsi="Segoe UI" w:eastAsia="Segoe UI" w:cs="Segoe UI"/>
          <w:color w:val="0f1115"/>
          <w:sz w:val="24"/>
          <w:highlight w:val="none"/>
        </w:rPr>
        <w:t xml:space="preserve">每半年度管护服务结束后，</w:t>
      </w:r>
      <w:r>
        <w:rPr>
          <w:rFonts w:ascii="SimSun" w:hAnsi="SimSun" w:eastAsia="SimSun" w:cs="SimSun"/>
          <w:color w:val="0f1115"/>
          <w:sz w:val="24"/>
          <w:highlight w:val="none"/>
        </w:rPr>
        <w:t xml:space="preserve">甲方</w:t>
      </w:r>
      <w:r>
        <w:rPr>
          <w:rFonts w:ascii="Segoe UI" w:hAnsi="Segoe UI" w:eastAsia="Segoe UI" w:cs="Segoe UI"/>
          <w:color w:val="0f1115"/>
          <w:sz w:val="24"/>
          <w:highlight w:val="none"/>
        </w:rPr>
        <w:t xml:space="preserve">根据考核结果向乙方支付该半年度应付管养费的80%。</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（2）余款待审计结束后，付清至审定价款。</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630" w:right="0" w:firstLine="1928"/>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第五章 合同主要条款及格式</w:t>
      </w:r>
      <w:r>
        <w:rPr>
          <w:highlight w:val="none"/>
        </w:rPr>
      </w:r>
      <w:r/>
    </w:p>
    <w:p>
      <w:pPr>
        <w:ind w:left="630" w:right="0" w:firstLine="1928"/>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p>
      <w:pPr>
        <w:ind w:left="0" w:right="0" w:firstLine="0"/>
        <w:jc w:val="center"/>
        <w:spacing w:before="0" w:after="0" w:line="113"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highlight w:val="none"/>
        </w:rPr>
        <w:t xml:space="preserve">南京市江宁区政府采购合同</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（供参考）</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p>
      <w:pPr>
        <w:ind w:left="0" w:right="0" w:firstLine="643"/>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项目编号 ：</w:t>
      </w:r>
      <w:r>
        <w:rPr>
          <w:rFonts w:ascii="SimSun" w:hAnsi="SimSun" w:eastAsia="SimSun" w:cs="SimSun"/>
          <w:b/>
          <w:color w:val="000000"/>
          <w:sz w:val="32"/>
          <w:highlight w:val="none"/>
          <w:u w:val="single"/>
        </w:rPr>
        <w:t xml:space="preserve"> </w:t>
      </w:r>
      <w:r>
        <w:rPr>
          <w:highlight w:val="none"/>
        </w:rPr>
      </w:r>
      <w:r/>
    </w:p>
    <w:p>
      <w:pPr>
        <w:ind w:left="0" w:right="0" w:firstLine="643"/>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项目名称 ：</w:t>
      </w:r>
      <w:r>
        <w:rPr>
          <w:rFonts w:ascii="SimSun" w:hAnsi="SimSun" w:eastAsia="SimSun" w:cs="SimSun"/>
          <w:b/>
          <w:color w:val="000000"/>
          <w:sz w:val="32"/>
          <w:highlight w:val="none"/>
          <w:u w:val="single"/>
        </w:rPr>
        <w:t xml:space="preserve">东山街道中心河等3条河道堤防管护服务 </w:t>
      </w:r>
      <w:r>
        <w:rPr>
          <w:highlight w:val="none"/>
        </w:rPr>
      </w:r>
      <w:r/>
    </w:p>
    <w:p>
      <w:pPr>
        <w:ind w:left="0" w:right="0" w:firstLine="643"/>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采购单位 ：</w:t>
      </w:r>
      <w:r>
        <w:rPr>
          <w:rFonts w:ascii="SimSun" w:hAnsi="SimSun" w:eastAsia="SimSun" w:cs="SimSun"/>
          <w:b/>
          <w:color w:val="000000"/>
          <w:sz w:val="32"/>
          <w:highlight w:val="none"/>
          <w:u w:val="single"/>
        </w:rPr>
        <w:t xml:space="preserve">南京市江宁区人民政府东山街道办事处 </w:t>
      </w:r>
      <w:r>
        <w:rPr>
          <w:highlight w:val="none"/>
        </w:rPr>
      </w:r>
      <w:r/>
    </w:p>
    <w:p>
      <w:pPr>
        <w:ind w:left="0" w:right="0" w:firstLine="643"/>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成交单位 ：</w:t>
      </w:r>
      <w:r>
        <w:rPr>
          <w:highlight w:val="none"/>
        </w:rPr>
      </w:r>
      <w:r/>
    </w:p>
    <w:p>
      <w:pPr>
        <w:ind w:left="0" w:right="0" w:firstLine="643"/>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签订日期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合同编号：</w:t>
      </w:r>
      <w:r>
        <w:rPr>
          <w:highlight w:val="none"/>
        </w:rPr>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1"/>
        <w:gridCol w:w="4697"/>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481"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采购人：（以下称甲方）</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97"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供应商：（以下称乙方）</w:t>
            </w:r>
            <w:r>
              <w:rPr>
                <w:highlight w:val="none"/>
              </w:rPr>
            </w:r>
            <w:r/>
          </w:p>
          <w:p>
            <w:pPr>
              <w:ind w:left="0" w:right="0" w:firstLine="0"/>
              <w:jc w:val="both"/>
              <w:spacing w:before="0" w:after="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481"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住所地：</w:t>
            </w:r>
            <w:r>
              <w:rPr>
                <w:highlight w:val="none"/>
              </w:rPr>
            </w:r>
            <w:r/>
          </w:p>
          <w:p>
            <w:pPr>
              <w:ind w:left="0" w:right="0" w:firstLine="0"/>
              <w:jc w:val="both"/>
              <w:spacing w:before="0" w:after="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97"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住所地：</w:t>
            </w:r>
            <w:r>
              <w:rPr>
                <w:highlight w:val="none"/>
              </w:rPr>
            </w:r>
            <w:r/>
          </w:p>
        </w:tc>
      </w:tr>
    </w:tbl>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根据《中华人民共和国政府采购法》《中华人民共和国民法典》等法律法规的规定，甲乙双方按照</w:t>
      </w:r>
      <w:r>
        <w:rPr>
          <w:rFonts w:ascii="SimSun" w:hAnsi="SimSun" w:eastAsia="SimSun" w:cs="SimSun"/>
          <w:color w:val="000000"/>
          <w:sz w:val="24"/>
          <w:highlight w:val="none"/>
          <w:u w:val="single"/>
        </w:rPr>
        <w:t xml:space="preserve">东山街道中心河等3条河道堤防管护服务</w:t>
      </w:r>
      <w:r>
        <w:rPr>
          <w:rFonts w:ascii="SimSun" w:hAnsi="SimSun" w:eastAsia="SimSun" w:cs="SimSun"/>
          <w:color w:val="000000"/>
          <w:sz w:val="24"/>
          <w:highlight w:val="none"/>
        </w:rPr>
        <w:t xml:space="preserve">的采购结果签订本合同。</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第一条合同标的</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乙方根据甲方需求提供下列服务：</w:t>
      </w:r>
      <w:r>
        <w:rPr>
          <w:rFonts w:ascii="SimSun" w:hAnsi="SimSun" w:eastAsia="SimSun" w:cs="SimSun"/>
          <w:color w:val="000000"/>
          <w:sz w:val="24"/>
          <w:highlight w:val="none"/>
          <w:u w:val="single"/>
        </w:rPr>
        <w:t xml:space="preserve">东山街道中心河等3条河道堤防管护服务</w:t>
      </w:r>
      <w:r>
        <w:rPr>
          <w:rFonts w:ascii="SimSun" w:hAnsi="SimSun" w:eastAsia="SimSun" w:cs="SimSun"/>
          <w:color w:val="000000"/>
          <w:sz w:val="24"/>
          <w:highlight w:val="none"/>
        </w:rPr>
        <w:t xml:space="preserve">，详见乙方响应文件。</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第二条合同总价款</w:t>
      </w:r>
      <w:r>
        <w:rPr>
          <w:highlight w:val="none"/>
        </w:rPr>
      </w:r>
      <w:r/>
    </w:p>
    <w:p>
      <w:pPr>
        <w:ind w:left="0" w:right="0" w:firstLine="47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本合同项下服务总价款为（大写）人民币</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元/年；（小写）¥</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元/年，本合同执行期间合同总价款不变。乙方（含乙方工作人员）在履行合同过程中造成甲方、乙方或其他第三方人身财产损害的，由乙方承担赔偿责任，与甲方无关。分项价款在乙方“响应文件价格部分”中有明确规定。乙方应提供的服务内容、服务期限及服务具体要求，详见招投标文件中的相应约定。</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合同总价款是完成本项目所发生的所有含税费用、支付给员工的工资和国家强制缴纳的各种社会保障资金，以及乙方认为需要的其他费用等。乙方应依法为其项目服务人员签订书面劳动合同、缴纳社保，并承担人员的工资、奖金、各种福利待遇等用工责任和费用，乙方与其项目服务的人员产生的劳资、工伤、经济补偿等全部用工争议，均由乙方负责处理并承担全部费用，与甲方无关。</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第三条组成本合同的有关文件</w:t>
      </w:r>
      <w:r>
        <w:rPr>
          <w:highlight w:val="none"/>
        </w:rPr>
      </w:r>
      <w:r/>
    </w:p>
    <w:p>
      <w:pPr>
        <w:ind w:left="0" w:right="0" w:firstLine="47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下列关于本项目的招响应文件或与本次采购活动方式相适应的文件及有关附件是本合同不可分割的组成部分，与本合同具有同等法律效力，这些文件包括但不限于：</w:t>
      </w:r>
      <w:r>
        <w:rPr>
          <w:highlight w:val="none"/>
        </w:rPr>
      </w:r>
      <w:r/>
    </w:p>
    <w:p>
      <w:pPr>
        <w:ind w:left="0" w:right="0" w:firstLine="319"/>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（1）乙方提供的响应文件和报价表；</w:t>
      </w:r>
      <w:r>
        <w:rPr>
          <w:highlight w:val="none"/>
        </w:rPr>
      </w:r>
      <w:r/>
    </w:p>
    <w:p>
      <w:pPr>
        <w:ind w:left="0" w:right="0" w:firstLine="319"/>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（2）中标通知书；</w:t>
      </w:r>
      <w:r>
        <w:rPr>
          <w:highlight w:val="none"/>
        </w:rPr>
      </w:r>
      <w:r/>
    </w:p>
    <w:p>
      <w:pPr>
        <w:ind w:left="0" w:right="0" w:firstLine="319"/>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（3）甲乙双方商定的其他文件等。</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以上各项文件内容发生冲突时适用的先后顺序为（1）、（2）、（3）。</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第四条管护期限</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本项目服务期三年，合同一年一签。本次合同期限</w:t>
      </w:r>
      <w:r>
        <w:rPr>
          <w:rFonts w:ascii="SimSun" w:hAnsi="SimSun" w:eastAsia="SimSun" w:cs="SimSun"/>
          <w:i/>
          <w:color w:val="000000"/>
          <w:sz w:val="24"/>
          <w:highlight w:val="none"/>
          <w:u w:val="single"/>
        </w:rPr>
        <w:t xml:space="preserve">        </w:t>
      </w:r>
      <w:r>
        <w:rPr>
          <w:rFonts w:ascii="SimSun" w:hAnsi="SimSun" w:eastAsia="SimSun" w:cs="SimSun"/>
          <w:color w:val="000000"/>
          <w:sz w:val="24"/>
          <w:highlight w:val="none"/>
        </w:rPr>
        <w:t xml:space="preserve">年</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月</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日起至</w:t>
      </w:r>
      <w:r>
        <w:rPr>
          <w:rFonts w:ascii="SimSun" w:hAnsi="SimSun" w:eastAsia="SimSun" w:cs="SimSun"/>
          <w:i/>
          <w:color w:val="000000"/>
          <w:sz w:val="24"/>
          <w:highlight w:val="none"/>
          <w:u w:val="single"/>
        </w:rPr>
        <w:t xml:space="preserve">        </w:t>
      </w:r>
      <w:r>
        <w:rPr>
          <w:rFonts w:ascii="SimSun" w:hAnsi="SimSun" w:eastAsia="SimSun" w:cs="SimSun"/>
          <w:color w:val="000000"/>
          <w:sz w:val="24"/>
          <w:highlight w:val="none"/>
        </w:rPr>
        <w:t xml:space="preserve">年</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月</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日止。</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第五条权利保证</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乙方应保证甲方在使用该服务或其任何一部分时不受第三方提出侵犯其专利权、版权、商标权或其他权利的起诉。一旦出现侵权，乙方应承担全部责任，并赔偿因此给甲方造成的全部损失，本合同中，甲方的损失均指甲方的全部损失，包括但不限于甲方的直接、间接损失，以及因依法维权产生的律师费，保全费，公证费，差旅费等。甲方有权在应付乙方费用中直接扣除前述违约金或赔偿金等。</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第六条 质量保证</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乙方提供的服务必须全部达到采购文件各项要求，国家或行业有规定的，还要符合相应规定。 </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第七条 交付使用和验收</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1、乙方应当在合同签订后天内完成采购文件规定的项目并交付甲方使用。采购文件有约定的，从其约定。 </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2、甲方自行组织或视情邀请相关专家或国家认可的质量检测机构参加验收，乙方提供的服务不符合采购文件和合同规定的，甲方有权拒收，并承担验收费用等。</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第八条合同款支付</w:t>
      </w:r>
      <w:r>
        <w:rPr>
          <w:highlight w:val="none"/>
        </w:rPr>
      </w:r>
      <w:r/>
    </w:p>
    <w:p>
      <w:pPr>
        <w:ind w:left="0" w:right="0" w:firstLine="47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1、本合同项下所有款项均以人民币支付。</w:t>
      </w:r>
      <w:r>
        <w:rPr>
          <w:highlight w:val="none"/>
        </w:rPr>
      </w:r>
      <w:r/>
    </w:p>
    <w:p>
      <w:pPr>
        <w:ind w:left="0" w:right="0" w:firstLine="47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本合同项下的采购资金由甲方自行支付，乙方向甲方开具增值税专用发票，税率为6%。如税率不足的，甲方有权直接扣除税率差额的金额。甲方每次向乙方付款前，乙方应提供合法有效的发票，如乙方未提供或提供的发票不符合甲方要求的，甲方有权不予付款且不视甲方违约，乙方仍应继续履行本合同项下相关义务。</w:t>
      </w:r>
      <w:r>
        <w:rPr>
          <w:highlight w:val="none"/>
        </w:rPr>
      </w:r>
      <w:r/>
    </w:p>
    <w:p>
      <w:pPr>
        <w:ind w:left="0" w:right="0" w:firstLine="47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3、供应商开户银行信息：</w:t>
      </w:r>
      <w:r>
        <w:rPr>
          <w:highlight w:val="none"/>
        </w:rPr>
      </w:r>
      <w:r/>
    </w:p>
    <w:p>
      <w:pPr>
        <w:ind w:left="0" w:right="0" w:firstLine="47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开户行：</w:t>
      </w:r>
      <w:r>
        <w:rPr>
          <w:highlight w:val="none"/>
        </w:rPr>
      </w:r>
      <w:r/>
    </w:p>
    <w:p>
      <w:pPr>
        <w:ind w:left="0" w:right="0" w:firstLine="47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账号：</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4、考核与付款结算方式：</w:t>
      </w:r>
      <w:r>
        <w:rPr>
          <w:highlight w:val="none"/>
        </w:rPr>
      </w: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4.1.</w:t>
      </w:r>
      <w:r>
        <w:rPr>
          <w:rFonts w:ascii="SimSun" w:hAnsi="SimSun" w:eastAsia="SimSun" w:cs="SimSun"/>
          <w:color w:val="000000"/>
          <w:sz w:val="24"/>
        </w:rPr>
        <w:t xml:space="preserve">采购人按月对供应商进行考核，根据考核结果计算应付服务费</w:t>
      </w:r>
      <w:r>
        <w:rPr>
          <w:rFonts w:ascii="SimSun" w:hAnsi="SimSun" w:eastAsia="SimSun" w:cs="SimSun"/>
          <w:color w:val="000000"/>
          <w:sz w:val="24"/>
          <w:highlight w:val="none"/>
        </w:rPr>
        <w:t xml:space="preserve">，具体如下：</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（二）考核方式</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采购人按月对供应商进行考核，根据考核结果计算应付服务费，具体如下：</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（1）月考核得分大于等于90 分核定为优，按100%计取当月管护服务费；</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（2）月考核得分大于等于 80 分小于 90 分核定为良，按90%计取当月管护服务费；</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（3）月考核得分大于等于 70 分小于 80 分核定为合格，按80%计取当月管护服务费；</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（4）月考核得分小于 70 分当月考核不合格，不支付当月管护服务费并给予警告一次。累计两个月考核为不合格，甲方有权立即解除服务合同并不再续签下一年度服务合同。</w:t>
      </w:r>
      <w:r>
        <w:rPr>
          <w:highlight w:val="none"/>
        </w:rPr>
      </w: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4.2.付款方式：</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（1）每半年度支付。</w:t>
      </w:r>
      <w:r>
        <w:rPr>
          <w:rFonts w:ascii="Segoe UI" w:hAnsi="Segoe UI" w:eastAsia="Segoe UI" w:cs="Segoe UI"/>
          <w:color w:val="0f1115"/>
          <w:sz w:val="24"/>
          <w:highlight w:val="none"/>
        </w:rPr>
        <w:t xml:space="preserve">每半年度管护服务结束后，</w:t>
      </w:r>
      <w:r>
        <w:rPr>
          <w:rFonts w:ascii="SimSun" w:hAnsi="SimSun" w:eastAsia="SimSun" w:cs="SimSun"/>
          <w:color w:val="0f1115"/>
          <w:sz w:val="24"/>
          <w:highlight w:val="none"/>
        </w:rPr>
        <w:t xml:space="preserve">甲方</w:t>
      </w:r>
      <w:r>
        <w:rPr>
          <w:rFonts w:ascii="Segoe UI" w:hAnsi="Segoe UI" w:eastAsia="Segoe UI" w:cs="Segoe UI"/>
          <w:color w:val="0f1115"/>
          <w:sz w:val="24"/>
          <w:highlight w:val="none"/>
        </w:rPr>
        <w:t xml:space="preserve">根据考核结果向乙方支付该半年度应付管养费的80%。</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（2）余款待审计结束后，付清至审定价款。</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第九条履约保证金</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无。</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第十条违约责任</w:t>
      </w:r>
      <w:r>
        <w:rPr>
          <w:highlight w:val="none"/>
        </w:rPr>
      </w:r>
      <w:r/>
    </w:p>
    <w:p>
      <w:pPr>
        <w:ind w:left="0" w:right="0" w:firstLine="436"/>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1、甲方无正当理由拒收服务、拒付款的，由甲方向乙方偿付合同总价的5%违约金。</w:t>
      </w:r>
      <w:r>
        <w:rPr>
          <w:highlight w:val="none"/>
        </w:rPr>
      </w:r>
      <w:r/>
    </w:p>
    <w:p>
      <w:pPr>
        <w:ind w:left="0" w:right="0" w:firstLine="436"/>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2、如因财政资金下达、拨付等问题导致甲方付款延迟，不视为甲方违约，乙方不得追究甲方违约责任。</w:t>
      </w:r>
      <w:r>
        <w:rPr>
          <w:highlight w:val="none"/>
        </w:rPr>
      </w:r>
      <w:r/>
    </w:p>
    <w:p>
      <w:pPr>
        <w:ind w:left="0" w:right="0" w:firstLine="436"/>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3、甲方未按合同规定的期限向乙方支付总价款的，每逾期1天甲方向乙方偿付欠款总额的5‰逾期违约金，但累计逾期违约金总额不超过欠款总额的5%。</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4、如乙方不能按期交付服务的，乙方应向甲方支付合同总价5%的违约金，违约金不足以弥补甲方损失，由乙方全额赔偿。</w:t>
      </w:r>
      <w:r>
        <w:rPr>
          <w:highlight w:val="none"/>
        </w:rPr>
      </w:r>
      <w:r/>
    </w:p>
    <w:p>
      <w:pPr>
        <w:ind w:left="0" w:right="0" w:firstLine="436"/>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5、乙方逾期交付的，每逾期1天，乙方向甲方偿付合同总额的5‰的逾期违约金。如乙方逾期交付达10天，甲方有权解除合同，解除合同的通知自到达乙方时生效。</w:t>
      </w:r>
      <w:r>
        <w:rPr>
          <w:highlight w:val="none"/>
        </w:rPr>
      </w:r>
      <w:r/>
    </w:p>
    <w:p>
      <w:pPr>
        <w:ind w:left="0" w:right="0" w:firstLine="436"/>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乙方提供的服务不符合要求的，甲方有权要求乙方进行整改，乙方经整改后仍然不合要求的，除须继续履行本合同约定的义务外，还应按照合同款的1%/次向甲方支付违约金；如经乙方两次整改仍不能达到合同约定的质量标准，乙方应退回全部合同价款，并按第3款处理，同时，乙方还须赔偿甲方因此遭受的损失。</w:t>
      </w:r>
      <w:r>
        <w:rPr>
          <w:highlight w:val="none"/>
        </w:rPr>
      </w:r>
      <w:r/>
    </w:p>
    <w:p>
      <w:pPr>
        <w:ind w:left="0" w:right="0" w:firstLine="436"/>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7、乙方在承担上述3-6款一项或多项违约责任后，仍应继续履行合同规定的义务（甲方解除合同的除外）。甲方未能及时追究乙方的任何一项违约责任并不表明甲方放弃追究乙方该项或其他违约责任。</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第十一条合同的变更和终止</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遇到《政府采购法》第50条规定的情形，双方当事人应当变更、中止或者终止合同。有过错的一方应当承担赔偿责任，双方都有过错的，各自承担相应的责任。</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第十二条合同的转让</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乙方不得擅自部分或全部转让其应履行的合同义务。如乙方违约，甲方有权向乙方要求支付合同价5%的违约金。</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第十三条争议的解决</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1、因履行本合同引起的或与本合同有关的争议，甲、乙双方应首先通过友好协商解决，如果协商不能解决争议，则采取以下第（1）种方式解决争议：</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（1）向甲方所在地有管辖权的人民法院提起诉讼；</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（2）向南京仲裁委员会按其仲裁规则申请仲裁。</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如没有约定，默认采取第2种方式解决争议。</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2、在诉讼期间，本合同应继续履行。</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第十四条诚实信用</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乙方应诚实信用，严格按照招标文件要求和投标承诺履行合同，不向甲方进行商业贿赂或者提供不正当利益。如乙方违约，甲方有权向乙方要求支付合同价5%的违约金。</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第十五条合同生效及其他</w:t>
      </w:r>
      <w:r>
        <w:rPr>
          <w:highlight w:val="none"/>
        </w:rPr>
      </w:r>
      <w:r/>
    </w:p>
    <w:p>
      <w:pPr>
        <w:ind w:left="0" w:right="0" w:firstLine="556"/>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1、本合同自签订之日起签字并盖章生效。</w:t>
      </w:r>
      <w:r>
        <w:rPr>
          <w:highlight w:val="none"/>
        </w:rPr>
      </w:r>
      <w:r/>
    </w:p>
    <w:p>
      <w:pPr>
        <w:ind w:left="0" w:right="0" w:firstLine="556"/>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2、本合同一式肆份，甲乙双方各执贰份。</w:t>
      </w:r>
      <w:r>
        <w:rPr>
          <w:highlight w:val="none"/>
        </w:rPr>
      </w:r>
      <w:r/>
    </w:p>
    <w:p>
      <w:pPr>
        <w:ind w:left="0" w:right="0" w:firstLine="556"/>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3、本合同应按照中华人民共和国的现行法律进行解释</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（此页无正文，为签章页）</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483"/>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甲方（采购人）：（盖章） </w:t>
            </w:r>
            <w:r>
              <w:rPr>
                <w:highlight w:val="no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乙方（供应商）：（盖章）</w:t>
            </w:r>
            <w:r>
              <w:rPr>
                <w:highlight w:val="none"/>
              </w:rPr>
            </w:r>
            <w:r/>
          </w:p>
        </w:tc>
      </w:tr>
      <w:tr>
        <w:trPr>
          <w:trHeight w:val="483"/>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代表人：</w:t>
            </w:r>
            <w:r>
              <w:rPr>
                <w:highlight w:val="no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代表人：</w:t>
            </w:r>
            <w:r>
              <w:rPr>
                <w:highlight w:val="none"/>
              </w:rPr>
            </w:r>
            <w:r/>
          </w:p>
        </w:tc>
      </w:tr>
      <w:tr>
        <w:trPr>
          <w:trHeight w:val="47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电话：</w:t>
            </w:r>
            <w:r>
              <w:rPr>
                <w:highlight w:val="no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电话：</w:t>
            </w:r>
            <w:r>
              <w:rPr>
                <w:highlight w:val="none"/>
              </w:rPr>
            </w:r>
            <w:r/>
          </w:p>
        </w:tc>
      </w:tr>
      <w:tr>
        <w:trPr>
          <w:trHeight w:val="483"/>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开户银行：</w:t>
            </w:r>
            <w:r>
              <w:rPr>
                <w:highlight w:val="no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开户银行：</w:t>
            </w:r>
            <w:r>
              <w:rPr>
                <w:highlight w:val="none"/>
              </w:rPr>
            </w:r>
            <w:r/>
          </w:p>
        </w:tc>
      </w:tr>
      <w:tr>
        <w:trPr>
          <w:trHeight w:val="47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账号：</w:t>
            </w:r>
            <w:r>
              <w:rPr>
                <w:highlight w:val="no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账号：</w:t>
            </w:r>
            <w:r>
              <w:rPr>
                <w:highlight w:val="none"/>
              </w:rPr>
            </w:r>
            <w:r/>
          </w:p>
        </w:tc>
      </w:tr>
      <w:tr>
        <w:trPr>
          <w:trHeight w:val="53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日期：年月日</w:t>
            </w:r>
            <w:r>
              <w:rPr>
                <w:highlight w:val="no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日期：年月日</w:t>
            </w:r>
            <w:r>
              <w:rPr>
                <w:highlight w:val="none"/>
              </w:rPr>
            </w:r>
            <w:r/>
          </w:p>
        </w:tc>
      </w:tr>
    </w:tbl>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附件：考核机制</w:t>
      </w:r>
      <w:r>
        <w:rPr>
          <w:rFonts w:ascii="SimSun" w:hAnsi="SimSun" w:eastAsia="SimSun" w:cs="SimSun"/>
          <w:color w:val="000000"/>
          <w:sz w:val="24"/>
          <w:highlight w:val="none"/>
        </w:rPr>
        <w:t xml:space="preserve">（考核分值100分）</w:t>
      </w:r>
      <w:r>
        <w:rPr>
          <w:highlight w:val="none"/>
        </w:rPr>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7"/>
        <w:gridCol w:w="1510"/>
        <w:gridCol w:w="637"/>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7"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考核内容</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考核要求</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得分</w:t>
            </w:r>
            <w:r>
              <w:rPr>
                <w:highlight w:val="none"/>
              </w:rPr>
            </w:r>
            <w:r/>
          </w:p>
        </w:tc>
      </w:tr>
      <w:tr>
        <w:trPr>
          <w:trHeight w:val="1636"/>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7207" w:type="dxa"/>
            <w:vAlign w:val="center"/>
            <w:textDirection w:val="lrTb"/>
            <w:noWrap/>
          </w:tcPr>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堤顶高程、宽度、边坡、护堤地（面积）保持设计或竣工验收的尺度，堤坡平顺，堤身无裂缝、冲沟、洞穴，无杂物垃圾堆放。（10分）</w:t>
            </w:r>
            <w:r>
              <w:rPr>
                <w:highlight w:val="none"/>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 </w:t>
            </w:r>
            <w:r>
              <w:rPr>
                <w:highlight w:val="none"/>
              </w:rPr>
            </w:r>
            <w:r/>
          </w:p>
        </w:tc>
      </w:tr>
      <w:tr>
        <w:trPr>
          <w:trHeight w:val="1584"/>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207" w:type="dxa"/>
            <w:vAlign w:val="center"/>
            <w:textDirection w:val="lrTb"/>
            <w:noWrap/>
          </w:tcPr>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堤顶（后戗、防汛路）路面满足防汛抢险通车要求，路面完整、平坦，雨后无积水，便于防汛检查和抢险。（15分）</w:t>
            </w:r>
            <w:r>
              <w:rPr>
                <w:highlight w:val="none"/>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 </w:t>
            </w:r>
            <w:r>
              <w:rPr>
                <w:highlight w:val="none"/>
              </w:rPr>
            </w:r>
            <w:r/>
          </w:p>
        </w:tc>
      </w:tr>
      <w:tr>
        <w:trPr>
          <w:trHeight w:val="1269"/>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207" w:type="dxa"/>
            <w:vAlign w:val="center"/>
            <w:textDirection w:val="lrTb"/>
            <w:noWrap/>
          </w:tcPr>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河道防护工程质量达到设计要求，无缺损、坍塌、松动现象，工程整洁美观。（15分）</w:t>
            </w:r>
            <w:r>
              <w:rPr>
                <w:highlight w:val="none"/>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 </w:t>
            </w:r>
            <w:r>
              <w:rPr>
                <w:highlight w:val="none"/>
              </w:rPr>
            </w:r>
            <w:r/>
          </w:p>
        </w:tc>
      </w:tr>
      <w:tr>
        <w:trPr>
          <w:trHeight w:val="1269"/>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207" w:type="dxa"/>
            <w:vAlign w:val="center"/>
            <w:textDirection w:val="lrTb"/>
            <w:noWrap/>
          </w:tcPr>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工程突发险情及汛情上报准确及时，无瞒报、漏报，工作记录规范。（15分）</w:t>
            </w:r>
            <w:r>
              <w:rPr>
                <w:highlight w:val="none"/>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 </w:t>
            </w:r>
            <w:r>
              <w:rPr>
                <w:highlight w:val="none"/>
              </w:rPr>
            </w:r>
            <w:r/>
          </w:p>
        </w:tc>
      </w:tr>
      <w:tr>
        <w:trPr>
          <w:trHeight w:val="1269"/>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207" w:type="dxa"/>
            <w:vAlign w:val="center"/>
            <w:textDirection w:val="lrTb"/>
            <w:noWrap/>
          </w:tcPr>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各种巡查检查记录表、图件、照片均应整理归档，资料存档及时，管护记录规范及上报及时。（10分）</w:t>
            </w:r>
            <w:r>
              <w:rPr>
                <w:highlight w:val="none"/>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 </w:t>
            </w:r>
            <w:r>
              <w:rPr>
                <w:highlight w:val="none"/>
              </w:rPr>
            </w:r>
            <w:r/>
          </w:p>
        </w:tc>
      </w:tr>
      <w:tr>
        <w:trPr>
          <w:trHeight w:val="1269"/>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207" w:type="dxa"/>
            <w:vAlign w:val="center"/>
            <w:textDirection w:val="lrTb"/>
            <w:noWrap/>
          </w:tcPr>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按规定对堤防上各类排水沟内杂草、杂物及时清理，确保畅通，无堵塞、破损现象。（15分）</w:t>
            </w:r>
            <w:r>
              <w:rPr>
                <w:highlight w:val="none"/>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 </w:t>
            </w:r>
            <w:r>
              <w:rPr>
                <w:highlight w:val="none"/>
              </w:rPr>
            </w:r>
            <w:r/>
          </w:p>
        </w:tc>
      </w:tr>
      <w:tr>
        <w:trPr>
          <w:trHeight w:val="1006"/>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207" w:type="dxa"/>
            <w:vAlign w:val="center"/>
            <w:textDirection w:val="lrTb"/>
            <w:noWrap/>
          </w:tcPr>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各类工程管理标志、标牌齐全、醒目、美观。（10分）</w:t>
            </w:r>
            <w:r>
              <w:rPr>
                <w:highlight w:val="none"/>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 </w:t>
            </w:r>
            <w:r>
              <w:rPr>
                <w:highlight w:val="none"/>
              </w:rPr>
            </w:r>
            <w:r/>
          </w:p>
        </w:tc>
      </w:tr>
      <w:tr>
        <w:trPr>
          <w:trHeight w:val="1006"/>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207" w:type="dxa"/>
            <w:vAlign w:val="center"/>
            <w:textDirection w:val="lrTb"/>
            <w:noWrap/>
          </w:tcPr>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河道管护范围内阻水生物、建筑物、构筑物的数量、位置等情况清楚，无新设现象。（10分）</w:t>
            </w:r>
            <w:r>
              <w:rPr>
                <w:highlight w:val="none"/>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每发现一处不合格扣1分。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 </w:t>
            </w:r>
            <w:r>
              <w:rPr>
                <w:highlight w:val="none"/>
              </w:rPr>
            </w:r>
            <w:r/>
          </w:p>
        </w:tc>
      </w:tr>
      <w:tr>
        <w:trPr>
          <w:trHeight w:val="5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7"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总分：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7"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考核人员</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负责人：</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7"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管护单位：</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bl>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t xml:space="preserve">第六章</w:t>
      </w:r>
      <w:r>
        <w:rPr>
          <w:rFonts w:ascii="SimSun" w:hAnsi="SimSun" w:eastAsia="SimSun" w:cs="SimSun"/>
          <w:b/>
          <w:color w:val="000000"/>
          <w:sz w:val="32"/>
          <w:highlight w:val="none"/>
        </w:rPr>
        <w:t xml:space="preserve">响应文件格式及附件</w:t>
      </w:r>
      <w:r>
        <w:rPr>
          <w:highlight w:val="none"/>
        </w:rPr>
      </w:r>
      <w:r/>
    </w:p>
    <w:p>
      <w:pPr>
        <w:ind w:left="560" w:right="0" w:firstLine="0"/>
        <w:jc w:val="center"/>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highlight w:val="none"/>
        </w:rPr>
        <w:t xml:space="preserve">（所附格式仅供参考，一切以采购文件要求为准）</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highlight w:val="none"/>
        </w:rPr>
        <w:t xml:space="preserve">响应文件</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r/>
    </w:p>
    <w:p>
      <w:pPr>
        <w:ind w:left="0" w:right="0" w:firstLine="643"/>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项目编号：</w:t>
      </w:r>
      <w:r>
        <w:rPr>
          <w:rFonts w:ascii="SimSun" w:hAnsi="SimSun" w:eastAsia="SimSun" w:cs="SimSun"/>
          <w:b/>
          <w:color w:val="000000"/>
          <w:sz w:val="28"/>
          <w:highlight w:val="none"/>
          <w:u w:val="single"/>
        </w:rPr>
        <w:t xml:space="preserve">                                       </w:t>
      </w:r>
      <w:r>
        <w:rPr>
          <w:highlight w:val="none"/>
        </w:rPr>
      </w:r>
      <w:r/>
    </w:p>
    <w:p>
      <w:pPr>
        <w:ind w:left="0" w:right="0" w:firstLine="643"/>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项目名称：</w:t>
      </w:r>
      <w:r>
        <w:rPr>
          <w:rFonts w:ascii="SimSun" w:hAnsi="SimSun" w:eastAsia="SimSun" w:cs="SimSun"/>
          <w:b/>
          <w:color w:val="000000"/>
          <w:sz w:val="28"/>
          <w:highlight w:val="none"/>
          <w:u w:val="singl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r/>
    </w:p>
    <w:p>
      <w:pPr>
        <w:ind w:left="0" w:right="0" w:firstLine="56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r/>
    </w:p>
    <w:p>
      <w:pPr>
        <w:ind w:left="0" w:right="0" w:firstLine="56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r/>
    </w:p>
    <w:p>
      <w:pPr>
        <w:ind w:left="0" w:right="0" w:firstLine="56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供应商名称：</w:t>
      </w:r>
      <w:r>
        <w:rPr>
          <w:rFonts w:ascii="SimSun" w:hAnsi="SimSun" w:eastAsia="SimSun" w:cs="SimSun"/>
          <w:b/>
          <w:color w:val="000000"/>
          <w:sz w:val="28"/>
          <w:highlight w:val="none"/>
          <w:u w:val="single"/>
        </w:rPr>
        <w:t xml:space="preserve">（加盖CA电子公章）</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r/>
    </w:p>
    <w:p>
      <w:pPr>
        <w:ind w:left="0" w:right="0" w:firstLine="56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日    期：</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482"/>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一、磋商申请及声明</w:t>
      </w:r>
      <w:r>
        <w:rPr>
          <w:highlight w:val="none"/>
        </w:rPr>
      </w:r>
      <w:r/>
    </w:p>
    <w:p>
      <w:pPr>
        <w:ind w:left="0" w:right="0" w:firstLine="0"/>
        <w:jc w:val="center"/>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none"/>
        </w:rPr>
        <w:t xml:space="preserve">磋商申请及声明</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致：</w:t>
      </w:r>
      <w:r>
        <w:rPr>
          <w:rFonts w:ascii="SimSun" w:hAnsi="SimSun" w:eastAsia="SimSun" w:cs="SimSun"/>
          <w:color w:val="000000"/>
          <w:sz w:val="24"/>
          <w:highlight w:val="none"/>
          <w:u w:val="single"/>
        </w:rPr>
        <w:t xml:space="preserve">南京市江宁区人民政府东山街道办事处</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根据贵方</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（项目名称）</w:t>
      </w:r>
      <w:r>
        <w:rPr>
          <w:rFonts w:ascii="SimSun" w:hAnsi="SimSun" w:eastAsia="SimSun" w:cs="SimSun"/>
          <w:b/>
          <w:color w:val="000000"/>
          <w:sz w:val="24"/>
          <w:highlight w:val="none"/>
          <w:u w:val="single"/>
        </w:rPr>
        <w:t xml:space="preserve">          </w:t>
      </w:r>
      <w:r>
        <w:rPr>
          <w:rFonts w:ascii="SimSun" w:hAnsi="SimSun" w:eastAsia="SimSun" w:cs="SimSun"/>
          <w:color w:val="000000"/>
          <w:sz w:val="24"/>
          <w:highlight w:val="none"/>
        </w:rPr>
        <w:t xml:space="preserve">（项目编号）的磋商邀请，正式授权下述签字人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(姓名和职务)代表供应商</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（供应商名称），提交响应文件。</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据此函，签字人兹宣布声明和承诺如下：</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rFonts w:ascii="SimSun" w:hAnsi="SimSun" w:eastAsia="SimSun" w:cs="SimSun"/>
          <w:b/>
          <w:color w:val="000000"/>
          <w:sz w:val="24"/>
          <w:highlight w:val="none"/>
        </w:rPr>
        <w:t xml:space="preserve">我们的资格条件完全符合政府采购法和本次采购要求</w:t>
      </w:r>
      <w:r>
        <w:rPr>
          <w:rFonts w:ascii="SimSun" w:hAnsi="SimSun" w:eastAsia="SimSun" w:cs="SimSun"/>
          <w:color w:val="000000"/>
          <w:sz w:val="24"/>
          <w:highlight w:val="none"/>
        </w:rPr>
        <w:t xml:space="preserve">，我们同意并向贵方提供了与磋商有关的所有证据和资料。</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2、按磋商要求，我们的磋商总报价为（大写）人民币            ，（小写） ¥      元。项目负责人（姓名）     。</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3、我方承诺本项目的服务期符合采购文件要求。</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4、我们已详细审核全部采购文件及其有效补充文件，我们放弃对采购文件任何误解的权利，提交响应文件后，</w:t>
      </w:r>
      <w:r>
        <w:rPr>
          <w:rFonts w:ascii="SimSun" w:hAnsi="SimSun" w:eastAsia="SimSun" w:cs="SimSun"/>
          <w:b/>
          <w:color w:val="000000"/>
          <w:sz w:val="24"/>
          <w:highlight w:val="none"/>
        </w:rPr>
        <w:t xml:space="preserve">不对采购文件本身提出质疑</w:t>
      </w:r>
      <w:r>
        <w:rPr>
          <w:rFonts w:ascii="SimSun" w:hAnsi="SimSun" w:eastAsia="SimSun" w:cs="SimSun"/>
          <w:color w:val="000000"/>
          <w:sz w:val="24"/>
          <w:highlight w:val="none"/>
        </w:rPr>
        <w:t xml:space="preserve">。否则，属于不诚信和故意扰乱政府采购活动行为，我们将无条件接受处罚。</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5、我们同意从规定的响应文件提交截止时间起遵循本响应文件，并在规定的磋商有效期期满之前均具有约束力。</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6、一旦我方成交，我方将根据采购文件的规定严格履行合同，并保证于承诺的时间完成服务的启动/集成、调试等服务，交付采购人验收、使用。</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我方决不提供虚假材料谋取成交、决不采取不正当手段诋毁、排挤其他供应商、决不与采购人、其它供应商或者招标代理机构恶意串通、决不向采购人、招标代理机构工作人员和磋商小组成员进行商业贿赂、决不在采购过程中与采购人进行协商谈判、决不拒绝有关部门监督检查或提供虚假情况，如有违反，无条件接受贵方及相关管理部门的处罚。</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8、与本项目磋商有关的正式联系方式为：</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地址：</w:t>
      </w:r>
      <w:r>
        <w:rPr>
          <w:rFonts w:ascii="SimSun" w:hAnsi="SimSun" w:eastAsia="SimSun" w:cs="SimSun"/>
          <w:color w:val="000000"/>
          <w:sz w:val="24"/>
          <w:highlight w:val="none"/>
          <w:u w:val="single"/>
        </w:rPr>
        <w:t xml:space="preserve">                           </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电话：</w:t>
      </w:r>
      <w:r>
        <w:rPr>
          <w:rFonts w:ascii="SimSun" w:hAnsi="SimSun" w:eastAsia="SimSun" w:cs="SimSun"/>
          <w:color w:val="000000"/>
          <w:sz w:val="24"/>
          <w:highlight w:val="none"/>
          <w:u w:val="single"/>
        </w:rPr>
        <w:t xml:space="preserve">                           </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传真：</w:t>
      </w:r>
      <w:r>
        <w:rPr>
          <w:rFonts w:ascii="SimSun" w:hAnsi="SimSun" w:eastAsia="SimSun" w:cs="SimSun"/>
          <w:color w:val="000000"/>
          <w:sz w:val="24"/>
          <w:highlight w:val="none"/>
          <w:u w:val="single"/>
        </w:rPr>
        <w:t xml:space="preserve">                           </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开户银行：</w:t>
      </w:r>
      <w:r>
        <w:rPr>
          <w:rFonts w:ascii="SimSun" w:hAnsi="SimSun" w:eastAsia="SimSun" w:cs="SimSun"/>
          <w:color w:val="000000"/>
          <w:sz w:val="24"/>
          <w:highlight w:val="none"/>
          <w:u w:val="single"/>
        </w:rPr>
        <w:t xml:space="preserve">                          </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银行账号：</w:t>
      </w:r>
      <w:r>
        <w:rPr>
          <w:rFonts w:ascii="SimSun" w:hAnsi="SimSun" w:eastAsia="SimSun" w:cs="SimSun"/>
          <w:color w:val="000000"/>
          <w:sz w:val="24"/>
          <w:highlight w:val="none"/>
          <w:u w:val="single"/>
        </w:rPr>
        <w:t xml:space="preserve">                          </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w:t>
      </w:r>
      <w:r>
        <w:rPr>
          <w:rFonts w:ascii="SimSun" w:hAnsi="SimSun" w:eastAsia="SimSun" w:cs="SimSun"/>
          <w:color w:val="000000"/>
          <w:sz w:val="24"/>
          <w:highlight w:val="none"/>
          <w:u w:val="single"/>
        </w:rPr>
        <w:t xml:space="preserve">（加盖CA电子公章）</w:t>
      </w:r>
      <w:r>
        <w:rPr>
          <w:highlight w:val="none"/>
        </w:rPr>
      </w:r>
      <w:r/>
    </w:p>
    <w:p>
      <w:pPr>
        <w:ind w:left="0" w:right="0" w:firstLine="420"/>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年</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月</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日</w:t>
      </w:r>
      <w:r>
        <w:rPr>
          <w:highlight w:val="none"/>
        </w:rPr>
      </w:r>
      <w:r/>
    </w:p>
    <w:p>
      <w:pPr>
        <w:ind w:left="0" w:right="0" w:firstLine="0"/>
        <w:spacing w:before="240" w:after="24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二、法定代表人授权书</w:t>
      </w:r>
      <w:r>
        <w:rPr>
          <w:highlight w:val="none"/>
        </w:rPr>
      </w:r>
      <w:r/>
    </w:p>
    <w:p>
      <w:pPr>
        <w:ind w:left="0" w:right="0" w:firstLine="0"/>
        <w:jc w:val="center"/>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法定代表人授权委托书</w:t>
      </w:r>
      <w:r>
        <w:rPr>
          <w:highlight w:val="none"/>
        </w:rPr>
      </w:r>
      <w:r/>
    </w:p>
    <w:p>
      <w:pPr>
        <w:ind w:left="0" w:right="0" w:firstLine="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致：</w:t>
      </w:r>
      <w:r>
        <w:rPr>
          <w:rFonts w:ascii="SimSun" w:hAnsi="SimSun" w:eastAsia="SimSun" w:cs="SimSun"/>
          <w:color w:val="000000"/>
          <w:sz w:val="24"/>
          <w:highlight w:val="none"/>
          <w:u w:val="single"/>
        </w:rPr>
        <w:t xml:space="preserve">南京市江宁区人民政府东山街道办事处</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本授权书声明：注册于</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（供应商住址）的</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（供应商名称）法定代表人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（法定代表人姓名、职务）代表本公司授权在下面签字的</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（供应商代表姓名、职务）为本公司的合法代理人，就贵方组织的</w:t>
      </w:r>
      <w:r>
        <w:rPr>
          <w:rFonts w:ascii="SimSun" w:hAnsi="SimSun" w:eastAsia="SimSun" w:cs="SimSun"/>
          <w:b/>
          <w:color w:val="000000"/>
          <w:sz w:val="24"/>
          <w:highlight w:val="none"/>
          <w:u w:val="single"/>
        </w:rPr>
        <w:t xml:space="preserve">             </w:t>
      </w:r>
      <w:r>
        <w:rPr>
          <w:rFonts w:ascii="SimSun" w:hAnsi="SimSun" w:eastAsia="SimSun" w:cs="SimSun"/>
          <w:color w:val="000000"/>
          <w:sz w:val="24"/>
          <w:highlight w:val="none"/>
        </w:rPr>
        <w:t xml:space="preserve">（项目名称），</w:t>
      </w:r>
      <w:r>
        <w:rPr>
          <w:rFonts w:ascii="SimSun" w:hAnsi="SimSun" w:eastAsia="SimSun" w:cs="SimSun"/>
          <w:b/>
          <w:color w:val="000000"/>
          <w:sz w:val="24"/>
          <w:highlight w:val="none"/>
          <w:u w:val="single"/>
        </w:rPr>
        <w:t xml:space="preserve">          </w:t>
      </w:r>
      <w:r>
        <w:rPr>
          <w:rFonts w:ascii="SimSun" w:hAnsi="SimSun" w:eastAsia="SimSun" w:cs="SimSun"/>
          <w:color w:val="000000"/>
          <w:sz w:val="24"/>
          <w:highlight w:val="none"/>
        </w:rPr>
        <w:t xml:space="preserve">（项目编号）磋商，以本公司名义处理一切与之有关的事务。</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本授权书于</w:t>
      </w:r>
      <w:r>
        <w:rPr>
          <w:rFonts w:ascii="SimSun" w:hAnsi="SimSun" w:eastAsia="SimSun" w:cs="SimSun"/>
          <w:b/>
          <w:color w:val="000000"/>
          <w:sz w:val="24"/>
          <w:highlight w:val="none"/>
          <w:u w:val="single"/>
        </w:rPr>
        <w:t xml:space="preserve">      </w:t>
      </w:r>
      <w:r>
        <w:rPr>
          <w:rFonts w:ascii="SimSun" w:hAnsi="SimSun" w:eastAsia="SimSun" w:cs="SimSun"/>
          <w:color w:val="000000"/>
          <w:sz w:val="24"/>
          <w:highlight w:val="none"/>
        </w:rPr>
        <w:t xml:space="preserve">年</w:t>
      </w:r>
      <w:r>
        <w:rPr>
          <w:rFonts w:ascii="SimSun" w:hAnsi="SimSun" w:eastAsia="SimSun" w:cs="SimSun"/>
          <w:b/>
          <w:color w:val="000000"/>
          <w:sz w:val="24"/>
          <w:highlight w:val="none"/>
          <w:u w:val="single"/>
        </w:rPr>
        <w:t xml:space="preserve">    </w:t>
      </w:r>
      <w:r>
        <w:rPr>
          <w:rFonts w:ascii="SimSun" w:hAnsi="SimSun" w:eastAsia="SimSun" w:cs="SimSun"/>
          <w:color w:val="000000"/>
          <w:sz w:val="24"/>
          <w:highlight w:val="none"/>
        </w:rPr>
        <w:t xml:space="preserve">月</w:t>
      </w:r>
      <w:r>
        <w:rPr>
          <w:rFonts w:ascii="SimSun" w:hAnsi="SimSun" w:eastAsia="SimSun" w:cs="SimSun"/>
          <w:b/>
          <w:color w:val="000000"/>
          <w:sz w:val="24"/>
          <w:highlight w:val="none"/>
          <w:u w:val="single"/>
        </w:rPr>
        <w:t xml:space="preserve">    </w:t>
      </w:r>
      <w:r>
        <w:rPr>
          <w:rFonts w:ascii="SimSun" w:hAnsi="SimSun" w:eastAsia="SimSun" w:cs="SimSun"/>
          <w:color w:val="000000"/>
          <w:sz w:val="24"/>
          <w:highlight w:val="none"/>
        </w:rPr>
        <w:t xml:space="preserve">日签字生效，特此声明。</w:t>
      </w:r>
      <w:r>
        <w:rPr>
          <w:highlight w:val="none"/>
        </w:rPr>
      </w: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 </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被授权人身份证号码：</w:t>
      </w:r>
      <w:r>
        <w:rPr>
          <w:rFonts w:ascii="SimSun" w:hAnsi="SimSun" w:eastAsia="SimSun" w:cs="SimSun"/>
          <w:color w:val="000000"/>
          <w:sz w:val="24"/>
          <w:highlight w:val="none"/>
          <w:u w:val="single"/>
        </w:rPr>
        <w:t xml:space="preserve">          </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被授权人联系电话：</w:t>
      </w:r>
      <w:r>
        <w:rPr>
          <w:rFonts w:ascii="SimSun" w:hAnsi="SimSun" w:eastAsia="SimSun" w:cs="SimSun"/>
          <w:color w:val="000000"/>
          <w:sz w:val="24"/>
          <w:highlight w:val="none"/>
          <w:u w:val="single"/>
        </w:rPr>
        <w:t xml:space="preserve">          </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w:t>
      </w:r>
      <w:r>
        <w:rPr>
          <w:rFonts w:ascii="SimSun" w:hAnsi="SimSun" w:eastAsia="SimSun" w:cs="SimSun"/>
          <w:color w:val="000000"/>
          <w:sz w:val="24"/>
          <w:highlight w:val="none"/>
          <w:u w:val="single"/>
        </w:rPr>
        <w:t xml:space="preserve">（加盖CA电子公章）</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年</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月</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日</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备注：提供法定代表人和授权委托人的身份证复印件。</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u w:val="none"/>
        </w:rPr>
        <w:t xml:space="preserve">三</w:t>
      </w:r>
      <w:r>
        <w:rPr>
          <w:rFonts w:ascii="SimSun" w:hAnsi="SimSun" w:eastAsia="SimSun" w:cs="SimSun"/>
          <w:b/>
          <w:color w:val="000000"/>
          <w:sz w:val="24"/>
          <w:highlight w:val="none"/>
        </w:rPr>
        <w:t xml:space="preserve">、磋商报价表</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        </w:t>
      </w:r>
      <w:r>
        <w:rPr>
          <w:rFonts w:ascii="SimSun" w:hAnsi="SimSun" w:eastAsia="SimSun" w:cs="SimSun"/>
          <w:color w:val="000000"/>
          <w:sz w:val="24"/>
          <w:highlight w:val="none"/>
        </w:rPr>
        <w:t xml:space="preserve"> 磋商报价表（第一轮）</w:t>
      </w:r>
      <w:r>
        <w:rPr>
          <w:highlight w:val="none"/>
        </w:rPr>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06"/>
        <w:gridCol w:w="1228"/>
        <w:gridCol w:w="951"/>
        <w:gridCol w:w="3414"/>
      </w:tblGrid>
      <w:tr>
        <w:trPr>
          <w:trHeight w:val="45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599"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项目名称：</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项目编号：</w:t>
            </w:r>
            <w:r>
              <w:rPr>
                <w:highlight w:val="none"/>
              </w:rPr>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8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磋商总报价（含税价）</w:t>
            </w:r>
            <w:r>
              <w:rPr>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4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备注</w:t>
            </w:r>
            <w:r>
              <w:rPr>
                <w:highlight w:val="none"/>
              </w:rPr>
            </w:r>
            <w:r/>
          </w:p>
        </w:tc>
      </w:tr>
      <w:tr>
        <w:trPr>
          <w:trHeight w:val="1779"/>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85"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大写：(大写）人民币              /年</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小写： ¥            元/年</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响应文件份数</w:t>
            </w: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正本：份副本：份电子响应文件：份</w:t>
            </w:r>
            <w:r>
              <w:rPr>
                <w:highlight w:val="none"/>
              </w:rPr>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3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供应商是否属于中小微型企业</w:t>
            </w: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65"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是     否</w:t>
            </w:r>
            <w:r>
              <w:rPr>
                <w:highlight w:val="none"/>
              </w:rPr>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3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供应商是否属于残疾人福利性单位</w:t>
            </w: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65"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是     否</w:t>
            </w:r>
            <w:r>
              <w:rPr>
                <w:highlight w:val="none"/>
              </w:rPr>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3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供应商是否属于监狱企业</w:t>
            </w: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65"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是     否</w:t>
            </w:r>
            <w:r>
              <w:rPr>
                <w:highlight w:val="none"/>
              </w:rPr>
            </w:r>
            <w:r/>
          </w:p>
        </w:tc>
      </w:tr>
    </w:tbl>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w:t>
      </w:r>
      <w:r>
        <w:rPr>
          <w:rFonts w:ascii="SimSun" w:hAnsi="SimSun" w:eastAsia="SimSun" w:cs="SimSun"/>
          <w:color w:val="000000"/>
          <w:sz w:val="24"/>
          <w:highlight w:val="none"/>
          <w:u w:val="single"/>
        </w:rPr>
        <w:t xml:space="preserve">（加盖CA电子公章）</w:t>
      </w:r>
      <w:r>
        <w:rPr>
          <w:highlight w:val="none"/>
        </w:rPr>
      </w:r>
      <w:r/>
    </w:p>
    <w:p>
      <w:pPr>
        <w:ind w:left="0" w:right="0" w:firstLine="0"/>
        <w:jc w:val="both"/>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年</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月</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日</w:t>
      </w:r>
      <w:r>
        <w:rPr>
          <w:highlight w:val="none"/>
        </w:rPr>
      </w:r>
      <w:r/>
    </w:p>
    <w:p>
      <w:pPr>
        <w:ind w:left="0" w:right="0" w:firstLine="0"/>
        <w:jc w:val="both"/>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四、分项报价表</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       </w:t>
      </w:r>
      <w:r>
        <w:rPr>
          <w:rFonts w:ascii="SimSun" w:hAnsi="SimSun" w:eastAsia="SimSun" w:cs="SimSun"/>
          <w:color w:val="000000"/>
          <w:sz w:val="21"/>
          <w:highlight w:val="none"/>
        </w:rPr>
        <w:t xml:space="preserve"> </w:t>
      </w:r>
      <w:r>
        <w:rPr>
          <w:rFonts w:ascii="SimSun" w:hAnsi="SimSun" w:eastAsia="SimSun" w:cs="SimSun"/>
          <w:color w:val="000000"/>
          <w:sz w:val="24"/>
          <w:highlight w:val="none"/>
        </w:rPr>
        <w:t xml:space="preserve">分项报价表</w:t>
      </w:r>
      <w:r>
        <w:rPr>
          <w:highlight w:val="none"/>
        </w:rPr>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0"/>
        <w:gridCol w:w="888"/>
        <w:gridCol w:w="3690"/>
        <w:gridCol w:w="444"/>
        <w:gridCol w:w="918"/>
        <w:gridCol w:w="1472"/>
      </w:tblGrid>
      <w:tr>
        <w:trPr>
          <w:trHeight w:val="5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t xml:space="preserve">名称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t xml:space="preserve">服务内容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t xml:space="preserve">单位</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t xml:space="preserve">数量</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t xml:space="preserve">全费用综合单价（元）</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中心河</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中心河堤防长度约13550米，河道堤防管护主要包括：堤防管护和绿化管理等；</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（一）堤防管护</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1、堤防沿线各类水利设施巡查检查到位；非汛期每周巡查3次，汛期每天巡查2次（早、晚各一次）；认真查找险情，发现险情及时标记和详细记录，并及时上报；</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2、制止违章种植、搭建、倾倒垃圾、渣土或其他影响防汛能力的生产和建设活动等现象，及时发现、及时清理；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3、堤顶（后戗、防汛路）路面满足防汛抢险通车要求，路面完整、平坦，雨后无积水，便于防汛检查和抢险，各类标志标牌保持清洁、完整，有破损情况及时上报，并做好详细记录；</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4、河道防护工程质量达到设计要求，无缺损、坍塌、松动现象，工程整洁美观。</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5、养护期间，养护资料须按照东山街道水务站提供的样式按时填写完整，并每月上报东山街道水务站检查。</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6、协助完成交办的其它有关工作；</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（二）绿化管理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1、清除堤防迎、背水坡杂草、杂树；</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2、清除垃圾及其他堆放物，堤防坡面达到平整、无雨淋沟、塌陷、滑坡、裂缝、渗漏等现象；</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3、按规定对堤防上各类排水沟内杂草、杂物及时清理，确保畅通，无堵塞、破损现象。</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运粮河</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运粮河堤防长度约1200米，河道堤防管护主要包括：堤防管护和绿化管理等；</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（一）堤防管护</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1、堤防沿线各类水利设施巡查检查到位；非汛期每周巡查3次，汛期每天巡查2次（早、晚各一次）；认真查找险情，发现险情及时标记和详细记录，并及时上报；</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2、制止违章种植、搭建、倾倒垃圾、渣土或其他影响防汛能力的生产和建设活动等现象，及时发现、及时清理；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3、堤顶（后戗、防汛路）路面满足防汛抢险通车要求，路面完整、平坦，雨后无积水，便于防汛检查和抢险，各类标志标牌保持清洁、完整，有破损情况及时上报，并做好详细记录；</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4、河道防护工程质量达到设计要求，无缺损、坍塌、松动现象，工程整洁美观。</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5、养护期间，养护资料须按照东山街道水务站提供的样式按时填写完整，并每月上报东山街道水务站检查。</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6、协助完成交办的其它有关工作；</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（二）绿化管理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1、清除堤防迎、背水坡杂草、杂树；</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2、清除垃圾及其他堆放物，堤防坡面达到平整、无雨淋沟、塌陷、滑坡、裂缝、渗漏等现象；</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3、按规定对堤防上各类排水沟内杂草、杂物及时清理，确保畅通，无堵塞、破损现象。</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翻身河</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翻身河堤防长度约5400米，河道堤防管护主要包括：堤防管护和绿化管理等；</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（一）堤防管护</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1、堤防沿线各类水利设施巡查检查到位；非汛期每周巡查3次，汛期每天巡查2次（早、晚各一次）；认真查找险情，发现险情及时标记和详细记录，并及时上报；</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2、制止违章种植、搭建、倾倒垃圾、渣土或其他影响防汛能力的生产和建设活动等现象，及时发现、及时清理；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3、堤顶（后戗、防汛路）路面满足防汛抢险通车要求，路面完整、平坦，雨后无积水，便于防汛检查和抢险，各类标志标牌保持清洁、完整，有破损情况及时上报，并做好详细记录；</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4、河道防护工程质量达到设计要求，无缺损、坍塌、松动现象，工程整洁美观。</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5、养护期间，养护资料须按照东山街道水务站提供的样式按时填写完整，并每月上报东山街道水务站检查。</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6、协助完成交办的其它有关工作；</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（二）绿化管理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1、清除堤防迎、背水坡杂草、杂树；</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2、清除垃圾及其他堆放物，堤防坡面达到平整、无雨淋沟、塌陷、滑坡、裂缝、渗漏等现象；</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3、按规定对堤防上各类排水沟内杂草、杂物及时清理，确保畅通，无堵塞、破损现象。</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总计</w:t>
            </w:r>
            <w:r>
              <w:rPr>
                <w:highlight w:val="none"/>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 </w:t>
            </w:r>
            <w:r>
              <w:rPr>
                <w:highlight w:val="none"/>
              </w:rPr>
            </w:r>
            <w:r/>
          </w:p>
        </w:tc>
      </w:tr>
    </w:tbl>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none"/>
        </w:rPr>
        <w:t xml:space="preserve"> </w:t>
      </w:r>
      <w:r>
        <w:rPr>
          <w:highlight w:val="none"/>
        </w:rPr>
      </w:r>
      <w:r/>
    </w:p>
    <w:p>
      <w:pPr>
        <w:ind w:left="0" w:right="0" w:firstLine="0"/>
        <w:jc w:val="right"/>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w:t>
      </w:r>
      <w:r>
        <w:rPr>
          <w:rFonts w:ascii="SimSun" w:hAnsi="SimSun" w:eastAsia="SimSun" w:cs="SimSun"/>
          <w:color w:val="000000"/>
          <w:sz w:val="24"/>
          <w:highlight w:val="none"/>
          <w:u w:val="single"/>
        </w:rPr>
        <w:t xml:space="preserve">（加盖CA电子公章）</w:t>
      </w:r>
      <w:r>
        <w:rPr>
          <w:highlight w:val="none"/>
        </w:rPr>
      </w:r>
      <w:r/>
    </w:p>
    <w:p>
      <w:pPr>
        <w:ind w:left="0" w:right="0" w:firstLine="480"/>
        <w:jc w:val="right"/>
        <w:spacing w:before="0" w:after="0" w:line="85" w:lineRule="atLeast"/>
        <w:tabs>
          <w:tab w:val="left" w:pos="144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日期：年月日</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none"/>
        </w:rPr>
        <w:t xml:space="preserve"> </w:t>
      </w:r>
      <w:r>
        <w:rPr>
          <w:highlight w:val="none"/>
        </w:rPr>
      </w:r>
      <w:r/>
    </w:p>
    <w:p>
      <w:pPr>
        <w:ind w:left="0" w:right="0" w:firstLine="0"/>
        <w:jc w:val="both"/>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说明：</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报价应包含完成本服务项目发生的所有含税费用、支付给员工的工资和国家强制缴纳的各种社会保障资金以及供应商为完成相关服务所承担的全部费用（包括利润、税金、政策性文件规定及合同包含内的所有风险、责任等各项应有费用）。</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2、根据相关规定，服务类供应商一般要求提供税率为6%增值税专用发票,报价时税率不得修改。结算时，如供应商提供的发票税率不足6%，实际税率差额从结算价款中扣除（提供相关纳税凭证）。</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3、投标供应商的任何错漏、优惠、竞争性报价不得作为减轻责任、减少服务、增加收费、降低质量的理由。</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4、经磋商后，二次报价为最终报价，二次报价原则上不高于首次报价，如果成交价低于供应商在响应文件首次报价的，分项报价（除暂列金额、不可竞争费以外的所有费用）同比例调整。</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五、信用承诺书(信用承诺书以《南京市政府采购供立商诚信档案管理系统》在线打印为准，加盖CA电子公章，本表打印时间必须在采购文件发布之日起至提交响应文件截止日前）</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mc:AlternateContent>
          <mc:Choice Requires="wpg">
            <w:drawing>
              <wp:inline xmlns:wp="http://schemas.openxmlformats.org/drawingml/2006/wordprocessingDrawing" distT="0" distB="0" distL="0" distR="0">
                <wp:extent cx="5760720" cy="7868474"/>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325205" name=""/>
                        <pic:cNvPicPr>
                          <a:picLocks noChangeAspect="1"/>
                        </pic:cNvPicPr>
                        <pic:nvPr/>
                      </pic:nvPicPr>
                      <pic:blipFill>
                        <a:blip r:embed="rId18"/>
                        <a:stretch/>
                      </pic:blipFill>
                      <pic:spPr bwMode="auto">
                        <a:xfrm>
                          <a:off x="0" y="0"/>
                          <a:ext cx="5760719" cy="786847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6pt;height:619.6pt;mso-wrap-distance-left:0.0pt;mso-wrap-distance-top:0.0pt;mso-wrap-distance-right:0.0pt;mso-wrap-distance-bottom:0.0pt;" stroked="false">
                <v:path textboxrect="0,0,0,0"/>
                <v:imagedata r:id="rId18" o:title=""/>
              </v:shape>
            </w:pict>
          </mc:Fallback>
        </mc:AlternateContent>
      </w:r>
      <w:r>
        <w:rPr>
          <w:highlight w:val="none"/>
        </w:rPr>
        <w:br w:type="page" w:clear="all"/>
      </w:r>
      <w:r>
        <w:rPr>
          <w:sz w:val="21"/>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六、技术条款偏离表</w:t>
      </w:r>
      <w:r>
        <w:rPr>
          <w:highlight w:val="none"/>
        </w:rPr>
      </w:r>
      <w:r/>
    </w:p>
    <w:p>
      <w:pPr>
        <w:ind w:left="42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技术条款偏离表</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项目编号：</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项目名称：</w:t>
      </w:r>
      <w:r>
        <w:rPr>
          <w:highlight w:val="none"/>
        </w:rPr>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0"/>
        <w:gridCol w:w="480"/>
        <w:gridCol w:w="240"/>
        <w:gridCol w:w="360"/>
        <w:gridCol w:w="24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采购文件的技术条款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响应文件的响应</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符合/正偏离/负偏离</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说明</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（行数不够，自行添加）</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bl>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w:t>
      </w:r>
      <w:r>
        <w:rPr>
          <w:rFonts w:ascii="SimSun" w:hAnsi="SimSun" w:eastAsia="SimSun" w:cs="SimSun"/>
          <w:color w:val="000000"/>
          <w:sz w:val="24"/>
          <w:highlight w:val="none"/>
          <w:u w:val="single"/>
        </w:rPr>
        <w:t xml:space="preserve">（加盖CA电子公章）</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注：1.如果行数不够，可自行添加。</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2.请供应商根据实际情况填写，如果实际响应与供应商提供的证明资料有实质性偏离的，将作无效标处理。</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七、商务条款偏离表</w:t>
      </w:r>
      <w:r>
        <w:rPr>
          <w:highlight w:val="none"/>
        </w:rPr>
      </w:r>
      <w:r/>
    </w:p>
    <w:p>
      <w:pPr>
        <w:ind w:left="42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商务条款偏离表</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项目编号：</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项目名称：</w:t>
      </w:r>
      <w:r>
        <w:rPr>
          <w:highlight w:val="none"/>
        </w:rPr>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0"/>
        <w:gridCol w:w="480"/>
        <w:gridCol w:w="240"/>
        <w:gridCol w:w="360"/>
        <w:gridCol w:w="24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采购文件的商务条款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响应文件的响应</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符合/正偏离/负偏离</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说明</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（行数不够，自行添加）</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bl>
    <w:p>
      <w:pPr>
        <w:ind w:left="60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w:t>
      </w:r>
      <w:r>
        <w:rPr>
          <w:rFonts w:ascii="SimSun" w:hAnsi="SimSun" w:eastAsia="SimSun" w:cs="SimSun"/>
          <w:color w:val="000000"/>
          <w:sz w:val="24"/>
          <w:highlight w:val="none"/>
          <w:u w:val="single"/>
        </w:rPr>
        <w:t xml:space="preserve">（加盖CA电子公章）</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注：1.如果行数不够，可自行添加。</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2.请供应商根据实际情况填写，如果实际响应与供应商提供的证明资料有实质性偏离的，将作无效标处理。</w:t>
      </w:r>
      <w:r>
        <w:rPr>
          <w:highlight w:val="none"/>
        </w:rPr>
      </w: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highlight w:val="none"/>
        </w:rPr>
        <w:t xml:space="preserve"> </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八、中小企业声明函</w:t>
      </w:r>
      <w:r>
        <w:rPr>
          <w:highlight w:val="none"/>
        </w:rPr>
      </w:r>
      <w:r/>
    </w:p>
    <w:p>
      <w:pPr>
        <w:ind w:left="0" w:right="0" w:firstLine="0"/>
        <w:jc w:val="center"/>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中小企业声明函</w:t>
      </w:r>
      <w:r>
        <w:rPr>
          <w:highlight w:val="none"/>
        </w:rPr>
      </w:r>
      <w:r/>
    </w:p>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本公司（联合体）郑重声明，根据《政府采购促进中小企业发展管理办法》（财库﹝2020﹞46号）的规定，本公司（联合体）参加</w:t>
      </w:r>
      <w:r>
        <w:rPr>
          <w:rFonts w:ascii="SimSun" w:hAnsi="SimSun" w:eastAsia="SimSun" w:cs="SimSun"/>
          <w:color w:val="000000"/>
          <w:sz w:val="24"/>
          <w:highlight w:val="none"/>
          <w:u w:val="single"/>
        </w:rPr>
        <w:t xml:space="preserve">（单位名称）</w:t>
      </w:r>
      <w:r>
        <w:rPr>
          <w:rFonts w:ascii="SimSun" w:hAnsi="SimSun" w:eastAsia="SimSun" w:cs="SimSun"/>
          <w:color w:val="000000"/>
          <w:sz w:val="24"/>
          <w:highlight w:val="none"/>
        </w:rPr>
        <w:t xml:space="preserve">的</w:t>
      </w:r>
      <w:r>
        <w:rPr>
          <w:rFonts w:ascii="SimSun" w:hAnsi="SimSun" w:eastAsia="SimSun" w:cs="SimSun"/>
          <w:color w:val="000000"/>
          <w:sz w:val="24"/>
          <w:highlight w:val="none"/>
          <w:u w:val="single"/>
        </w:rPr>
        <w:t xml:space="preserve">（项目名称）</w:t>
      </w:r>
      <w:r>
        <w:rPr>
          <w:rFonts w:ascii="SimSun" w:hAnsi="SimSun" w:eastAsia="SimSun" w:cs="SimSun"/>
          <w:color w:val="000000"/>
          <w:sz w:val="24"/>
          <w:highlight w:val="none"/>
        </w:rPr>
        <w:t xml:space="preserve">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highlight w:val="none"/>
        </w:rPr>
      </w:r>
      <w:r/>
    </w:p>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 </w:t>
      </w:r>
      <w:r>
        <w:rPr>
          <w:rFonts w:ascii="SimSun" w:hAnsi="SimSun" w:eastAsia="SimSun" w:cs="SimSun"/>
          <w:color w:val="000000"/>
          <w:sz w:val="24"/>
          <w:highlight w:val="none"/>
          <w:u w:val="single"/>
        </w:rPr>
        <w:t xml:space="preserve">（标的名称）</w:t>
      </w:r>
      <w:r>
        <w:rPr>
          <w:rFonts w:ascii="SimSun" w:hAnsi="SimSun" w:eastAsia="SimSun" w:cs="SimSun"/>
          <w:color w:val="000000"/>
          <w:sz w:val="24"/>
          <w:highlight w:val="none"/>
        </w:rPr>
        <w:t xml:space="preserve">，属于</w:t>
      </w:r>
      <w:r>
        <w:rPr>
          <w:rFonts w:ascii="SimSun" w:hAnsi="SimSun" w:eastAsia="SimSun" w:cs="SimSun"/>
          <w:color w:val="000000"/>
          <w:sz w:val="24"/>
          <w:highlight w:val="none"/>
          <w:u w:val="single"/>
        </w:rPr>
        <w:t xml:space="preserve">（采购文件中明确的所属行业）</w:t>
      </w:r>
      <w:r>
        <w:rPr>
          <w:rFonts w:ascii="SimSun" w:hAnsi="SimSun" w:eastAsia="SimSun" w:cs="SimSun"/>
          <w:color w:val="000000"/>
          <w:sz w:val="24"/>
          <w:highlight w:val="none"/>
        </w:rPr>
        <w:t xml:space="preserve">；承接企业为</w:t>
      </w:r>
      <w:r>
        <w:rPr>
          <w:rFonts w:ascii="SimSun" w:hAnsi="SimSun" w:eastAsia="SimSun" w:cs="SimSun"/>
          <w:color w:val="000000"/>
          <w:sz w:val="24"/>
          <w:highlight w:val="none"/>
          <w:u w:val="single"/>
        </w:rPr>
        <w:t xml:space="preserve">（企业名称）</w:t>
      </w:r>
      <w:r>
        <w:rPr>
          <w:rFonts w:ascii="SimSun" w:hAnsi="SimSun" w:eastAsia="SimSun" w:cs="SimSun"/>
          <w:color w:val="000000"/>
          <w:sz w:val="24"/>
          <w:highlight w:val="none"/>
        </w:rPr>
        <w:t xml:space="preserve">，从业人员</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人，营业收入为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万元，资产总额为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万元，属于</w:t>
      </w:r>
      <w:r>
        <w:rPr>
          <w:rFonts w:ascii="SimSun" w:hAnsi="SimSun" w:eastAsia="SimSun" w:cs="SimSun"/>
          <w:color w:val="000000"/>
          <w:sz w:val="24"/>
          <w:highlight w:val="none"/>
          <w:u w:val="single"/>
        </w:rPr>
        <w:t xml:space="preserve">       （选填：中型企业、小型企业、微型企业）</w:t>
      </w:r>
      <w:r>
        <w:rPr>
          <w:rFonts w:ascii="SimSun" w:hAnsi="SimSun" w:eastAsia="SimSun" w:cs="SimSun"/>
          <w:color w:val="000000"/>
          <w:sz w:val="24"/>
          <w:highlight w:val="none"/>
        </w:rPr>
        <w:t xml:space="preserve">；</w:t>
      </w:r>
      <w:r>
        <w:rPr>
          <w:highlight w:val="none"/>
        </w:rPr>
      </w:r>
      <w:r/>
    </w:p>
    <w:p>
      <w:pPr>
        <w:ind w:left="0" w:right="0" w:firstLine="96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highlight w:val="none"/>
        </w:rPr>
      </w:r>
      <w:r/>
    </w:p>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以上企业，不属于大企业的分支机构，不存在控股股东为大企业的情形，也不存在与大企业的负责人为同一人的情形。</w:t>
      </w:r>
      <w:r>
        <w:rPr>
          <w:highlight w:val="none"/>
        </w:rPr>
      </w:r>
      <w:r/>
    </w:p>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本企业对上述声明内容的真实性负责，如有虚假，将依法承担相应责任。</w:t>
      </w:r>
      <w:r>
        <w:rPr>
          <w:highlight w:val="none"/>
        </w:rPr>
      </w:r>
      <w:r/>
    </w:p>
    <w:p>
      <w:pPr>
        <w:ind w:left="0" w:right="0" w:firstLine="960"/>
        <w:jc w:val="right"/>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960"/>
        <w:jc w:val="right"/>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企业名称：</w:t>
      </w:r>
      <w:r>
        <w:rPr>
          <w:rFonts w:ascii="SimSun" w:hAnsi="SimSun" w:eastAsia="SimSun" w:cs="SimSun"/>
          <w:color w:val="000000"/>
          <w:sz w:val="24"/>
          <w:highlight w:val="none"/>
          <w:u w:val="single"/>
        </w:rPr>
        <w:t xml:space="preserve">（加盖CA电子公章）</w:t>
      </w:r>
      <w:r>
        <w:rPr>
          <w:rFonts w:ascii="SimSun" w:hAnsi="SimSun" w:eastAsia="SimSun" w:cs="SimSun"/>
          <w:color w:val="000000"/>
          <w:sz w:val="24"/>
          <w:highlight w:val="none"/>
        </w:rPr>
        <w:t xml:space="preserve"> </w:t>
      </w:r>
      <w:r>
        <w:rPr>
          <w:highlight w:val="none"/>
        </w:rPr>
      </w:r>
      <w:r/>
    </w:p>
    <w:p>
      <w:pPr>
        <w:ind w:left="0" w:right="0" w:firstLine="960"/>
        <w:jc w:val="center"/>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日 期： </w:t>
      </w:r>
      <w:r>
        <w:rPr>
          <w:highlight w:val="none"/>
        </w:rPr>
      </w: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备注：1.从业人员、营业收入、资产总额填报上一年度数据，无上一年度数据的新成立企业可不填报。</w:t>
      </w:r>
      <w:r>
        <w:rPr>
          <w:highlight w:val="none"/>
        </w:rPr>
      </w: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r/>
    </w:p>
    <w:p>
      <w:pPr>
        <w:ind w:left="0" w:right="0" w:firstLine="48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3.本项目采购标的对应的中小企业划分标准所属行业为</w:t>
      </w:r>
      <w:r>
        <w:rPr>
          <w:rFonts w:ascii="SimSun" w:hAnsi="SimSun" w:eastAsia="SimSun" w:cs="SimSun"/>
          <w:b/>
          <w:color w:val="000000"/>
          <w:sz w:val="24"/>
          <w:highlight w:val="none"/>
          <w:u w:val="single"/>
        </w:rPr>
        <w:t xml:space="preserve"> 其他未列明行业 </w:t>
      </w:r>
      <w:r>
        <w:rPr>
          <w:rFonts w:ascii="SimSun" w:hAnsi="SimSun" w:eastAsia="SimSun" w:cs="SimSun"/>
          <w:b/>
          <w:color w:val="000000"/>
          <w:sz w:val="24"/>
          <w:highlight w:val="none"/>
        </w:rPr>
        <w:t xml:space="preserve">。</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highlight w:val="none"/>
        </w:rPr>
        <w:t xml:space="preserve"> </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九、残疾人福利性单位声明函（如有）</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残疾人福利性单位声明函（如有）</w:t>
      </w:r>
      <w:r>
        <w:rPr>
          <w:highlight w:val="none"/>
        </w:rPr>
      </w:r>
      <w:r/>
    </w:p>
    <w:p>
      <w:pPr>
        <w:ind w:left="0" w:right="0" w:firstLine="504"/>
        <w:jc w:val="both"/>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highlight w:val="none"/>
        </w:rPr>
        <w:t xml:space="preserve">本单位郑重声明，根据《财政部民政部中国残疾人联合会关于促进残疾人就业政府采购政策的通知》（财库</w:t>
      </w:r>
      <w:r>
        <w:rPr>
          <w:rFonts w:ascii="SimSun" w:hAnsi="SimSun" w:eastAsia="SimSun" w:cs="SimSun"/>
          <w:color w:val="000000"/>
          <w:sz w:val="24"/>
          <w:highlight w:val="none"/>
        </w:rPr>
        <w:t xml:space="preserve">〔2017〕141</w:t>
      </w:r>
      <w:r>
        <w:rPr>
          <w:rFonts w:ascii="SimSun" w:hAnsi="SimSun" w:eastAsia="SimSun" w:cs="SimSun"/>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ind w:left="0" w:right="0" w:firstLine="504"/>
        <w:jc w:val="both"/>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highlight w:val="none"/>
        </w:rPr>
        <w:t xml:space="preserve">本单位对上述声明的真实性负责。如有虚假，将依法承担相应责任。</w:t>
      </w:r>
      <w:r>
        <w:rPr>
          <w:highlight w:val="none"/>
        </w:rPr>
      </w:r>
      <w:r/>
    </w:p>
    <w:p>
      <w:pPr>
        <w:ind w:left="0" w:right="0" w:firstLine="504"/>
        <w:jc w:val="both"/>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highlight w:val="none"/>
        </w:rPr>
        <w:t xml:space="preserve">（备注：1、供应商如不提供此声明函，价格将不做相应扣除。2、成交供应商为残疾人福利单位的，此声明函将随成交结果同时公告，接受社会监督。）</w:t>
      </w:r>
      <w:r>
        <w:rPr>
          <w:highlight w:val="none"/>
        </w:rPr>
      </w:r>
      <w:r/>
    </w:p>
    <w:p>
      <w:pPr>
        <w:ind w:left="0" w:right="1560" w:firstLine="504"/>
        <w:jc w:val="center"/>
        <w:spacing w:before="0" w:after="0" w:line="587" w:lineRule="atLeast"/>
        <w:tabs>
          <w:tab w:val="left" w:pos="486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highlight w:val="none"/>
        </w:rPr>
        <w:t xml:space="preserve">               </w:t>
      </w:r>
      <w:r>
        <w:rPr>
          <w:highlight w:val="none"/>
        </w:rPr>
      </w:r>
      <w:r/>
    </w:p>
    <w:p>
      <w:pPr>
        <w:ind w:left="0" w:right="1560" w:firstLine="504"/>
        <w:jc w:val="center"/>
        <w:spacing w:before="0" w:after="0" w:line="587" w:lineRule="atLeast"/>
        <w:tabs>
          <w:tab w:val="left" w:pos="486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highlight w:val="none"/>
        </w:rPr>
        <w:t xml:space="preserve">                          </w:t>
      </w:r>
      <w:r>
        <w:rPr>
          <w:rFonts w:ascii="SimSun" w:hAnsi="SimSun" w:eastAsia="SimSun" w:cs="SimSun"/>
          <w:color w:val="000000"/>
          <w:sz w:val="24"/>
          <w:highlight w:val="none"/>
        </w:rPr>
        <w:t xml:space="preserve">企业</w:t>
      </w:r>
      <w:r>
        <w:rPr>
          <w:rFonts w:ascii="SimSun" w:hAnsi="SimSun" w:eastAsia="SimSun" w:cs="SimSun"/>
          <w:color w:val="000000"/>
          <w:spacing w:val="6"/>
          <w:sz w:val="24"/>
          <w:highlight w:val="none"/>
        </w:rPr>
        <w:t xml:space="preserve">名称：</w:t>
      </w:r>
      <w:r>
        <w:rPr>
          <w:rFonts w:ascii="SimSun" w:hAnsi="SimSun" w:eastAsia="SimSun" w:cs="SimSun"/>
          <w:color w:val="000000"/>
          <w:sz w:val="24"/>
          <w:highlight w:val="none"/>
          <w:u w:val="single"/>
        </w:rPr>
        <w:t xml:space="preserve">（加盖CA电子公章）</w:t>
      </w:r>
      <w:r>
        <w:rPr>
          <w:highlight w:val="none"/>
        </w:rPr>
      </w:r>
      <w:r/>
    </w:p>
    <w:p>
      <w:pPr>
        <w:ind w:left="0" w:right="1560" w:firstLine="504"/>
        <w:jc w:val="center"/>
        <w:spacing w:before="0" w:after="0" w:line="587" w:lineRule="atLeast"/>
        <w:tabs>
          <w:tab w:val="left" w:pos="486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highlight w:val="none"/>
        </w:rPr>
        <w:t xml:space="preserve">       日期：</w:t>
      </w:r>
      <w:r>
        <w:rPr>
          <w:highlight w:val="none"/>
        </w:rPr>
      </w: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十、拟参与本项目人员一览表</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拟参与本项目人员一览表（参考）</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项目名称：</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项目编号：</w:t>
      </w:r>
      <w:r>
        <w:rPr>
          <w:highlight w:val="none"/>
        </w:rPr>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姓名</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性别</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年龄</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学历及专业</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执业资格及证书号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技术</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职称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相关工作年限及工作经历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拟担任本项目何种工作</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备注</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bl>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企业名称：（加盖CA电子公章）</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说明：需提供项目组所有人员的人员名单、专业资历、擅长技术、职责安排等资料。</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十一、供应商类似业绩情况表</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供应商近年类似业绩情况表</w:t>
      </w:r>
      <w:r>
        <w:rPr>
          <w:highlight w:val="none"/>
        </w:rPr>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5"/>
        <w:gridCol w:w="245"/>
        <w:gridCol w:w="245"/>
        <w:gridCol w:w="245"/>
        <w:gridCol w:w="245"/>
        <w:gridCol w:w="245"/>
        <w:gridCol w:w="24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项目名称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业主单位</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项目合同价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项目概况</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项目实施期限</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备注</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r>
    </w:tbl>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说明：请供应商根据本格式要求如实填写业绩情况表，并附业绩合同复印件与获奖证明（如有）。</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十二、技术说明（项目实施方案）</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技术说明（自行编制）</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十三、无重大违法记录声明格式</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无重大违法记录声明</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南京市江宁区人民政府东山街道办事处：</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我单位（供应商名称）郑重声明：</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参加政府采购活动前3年内在经营活动中（在下划线上如实填写：有或没有）重大违法记录，且不是失信被执行人、重大税收违法案件当事人名单、政府采购严重违法失信行为记录名单的供应商。</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声明人（加盖CA电子公章）：</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日期：年月日</w:t>
      </w:r>
      <w:r>
        <w:rPr>
          <w:sz w:val="21"/>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十四、其他材料</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1、采购人根据《中华人民共和国政府采购法》要求规定的基本条件：</w:t>
      </w:r>
      <w:r>
        <w:rPr>
          <w:rFonts w:ascii="SimSun" w:hAnsi="SimSun" w:eastAsia="SimSun" w:cs="SimSun"/>
          <w:b/>
          <w:color w:val="000000"/>
          <w:sz w:val="24"/>
          <w:highlight w:val="none"/>
        </w:rPr>
        <w:t xml:space="preserve">（详见第一章 竞争性磋商公告）</w:t>
      </w:r>
      <w:r>
        <w:rPr>
          <w:rFonts w:ascii="SimSun" w:hAnsi="SimSun" w:eastAsia="SimSun" w:cs="SimSun"/>
          <w:color w:val="000000"/>
          <w:sz w:val="24"/>
          <w:highlight w:val="none"/>
        </w:rPr>
        <w:t xml:space="preserve">。</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2、采购人根据采购项目的特殊要求规定的特定条件：</w:t>
      </w:r>
      <w:r>
        <w:rPr>
          <w:rFonts w:ascii="SimSun" w:hAnsi="SimSun" w:eastAsia="SimSun" w:cs="SimSun"/>
          <w:b/>
          <w:color w:val="000000"/>
          <w:sz w:val="24"/>
          <w:highlight w:val="none"/>
        </w:rPr>
        <w:t xml:space="preserve">（详见第一章 竞争性磋商公告）</w:t>
      </w:r>
      <w:r>
        <w:rPr>
          <w:rFonts w:ascii="SimSun" w:hAnsi="SimSun" w:eastAsia="SimSun" w:cs="SimSun"/>
          <w:color w:val="000000"/>
          <w:sz w:val="24"/>
          <w:highlight w:val="none"/>
        </w:rPr>
        <w:t xml:space="preserve">。</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3、供应商认为有必要有其他证明文件（如有）</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rPr>
          <w:highlight w:val="none"/>
        </w:rPr>
      </w:pPr>
      <w:r>
        <w:rPr>
          <w:highlight w:val="none"/>
        </w:rPr>
      </w:r>
      <w:r>
        <w:rPr>
          <w:highlight w:val="none"/>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Segoe UI">
    <w:panose1 w:val="020B0502040204020203"/>
  </w:font>
  <w:font w:name="PMingLiU">
    <w:panose1 w:val="020205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方正大黑简体">
    <w:panose1 w:val="020B0503020202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49</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tabs>
        <w:tab w:val="center" w:pos="4153" w:leader="none"/>
        <w:tab w:val="clear" w:pos="7143" w:leader="none"/>
        <w:tab w:val="right" w:pos="8306" w:leader="none"/>
        <w:tab w:val="clear" w:pos="14287" w:leader="none"/>
      </w:tabs>
      <w:rPr>
        <w:rFonts w:hint="eastAsia"/>
        <w:i/>
      </w:rPr>
      <w:pBdr>
        <w:bottom w:val="none" w:color="auto" w:sz="0" w:space="1"/>
      </w:pBdr>
    </w:pPr>
    <w:r>
      <w:rPr>
        <w:rFonts w:hint="eastAsia"/>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5"/>
  </w:num>
  <w:num w:numId="5">
    <w:abstractNumId w:val="4"/>
  </w:num>
  <w:num w:numId="6">
    <w:abstractNumId w:val="6"/>
  </w:num>
  <w:num w:numId="7">
    <w:abstractNumId w:val="2"/>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35"/>
    <w:uiPriority w:val="0"/>
    <w:qFormat/>
    <w:pPr>
      <w:jc w:val="both"/>
      <w:widowControl w:val="off"/>
    </w:pPr>
    <w:rPr>
      <w:rFonts w:hint="default" w:ascii="Times New Roman" w:hAnsi="Times New Roman" w:eastAsia="宋体" w:cs="Times New Roman"/>
      <w:sz w:val="21"/>
      <w:lang w:val="en-US" w:eastAsia="zh-CN" w:bidi="ar-SA"/>
    </w:rPr>
  </w:style>
  <w:style w:type="paragraph" w:styleId="707">
    <w:name w:val="Heading 1"/>
    <w:basedOn w:val="706"/>
    <w:next w:val="706"/>
    <w:link w:val="952"/>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19"/>
    <w:link w:val="757"/>
    <w:uiPriority w:val="9"/>
    <w:unhideWhenUsed/>
    <w:qFormat/>
    <w:pPr>
      <w:keepLines/>
      <w:keepNext/>
      <w:spacing w:before="360" w:after="200"/>
      <w:outlineLvl w:val="1"/>
    </w:pPr>
    <w:rPr>
      <w:rFonts w:ascii="Arial" w:hAnsi="Arial" w:eastAsia="Arial" w:cs="Arial"/>
      <w:sz w:val="34"/>
    </w:rPr>
  </w:style>
  <w:style w:type="paragraph" w:styleId="709">
    <w:name w:val="Heading 3"/>
    <w:basedOn w:val="720"/>
    <w:next w:val="706"/>
    <w:link w:val="758"/>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9"/>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60"/>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61"/>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63"/>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64"/>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customStyle="1">
    <w:name w:val="首行缩进"/>
    <w:basedOn w:val="706"/>
    <w:uiPriority w:val="0"/>
    <w:qFormat/>
    <w:pPr>
      <w:ind w:firstLine="480"/>
    </w:pPr>
    <w:rPr>
      <w:rFonts w:ascii="Calibri" w:hAnsi="Calibri" w:eastAsia="楷体_GB2312"/>
      <w:sz w:val="26"/>
      <w:lang w:val="zh-CN"/>
    </w:rPr>
  </w:style>
  <w:style w:type="paragraph" w:styleId="719">
    <w:name w:val="Normal Indent"/>
    <w:basedOn w:val="706"/>
    <w:uiPriority w:val="0"/>
    <w:qFormat/>
    <w:pPr>
      <w:ind w:firstLine="0"/>
      <w:jc w:val="center"/>
      <w:spacing w:line="480" w:lineRule="auto"/>
      <w:tabs>
        <w:tab w:val="left" w:pos="360" w:leader="none"/>
      </w:tabs>
    </w:pPr>
    <w:rPr>
      <w:rFonts w:eastAsia="宋体" w:cs="Times New Roman"/>
      <w:b/>
      <w:sz w:val="28"/>
      <w:szCs w:val="20"/>
    </w:rPr>
  </w:style>
  <w:style w:type="paragraph" w:styleId="720" w:customStyle="1">
    <w:name w:val="三级标题"/>
    <w:basedOn w:val="706"/>
    <w:uiPriority w:val="0"/>
    <w:qFormat/>
    <w:pPr>
      <w:spacing w:before="100" w:after="100" w:line="415" w:lineRule="auto"/>
      <w:outlineLvl w:val="2"/>
    </w:pPr>
    <w:rPr>
      <w:rFonts w:ascii="Times New Roman" w:hAnsi="Times New Roman" w:cs="Times New Roman"/>
      <w:b/>
      <w:sz w:val="28"/>
      <w:szCs w:val="28"/>
    </w:rPr>
  </w:style>
  <w:style w:type="paragraph" w:styleId="721">
    <w:name w:val="toc 7"/>
    <w:basedOn w:val="706"/>
    <w:next w:val="706"/>
    <w:uiPriority w:val="39"/>
    <w:unhideWhenUsed/>
    <w:qFormat/>
    <w:pPr>
      <w:ind w:left="1701" w:right="0" w:firstLine="0"/>
      <w:spacing w:after="57"/>
    </w:pPr>
  </w:style>
  <w:style w:type="paragraph" w:styleId="722">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6"/>
    <w:next w:val="724"/>
    <w:uiPriority w:val="0"/>
    <w:qFormat/>
    <w:pPr>
      <w:jc w:val="left"/>
    </w:pPr>
    <w:rPr>
      <w:szCs w:val="20"/>
    </w:rPr>
  </w:style>
  <w:style w:type="paragraph" w:styleId="724" w:customStyle="1">
    <w:name w:val="正文缩进4"/>
    <w:next w:val="706"/>
    <w:uiPriority w:val="0"/>
    <w:qFormat/>
    <w:pPr>
      <w:ind w:left="3400"/>
      <w:jc w:val="both"/>
    </w:pPr>
    <w:rPr>
      <w:rFonts w:ascii="Times New Roman" w:hAnsi="Times New Roman" w:eastAsia="宋体" w:cs="Times New Roman"/>
      <w:sz w:val="21"/>
      <w:lang w:val="en-US" w:eastAsia="zh-CN" w:bidi="ar-SA"/>
    </w:rPr>
  </w:style>
  <w:style w:type="paragraph" w:styleId="725">
    <w:name w:val="Body Text"/>
    <w:basedOn w:val="706"/>
    <w:uiPriority w:val="0"/>
    <w:unhideWhenUsed/>
    <w:qFormat/>
    <w:pPr>
      <w:ind w:firstLine="200"/>
      <w:spacing w:line="360" w:lineRule="auto"/>
    </w:pPr>
    <w:rPr>
      <w:rFonts w:ascii="楷体_GB2312" w:hAnsi="Arial" w:eastAsia="楷体_GB2312"/>
      <w:sz w:val="28"/>
      <w:szCs w:val="28"/>
    </w:rPr>
  </w:style>
  <w:style w:type="paragraph" w:styleId="726">
    <w:name w:val="Body Text Indent"/>
    <w:basedOn w:val="706"/>
    <w:next w:val="727"/>
    <w:uiPriority w:val="99"/>
    <w:unhideWhenUsed/>
    <w:qFormat/>
    <w:pPr>
      <w:ind w:left="420"/>
      <w:spacing w:after="120"/>
    </w:pPr>
  </w:style>
  <w:style w:type="paragraph" w:styleId="727" w:customStyle="1">
    <w:name w:val="正文文本首行缩进 2"/>
    <w:basedOn w:val="726"/>
    <w:uiPriority w:val="0"/>
    <w:qFormat/>
    <w:pPr>
      <w:ind w:left="0" w:firstLine="420"/>
      <w:spacing w:after="0" w:line="360" w:lineRule="auto"/>
    </w:pPr>
    <w:rPr>
      <w:rFonts w:ascii="宋体" w:hAnsi="宋体"/>
      <w:sz w:val="20"/>
      <w:szCs w:val="20"/>
      <w:lang w:eastAsia="en-US"/>
    </w:rPr>
  </w:style>
  <w:style w:type="paragraph" w:styleId="728">
    <w:name w:val="Block Text"/>
    <w:basedOn w:val="706"/>
    <w:next w:val="725"/>
    <w:uiPriority w:val="0"/>
    <w:qFormat/>
    <w:pPr>
      <w:ind w:left="1440" w:right="1440"/>
      <w:spacing w:after="120"/>
    </w:pPr>
    <w:rPr>
      <w:rFonts w:ascii="Calibri" w:hAnsi="Calibri" w:eastAsia="宋体" w:cs="Times New Roman"/>
    </w:rPr>
  </w:style>
  <w:style w:type="paragraph" w:styleId="729">
    <w:name w:val="toc 5"/>
    <w:basedOn w:val="706"/>
    <w:next w:val="706"/>
    <w:uiPriority w:val="39"/>
    <w:unhideWhenUsed/>
    <w:qFormat/>
    <w:pPr>
      <w:ind w:left="1134" w:right="0" w:firstLine="0"/>
      <w:spacing w:after="57"/>
    </w:pPr>
  </w:style>
  <w:style w:type="paragraph" w:styleId="730">
    <w:name w:val="toc 3"/>
    <w:basedOn w:val="706"/>
    <w:next w:val="706"/>
    <w:uiPriority w:val="39"/>
    <w:unhideWhenUsed/>
    <w:qFormat/>
    <w:pPr>
      <w:ind w:left="567" w:right="0" w:firstLine="0"/>
      <w:spacing w:after="57"/>
    </w:pPr>
  </w:style>
  <w:style w:type="paragraph" w:styleId="731">
    <w:name w:val="Plain Text"/>
    <w:basedOn w:val="706"/>
    <w:uiPriority w:val="0"/>
    <w:qFormat/>
    <w:pPr>
      <w:spacing w:line="480" w:lineRule="atLeast"/>
    </w:pPr>
    <w:rPr>
      <w:rFonts w:ascii="仿宋_GB2312" w:hAnsi="Courier New" w:eastAsia="仿宋_GB2312"/>
      <w:sz w:val="28"/>
    </w:rPr>
  </w:style>
  <w:style w:type="paragraph" w:styleId="732">
    <w:name w:val="toc 8"/>
    <w:basedOn w:val="706"/>
    <w:next w:val="706"/>
    <w:uiPriority w:val="39"/>
    <w:unhideWhenUsed/>
    <w:qFormat/>
    <w:pPr>
      <w:ind w:left="1984" w:right="0" w:firstLine="0"/>
      <w:spacing w:after="57"/>
    </w:pPr>
  </w:style>
  <w:style w:type="paragraph" w:styleId="733">
    <w:name w:val="endnote text"/>
    <w:basedOn w:val="706"/>
    <w:link w:val="901"/>
    <w:uiPriority w:val="99"/>
    <w:semiHidden/>
    <w:unhideWhenUsed/>
    <w:qFormat/>
    <w:pPr>
      <w:spacing w:after="0" w:line="240" w:lineRule="auto"/>
    </w:pPr>
    <w:rPr>
      <w:sz w:val="20"/>
    </w:rPr>
  </w:style>
  <w:style w:type="paragraph" w:styleId="734">
    <w:name w:val="Footer"/>
    <w:basedOn w:val="706"/>
    <w:link w:val="774"/>
    <w:uiPriority w:val="99"/>
    <w:unhideWhenUsed/>
    <w:qFormat/>
    <w:pPr>
      <w:spacing w:after="0" w:line="240" w:lineRule="auto"/>
      <w:tabs>
        <w:tab w:val="center" w:pos="7143" w:leader="none"/>
        <w:tab w:val="right" w:pos="14287" w:leader="none"/>
      </w:tabs>
    </w:pPr>
  </w:style>
  <w:style w:type="paragraph" w:styleId="735">
    <w:name w:val="Header"/>
    <w:basedOn w:val="706"/>
    <w:link w:val="772"/>
    <w:uiPriority w:val="99"/>
    <w:unhideWhenUsed/>
    <w:qFormat/>
    <w:pPr>
      <w:spacing w:after="0" w:line="240" w:lineRule="auto"/>
      <w:tabs>
        <w:tab w:val="center" w:pos="7143" w:leader="none"/>
        <w:tab w:val="right" w:pos="14287" w:leader="none"/>
      </w:tabs>
    </w:pPr>
  </w:style>
  <w:style w:type="paragraph" w:styleId="736">
    <w:name w:val="toc 1"/>
    <w:basedOn w:val="706"/>
    <w:next w:val="706"/>
    <w:uiPriority w:val="39"/>
    <w:unhideWhenUsed/>
    <w:qFormat/>
    <w:pPr>
      <w:ind w:left="0" w:right="0" w:firstLine="0"/>
      <w:spacing w:after="57"/>
    </w:pPr>
  </w:style>
  <w:style w:type="paragraph" w:styleId="737">
    <w:name w:val="toc 4"/>
    <w:basedOn w:val="706"/>
    <w:next w:val="706"/>
    <w:uiPriority w:val="39"/>
    <w:unhideWhenUsed/>
    <w:qFormat/>
    <w:pPr>
      <w:ind w:left="850" w:right="0" w:firstLine="0"/>
      <w:spacing w:after="57"/>
    </w:pPr>
  </w:style>
  <w:style w:type="paragraph" w:styleId="738">
    <w:name w:val="Subtitle"/>
    <w:basedOn w:val="706"/>
    <w:next w:val="706"/>
    <w:link w:val="767"/>
    <w:uiPriority w:val="11"/>
    <w:qFormat/>
    <w:pPr>
      <w:spacing w:before="200" w:after="200"/>
    </w:pPr>
    <w:rPr>
      <w:sz w:val="24"/>
      <w:szCs w:val="24"/>
    </w:rPr>
  </w:style>
  <w:style w:type="paragraph" w:styleId="739">
    <w:name w:val="footnote text"/>
    <w:basedOn w:val="706"/>
    <w:link w:val="900"/>
    <w:uiPriority w:val="99"/>
    <w:semiHidden/>
    <w:unhideWhenUsed/>
    <w:qFormat/>
    <w:pPr>
      <w:spacing w:after="40" w:line="240" w:lineRule="auto"/>
    </w:pPr>
    <w:rPr>
      <w:sz w:val="18"/>
    </w:rPr>
  </w:style>
  <w:style w:type="paragraph" w:styleId="740">
    <w:name w:val="toc 6"/>
    <w:basedOn w:val="706"/>
    <w:next w:val="706"/>
    <w:uiPriority w:val="39"/>
    <w:unhideWhenUsed/>
    <w:qFormat/>
    <w:pPr>
      <w:ind w:left="1417" w:right="0" w:firstLine="0"/>
      <w:spacing w:after="57"/>
    </w:pPr>
  </w:style>
  <w:style w:type="paragraph" w:styleId="741">
    <w:name w:val="table of figures"/>
    <w:basedOn w:val="706"/>
    <w:next w:val="706"/>
    <w:uiPriority w:val="99"/>
    <w:unhideWhenUsed/>
    <w:qFormat/>
    <w:pPr>
      <w:spacing w:after="0" w:afterAutospacing="0"/>
    </w:pPr>
  </w:style>
  <w:style w:type="paragraph" w:styleId="742">
    <w:name w:val="toc 2"/>
    <w:basedOn w:val="706"/>
    <w:next w:val="706"/>
    <w:uiPriority w:val="39"/>
    <w:unhideWhenUsed/>
    <w:qFormat/>
    <w:pPr>
      <w:ind w:left="283" w:right="0" w:firstLine="0"/>
      <w:spacing w:after="57"/>
    </w:pPr>
  </w:style>
  <w:style w:type="paragraph" w:styleId="743">
    <w:name w:val="toc 9"/>
    <w:basedOn w:val="706"/>
    <w:next w:val="706"/>
    <w:uiPriority w:val="39"/>
    <w:unhideWhenUsed/>
    <w:qFormat/>
    <w:pPr>
      <w:ind w:left="2268" w:right="0" w:firstLine="0"/>
      <w:spacing w:after="57"/>
    </w:pPr>
  </w:style>
  <w:style w:type="paragraph" w:styleId="744">
    <w:name w:val="Normal (Web)"/>
    <w:basedOn w:val="706"/>
    <w:uiPriority w:val="99"/>
    <w:semiHidden/>
    <w:unhideWhenUsed/>
    <w:qFormat/>
    <w:pPr>
      <w:ind w:left="0" w:right="0"/>
      <w:jc w:val="left"/>
      <w:spacing w:before="0" w:beforeAutospacing="1" w:after="0" w:afterAutospacing="1"/>
    </w:pPr>
    <w:rPr>
      <w:sz w:val="24"/>
      <w:lang w:val="en-US" w:eastAsia="zh-CN" w:bidi="ar"/>
    </w:rPr>
  </w:style>
  <w:style w:type="paragraph" w:styleId="745">
    <w:name w:val="Title"/>
    <w:basedOn w:val="706"/>
    <w:next w:val="706"/>
    <w:link w:val="766"/>
    <w:uiPriority w:val="10"/>
    <w:qFormat/>
    <w:pPr>
      <w:contextualSpacing/>
      <w:spacing w:before="300" w:after="200"/>
    </w:pPr>
    <w:rPr>
      <w:sz w:val="48"/>
      <w:szCs w:val="48"/>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basedOn w:val="716"/>
    <w:uiPriority w:val="22"/>
    <w:qFormat/>
    <w:rPr>
      <w:b/>
    </w:r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uiPriority w:val="99"/>
    <w:unhideWhenUsed/>
    <w:qFormat/>
    <w:rPr>
      <w:vertAlign w:val="superscript"/>
    </w:rPr>
  </w:style>
  <w:style w:type="paragraph" w:styleId="751" w:customStyle="1">
    <w:name w:val="一级条标题"/>
    <w:next w:val="752"/>
    <w:uiPriority w:val="0"/>
    <w:qFormat/>
    <w:pPr>
      <w:outlineLvl w:val="2"/>
    </w:pPr>
    <w:rPr>
      <w:rFonts w:hint="default" w:ascii="Times New Roman" w:hAnsi="Times New Roman" w:eastAsia="黑体" w:cs="Times New Roman"/>
      <w:sz w:val="21"/>
      <w:lang w:val="en-US" w:eastAsia="zh-CN" w:bidi="ar-SA"/>
    </w:rPr>
  </w:style>
  <w:style w:type="paragraph" w:styleId="752" w:customStyle="1">
    <w:name w:val="段"/>
    <w:next w:val="706"/>
    <w:uiPriority w:val="0"/>
    <w:qFormat/>
    <w:pPr>
      <w:ind w:firstLine="200"/>
      <w:jc w:val="both"/>
    </w:pPr>
    <w:rPr>
      <w:rFonts w:hint="default" w:ascii="宋体" w:hAnsi="Times New Roman" w:eastAsia="宋体" w:cs="Times New Roman"/>
      <w:sz w:val="21"/>
      <w:lang w:val="en-US" w:eastAsia="zh-CN" w:bidi="ar-SA"/>
    </w:rPr>
  </w:style>
  <w:style w:type="paragraph" w:styleId="753" w:customStyle="1">
    <w:name w:val="二级标题"/>
    <w:basedOn w:val="706"/>
    <w:uiPriority w:val="0"/>
    <w:qFormat/>
    <w:pPr>
      <w:spacing w:before="100" w:after="100" w:line="415" w:lineRule="auto"/>
      <w:outlineLvl w:val="1"/>
    </w:pPr>
    <w:rPr>
      <w:rFonts w:ascii="Times New Roman" w:hAnsi="Times New Roman" w:cs="Times New Roman"/>
      <w:b/>
      <w:sz w:val="30"/>
      <w:szCs w:val="30"/>
    </w:rPr>
  </w:style>
  <w:style w:type="paragraph" w:styleId="754" w:customStyle="1">
    <w:name w:val="正文文本 21"/>
    <w:basedOn w:val="706"/>
    <w:uiPriority w:val="0"/>
    <w:qFormat/>
    <w:rPr>
      <w:sz w:val="24"/>
      <w:szCs w:val="24"/>
    </w:rPr>
  </w:style>
  <w:style w:type="paragraph" w:styleId="755" w:customStyle="1">
    <w:name w:val="标题 41"/>
    <w:basedOn w:val="706"/>
    <w:next w:val="706"/>
    <w:uiPriority w:val="0"/>
    <w:qFormat/>
    <w:pPr>
      <w:keepLines/>
      <w:keepNext/>
      <w:spacing w:before="120" w:after="120"/>
      <w:outlineLvl w:val="3"/>
    </w:pPr>
    <w:rPr>
      <w:rFonts w:ascii="Arial" w:hAnsi="Arial" w:eastAsia="黑体" w:cs="Times New Roman"/>
      <w:b/>
      <w:sz w:val="28"/>
    </w:rPr>
  </w:style>
  <w:style w:type="character" w:styleId="756" w:customStyle="1">
    <w:name w:val="Heading 1 Char"/>
    <w:link w:val="707"/>
    <w:uiPriority w:val="9"/>
    <w:qFormat/>
    <w:rPr>
      <w:rFonts w:ascii="Arial" w:hAnsi="Arial" w:eastAsia="Arial" w:cs="Arial"/>
      <w:sz w:val="40"/>
      <w:szCs w:val="40"/>
    </w:rPr>
  </w:style>
  <w:style w:type="character" w:styleId="757" w:customStyle="1">
    <w:name w:val="Heading 2 Char"/>
    <w:link w:val="708"/>
    <w:uiPriority w:val="9"/>
    <w:qFormat/>
    <w:rPr>
      <w:rFonts w:ascii="Arial" w:hAnsi="Arial" w:eastAsia="Arial" w:cs="Arial"/>
      <w:sz w:val="34"/>
    </w:rPr>
  </w:style>
  <w:style w:type="character" w:styleId="758" w:customStyle="1">
    <w:name w:val="Heading 3 Char"/>
    <w:link w:val="709"/>
    <w:uiPriority w:val="9"/>
    <w:qFormat/>
    <w:rPr>
      <w:rFonts w:ascii="Arial" w:hAnsi="Arial" w:eastAsia="Arial" w:cs="Arial"/>
      <w:sz w:val="30"/>
      <w:szCs w:val="30"/>
    </w:rPr>
  </w:style>
  <w:style w:type="character" w:styleId="759" w:customStyle="1">
    <w:name w:val="Heading 4 Char"/>
    <w:link w:val="710"/>
    <w:uiPriority w:val="9"/>
    <w:qFormat/>
    <w:rPr>
      <w:rFonts w:ascii="Arial" w:hAnsi="Arial" w:eastAsia="Arial" w:cs="Arial"/>
      <w:b/>
      <w:bCs/>
      <w:sz w:val="26"/>
      <w:szCs w:val="26"/>
    </w:rPr>
  </w:style>
  <w:style w:type="character" w:styleId="760" w:customStyle="1">
    <w:name w:val="Heading 5 Char"/>
    <w:link w:val="711"/>
    <w:uiPriority w:val="9"/>
    <w:qFormat/>
    <w:rPr>
      <w:rFonts w:ascii="Arial" w:hAnsi="Arial" w:eastAsia="Arial" w:cs="Arial"/>
      <w:b/>
      <w:bCs/>
      <w:sz w:val="24"/>
      <w:szCs w:val="24"/>
    </w:rPr>
  </w:style>
  <w:style w:type="character" w:styleId="761" w:customStyle="1">
    <w:name w:val="Heading 6 Char"/>
    <w:link w:val="712"/>
    <w:uiPriority w:val="9"/>
    <w:qFormat/>
    <w:rPr>
      <w:rFonts w:ascii="Arial" w:hAnsi="Arial" w:eastAsia="Arial" w:cs="Arial"/>
      <w:b/>
      <w:bCs/>
      <w:sz w:val="22"/>
      <w:szCs w:val="22"/>
    </w:rPr>
  </w:style>
  <w:style w:type="character" w:styleId="762" w:customStyle="1">
    <w:name w:val="Heading 7 Char"/>
    <w:link w:val="713"/>
    <w:uiPriority w:val="9"/>
    <w:qFormat/>
    <w:rPr>
      <w:rFonts w:ascii="Arial" w:hAnsi="Arial" w:eastAsia="Arial" w:cs="Arial"/>
      <w:b/>
      <w:bCs/>
      <w:i/>
      <w:iCs/>
      <w:sz w:val="22"/>
      <w:szCs w:val="22"/>
    </w:rPr>
  </w:style>
  <w:style w:type="character" w:styleId="763" w:customStyle="1">
    <w:name w:val="Heading 8 Char"/>
    <w:link w:val="714"/>
    <w:uiPriority w:val="9"/>
    <w:qFormat/>
    <w:rPr>
      <w:rFonts w:ascii="Arial" w:hAnsi="Arial" w:eastAsia="Arial" w:cs="Arial"/>
      <w:i/>
      <w:iCs/>
      <w:sz w:val="22"/>
      <w:szCs w:val="22"/>
    </w:rPr>
  </w:style>
  <w:style w:type="character" w:styleId="764" w:customStyle="1">
    <w:name w:val="Heading 9 Char"/>
    <w:link w:val="715"/>
    <w:uiPriority w:val="9"/>
    <w:qFormat/>
    <w:rPr>
      <w:rFonts w:ascii="Arial" w:hAnsi="Arial" w:eastAsia="Arial" w:cs="Arial"/>
      <w:i/>
      <w:iCs/>
      <w:sz w:val="21"/>
      <w:szCs w:val="21"/>
    </w:rPr>
  </w:style>
  <w:style w:type="paragraph" w:styleId="765">
    <w:name w:val="No Spacing"/>
    <w:uiPriority w:val="1"/>
    <w:qFormat/>
    <w:pPr>
      <w:spacing w:before="0" w:after="0" w:line="240" w:lineRule="auto"/>
    </w:pPr>
    <w:rPr>
      <w:rFonts w:hint="default" w:ascii="Times New Roman" w:hAnsi="Times New Roman" w:eastAsia="宋体" w:cs="Times New Roman"/>
    </w:rPr>
  </w:style>
  <w:style w:type="character" w:styleId="766" w:customStyle="1">
    <w:name w:val="Title Char"/>
    <w:link w:val="745"/>
    <w:uiPriority w:val="10"/>
    <w:qFormat/>
    <w:rPr>
      <w:sz w:val="48"/>
      <w:szCs w:val="48"/>
    </w:rPr>
  </w:style>
  <w:style w:type="character" w:styleId="767" w:customStyle="1">
    <w:name w:val="Subtitle Char"/>
    <w:link w:val="738"/>
    <w:uiPriority w:val="11"/>
    <w:qFormat/>
    <w:rPr>
      <w:sz w:val="24"/>
      <w:szCs w:val="24"/>
    </w:rPr>
  </w:style>
  <w:style w:type="paragraph" w:styleId="768">
    <w:name w:val="Quote"/>
    <w:basedOn w:val="706"/>
    <w:next w:val="706"/>
    <w:link w:val="769"/>
    <w:uiPriority w:val="29"/>
    <w:qFormat/>
    <w:pPr>
      <w:ind w:left="720" w:right="720"/>
    </w:pPr>
    <w:rPr>
      <w:i/>
    </w:rPr>
  </w:style>
  <w:style w:type="character" w:styleId="769" w:customStyle="1">
    <w:name w:val="Quote Char"/>
    <w:link w:val="768"/>
    <w:uiPriority w:val="29"/>
    <w:qFormat/>
    <w:rPr>
      <w:i/>
    </w:rPr>
  </w:style>
  <w:style w:type="paragraph" w:styleId="770">
    <w:name w:val="Intense Quote"/>
    <w:basedOn w:val="706"/>
    <w:next w:val="706"/>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Intense Quote Char"/>
    <w:link w:val="770"/>
    <w:uiPriority w:val="30"/>
    <w:qFormat/>
    <w:rPr>
      <w:i/>
    </w:rPr>
  </w:style>
  <w:style w:type="character" w:styleId="772" w:customStyle="1">
    <w:name w:val="Header Char"/>
    <w:link w:val="735"/>
    <w:uiPriority w:val="99"/>
    <w:qFormat/>
  </w:style>
  <w:style w:type="character" w:styleId="773" w:customStyle="1">
    <w:name w:val="Footer Char"/>
    <w:link w:val="734"/>
    <w:uiPriority w:val="99"/>
    <w:qFormat/>
  </w:style>
  <w:style w:type="character" w:styleId="774" w:customStyle="1">
    <w:name w:val="Caption Char"/>
    <w:link w:val="734"/>
    <w:uiPriority w:val="99"/>
    <w:qFormat/>
  </w:style>
  <w:style w:type="table" w:styleId="7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Footnote Text Char"/>
    <w:link w:val="739"/>
    <w:uiPriority w:val="99"/>
    <w:qFormat/>
    <w:rPr>
      <w:sz w:val="18"/>
    </w:rPr>
  </w:style>
  <w:style w:type="character" w:styleId="901" w:customStyle="1">
    <w:name w:val="Endnote Text Char"/>
    <w:link w:val="733"/>
    <w:uiPriority w:val="99"/>
    <w:qFormat/>
    <w:rPr>
      <w:sz w:val="20"/>
    </w:rPr>
  </w:style>
  <w:style w:type="paragraph" w:styleId="902" w:customStyle="1">
    <w:name w:val="TOC Heading"/>
    <w:uiPriority w:val="39"/>
    <w:unhideWhenUsed/>
    <w:qFormat/>
    <w:rPr>
      <w:rFonts w:hint="default" w:ascii="Times New Roman" w:hAnsi="Times New Roman" w:eastAsia="宋体" w:cs="Times New Roman"/>
    </w:rPr>
  </w:style>
  <w:style w:type="paragraph" w:styleId="903" w:customStyle="1">
    <w:name w:val="标题 11"/>
    <w:basedOn w:val="706"/>
    <w:next w:val="706"/>
    <w:link w:val="908"/>
    <w:uiPriority w:val="0"/>
    <w:qFormat/>
    <w:pPr>
      <w:jc w:val="left"/>
      <w:keepNext/>
      <w:spacing w:before="240" w:after="240"/>
      <w:tabs>
        <w:tab w:val="left" w:pos="1440" w:leader="none"/>
        <w:tab w:val="left" w:pos="5670" w:leader="none"/>
      </w:tabs>
      <w:outlineLvl w:val="0"/>
    </w:pPr>
    <w:rPr>
      <w:rFonts w:ascii="黑体" w:hAnsi="Times New Roman" w:eastAsia="黑体" w:cs="Times New Roman"/>
      <w:b/>
      <w:sz w:val="24"/>
      <w:szCs w:val="28"/>
    </w:rPr>
  </w:style>
  <w:style w:type="paragraph" w:styleId="904" w:customStyle="1">
    <w:name w:val="标题 21"/>
    <w:basedOn w:val="706"/>
    <w:next w:val="706"/>
    <w:link w:val="909"/>
    <w:uiPriority w:val="0"/>
    <w:qFormat/>
    <w:pPr>
      <w:jc w:val="left"/>
      <w:keepLines/>
      <w:keepNext/>
      <w:spacing w:before="120" w:after="120"/>
      <w:outlineLvl w:val="1"/>
    </w:pPr>
    <w:rPr>
      <w:rFonts w:ascii="宋体" w:hAnsi="宋体" w:eastAsia="宋体" w:cs="Times New Roman"/>
      <w:b/>
      <w:szCs w:val="24"/>
    </w:rPr>
  </w:style>
  <w:style w:type="paragraph" w:styleId="905" w:customStyle="1">
    <w:name w:val="标题 31"/>
    <w:basedOn w:val="706"/>
    <w:next w:val="706"/>
    <w:uiPriority w:val="0"/>
    <w:qFormat/>
    <w:pPr>
      <w:keepLines/>
      <w:keepNext/>
      <w:spacing w:line="390" w:lineRule="atLeast"/>
      <w:shd w:val="clear" w:color="auto" w:fill="ffffff"/>
      <w:outlineLvl w:val="2"/>
    </w:pPr>
    <w:rPr>
      <w:rFonts w:ascii="宋体" w:hAnsi="宋体" w:eastAsia="宋体" w:cs="Times New Roman"/>
      <w:b/>
      <w:szCs w:val="21"/>
    </w:rPr>
  </w:style>
  <w:style w:type="character" w:styleId="906" w:customStyle="1">
    <w:name w:val="默认段落字体1"/>
    <w:link w:val="706"/>
    <w:uiPriority w:val="0"/>
    <w:semiHidden/>
    <w:qFormat/>
  </w:style>
  <w:style w:type="table" w:styleId="907" w:customStyle="1">
    <w:name w:val="普通表格1"/>
    <w:uiPriority w:val="0"/>
    <w:semiHidden/>
    <w:qFormat/>
    <w:tblPr/>
  </w:style>
  <w:style w:type="character" w:styleId="908" w:customStyle="1">
    <w:name w:val="标题 1 字符"/>
    <w:link w:val="903"/>
    <w:uiPriority w:val="0"/>
    <w:qFormat/>
    <w:rPr>
      <w:rFonts w:ascii="黑体" w:hAnsi="Times New Roman" w:eastAsia="黑体" w:cs="Times New Roman"/>
      <w:b/>
      <w:sz w:val="24"/>
      <w:szCs w:val="28"/>
    </w:rPr>
  </w:style>
  <w:style w:type="character" w:styleId="909" w:customStyle="1">
    <w:name w:val="标题 2 字符"/>
    <w:link w:val="904"/>
    <w:uiPriority w:val="0"/>
    <w:qFormat/>
    <w:rPr>
      <w:rFonts w:ascii="宋体" w:hAnsi="宋体" w:eastAsia="宋体" w:cs="Times New Roman"/>
      <w:b/>
      <w:szCs w:val="24"/>
    </w:rPr>
  </w:style>
  <w:style w:type="paragraph" w:styleId="910" w:customStyle="1">
    <w:name w:val="正文缩进1"/>
    <w:basedOn w:val="706"/>
    <w:uiPriority w:val="0"/>
    <w:qFormat/>
    <w:pPr>
      <w:ind w:firstLine="420"/>
    </w:pPr>
    <w:rPr>
      <w:rFonts w:ascii="Times New Roman" w:hAnsi="Times New Roman" w:eastAsia="宋体" w:cs="Times New Roman"/>
    </w:rPr>
  </w:style>
  <w:style w:type="paragraph" w:styleId="911" w:customStyle="1">
    <w:name w:val="正文文本11"/>
    <w:basedOn w:val="706"/>
    <w:next w:val="706"/>
    <w:uiPriority w:val="0"/>
    <w:qFormat/>
    <w:rPr>
      <w:rFonts w:ascii="楷体_GB2312" w:hAnsi="Arial" w:eastAsia="楷体_GB2312" w:cs="Times New Roman"/>
      <w:sz w:val="28"/>
    </w:rPr>
  </w:style>
  <w:style w:type="paragraph" w:styleId="912" w:customStyle="1">
    <w:name w:val="正文文本缩进1"/>
    <w:basedOn w:val="706"/>
    <w:next w:val="913"/>
    <w:uiPriority w:val="0"/>
    <w:qFormat/>
    <w:pPr>
      <w:ind w:firstLine="645"/>
    </w:pPr>
    <w:rPr>
      <w:rFonts w:ascii="楷体_GB2312" w:eastAsia="楷体_GB2312" w:cs="Times New Roman"/>
      <w:sz w:val="32"/>
      <w:lang w:val="en-US"/>
    </w:rPr>
  </w:style>
  <w:style w:type="paragraph" w:styleId="913" w:customStyle="1">
    <w:name w:val="寄信人地址1"/>
    <w:basedOn w:val="706"/>
    <w:uiPriority w:val="0"/>
    <w:qFormat/>
    <w:rPr>
      <w:rFonts w:ascii="Arial" w:hAnsi="Arial" w:cs="宋体"/>
    </w:rPr>
  </w:style>
  <w:style w:type="paragraph" w:styleId="914" w:customStyle="1">
    <w:name w:val="纯文本1"/>
    <w:basedOn w:val="706"/>
    <w:uiPriority w:val="0"/>
    <w:qFormat/>
    <w:rPr>
      <w:rFonts w:ascii="宋体" w:hAnsi="Courier New" w:eastAsia="宋体" w:cs="Times New Roman"/>
    </w:rPr>
  </w:style>
  <w:style w:type="paragraph" w:styleId="915" w:customStyle="1">
    <w:name w:val="页脚1"/>
    <w:basedOn w:val="706"/>
    <w:uiPriority w:val="0"/>
    <w:qFormat/>
    <w:pPr>
      <w:jc w:val="left"/>
      <w:tabs>
        <w:tab w:val="center" w:pos="4153" w:leader="none"/>
        <w:tab w:val="right" w:pos="8306" w:leader="none"/>
      </w:tabs>
    </w:pPr>
    <w:rPr>
      <w:rFonts w:ascii="Times New Roman" w:hAnsi="Times New Roman" w:eastAsia="宋体" w:cs="Times New Roman"/>
      <w:sz w:val="18"/>
    </w:rPr>
  </w:style>
  <w:style w:type="paragraph" w:styleId="916" w:customStyle="1">
    <w:name w:val="页眉1"/>
    <w:basedOn w:val="70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917" w:customStyle="1">
    <w:name w:val="目录 11"/>
    <w:basedOn w:val="706"/>
    <w:next w:val="706"/>
    <w:uiPriority w:val="39"/>
    <w:unhideWhenUsed/>
    <w:qFormat/>
    <w:pPr>
      <w:ind w:firstLine="200"/>
      <w:jc w:val="left"/>
      <w:spacing w:before="120" w:after="120" w:line="400" w:lineRule="exact"/>
      <w:tabs>
        <w:tab w:val="right" w:pos="8720" w:leader="dot"/>
      </w:tabs>
    </w:pPr>
    <w:rPr>
      <w:rFonts w:ascii="宋体" w:hAnsi="宋体"/>
      <w:caps/>
      <w:sz w:val="24"/>
      <w:szCs w:val="24"/>
    </w:rPr>
  </w:style>
  <w:style w:type="paragraph" w:styleId="918" w:customStyle="1">
    <w:name w:val="标题1"/>
    <w:basedOn w:val="706"/>
    <w:uiPriority w:val="0"/>
    <w:qFormat/>
    <w:pPr>
      <w:jc w:val="center"/>
      <w:spacing w:line="420" w:lineRule="exact"/>
      <w:widowControl/>
    </w:pPr>
    <w:rPr>
      <w:rFonts w:ascii="Times New Roman" w:hAnsi="Times New Roman" w:eastAsia="黑体" w:cs="Times New Roman"/>
      <w:b/>
      <w:sz w:val="28"/>
      <w:lang w:val="en-GB"/>
    </w:rPr>
  </w:style>
  <w:style w:type="paragraph" w:styleId="919" w:customStyle="1">
    <w:name w:val="正文首行缩进1"/>
    <w:basedOn w:val="911"/>
    <w:uiPriority w:val="99"/>
    <w:qFormat/>
    <w:pPr>
      <w:ind w:firstLine="420"/>
    </w:pPr>
    <w:rPr>
      <w:rFonts w:ascii="Times New Roman" w:hAnsi="Times New Roman"/>
      <w:szCs w:val="24"/>
    </w:rPr>
  </w:style>
  <w:style w:type="paragraph" w:styleId="920" w:customStyle="1">
    <w:name w:val="正文首行缩进 21"/>
    <w:basedOn w:val="912"/>
    <w:next w:val="706"/>
    <w:uiPriority w:val="0"/>
    <w:qFormat/>
    <w:pPr>
      <w:ind w:firstLine="420"/>
    </w:pPr>
  </w:style>
  <w:style w:type="table" w:styleId="921" w:customStyle="1">
    <w:name w:val="网格型1"/>
    <w:basedOn w:val="907"/>
    <w:uiPriority w:val="0"/>
    <w:qFormat/>
    <w:pPr>
      <w:jc w:val="both"/>
      <w:widowControl w:val="off"/>
    </w:pPr>
    <w:rPr>
      <w:rFonts w:ascii="Times New Roman" w:hAnsi="Times New Roman" w:eastAsia="宋体" w:cs="Times New Roman"/>
    </w:rPr>
    <w:tblPr/>
  </w:style>
  <w:style w:type="character" w:styleId="922" w:customStyle="1">
    <w:name w:val="页码1"/>
    <w:link w:val="706"/>
    <w:uiPriority w:val="0"/>
    <w:qFormat/>
    <w:rPr>
      <w:rFonts w:ascii="Times New Roman" w:hAnsi="Times New Roman" w:eastAsia="宋体" w:cs="Times New Roman"/>
    </w:rPr>
  </w:style>
  <w:style w:type="character" w:styleId="923" w:customStyle="1">
    <w:name w:val="超链接1"/>
    <w:link w:val="706"/>
    <w:uiPriority w:val="0"/>
    <w:qFormat/>
    <w:rPr>
      <w:color w:val="0000ff"/>
      <w:u w:val="single"/>
    </w:rPr>
  </w:style>
  <w:style w:type="paragraph" w:styleId="924" w:customStyle="1">
    <w:name w:val="正文文本1"/>
    <w:basedOn w:val="706"/>
    <w:next w:val="925"/>
    <w:uiPriority w:val="0"/>
    <w:qFormat/>
    <w:pPr>
      <w:jc w:val="center"/>
    </w:pPr>
    <w:rPr>
      <w:rFonts w:ascii="方正大黑简体" w:eastAsia="方正大黑简体"/>
      <w:position w:val="6"/>
      <w:sz w:val="30"/>
      <w:szCs w:val="20"/>
    </w:rPr>
  </w:style>
  <w:style w:type="paragraph" w:styleId="925" w:customStyle="1">
    <w:name w:val="xl27"/>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eastAsia="PMingLiU" w:cs="Times New Roman"/>
      <w:sz w:val="16"/>
      <w:szCs w:val="16"/>
      <w:lang w:eastAsia="zh-TW"/>
    </w:rPr>
  </w:style>
  <w:style w:type="character" w:styleId="926" w:customStyle="1">
    <w:name w:val="NormalCharacter1"/>
    <w:link w:val="706"/>
    <w:uiPriority w:val="0"/>
    <w:qFormat/>
    <w:rPr>
      <w:rFonts w:ascii="Times New Roman" w:hAnsi="Times New Roman" w:eastAsia="宋体" w:cs="Times New Roman"/>
      <w:sz w:val="21"/>
      <w:lang w:val="en-US" w:eastAsia="zh-CN" w:bidi="ar-SA"/>
    </w:rPr>
  </w:style>
  <w:style w:type="paragraph" w:styleId="927">
    <w:name w:val="List Paragraph"/>
    <w:basedOn w:val="706"/>
    <w:uiPriority w:val="0"/>
    <w:qFormat/>
    <w:pPr>
      <w:ind w:firstLine="420"/>
    </w:pPr>
    <w:rPr>
      <w:rFonts w:ascii="Times New Roman" w:hAnsi="Times New Roman" w:eastAsia="宋体" w:cs="Times New Roman"/>
      <w:szCs w:val="24"/>
    </w:rPr>
  </w:style>
  <w:style w:type="paragraph" w:styleId="928"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29" w:customStyle="1">
    <w:name w:val="标题二级"/>
    <w:basedOn w:val="706"/>
    <w:uiPriority w:val="0"/>
    <w:qFormat/>
    <w:pPr>
      <w:ind w:firstLine="412"/>
    </w:pPr>
    <w:rPr>
      <w:rFonts w:ascii="宋体" w:hAnsi="宋体"/>
      <w:szCs w:val="21"/>
    </w:rPr>
  </w:style>
  <w:style w:type="paragraph" w:styleId="930" w:customStyle="1">
    <w:name w:val="正文1"/>
    <w:basedOn w:val="706"/>
    <w:next w:val="706"/>
    <w:uiPriority w:val="0"/>
    <w:qFormat/>
    <w:pPr>
      <w:ind w:firstLine="510"/>
      <w:spacing w:before="156" w:line="360" w:lineRule="auto"/>
    </w:pPr>
    <w:rPr>
      <w:rFonts w:ascii="Times New Roman" w:hAnsi="Times New Roman" w:eastAsia="宋体" w:cs="Times New Roman"/>
      <w:sz w:val="24"/>
    </w:rPr>
  </w:style>
  <w:style w:type="paragraph" w:styleId="931" w:customStyle="1">
    <w:name w:val="索引 41"/>
    <w:basedOn w:val="706"/>
    <w:next w:val="706"/>
    <w:uiPriority w:val="0"/>
    <w:semiHidden/>
    <w:qFormat/>
    <w:pPr>
      <w:ind w:left="1260"/>
    </w:pPr>
    <w:rPr>
      <w:rFonts w:ascii="Calibri" w:hAnsi="Calibri" w:eastAsia="Calibri" w:cs="宋体"/>
      <w:sz w:val="20"/>
      <w:lang w:val="zh-CN"/>
    </w:rPr>
  </w:style>
  <w:style w:type="paragraph" w:styleId="932" w:customStyle="1">
    <w:name w:val="Table Paragraph"/>
    <w:basedOn w:val="706"/>
    <w:uiPriority w:val="1"/>
    <w:qFormat/>
    <w:rPr>
      <w:szCs w:val="24"/>
    </w:rPr>
  </w:style>
  <w:style w:type="paragraph" w:styleId="933" w:customStyle="1">
    <w:name w:val="样式"/>
    <w:basedOn w:val="706"/>
    <w:uiPriority w:val="0"/>
    <w:qFormat/>
    <w:pPr>
      <w:spacing w:before="120" w:after="120" w:line="360" w:lineRule="auto"/>
    </w:pPr>
    <w:rPr>
      <w:rFonts w:ascii="宋体"/>
      <w:sz w:val="24"/>
    </w:rPr>
  </w:style>
  <w:style w:type="paragraph" w:styleId="934" w:customStyle="1">
    <w:name w:val="样式 标题 3 + (中文) 黑体 小四 非加粗 段前: 7.8 磅 段后: 0 磅 行距: 固定值 20 磅"/>
    <w:basedOn w:val="905"/>
    <w:uiPriority w:val="0"/>
    <w:qFormat/>
    <w:pPr>
      <w:numPr>
        <w:ilvl w:val="0"/>
        <w:numId w:val="0"/>
      </w:numPr>
      <w:spacing w:before="0" w:after="0" w:line="400" w:lineRule="exact"/>
    </w:pPr>
    <w:rPr>
      <w:rFonts w:eastAsia="黑体"/>
      <w:b w:val="0"/>
      <w:sz w:val="24"/>
      <w:szCs w:val="20"/>
    </w:rPr>
  </w:style>
  <w:style w:type="character" w:styleId="935" w:customStyle="1">
    <w:name w:val="NormalCharacter11"/>
    <w:link w:val="706"/>
    <w:uiPriority w:val="0"/>
    <w:semiHidden/>
    <w:qFormat/>
  </w:style>
  <w:style w:type="paragraph" w:styleId="936"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37" w:customStyle="1">
    <w:name w:val="列出段落2"/>
    <w:basedOn w:val="706"/>
    <w:uiPriority w:val="99"/>
    <w:qFormat/>
    <w:pPr>
      <w:ind w:firstLine="420"/>
    </w:pPr>
  </w:style>
  <w:style w:type="paragraph" w:styleId="938" w:customStyle="1">
    <w:name w:val="列出段落1"/>
    <w:basedOn w:val="706"/>
    <w:uiPriority w:val="99"/>
    <w:qFormat/>
    <w:pPr>
      <w:ind w:firstLine="420"/>
    </w:pPr>
  </w:style>
  <w:style w:type="paragraph" w:styleId="939" w:customStyle="1">
    <w:name w:val="Table Text"/>
    <w:basedOn w:val="706"/>
    <w:uiPriority w:val="0"/>
    <w:semiHidden/>
    <w:qFormat/>
    <w:rPr>
      <w:rFonts w:ascii="宋体" w:hAnsi="宋体" w:eastAsia="宋体" w:cs="宋体"/>
    </w:rPr>
  </w:style>
  <w:style w:type="table" w:styleId="940" w:customStyle="1">
    <w:name w:val="Table Normal"/>
    <w:uiPriority w:val="0"/>
    <w:qFormat/>
    <w:tblPr/>
  </w:style>
  <w:style w:type="paragraph" w:styleId="941" w:customStyle="1">
    <w:name w:val="正文（规范）"/>
    <w:basedOn w:val="706"/>
    <w:uiPriority w:val="0"/>
    <w:qFormat/>
    <w:pPr>
      <w:ind w:firstLine="480"/>
      <w:jc w:val="both"/>
      <w:spacing w:line="360" w:lineRule="auto"/>
    </w:pPr>
    <w:rPr>
      <w:rFonts w:ascii="Times New Roman" w:hAnsi="Times New Roman" w:cs="Times New Roman"/>
    </w:rPr>
  </w:style>
  <w:style w:type="paragraph" w:styleId="942" w:customStyle="1">
    <w:name w:val="图题"/>
    <w:basedOn w:val="943"/>
    <w:uiPriority w:val="0"/>
    <w:qFormat/>
    <w:pPr>
      <w:spacing w:after="156"/>
    </w:pPr>
  </w:style>
  <w:style w:type="paragraph" w:styleId="943" w:customStyle="1">
    <w:name w:val="图名"/>
    <w:basedOn w:val="706"/>
    <w:uiPriority w:val="0"/>
    <w:qFormat/>
    <w:pPr>
      <w:jc w:val="center"/>
      <w:spacing w:after="50"/>
    </w:pPr>
    <w:rPr>
      <w:rFonts w:ascii="Times New Roman" w:hAnsi="Times New Roman" w:cs="Times New Roman"/>
      <w:b/>
      <w:sz w:val="22"/>
      <w:szCs w:val="22"/>
    </w:rPr>
  </w:style>
  <w:style w:type="paragraph" w:styleId="944" w:customStyle="1">
    <w:name w:val="正文（仿宋4号）"/>
    <w:basedOn w:val="941"/>
    <w:uiPriority w:val="0"/>
    <w:qFormat/>
  </w:style>
  <w:style w:type="paragraph" w:styleId="945" w:customStyle="1">
    <w:name w:val="表题"/>
    <w:basedOn w:val="946"/>
    <w:uiPriority w:val="0"/>
    <w:qFormat/>
    <w:pPr>
      <w:spacing w:before="156"/>
    </w:pPr>
  </w:style>
  <w:style w:type="paragraph" w:styleId="946" w:customStyle="1">
    <w:name w:val="表名"/>
    <w:basedOn w:val="706"/>
    <w:uiPriority w:val="0"/>
    <w:qFormat/>
    <w:pPr>
      <w:jc w:val="center"/>
      <w:spacing w:before="50"/>
    </w:pPr>
    <w:rPr>
      <w:rFonts w:ascii="Times New Roman" w:hAnsi="Times New Roman" w:cs="Times New Roman"/>
      <w:b/>
      <w:sz w:val="22"/>
      <w:szCs w:val="22"/>
    </w:rPr>
  </w:style>
  <w:style w:type="paragraph" w:styleId="947" w:customStyle="1">
    <w:name w:val="表文"/>
    <w:basedOn w:val="731"/>
    <w:uiPriority w:val="0"/>
    <w:qFormat/>
    <w:pPr>
      <w:jc w:val="center"/>
      <w:spacing w:line="240" w:lineRule="auto"/>
      <w:widowControl w:val="off"/>
    </w:pPr>
    <w:rPr>
      <w:rFonts w:ascii="Times New Roman" w:hAnsi="Times New Roman" w:eastAsia="宋体" w:cs="Courier New"/>
      <w:color w:val="000000"/>
      <w:sz w:val="21"/>
      <w:szCs w:val="20"/>
    </w:rPr>
  </w:style>
  <w:style w:type="character" w:styleId="948" w:customStyle="1">
    <w:name w:val="font21"/>
    <w:basedOn w:val="716"/>
    <w:uiPriority w:val="0"/>
    <w:qFormat/>
    <w:rPr>
      <w:rFonts w:hint="eastAsia" w:ascii="宋体" w:hAnsi="宋体" w:eastAsia="宋体" w:cs="宋体"/>
      <w:b/>
      <w:bCs/>
      <w:color w:val="ff0000"/>
      <w:sz w:val="24"/>
      <w:szCs w:val="24"/>
      <w:u w:val="none"/>
    </w:rPr>
  </w:style>
  <w:style w:type="character" w:styleId="949" w:customStyle="1">
    <w:name w:val="font51"/>
    <w:basedOn w:val="716"/>
    <w:uiPriority w:val="0"/>
    <w:qFormat/>
    <w:rPr>
      <w:rFonts w:hint="eastAsia" w:ascii="宋体" w:hAnsi="宋体" w:eastAsia="宋体" w:cs="宋体"/>
      <w:color w:val="000000"/>
      <w:sz w:val="24"/>
      <w:szCs w:val="24"/>
      <w:u w:val="none"/>
    </w:rPr>
  </w:style>
  <w:style w:type="paragraph" w:styleId="950" w:customStyle="1">
    <w:name w:val="B表格正文"/>
    <w:uiPriority w:val="0"/>
    <w:qFormat/>
    <w:rPr>
      <w:rFonts w:ascii="Calibri" w:hAnsi="Calibri" w:eastAsia="黑体" w:cs="Times New Roman"/>
      <w:sz w:val="21"/>
      <w:szCs w:val="21"/>
      <w:lang w:val="en-US" w:eastAsia="zh-CN" w:bidi="ar-SA"/>
    </w:rPr>
  </w:style>
  <w:style w:type="character" w:styleId="951" w:customStyle="1">
    <w:name w:val="NormalCharacter"/>
    <w:uiPriority w:val="0"/>
    <w:semiHidden/>
    <w:qFormat/>
  </w:style>
  <w:style w:type="character" w:styleId="952" w:customStyle="1">
    <w:name w:val="标题 1 Char"/>
    <w:basedOn w:val="716"/>
    <w:link w:val="707"/>
    <w:uiPriority w:val="0"/>
    <w:qFormat/>
    <w:rPr>
      <w:rFonts w:ascii="黑体" w:hAnsi="Times New Roman" w:eastAsia="仿宋" w:cs="Times New Roman"/>
      <w:b/>
      <w:sz w:val="24"/>
      <w:szCs w:val="28"/>
    </w:rPr>
  </w:style>
  <w:style w:type="paragraph" w:styleId="953" w:customStyle="1">
    <w:name w:val="正文文本缩进11"/>
    <w:basedOn w:val="706"/>
    <w:next w:val="954"/>
    <w:uiPriority w:val="0"/>
    <w:unhideWhenUsed/>
    <w:qFormat/>
    <w:pPr>
      <w:ind w:left="420"/>
      <w:spacing w:after="120"/>
    </w:pPr>
  </w:style>
  <w:style w:type="paragraph" w:styleId="954" w:customStyle="1">
    <w:name w:val="正文首行缩进 211"/>
    <w:basedOn w:val="953"/>
    <w:uiPriority w:val="0"/>
    <w:qFormat/>
    <w:pPr>
      <w:ind w:left="0" w:firstLine="420"/>
      <w:spacing w:after="0" w:line="360" w:lineRule="auto"/>
    </w:pPr>
    <w:rPr>
      <w:szCs w:val="20"/>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56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6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802"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80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79"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794" TargetMode="External"/><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李晓</dc:creator>
  <cp:lastModifiedBy>许帅</cp:lastModifiedBy>
  <cp:revision>17</cp:revision>
  <dcterms:created xsi:type="dcterms:W3CDTF">2023-06-13T03:19:00Z</dcterms:created>
  <dcterms:modified xsi:type="dcterms:W3CDTF">2026-04-02T01:49:33Z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6918F9FB50C947B095FB2994AB5D6EAC_13</vt:lpwstr>
  </property>
  <property fmtid="{D5CDD505-2E9C-101B-9397-08002B2CF9AE}" pid="4" name="KSOTemplateDocerSaveRecord">
    <vt:lpwstr>eyJoZGlkIjoiZjE4MjZlMmE1ZWRiNGI2ZTc5Y2FjYTM2Y2MxZjUxOTUiLCJ1c2VySWQiOiI0MjYwOTEyNzYifQ==</vt:lpwstr>
  </property>
</Properties>
</file>