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1C9FAB">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color w:val="auto"/>
        </w:rPr>
      </w:pPr>
      <w:r>
        <w:rPr>
          <w:rFonts w:ascii="宋体" w:hAnsi="宋体" w:eastAsia="宋体" w:cs="宋体"/>
          <w:b/>
          <w:color w:val="auto"/>
          <w:sz w:val="24"/>
        </w:rPr>
        <w:t> </w:t>
      </w:r>
    </w:p>
    <w:p w14:paraId="35403E67">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color w:val="auto"/>
        </w:rPr>
      </w:pPr>
      <w:r>
        <w:rPr>
          <w:rFonts w:ascii="宋体" w:hAnsi="宋体" w:eastAsia="宋体" w:cs="宋体"/>
          <w:b/>
          <w:color w:val="auto"/>
          <w:sz w:val="24"/>
        </w:rPr>
        <w:t> </w:t>
      </w:r>
    </w:p>
    <w:p w14:paraId="016EEECE">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Times New Roman" w:hAnsi="Times New Roman" w:eastAsia="Times New Roman" w:cs="Times New Roman"/>
          <w:color w:val="auto"/>
          <w:sz w:val="21"/>
        </w:rPr>
        <w:t> </w:t>
      </w:r>
    </w:p>
    <w:p w14:paraId="1070F536">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jc w:val="center"/>
        <w:rPr>
          <w:color w:val="auto"/>
        </w:rPr>
      </w:pPr>
      <w:r>
        <w:rPr>
          <w:rFonts w:ascii="宋体" w:hAnsi="宋体" w:eastAsia="宋体" w:cs="宋体"/>
          <w:b/>
          <w:color w:val="auto"/>
          <w:sz w:val="48"/>
        </w:rPr>
        <w:t> </w:t>
      </w:r>
    </w:p>
    <w:p w14:paraId="48195E5C">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jc w:val="both"/>
        <w:rPr>
          <w:color w:val="auto"/>
        </w:rPr>
      </w:pPr>
      <w:r>
        <w:rPr>
          <w:rFonts w:ascii="宋体" w:hAnsi="宋体" w:eastAsia="宋体" w:cs="宋体"/>
          <w:b/>
          <w:color w:val="auto"/>
          <w:sz w:val="32"/>
        </w:rPr>
        <w:t> </w:t>
      </w:r>
    </w:p>
    <w:p w14:paraId="5ED96F3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b/>
          <w:color w:val="auto"/>
          <w:sz w:val="72"/>
        </w:rPr>
        <w:t>公开招标文件</w:t>
      </w:r>
    </w:p>
    <w:p w14:paraId="58FF34B5">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1446"/>
        <w:jc w:val="both"/>
        <w:rPr>
          <w:color w:val="auto"/>
        </w:rPr>
      </w:pPr>
      <w:r>
        <w:rPr>
          <w:rFonts w:ascii="宋体" w:hAnsi="宋体" w:eastAsia="宋体" w:cs="宋体"/>
          <w:b/>
          <w:color w:val="auto"/>
          <w:sz w:val="36"/>
        </w:rPr>
        <w:t> </w:t>
      </w:r>
    </w:p>
    <w:p w14:paraId="66AC323C">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1446"/>
        <w:jc w:val="both"/>
        <w:rPr>
          <w:color w:val="auto"/>
        </w:rPr>
      </w:pPr>
      <w:r>
        <w:rPr>
          <w:rFonts w:ascii="宋体" w:hAnsi="宋体" w:eastAsia="宋体" w:cs="宋体"/>
          <w:b/>
          <w:color w:val="auto"/>
          <w:sz w:val="36"/>
        </w:rPr>
        <w:t> </w:t>
      </w:r>
    </w:p>
    <w:p w14:paraId="591C505B">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1446"/>
        <w:jc w:val="both"/>
        <w:rPr>
          <w:color w:val="auto"/>
        </w:rPr>
      </w:pPr>
      <w:r>
        <w:rPr>
          <w:rFonts w:ascii="宋体" w:hAnsi="宋体" w:eastAsia="宋体" w:cs="宋体"/>
          <w:b/>
          <w:color w:val="auto"/>
          <w:sz w:val="36"/>
        </w:rPr>
        <w:t> </w:t>
      </w:r>
    </w:p>
    <w:p w14:paraId="08E4D524">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1446"/>
        <w:jc w:val="both"/>
        <w:rPr>
          <w:color w:val="auto"/>
        </w:rPr>
      </w:pPr>
      <w:r>
        <w:rPr>
          <w:rFonts w:ascii="宋体" w:hAnsi="宋体" w:eastAsia="宋体" w:cs="宋体"/>
          <w:b/>
          <w:color w:val="auto"/>
          <w:sz w:val="36"/>
        </w:rPr>
        <w:t> </w:t>
      </w:r>
    </w:p>
    <w:p w14:paraId="0FD16D74">
      <w:pPr>
        <w:pBdr>
          <w:top w:val="none" w:color="000000" w:sz="0" w:space="0"/>
          <w:left w:val="none" w:color="000000" w:sz="0" w:space="0"/>
          <w:bottom w:val="none" w:color="000000" w:sz="0" w:space="0"/>
          <w:right w:val="none" w:color="000000" w:sz="0" w:space="0"/>
        </w:pBdr>
        <w:spacing w:before="0" w:after="0" w:line="85" w:lineRule="atLeast"/>
        <w:ind w:left="0" w:right="0" w:firstLine="1084"/>
        <w:rPr>
          <w:rFonts w:hint="eastAsia" w:eastAsia="宋体"/>
          <w:color w:val="0000FF"/>
          <w:lang w:eastAsia="zh-CN"/>
        </w:rPr>
      </w:pPr>
      <w:bookmarkStart w:id="0" w:name="_GoBack"/>
      <w:r>
        <w:rPr>
          <w:rFonts w:hint="eastAsia" w:ascii="宋体" w:hAnsi="宋体" w:cs="宋体"/>
          <w:b/>
          <w:color w:val="auto"/>
          <w:sz w:val="36"/>
          <w:lang w:eastAsia="zh-CN"/>
        </w:rPr>
        <w:t>项目编号：</w:t>
      </w:r>
      <w:bookmarkEnd w:id="0"/>
      <w:r>
        <w:rPr>
          <w:rFonts w:hint="eastAsia" w:ascii="宋体" w:hAnsi="宋体" w:cs="宋体"/>
          <w:b/>
          <w:color w:val="auto"/>
          <w:sz w:val="36"/>
          <w:lang w:eastAsia="zh-CN"/>
        </w:rPr>
        <w:t>JSZC-320113-SYXG-G2026-0001</w:t>
      </w:r>
      <w:r>
        <w:rPr>
          <w:rFonts w:hint="eastAsia" w:ascii="宋体" w:hAnsi="宋体" w:cs="宋体"/>
          <w:b/>
          <w:color w:val="auto"/>
          <w:sz w:val="36"/>
          <w:lang w:val="en-US" w:eastAsia="zh-CN"/>
        </w:rPr>
        <w:t xml:space="preserve"> </w:t>
      </w:r>
    </w:p>
    <w:p w14:paraId="0EEB821A">
      <w:pPr>
        <w:pBdr>
          <w:top w:val="none" w:color="000000" w:sz="0" w:space="0"/>
          <w:left w:val="none" w:color="000000" w:sz="0" w:space="0"/>
          <w:bottom w:val="none" w:color="000000" w:sz="0" w:space="0"/>
          <w:right w:val="none" w:color="000000" w:sz="0" w:space="0"/>
        </w:pBdr>
        <w:spacing w:before="240" w:after="240" w:line="85" w:lineRule="atLeast"/>
        <w:ind w:left="0" w:right="0" w:firstLine="1084"/>
        <w:rPr>
          <w:rFonts w:hint="eastAsia" w:eastAsia="宋体"/>
          <w:color w:val="auto"/>
          <w:lang w:eastAsia="zh-CN"/>
        </w:rPr>
      </w:pPr>
      <w:r>
        <w:rPr>
          <w:rFonts w:ascii="宋体" w:hAnsi="宋体" w:eastAsia="宋体" w:cs="宋体"/>
          <w:b/>
          <w:color w:val="auto"/>
          <w:sz w:val="36"/>
        </w:rPr>
        <w:t>项目名称：</w:t>
      </w:r>
      <w:r>
        <w:rPr>
          <w:rFonts w:hint="eastAsia" w:ascii="宋体" w:hAnsi="宋体" w:cs="宋体"/>
          <w:b/>
          <w:color w:val="auto"/>
          <w:sz w:val="36"/>
          <w:lang w:eastAsia="zh-CN"/>
        </w:rPr>
        <w:t>仙林地区市政雨水管道养护及应急抢修服务项目</w:t>
      </w:r>
    </w:p>
    <w:p w14:paraId="238BCEE9">
      <w:pPr>
        <w:pBdr>
          <w:top w:val="none" w:color="000000" w:sz="0" w:space="0"/>
          <w:left w:val="none" w:color="000000" w:sz="0" w:space="0"/>
          <w:bottom w:val="none" w:color="000000" w:sz="0" w:space="0"/>
          <w:right w:val="none" w:color="000000" w:sz="0" w:space="0"/>
        </w:pBdr>
        <w:spacing w:before="240" w:after="240" w:line="85" w:lineRule="atLeast"/>
        <w:ind w:left="0" w:right="0" w:firstLine="1084"/>
        <w:rPr>
          <w:color w:val="auto"/>
        </w:rPr>
      </w:pPr>
      <w:r>
        <w:rPr>
          <w:rFonts w:ascii="宋体" w:hAnsi="宋体" w:eastAsia="宋体" w:cs="宋体"/>
          <w:b/>
          <w:color w:val="auto"/>
          <w:sz w:val="36"/>
        </w:rPr>
        <w:t>项目类型：服务类</w:t>
      </w:r>
    </w:p>
    <w:p w14:paraId="14223B7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b/>
          <w:color w:val="auto"/>
          <w:sz w:val="36"/>
        </w:rPr>
        <w:t> </w:t>
      </w:r>
    </w:p>
    <w:p w14:paraId="20392D6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b/>
          <w:color w:val="auto"/>
          <w:sz w:val="36"/>
        </w:rPr>
        <w:t> </w:t>
      </w:r>
    </w:p>
    <w:p w14:paraId="3E67F7A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b/>
          <w:color w:val="auto"/>
          <w:sz w:val="36"/>
        </w:rPr>
        <w:t> </w:t>
      </w:r>
    </w:p>
    <w:p w14:paraId="7648D7C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b/>
          <w:color w:val="auto"/>
          <w:sz w:val="36"/>
        </w:rPr>
        <w:t> </w:t>
      </w:r>
    </w:p>
    <w:p w14:paraId="1B1A3986">
      <w:pPr>
        <w:pBdr>
          <w:top w:val="none" w:color="000000" w:sz="0" w:space="0"/>
          <w:left w:val="none" w:color="000000" w:sz="0" w:space="0"/>
          <w:bottom w:val="none" w:color="000000" w:sz="0" w:space="0"/>
          <w:right w:val="none" w:color="000000" w:sz="0" w:space="0"/>
        </w:pBdr>
        <w:spacing w:before="240" w:after="240" w:line="85" w:lineRule="atLeast"/>
        <w:ind w:left="0" w:right="0" w:firstLine="0"/>
        <w:rPr>
          <w:color w:val="auto"/>
        </w:rPr>
      </w:pPr>
      <w:r>
        <w:rPr>
          <w:rFonts w:ascii="Times New Roman" w:hAnsi="Times New Roman" w:eastAsia="Times New Roman" w:cs="Times New Roman"/>
          <w:color w:val="auto"/>
          <w:sz w:val="24"/>
        </w:rPr>
        <w:t> </w:t>
      </w:r>
    </w:p>
    <w:p w14:paraId="5F331077">
      <w:pPr>
        <w:pBdr>
          <w:top w:val="none" w:color="000000" w:sz="0" w:space="0"/>
          <w:left w:val="none" w:color="000000" w:sz="0" w:space="0"/>
          <w:bottom w:val="none" w:color="000000" w:sz="0" w:space="0"/>
          <w:right w:val="none" w:color="000000" w:sz="0" w:space="0"/>
        </w:pBdr>
        <w:spacing w:before="0" w:after="0" w:line="85" w:lineRule="atLeast"/>
        <w:ind w:left="698" w:right="0" w:firstLine="0"/>
        <w:rPr>
          <w:rFonts w:hint="eastAsia" w:eastAsia="宋体"/>
          <w:color w:val="auto"/>
          <w:lang w:eastAsia="zh-CN"/>
        </w:rPr>
      </w:pPr>
      <w:r>
        <w:rPr>
          <w:rFonts w:ascii="宋体" w:hAnsi="宋体" w:eastAsia="宋体" w:cs="宋体"/>
          <w:b/>
          <w:color w:val="auto"/>
          <w:sz w:val="36"/>
        </w:rPr>
        <w:t>采购人：</w:t>
      </w:r>
      <w:r>
        <w:rPr>
          <w:rFonts w:hint="eastAsia" w:ascii="宋体" w:hAnsi="宋体" w:cs="宋体"/>
          <w:b/>
          <w:color w:val="auto"/>
          <w:sz w:val="36"/>
          <w:lang w:eastAsia="zh-CN"/>
        </w:rPr>
        <w:t>南京市栖霞区水务局</w:t>
      </w:r>
    </w:p>
    <w:p w14:paraId="6B454D28">
      <w:pPr>
        <w:pBdr>
          <w:top w:val="none" w:color="000000" w:sz="0" w:space="0"/>
          <w:left w:val="none" w:color="000000" w:sz="0" w:space="0"/>
          <w:bottom w:val="none" w:color="000000" w:sz="0" w:space="0"/>
          <w:right w:val="none" w:color="000000" w:sz="0" w:space="0"/>
        </w:pBdr>
        <w:spacing w:before="0" w:after="0" w:line="85" w:lineRule="atLeast"/>
        <w:ind w:left="698" w:right="0" w:firstLine="0"/>
        <w:rPr>
          <w:rFonts w:hint="eastAsia" w:eastAsia="宋体"/>
          <w:color w:val="auto"/>
          <w:lang w:eastAsia="zh-CN"/>
        </w:rPr>
      </w:pPr>
      <w:r>
        <w:rPr>
          <w:rFonts w:ascii="宋体" w:hAnsi="宋体" w:eastAsia="宋体" w:cs="宋体"/>
          <w:b/>
          <w:color w:val="auto"/>
          <w:sz w:val="36"/>
        </w:rPr>
        <w:t>采购代理机构：</w:t>
      </w:r>
      <w:r>
        <w:rPr>
          <w:rFonts w:hint="eastAsia" w:ascii="宋体" w:hAnsi="宋体" w:cs="宋体"/>
          <w:b/>
          <w:color w:val="auto"/>
          <w:sz w:val="36"/>
          <w:lang w:eastAsia="zh-CN"/>
        </w:rPr>
        <w:t>江苏苏越项目管理有限公司</w:t>
      </w:r>
    </w:p>
    <w:p w14:paraId="074E2EC8">
      <w:pPr>
        <w:pBdr>
          <w:top w:val="none" w:color="000000" w:sz="0" w:space="0"/>
          <w:left w:val="none" w:color="000000" w:sz="0" w:space="0"/>
          <w:bottom w:val="none" w:color="000000" w:sz="0" w:space="0"/>
          <w:right w:val="none" w:color="000000" w:sz="0" w:space="0"/>
        </w:pBdr>
        <w:spacing w:before="0" w:after="0" w:line="85" w:lineRule="atLeast"/>
        <w:ind w:right="1933" w:firstLine="723" w:firstLineChars="200"/>
        <w:jc w:val="both"/>
        <w:rPr>
          <w:color w:val="auto"/>
          <w:sz w:val="36"/>
          <w:szCs w:val="36"/>
        </w:rPr>
      </w:pPr>
      <w:r>
        <w:rPr>
          <w:rFonts w:ascii="宋体" w:hAnsi="宋体" w:eastAsia="宋体" w:cs="宋体"/>
          <w:b/>
          <w:color w:val="auto"/>
          <w:sz w:val="36"/>
          <w:szCs w:val="36"/>
        </w:rPr>
        <w:t>日期：2026年</w:t>
      </w:r>
      <w:r>
        <w:rPr>
          <w:rFonts w:hint="eastAsia" w:ascii="宋体" w:hAnsi="宋体" w:cs="宋体"/>
          <w:b/>
          <w:color w:val="auto"/>
          <w:sz w:val="36"/>
          <w:szCs w:val="36"/>
          <w:lang w:val="en-US" w:eastAsia="zh-CN"/>
        </w:rPr>
        <w:t>5</w:t>
      </w:r>
      <w:r>
        <w:rPr>
          <w:rFonts w:ascii="宋体" w:hAnsi="宋体" w:eastAsia="宋体" w:cs="宋体"/>
          <w:b/>
          <w:color w:val="auto"/>
          <w:sz w:val="36"/>
          <w:szCs w:val="36"/>
        </w:rPr>
        <w:t>月</w:t>
      </w:r>
    </w:p>
    <w:p w14:paraId="13882D5F">
      <w:pPr>
        <w:pBdr>
          <w:top w:val="none" w:color="000000" w:sz="0" w:space="0"/>
          <w:left w:val="none" w:color="000000" w:sz="0" w:space="0"/>
          <w:bottom w:val="none" w:color="000000" w:sz="0" w:space="0"/>
          <w:right w:val="none" w:color="000000" w:sz="0" w:space="0"/>
        </w:pBdr>
        <w:spacing w:before="0" w:after="0" w:line="85" w:lineRule="atLeast"/>
        <w:ind w:left="1572" w:right="1933" w:firstLine="0"/>
        <w:jc w:val="center"/>
        <w:rPr>
          <w:color w:val="auto"/>
        </w:rPr>
      </w:pPr>
      <w:r>
        <w:rPr>
          <w:rFonts w:ascii="黑体" w:hAnsi="黑体" w:eastAsia="黑体" w:cs="黑体"/>
          <w:color w:val="auto"/>
          <w:sz w:val="36"/>
        </w:rPr>
        <w:t> </w:t>
      </w:r>
    </w:p>
    <w:p w14:paraId="0E240279">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Times New Roman" w:hAnsi="Times New Roman" w:eastAsia="Times New Roman" w:cs="Times New Roman"/>
          <w:color w:val="auto"/>
          <w:sz w:val="21"/>
        </w:rPr>
        <w:t> </w:t>
      </w:r>
    </w:p>
    <w:p w14:paraId="7D6C335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宋体" w:hAnsi="宋体" w:eastAsia="宋体" w:cs="宋体"/>
          <w:b/>
          <w:color w:val="auto"/>
          <w:sz w:val="36"/>
        </w:rPr>
      </w:pPr>
      <w:r>
        <w:rPr>
          <w:rFonts w:ascii="宋体" w:hAnsi="宋体" w:eastAsia="宋体" w:cs="宋体"/>
          <w:b/>
          <w:color w:val="auto"/>
          <w:sz w:val="36"/>
        </w:rPr>
        <w:t> </w:t>
      </w:r>
    </w:p>
    <w:p w14:paraId="078CA4A6">
      <w:pPr>
        <w:rPr>
          <w:rFonts w:ascii="宋体" w:hAnsi="宋体" w:eastAsia="宋体" w:cs="宋体"/>
          <w:b/>
          <w:color w:val="auto"/>
          <w:sz w:val="36"/>
        </w:rPr>
      </w:pPr>
      <w:r>
        <w:rPr>
          <w:rFonts w:ascii="宋体" w:hAnsi="宋体" w:eastAsia="宋体" w:cs="宋体"/>
          <w:b/>
          <w:color w:val="auto"/>
          <w:sz w:val="36"/>
        </w:rPr>
        <w:br w:type="page"/>
      </w:r>
    </w:p>
    <w:p w14:paraId="59388E3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b/>
          <w:color w:val="auto"/>
          <w:sz w:val="36"/>
        </w:rPr>
        <w:t>目   录</w:t>
      </w:r>
    </w:p>
    <w:p w14:paraId="5ED94338">
      <w:pPr>
        <w:pBdr>
          <w:top w:val="none" w:color="000000" w:sz="0" w:space="0"/>
          <w:left w:val="none" w:color="000000" w:sz="0" w:space="0"/>
          <w:bottom w:val="none" w:color="000000" w:sz="0" w:space="0"/>
          <w:right w:val="none" w:color="000000" w:sz="0" w:space="0"/>
        </w:pBdr>
        <w:tabs>
          <w:tab w:val="left" w:pos="9746"/>
        </w:tabs>
        <w:spacing w:before="240" w:after="240" w:line="85" w:lineRule="atLeast"/>
        <w:ind w:left="0" w:right="0" w:firstLine="0"/>
        <w:rPr>
          <w:color w:val="auto"/>
        </w:rPr>
      </w:pPr>
      <w:r>
        <w:rPr>
          <w:color w:val="auto"/>
        </w:rPr>
        <w:fldChar w:fldCharType="begin"/>
      </w:r>
      <w:r>
        <w:rPr>
          <w:color w:val="auto"/>
        </w:rPr>
        <w:instrText xml:space="preserve"> HYPERLINK "http://jszfcg.jsczt.cn/jszc/onlyoffice/7.2.1-34/web-apps/apps/documenteditor/main/index_loader.html?_dc=7.2.1-34&amp;lang=zh&amp;customer=%20&amp;logo=%20&amp;headerlogo=%2Ffavicon.ico&amp;frameEditorId=iframePage&amp;compact=true&amp;parentOrigin=http://jszfcg.jsczt.cn#_Toc30229" \o "http://jszfcg.jsczt.cn/jszc/onlyoffice/7.2.1-34/web-apps/apps/documenteditor/main/index_loader.html?_dc=7.2.1-34&amp;lang=zh&amp;customer=%20&amp;logo=%20&amp;headerlogo=%2Ffavicon.ico&amp;frameEditorId=iframePage&amp;compact=true&amp;parentOrigin=http://jszfcg.jsczt.cn#_Toc30229" </w:instrText>
      </w:r>
      <w:r>
        <w:rPr>
          <w:color w:val="auto"/>
        </w:rPr>
        <w:fldChar w:fldCharType="separate"/>
      </w:r>
      <w:r>
        <w:rPr>
          <w:rStyle w:val="238"/>
          <w:rFonts w:ascii="宋体" w:hAnsi="宋体" w:eastAsia="宋体" w:cs="宋体"/>
          <w:b/>
          <w:color w:val="auto"/>
          <w:sz w:val="24"/>
          <w:u w:val="single"/>
        </w:rPr>
        <w:t>第一章 投标邀请书（招标公告）</w:t>
      </w:r>
      <w:r>
        <w:rPr>
          <w:rStyle w:val="238"/>
          <w:rFonts w:ascii="Times New Roman" w:hAnsi="Times New Roman" w:eastAsia="Times New Roman" w:cs="Times New Roman"/>
          <w:b/>
          <w:color w:val="auto"/>
          <w:sz w:val="24"/>
          <w:u w:val="single"/>
        </w:rPr>
        <w:tab/>
      </w:r>
      <w:r>
        <w:rPr>
          <w:rStyle w:val="238"/>
          <w:rFonts w:ascii="Times New Roman" w:hAnsi="Times New Roman" w:eastAsia="Times New Roman" w:cs="Times New Roman"/>
          <w:b/>
          <w:color w:val="auto"/>
          <w:sz w:val="24"/>
          <w:u w:val="single"/>
        </w:rPr>
        <w:fldChar w:fldCharType="end"/>
      </w:r>
    </w:p>
    <w:p w14:paraId="3AD530D9">
      <w:pPr>
        <w:pBdr>
          <w:top w:val="none" w:color="000000" w:sz="0" w:space="0"/>
          <w:left w:val="none" w:color="000000" w:sz="0" w:space="0"/>
          <w:bottom w:val="none" w:color="000000" w:sz="0" w:space="0"/>
          <w:right w:val="none" w:color="000000" w:sz="0" w:space="0"/>
        </w:pBdr>
        <w:tabs>
          <w:tab w:val="left" w:pos="9746"/>
        </w:tabs>
        <w:spacing w:before="240" w:after="240" w:line="85" w:lineRule="atLeast"/>
        <w:ind w:left="0" w:right="0" w:firstLine="0"/>
        <w:rPr>
          <w:color w:val="auto"/>
        </w:rPr>
      </w:pPr>
      <w:r>
        <w:rPr>
          <w:color w:val="auto"/>
        </w:rPr>
        <w:fldChar w:fldCharType="begin"/>
      </w:r>
      <w:r>
        <w:rPr>
          <w:color w:val="auto"/>
        </w:rPr>
        <w:instrText xml:space="preserve"> HYPERLINK "http://jszfcg.jsczt.cn/jszc/onlyoffice/7.2.1-34/web-apps/apps/documenteditor/main/index_loader.html?_dc=7.2.1-34&amp;lang=zh&amp;customer=%20&amp;logo=%20&amp;headerlogo=%2Ffavicon.ico&amp;frameEditorId=iframePage&amp;compact=true&amp;parentOrigin=http://jszfcg.jsczt.cn#_Toc2713" \o "http://jszfcg.jsczt.cn/jszc/onlyoffice/7.2.1-34/web-apps/apps/documenteditor/main/index_loader.html?_dc=7.2.1-34&amp;lang=zh&amp;customer=%20&amp;logo=%20&amp;headerlogo=%2Ffavicon.ico&amp;frameEditorId=iframePage&amp;compact=true&amp;parentOrigin=http://jszfcg.jsczt.cn#_Toc2713" </w:instrText>
      </w:r>
      <w:r>
        <w:rPr>
          <w:color w:val="auto"/>
        </w:rPr>
        <w:fldChar w:fldCharType="separate"/>
      </w:r>
      <w:r>
        <w:rPr>
          <w:rStyle w:val="238"/>
          <w:rFonts w:ascii="宋体" w:hAnsi="宋体" w:eastAsia="宋体" w:cs="宋体"/>
          <w:b/>
          <w:color w:val="auto"/>
          <w:sz w:val="24"/>
          <w:u w:val="single"/>
        </w:rPr>
        <w:t>第三章 评标标准</w:t>
      </w:r>
      <w:r>
        <w:rPr>
          <w:rStyle w:val="238"/>
          <w:rFonts w:ascii="Times New Roman" w:hAnsi="Times New Roman" w:eastAsia="Times New Roman" w:cs="Times New Roman"/>
          <w:b/>
          <w:color w:val="auto"/>
          <w:sz w:val="24"/>
          <w:u w:val="single"/>
        </w:rPr>
        <w:tab/>
      </w:r>
      <w:r>
        <w:rPr>
          <w:rStyle w:val="238"/>
          <w:rFonts w:ascii="Times New Roman" w:hAnsi="Times New Roman" w:eastAsia="Times New Roman" w:cs="Times New Roman"/>
          <w:b/>
          <w:color w:val="auto"/>
          <w:sz w:val="24"/>
          <w:u w:val="single"/>
        </w:rPr>
        <w:fldChar w:fldCharType="end"/>
      </w:r>
    </w:p>
    <w:p w14:paraId="1C0979B7">
      <w:pPr>
        <w:pBdr>
          <w:top w:val="none" w:color="000000" w:sz="0" w:space="0"/>
          <w:left w:val="none" w:color="000000" w:sz="0" w:space="0"/>
          <w:bottom w:val="none" w:color="000000" w:sz="0" w:space="0"/>
          <w:right w:val="none" w:color="000000" w:sz="0" w:space="0"/>
        </w:pBdr>
        <w:tabs>
          <w:tab w:val="left" w:pos="9746"/>
        </w:tabs>
        <w:spacing w:before="240" w:after="240" w:line="85" w:lineRule="atLeast"/>
        <w:ind w:left="0" w:right="0" w:firstLine="0"/>
        <w:rPr>
          <w:color w:val="auto"/>
        </w:rPr>
      </w:pPr>
      <w:r>
        <w:rPr>
          <w:color w:val="auto"/>
        </w:rPr>
        <w:fldChar w:fldCharType="begin"/>
      </w:r>
      <w:r>
        <w:rPr>
          <w:color w:val="auto"/>
        </w:rPr>
        <w:instrText xml:space="preserve"> HYPERLINK "http://jszfcg.jsczt.cn/jszc/onlyoffice/7.2.1-34/web-apps/apps/documenteditor/main/index_loader.html?_dc=7.2.1-34&amp;lang=zh&amp;customer=%20&amp;logo=%20&amp;headerlogo=%2Ffavicon.ico&amp;frameEditorId=iframePage&amp;compact=true&amp;parentOrigin=http://jszfcg.jsczt.cn#_Toc9546" \o "http://jszfcg.jsczt.cn/jszc/onlyoffice/7.2.1-34/web-apps/apps/documenteditor/main/index_loader.html?_dc=7.2.1-34&amp;lang=zh&amp;customer=%20&amp;logo=%20&amp;headerlogo=%2Ffavicon.ico&amp;frameEditorId=iframePage&amp;compact=true&amp;parentOrigin=http://jszfcg.jsczt.cn#_Toc9546" </w:instrText>
      </w:r>
      <w:r>
        <w:rPr>
          <w:color w:val="auto"/>
        </w:rPr>
        <w:fldChar w:fldCharType="separate"/>
      </w:r>
      <w:r>
        <w:rPr>
          <w:rStyle w:val="238"/>
          <w:rFonts w:ascii="宋体" w:hAnsi="宋体" w:eastAsia="宋体" w:cs="宋体"/>
          <w:b/>
          <w:color w:val="auto"/>
          <w:sz w:val="24"/>
          <w:u w:val="single"/>
        </w:rPr>
        <w:t>第四章 招标项目的技术规格、要求和数量等</w:t>
      </w:r>
      <w:r>
        <w:rPr>
          <w:rStyle w:val="238"/>
          <w:rFonts w:ascii="Times New Roman" w:hAnsi="Times New Roman" w:eastAsia="Times New Roman" w:cs="Times New Roman"/>
          <w:b/>
          <w:color w:val="auto"/>
          <w:sz w:val="24"/>
          <w:u w:val="single"/>
        </w:rPr>
        <w:tab/>
      </w:r>
      <w:r>
        <w:rPr>
          <w:rStyle w:val="238"/>
          <w:rFonts w:ascii="Times New Roman" w:hAnsi="Times New Roman" w:eastAsia="Times New Roman" w:cs="Times New Roman"/>
          <w:b/>
          <w:color w:val="auto"/>
          <w:sz w:val="24"/>
          <w:u w:val="single"/>
        </w:rPr>
        <w:fldChar w:fldCharType="end"/>
      </w:r>
    </w:p>
    <w:p w14:paraId="0824B2D9">
      <w:pPr>
        <w:pBdr>
          <w:top w:val="none" w:color="000000" w:sz="0" w:space="0"/>
          <w:left w:val="none" w:color="000000" w:sz="0" w:space="0"/>
          <w:bottom w:val="none" w:color="000000" w:sz="0" w:space="0"/>
          <w:right w:val="none" w:color="000000" w:sz="0" w:space="0"/>
        </w:pBdr>
        <w:tabs>
          <w:tab w:val="left" w:pos="9746"/>
        </w:tabs>
        <w:spacing w:before="240" w:after="240" w:line="85" w:lineRule="atLeast"/>
        <w:ind w:left="0" w:right="0" w:firstLine="0"/>
        <w:rPr>
          <w:color w:val="auto"/>
        </w:rPr>
      </w:pPr>
      <w:r>
        <w:rPr>
          <w:color w:val="auto"/>
        </w:rPr>
        <w:fldChar w:fldCharType="begin"/>
      </w:r>
      <w:r>
        <w:rPr>
          <w:color w:val="auto"/>
        </w:rPr>
        <w:instrText xml:space="preserve"> HYPERLINK "http://jszfcg.jsczt.cn/jszc/onlyoffice/7.2.1-34/web-apps/apps/documenteditor/main/index_loader.html?_dc=7.2.1-34&amp;lang=zh&amp;customer=%20&amp;logo=%20&amp;headerlogo=%2Ffavicon.ico&amp;frameEditorId=iframePage&amp;compact=true&amp;parentOrigin=http://jszfcg.jsczt.cn#_Toc17519" \o "http://jszfcg.jsczt.cn/jszc/onlyoffice/7.2.1-34/web-apps/apps/documenteditor/main/index_loader.html?_dc=7.2.1-34&amp;lang=zh&amp;customer=%20&amp;logo=%20&amp;headerlogo=%2Ffavicon.ico&amp;frameEditorId=iframePage&amp;compact=true&amp;parentOrigin=http://jszfcg.jsczt.cn#_Toc17519" </w:instrText>
      </w:r>
      <w:r>
        <w:rPr>
          <w:color w:val="auto"/>
        </w:rPr>
        <w:fldChar w:fldCharType="separate"/>
      </w:r>
      <w:r>
        <w:rPr>
          <w:rStyle w:val="238"/>
          <w:rFonts w:ascii="宋体" w:hAnsi="宋体" w:eastAsia="宋体" w:cs="宋体"/>
          <w:b/>
          <w:color w:val="auto"/>
          <w:sz w:val="24"/>
          <w:u w:val="single"/>
        </w:rPr>
        <w:t>第五章 合同主要条款及格式</w:t>
      </w:r>
      <w:r>
        <w:rPr>
          <w:rStyle w:val="238"/>
          <w:rFonts w:ascii="Times New Roman" w:hAnsi="Times New Roman" w:eastAsia="Times New Roman" w:cs="Times New Roman"/>
          <w:b/>
          <w:color w:val="auto"/>
          <w:sz w:val="24"/>
          <w:u w:val="single"/>
        </w:rPr>
        <w:tab/>
      </w:r>
      <w:r>
        <w:rPr>
          <w:rStyle w:val="238"/>
          <w:rFonts w:ascii="Times New Roman" w:hAnsi="Times New Roman" w:eastAsia="Times New Roman" w:cs="Times New Roman"/>
          <w:b/>
          <w:color w:val="auto"/>
          <w:sz w:val="24"/>
          <w:u w:val="single"/>
        </w:rPr>
        <w:fldChar w:fldCharType="end"/>
      </w:r>
    </w:p>
    <w:p w14:paraId="132F181B">
      <w:pPr>
        <w:pBdr>
          <w:top w:val="none" w:color="000000" w:sz="0" w:space="0"/>
          <w:left w:val="none" w:color="000000" w:sz="0" w:space="0"/>
          <w:bottom w:val="none" w:color="000000" w:sz="0" w:space="0"/>
          <w:right w:val="none" w:color="000000" w:sz="0" w:space="0"/>
        </w:pBdr>
        <w:tabs>
          <w:tab w:val="left" w:pos="9746"/>
        </w:tabs>
        <w:spacing w:before="240" w:after="240" w:line="85" w:lineRule="atLeast"/>
        <w:ind w:left="0" w:right="0" w:firstLine="0"/>
        <w:rPr>
          <w:color w:val="auto"/>
        </w:rPr>
      </w:pPr>
      <w:r>
        <w:rPr>
          <w:color w:val="auto"/>
        </w:rPr>
        <w:fldChar w:fldCharType="begin"/>
      </w:r>
      <w:r>
        <w:rPr>
          <w:color w:val="auto"/>
        </w:rPr>
        <w:instrText xml:space="preserve"> HYPERLINK "http://jszfcg.jsczt.cn/jszc/onlyoffice/7.2.1-34/web-apps/apps/documenteditor/main/index_loader.html?_dc=7.2.1-34&amp;lang=zh&amp;customer=%20&amp;logo=%20&amp;headerlogo=%2Ffavicon.ico&amp;frameEditorId=iframePage&amp;compact=true&amp;parentOrigin=http://jszfcg.jsczt.cn#_Toc29062" \o "http://jszfcg.jsczt.cn/jszc/onlyoffice/7.2.1-34/web-apps/apps/documenteditor/main/index_loader.html?_dc=7.2.1-34&amp;lang=zh&amp;customer=%20&amp;logo=%20&amp;headerlogo=%2Ffavicon.ico&amp;frameEditorId=iframePage&amp;compact=true&amp;parentOrigin=http://jszfcg.jsczt.cn#_Toc29062" </w:instrText>
      </w:r>
      <w:r>
        <w:rPr>
          <w:color w:val="auto"/>
        </w:rPr>
        <w:fldChar w:fldCharType="separate"/>
      </w:r>
      <w:r>
        <w:rPr>
          <w:rStyle w:val="238"/>
          <w:rFonts w:ascii="宋体" w:hAnsi="宋体" w:eastAsia="宋体" w:cs="宋体"/>
          <w:b/>
          <w:color w:val="auto"/>
          <w:sz w:val="24"/>
          <w:u w:val="single"/>
        </w:rPr>
        <w:t>第六章 附</w:t>
      </w:r>
      <w:r>
        <w:rPr>
          <w:rStyle w:val="238"/>
          <w:rFonts w:ascii="Times New Roman" w:hAnsi="Times New Roman" w:eastAsia="Times New Roman" w:cs="Times New Roman"/>
          <w:b/>
          <w:color w:val="auto"/>
          <w:sz w:val="24"/>
          <w:u w:val="single"/>
        </w:rPr>
        <w:t>    </w:t>
      </w:r>
      <w:r>
        <w:rPr>
          <w:rStyle w:val="238"/>
          <w:rFonts w:ascii="宋体" w:hAnsi="宋体" w:eastAsia="宋体" w:cs="宋体"/>
          <w:b/>
          <w:color w:val="auto"/>
          <w:sz w:val="24"/>
          <w:u w:val="single"/>
        </w:rPr>
        <w:t>件</w:t>
      </w:r>
      <w:r>
        <w:rPr>
          <w:rStyle w:val="238"/>
          <w:rFonts w:ascii="Times New Roman" w:hAnsi="Times New Roman" w:eastAsia="Times New Roman" w:cs="Times New Roman"/>
          <w:b/>
          <w:color w:val="auto"/>
          <w:sz w:val="24"/>
          <w:u w:val="single"/>
        </w:rPr>
        <w:tab/>
      </w:r>
      <w:r>
        <w:rPr>
          <w:rStyle w:val="238"/>
          <w:rFonts w:ascii="Times New Roman" w:hAnsi="Times New Roman" w:eastAsia="Times New Roman" w:cs="Times New Roman"/>
          <w:b/>
          <w:color w:val="auto"/>
          <w:sz w:val="24"/>
          <w:u w:val="single"/>
        </w:rPr>
        <w:fldChar w:fldCharType="end"/>
      </w:r>
    </w:p>
    <w:p w14:paraId="2668AD66">
      <w:pPr>
        <w:pBdr>
          <w:top w:val="none" w:color="000000" w:sz="0" w:space="0"/>
          <w:left w:val="none" w:color="000000" w:sz="0" w:space="0"/>
          <w:bottom w:val="none" w:color="000000" w:sz="0" w:space="0"/>
          <w:right w:val="none" w:color="000000" w:sz="0" w:space="0"/>
        </w:pBdr>
        <w:spacing w:before="0" w:after="0" w:line="85" w:lineRule="atLeast"/>
        <w:ind w:left="1572" w:right="1933" w:firstLine="0"/>
        <w:jc w:val="center"/>
        <w:rPr>
          <w:color w:val="auto"/>
        </w:rPr>
      </w:pPr>
      <w:r>
        <w:rPr>
          <w:rFonts w:ascii="黑体" w:hAnsi="黑体" w:eastAsia="黑体" w:cs="黑体"/>
          <w:color w:val="auto"/>
          <w:sz w:val="21"/>
        </w:rPr>
        <w:t> </w:t>
      </w:r>
    </w:p>
    <w:p w14:paraId="6E1E909A">
      <w:pPr>
        <w:pBdr>
          <w:top w:val="none" w:color="000000" w:sz="0" w:space="0"/>
          <w:left w:val="none" w:color="000000" w:sz="0" w:space="0"/>
          <w:bottom w:val="none" w:color="000000" w:sz="0" w:space="0"/>
          <w:right w:val="none" w:color="000000" w:sz="0" w:space="0"/>
        </w:pBdr>
        <w:spacing w:before="0" w:after="0" w:line="85" w:lineRule="atLeast"/>
        <w:ind w:left="1572" w:right="1933" w:firstLine="0"/>
        <w:jc w:val="center"/>
        <w:rPr>
          <w:color w:val="auto"/>
        </w:rPr>
      </w:pPr>
      <w:r>
        <w:rPr>
          <w:rFonts w:ascii="黑体" w:hAnsi="黑体" w:eastAsia="黑体" w:cs="黑体"/>
          <w:color w:val="auto"/>
          <w:sz w:val="21"/>
        </w:rPr>
        <w:t> </w:t>
      </w:r>
    </w:p>
    <w:p w14:paraId="4F5B935D">
      <w:pPr>
        <w:pBdr>
          <w:top w:val="none" w:color="000000" w:sz="0" w:space="0"/>
          <w:left w:val="none" w:color="000000" w:sz="0" w:space="0"/>
          <w:bottom w:val="none" w:color="000000" w:sz="0" w:space="0"/>
          <w:right w:val="none" w:color="000000" w:sz="0" w:space="0"/>
        </w:pBdr>
        <w:spacing w:before="0" w:after="0" w:line="85" w:lineRule="atLeast"/>
        <w:ind w:left="1572" w:right="1933" w:firstLine="0"/>
        <w:jc w:val="center"/>
        <w:rPr>
          <w:color w:val="auto"/>
        </w:rPr>
      </w:pPr>
      <w:r>
        <w:rPr>
          <w:rFonts w:ascii="黑体" w:hAnsi="黑体" w:eastAsia="黑体" w:cs="黑体"/>
          <w:color w:val="auto"/>
          <w:sz w:val="21"/>
        </w:rPr>
        <w:t> </w:t>
      </w:r>
    </w:p>
    <w:p w14:paraId="5BA73827">
      <w:pPr>
        <w:pBdr>
          <w:top w:val="none" w:color="000000" w:sz="0" w:space="0"/>
          <w:left w:val="none" w:color="000000" w:sz="0" w:space="0"/>
          <w:bottom w:val="none" w:color="000000" w:sz="0" w:space="0"/>
          <w:right w:val="none" w:color="000000" w:sz="0" w:space="0"/>
        </w:pBdr>
        <w:spacing w:before="0" w:after="0" w:line="85" w:lineRule="atLeast"/>
        <w:ind w:left="1572" w:right="1933" w:firstLine="0"/>
        <w:jc w:val="center"/>
        <w:rPr>
          <w:color w:val="auto"/>
        </w:rPr>
      </w:pPr>
      <w:r>
        <w:rPr>
          <w:rFonts w:ascii="黑体" w:hAnsi="黑体" w:eastAsia="黑体" w:cs="黑体"/>
          <w:color w:val="auto"/>
          <w:sz w:val="21"/>
        </w:rPr>
        <w:t> </w:t>
      </w:r>
    </w:p>
    <w:p w14:paraId="1941EF58">
      <w:pPr>
        <w:pBdr>
          <w:top w:val="none" w:color="000000" w:sz="0" w:space="0"/>
          <w:left w:val="none" w:color="000000" w:sz="0" w:space="0"/>
          <w:bottom w:val="none" w:color="000000" w:sz="0" w:space="0"/>
          <w:right w:val="none" w:color="000000" w:sz="0" w:space="0"/>
        </w:pBdr>
        <w:spacing w:before="0" w:after="0" w:line="85" w:lineRule="atLeast"/>
        <w:ind w:left="1572" w:right="1933" w:firstLine="0"/>
        <w:jc w:val="center"/>
        <w:rPr>
          <w:color w:val="auto"/>
        </w:rPr>
      </w:pPr>
      <w:r>
        <w:rPr>
          <w:rFonts w:ascii="黑体" w:hAnsi="黑体" w:eastAsia="黑体" w:cs="黑体"/>
          <w:color w:val="auto"/>
          <w:sz w:val="21"/>
        </w:rPr>
        <w:t> </w:t>
      </w:r>
    </w:p>
    <w:p w14:paraId="775FD574">
      <w:pPr>
        <w:pBdr>
          <w:top w:val="none" w:color="000000" w:sz="0" w:space="0"/>
          <w:left w:val="none" w:color="000000" w:sz="0" w:space="0"/>
          <w:bottom w:val="none" w:color="000000" w:sz="0" w:space="0"/>
          <w:right w:val="none" w:color="000000" w:sz="0" w:space="0"/>
        </w:pBdr>
        <w:spacing w:before="0" w:after="0" w:line="85" w:lineRule="atLeast"/>
        <w:ind w:left="1572" w:right="1933" w:firstLine="0"/>
        <w:jc w:val="center"/>
        <w:rPr>
          <w:color w:val="auto"/>
        </w:rPr>
      </w:pPr>
      <w:r>
        <w:rPr>
          <w:rFonts w:ascii="黑体" w:hAnsi="黑体" w:eastAsia="黑体" w:cs="黑体"/>
          <w:color w:val="auto"/>
          <w:sz w:val="21"/>
        </w:rPr>
        <w:t> </w:t>
      </w:r>
    </w:p>
    <w:p w14:paraId="43DE57F3">
      <w:pPr>
        <w:pBdr>
          <w:top w:val="none" w:color="000000" w:sz="0" w:space="0"/>
          <w:left w:val="none" w:color="000000" w:sz="0" w:space="0"/>
          <w:bottom w:val="none" w:color="000000" w:sz="0" w:space="0"/>
          <w:right w:val="none" w:color="000000" w:sz="0" w:space="0"/>
        </w:pBdr>
        <w:spacing w:before="0" w:after="0" w:line="85" w:lineRule="atLeast"/>
        <w:ind w:left="1572" w:right="1933" w:firstLine="0"/>
        <w:jc w:val="center"/>
        <w:rPr>
          <w:color w:val="auto"/>
        </w:rPr>
      </w:pPr>
      <w:r>
        <w:rPr>
          <w:rFonts w:ascii="黑体" w:hAnsi="黑体" w:eastAsia="黑体" w:cs="黑体"/>
          <w:color w:val="auto"/>
          <w:sz w:val="21"/>
        </w:rPr>
        <w:t> </w:t>
      </w:r>
    </w:p>
    <w:p w14:paraId="305DFDE0">
      <w:pPr>
        <w:pBdr>
          <w:top w:val="none" w:color="000000" w:sz="0" w:space="0"/>
          <w:left w:val="none" w:color="000000" w:sz="0" w:space="0"/>
          <w:bottom w:val="none" w:color="000000" w:sz="0" w:space="0"/>
          <w:right w:val="none" w:color="000000" w:sz="0" w:space="0"/>
        </w:pBdr>
        <w:spacing w:before="0" w:after="0" w:line="85" w:lineRule="atLeast"/>
        <w:ind w:left="1572" w:right="1933" w:firstLine="0"/>
        <w:jc w:val="center"/>
        <w:rPr>
          <w:color w:val="auto"/>
        </w:rPr>
      </w:pPr>
      <w:r>
        <w:rPr>
          <w:rFonts w:ascii="黑体" w:hAnsi="黑体" w:eastAsia="黑体" w:cs="黑体"/>
          <w:color w:val="auto"/>
          <w:sz w:val="21"/>
        </w:rPr>
        <w:t> </w:t>
      </w:r>
    </w:p>
    <w:p w14:paraId="0EDD757C">
      <w:pPr>
        <w:pBdr>
          <w:top w:val="none" w:color="000000" w:sz="0" w:space="0"/>
          <w:left w:val="none" w:color="000000" w:sz="0" w:space="0"/>
          <w:bottom w:val="none" w:color="000000" w:sz="0" w:space="0"/>
          <w:right w:val="none" w:color="000000" w:sz="0" w:space="0"/>
        </w:pBdr>
        <w:spacing w:before="0" w:after="0" w:line="85" w:lineRule="atLeast"/>
        <w:ind w:left="1572" w:right="1933" w:firstLine="0"/>
        <w:jc w:val="center"/>
        <w:rPr>
          <w:color w:val="auto"/>
        </w:rPr>
      </w:pPr>
      <w:r>
        <w:rPr>
          <w:rFonts w:ascii="黑体" w:hAnsi="黑体" w:eastAsia="黑体" w:cs="黑体"/>
          <w:color w:val="auto"/>
          <w:sz w:val="21"/>
        </w:rPr>
        <w:t> </w:t>
      </w:r>
    </w:p>
    <w:p w14:paraId="20C8B2E2">
      <w:pPr>
        <w:pBdr>
          <w:top w:val="none" w:color="000000" w:sz="0" w:space="0"/>
          <w:left w:val="none" w:color="000000" w:sz="0" w:space="0"/>
          <w:bottom w:val="none" w:color="000000" w:sz="0" w:space="0"/>
          <w:right w:val="none" w:color="000000" w:sz="0" w:space="0"/>
        </w:pBdr>
        <w:spacing w:before="0" w:after="0" w:line="85" w:lineRule="atLeast"/>
        <w:ind w:left="1572" w:right="1933" w:firstLine="0"/>
        <w:jc w:val="center"/>
        <w:rPr>
          <w:color w:val="auto"/>
        </w:rPr>
      </w:pPr>
      <w:r>
        <w:rPr>
          <w:rFonts w:ascii="黑体" w:hAnsi="黑体" w:eastAsia="黑体" w:cs="黑体"/>
          <w:color w:val="auto"/>
          <w:sz w:val="21"/>
        </w:rPr>
        <w:t> </w:t>
      </w:r>
    </w:p>
    <w:p w14:paraId="083B2088">
      <w:pPr>
        <w:pBdr>
          <w:top w:val="none" w:color="000000" w:sz="0" w:space="0"/>
          <w:left w:val="none" w:color="000000" w:sz="0" w:space="0"/>
          <w:bottom w:val="none" w:color="000000" w:sz="0" w:space="0"/>
          <w:right w:val="none" w:color="000000" w:sz="0" w:space="0"/>
        </w:pBdr>
        <w:spacing w:before="0" w:after="0" w:line="85" w:lineRule="atLeast"/>
        <w:ind w:left="1572" w:right="1933" w:firstLine="0"/>
        <w:jc w:val="center"/>
        <w:rPr>
          <w:color w:val="auto"/>
        </w:rPr>
      </w:pPr>
      <w:r>
        <w:rPr>
          <w:rFonts w:ascii="黑体" w:hAnsi="黑体" w:eastAsia="黑体" w:cs="黑体"/>
          <w:color w:val="auto"/>
          <w:sz w:val="21"/>
        </w:rPr>
        <w:t> </w:t>
      </w:r>
    </w:p>
    <w:p w14:paraId="05E4430C">
      <w:pPr>
        <w:pBdr>
          <w:top w:val="none" w:color="000000" w:sz="0" w:space="0"/>
          <w:left w:val="none" w:color="000000" w:sz="0" w:space="0"/>
          <w:bottom w:val="none" w:color="000000" w:sz="0" w:space="0"/>
          <w:right w:val="none" w:color="000000" w:sz="0" w:space="0"/>
        </w:pBdr>
        <w:spacing w:before="0" w:after="0" w:line="85" w:lineRule="atLeast"/>
        <w:ind w:left="1572" w:right="1933" w:firstLine="0"/>
        <w:jc w:val="center"/>
        <w:rPr>
          <w:color w:val="auto"/>
        </w:rPr>
      </w:pPr>
      <w:r>
        <w:rPr>
          <w:rFonts w:ascii="黑体" w:hAnsi="黑体" w:eastAsia="黑体" w:cs="黑体"/>
          <w:color w:val="auto"/>
          <w:sz w:val="21"/>
        </w:rPr>
        <w:t> </w:t>
      </w:r>
    </w:p>
    <w:p w14:paraId="199EB1C1">
      <w:pPr>
        <w:pBdr>
          <w:top w:val="none" w:color="000000" w:sz="0" w:space="0"/>
          <w:left w:val="none" w:color="000000" w:sz="0" w:space="0"/>
          <w:bottom w:val="none" w:color="000000" w:sz="0" w:space="0"/>
          <w:right w:val="none" w:color="000000" w:sz="0" w:space="0"/>
        </w:pBdr>
        <w:spacing w:before="0" w:after="0" w:line="85" w:lineRule="atLeast"/>
        <w:ind w:left="1572" w:right="1933" w:firstLine="0"/>
        <w:jc w:val="center"/>
        <w:rPr>
          <w:color w:val="auto"/>
        </w:rPr>
      </w:pPr>
      <w:r>
        <w:rPr>
          <w:rFonts w:ascii="黑体" w:hAnsi="黑体" w:eastAsia="黑体" w:cs="黑体"/>
          <w:color w:val="auto"/>
          <w:sz w:val="21"/>
        </w:rPr>
        <w:t> </w:t>
      </w:r>
    </w:p>
    <w:p w14:paraId="6F0D4F6C">
      <w:pPr>
        <w:pBdr>
          <w:top w:val="none" w:color="000000" w:sz="0" w:space="0"/>
          <w:left w:val="none" w:color="000000" w:sz="0" w:space="0"/>
          <w:bottom w:val="none" w:color="000000" w:sz="0" w:space="0"/>
          <w:right w:val="none" w:color="000000" w:sz="0" w:space="0"/>
        </w:pBdr>
        <w:spacing w:before="0" w:after="0" w:line="85" w:lineRule="atLeast"/>
        <w:ind w:left="1572" w:right="1933" w:firstLine="0"/>
        <w:jc w:val="center"/>
        <w:rPr>
          <w:color w:val="auto"/>
        </w:rPr>
      </w:pPr>
      <w:r>
        <w:rPr>
          <w:rFonts w:ascii="黑体" w:hAnsi="黑体" w:eastAsia="黑体" w:cs="黑体"/>
          <w:color w:val="auto"/>
          <w:sz w:val="21"/>
        </w:rPr>
        <w:t> </w:t>
      </w:r>
    </w:p>
    <w:p w14:paraId="528A0EA2">
      <w:pPr>
        <w:pBdr>
          <w:top w:val="none" w:color="000000" w:sz="0" w:space="0"/>
          <w:left w:val="none" w:color="000000" w:sz="0" w:space="0"/>
          <w:bottom w:val="none" w:color="000000" w:sz="0" w:space="0"/>
          <w:right w:val="none" w:color="000000" w:sz="0" w:space="0"/>
        </w:pBdr>
        <w:spacing w:before="0" w:after="0" w:line="85" w:lineRule="atLeast"/>
        <w:ind w:left="1572" w:right="1933" w:firstLine="0"/>
        <w:jc w:val="center"/>
        <w:rPr>
          <w:color w:val="auto"/>
        </w:rPr>
      </w:pPr>
      <w:r>
        <w:rPr>
          <w:rFonts w:ascii="黑体" w:hAnsi="黑体" w:eastAsia="黑体" w:cs="黑体"/>
          <w:color w:val="auto"/>
          <w:sz w:val="21"/>
        </w:rPr>
        <w:t> </w:t>
      </w:r>
    </w:p>
    <w:p w14:paraId="7100AF9F">
      <w:pPr>
        <w:pBdr>
          <w:top w:val="none" w:color="000000" w:sz="0" w:space="0"/>
          <w:left w:val="none" w:color="000000" w:sz="0" w:space="0"/>
          <w:bottom w:val="none" w:color="000000" w:sz="0" w:space="0"/>
          <w:right w:val="none" w:color="000000" w:sz="0" w:space="0"/>
        </w:pBdr>
        <w:spacing w:before="0" w:after="0" w:line="85" w:lineRule="atLeast"/>
        <w:ind w:left="1572" w:right="1933" w:firstLine="0"/>
        <w:jc w:val="center"/>
        <w:rPr>
          <w:color w:val="auto"/>
        </w:rPr>
      </w:pPr>
      <w:r>
        <w:rPr>
          <w:rFonts w:ascii="黑体" w:hAnsi="黑体" w:eastAsia="黑体" w:cs="黑体"/>
          <w:color w:val="auto"/>
          <w:sz w:val="21"/>
        </w:rPr>
        <w:t> </w:t>
      </w:r>
    </w:p>
    <w:p w14:paraId="3E0308A0">
      <w:pPr>
        <w:pBdr>
          <w:top w:val="none" w:color="000000" w:sz="0" w:space="0"/>
          <w:left w:val="none" w:color="000000" w:sz="0" w:space="0"/>
          <w:bottom w:val="none" w:color="000000" w:sz="0" w:space="0"/>
          <w:right w:val="none" w:color="000000" w:sz="0" w:space="0"/>
        </w:pBdr>
        <w:spacing w:before="0" w:after="0" w:line="85" w:lineRule="atLeast"/>
        <w:ind w:left="1572" w:right="1933" w:firstLine="0"/>
        <w:jc w:val="center"/>
        <w:rPr>
          <w:color w:val="auto"/>
        </w:rPr>
      </w:pPr>
      <w:r>
        <w:rPr>
          <w:rFonts w:ascii="黑体" w:hAnsi="黑体" w:eastAsia="黑体" w:cs="黑体"/>
          <w:color w:val="auto"/>
          <w:sz w:val="21"/>
        </w:rPr>
        <w:t> </w:t>
      </w:r>
    </w:p>
    <w:p w14:paraId="460ED064">
      <w:pPr>
        <w:pStyle w:val="2"/>
        <w:pBdr>
          <w:top w:val="none" w:color="000000" w:sz="0" w:space="0"/>
          <w:left w:val="none" w:color="000000" w:sz="0" w:space="0"/>
          <w:bottom w:val="none" w:color="000000" w:sz="0" w:space="0"/>
          <w:right w:val="none" w:color="000000" w:sz="0" w:space="0"/>
        </w:pBdr>
        <w:spacing w:before="340" w:after="330" w:line="85" w:lineRule="atLeast"/>
        <w:ind w:left="0" w:right="0" w:firstLine="0"/>
        <w:jc w:val="center"/>
        <w:rPr>
          <w:color w:val="auto"/>
        </w:rPr>
      </w:pPr>
      <w:r>
        <w:rPr>
          <w:rFonts w:ascii="宋体" w:hAnsi="宋体" w:eastAsia="宋体" w:cs="宋体"/>
          <w:b/>
          <w:color w:val="auto"/>
          <w:sz w:val="32"/>
        </w:rPr>
        <w:t> </w:t>
      </w:r>
    </w:p>
    <w:p w14:paraId="369622A8">
      <w:pPr>
        <w:rPr>
          <w:rFonts w:ascii="宋体" w:hAnsi="宋体" w:eastAsia="宋体" w:cs="宋体"/>
          <w:b/>
          <w:color w:val="auto"/>
          <w:sz w:val="32"/>
        </w:rPr>
      </w:pPr>
      <w:r>
        <w:rPr>
          <w:rFonts w:ascii="宋体" w:hAnsi="宋体" w:eastAsia="宋体" w:cs="宋体"/>
          <w:b/>
          <w:color w:val="auto"/>
          <w:sz w:val="32"/>
        </w:rPr>
        <w:br w:type="page"/>
      </w:r>
    </w:p>
    <w:p w14:paraId="509F395D">
      <w:pPr>
        <w:pStyle w:val="2"/>
        <w:pBdr>
          <w:top w:val="none" w:color="000000" w:sz="0" w:space="0"/>
          <w:left w:val="none" w:color="000000" w:sz="0" w:space="0"/>
          <w:bottom w:val="none" w:color="000000" w:sz="0" w:space="0"/>
          <w:right w:val="none" w:color="000000" w:sz="0" w:space="0"/>
        </w:pBdr>
        <w:spacing w:before="340" w:after="330" w:line="85" w:lineRule="atLeast"/>
        <w:ind w:left="0" w:right="0" w:firstLine="0"/>
        <w:jc w:val="center"/>
        <w:rPr>
          <w:color w:val="auto"/>
        </w:rPr>
      </w:pPr>
      <w:r>
        <w:rPr>
          <w:rFonts w:ascii="宋体" w:hAnsi="宋体" w:eastAsia="宋体" w:cs="宋体"/>
          <w:b/>
          <w:color w:val="auto"/>
          <w:sz w:val="32"/>
        </w:rPr>
        <w:t>第一章 投标邀请书（招标公告）</w:t>
      </w:r>
    </w:p>
    <w:p w14:paraId="06A00ED6">
      <w:pPr>
        <w:pBdr>
          <w:top w:val="none" w:color="000000" w:sz="0" w:space="0"/>
          <w:left w:val="none" w:color="000000" w:sz="0" w:space="0"/>
          <w:bottom w:val="none" w:color="000000" w:sz="0" w:space="0"/>
          <w:right w:val="none" w:color="000000" w:sz="0" w:space="0"/>
        </w:pBdr>
        <w:spacing w:before="0" w:after="0" w:line="360" w:lineRule="auto"/>
        <w:ind w:left="0" w:right="0" w:firstLine="632"/>
        <w:rPr>
          <w:color w:val="auto"/>
        </w:rPr>
      </w:pPr>
      <w:r>
        <w:rPr>
          <w:rFonts w:hint="eastAsia" w:ascii="宋体" w:hAnsi="宋体" w:cs="宋体"/>
          <w:b/>
          <w:color w:val="auto"/>
          <w:sz w:val="21"/>
          <w:lang w:eastAsia="zh-CN"/>
        </w:rPr>
        <w:t>仙林地区市政雨水管道养护及应急抢修服务项目</w:t>
      </w:r>
      <w:r>
        <w:rPr>
          <w:rFonts w:ascii="宋体" w:hAnsi="宋体" w:eastAsia="宋体" w:cs="宋体"/>
          <w:color w:val="auto"/>
          <w:sz w:val="21"/>
        </w:rPr>
        <w:t>的潜在供应商应在</w:t>
      </w:r>
      <w:r>
        <w:rPr>
          <w:rFonts w:ascii="宋体" w:hAnsi="宋体" w:eastAsia="宋体" w:cs="宋体"/>
          <w:color w:val="auto"/>
          <w:sz w:val="21"/>
          <w:u w:val="single"/>
        </w:rPr>
        <w:t>江苏政府采购网</w:t>
      </w:r>
      <w:r>
        <w:rPr>
          <w:rFonts w:ascii="宋体" w:hAnsi="宋体" w:eastAsia="宋体" w:cs="宋体"/>
          <w:color w:val="auto"/>
          <w:sz w:val="21"/>
        </w:rPr>
        <w:t>获取招标文件，并于2026年</w:t>
      </w:r>
      <w:r>
        <w:rPr>
          <w:rFonts w:hint="eastAsia" w:ascii="宋体" w:hAnsi="宋体" w:cs="宋体"/>
          <w:color w:val="auto"/>
          <w:sz w:val="21"/>
          <w:lang w:val="en-US" w:eastAsia="zh-CN"/>
        </w:rPr>
        <w:t>6</w:t>
      </w:r>
      <w:r>
        <w:rPr>
          <w:rFonts w:ascii="宋体" w:hAnsi="宋体" w:eastAsia="宋体" w:cs="宋体"/>
          <w:color w:val="auto"/>
          <w:sz w:val="21"/>
        </w:rPr>
        <w:t>月</w:t>
      </w:r>
      <w:r>
        <w:rPr>
          <w:rFonts w:hint="eastAsia" w:ascii="宋体" w:hAnsi="宋体" w:cs="宋体"/>
          <w:color w:val="auto"/>
          <w:sz w:val="21"/>
          <w:lang w:val="en-US" w:eastAsia="zh-CN"/>
        </w:rPr>
        <w:t>17</w:t>
      </w:r>
      <w:r>
        <w:rPr>
          <w:rFonts w:ascii="宋体" w:hAnsi="宋体" w:eastAsia="宋体" w:cs="宋体"/>
          <w:color w:val="auto"/>
          <w:sz w:val="21"/>
        </w:rPr>
        <w:t>日09时30分（北京时间）前递交投标文件。</w:t>
      </w:r>
    </w:p>
    <w:p w14:paraId="696555AE">
      <w:pPr>
        <w:pStyle w:val="3"/>
        <w:pBdr>
          <w:top w:val="none" w:color="000000" w:sz="0" w:space="0"/>
          <w:left w:val="none" w:color="000000" w:sz="0" w:space="0"/>
          <w:bottom w:val="none" w:color="000000" w:sz="0" w:space="0"/>
          <w:right w:val="none" w:color="000000" w:sz="0" w:space="0"/>
        </w:pBdr>
        <w:spacing w:before="0" w:after="0" w:line="360" w:lineRule="auto"/>
        <w:ind w:left="0" w:right="0" w:firstLine="0"/>
        <w:jc w:val="both"/>
        <w:rPr>
          <w:color w:val="auto"/>
        </w:rPr>
      </w:pPr>
      <w:r>
        <w:rPr>
          <w:rFonts w:ascii="黑体" w:hAnsi="黑体" w:eastAsia="黑体" w:cs="黑体"/>
          <w:b/>
          <w:color w:val="auto"/>
          <w:sz w:val="21"/>
          <w:u w:val="none"/>
        </w:rPr>
        <w:t>一、</w:t>
      </w:r>
      <w:r>
        <w:rPr>
          <w:rFonts w:ascii="宋体" w:hAnsi="宋体" w:eastAsia="宋体" w:cs="宋体"/>
          <w:b/>
          <w:color w:val="auto"/>
          <w:sz w:val="21"/>
        </w:rPr>
        <w:t>项目基本情况</w:t>
      </w:r>
    </w:p>
    <w:p w14:paraId="7ED90AAF">
      <w:pPr>
        <w:pBdr>
          <w:top w:val="none" w:color="000000" w:sz="0" w:space="0"/>
          <w:left w:val="none" w:color="000000" w:sz="0" w:space="0"/>
          <w:bottom w:val="none" w:color="000000" w:sz="0" w:space="0"/>
          <w:right w:val="none" w:color="000000" w:sz="0" w:space="0"/>
        </w:pBdr>
        <w:spacing w:before="0" w:after="0" w:line="360" w:lineRule="auto"/>
        <w:ind w:left="0" w:right="0" w:firstLine="420"/>
        <w:jc w:val="both"/>
        <w:rPr>
          <w:rFonts w:hint="eastAsia" w:ascii="宋体" w:hAnsi="宋体" w:cs="宋体"/>
          <w:color w:val="auto"/>
          <w:sz w:val="21"/>
          <w:lang w:val="en-US" w:eastAsia="zh-CN"/>
        </w:rPr>
      </w:pPr>
      <w:r>
        <w:rPr>
          <w:rFonts w:hint="eastAsia" w:ascii="宋体" w:hAnsi="宋体" w:cs="宋体"/>
          <w:color w:val="auto"/>
          <w:sz w:val="21"/>
          <w:lang w:eastAsia="zh-CN"/>
        </w:rPr>
        <w:t>项目编号</w:t>
      </w:r>
      <w:r>
        <w:rPr>
          <w:rFonts w:hint="eastAsia" w:ascii="宋体" w:hAnsi="宋体" w:cs="宋体"/>
          <w:color w:val="auto"/>
          <w:sz w:val="21"/>
          <w:lang w:eastAsia="zh-CN"/>
        </w:rPr>
        <w:t>：JSZC-320113-SYXG-G2026-0001</w:t>
      </w:r>
    </w:p>
    <w:p w14:paraId="1F890484">
      <w:pPr>
        <w:pBdr>
          <w:top w:val="none" w:color="000000" w:sz="0" w:space="0"/>
          <w:left w:val="none" w:color="000000" w:sz="0" w:space="0"/>
          <w:bottom w:val="none" w:color="000000" w:sz="0" w:space="0"/>
          <w:right w:val="none" w:color="000000" w:sz="0" w:space="0"/>
        </w:pBdr>
        <w:spacing w:before="0" w:after="0" w:line="360" w:lineRule="auto"/>
        <w:ind w:left="0" w:right="0" w:firstLine="420"/>
        <w:jc w:val="both"/>
        <w:rPr>
          <w:rFonts w:hint="eastAsia" w:eastAsia="宋体"/>
          <w:color w:val="auto"/>
          <w:lang w:eastAsia="zh-CN"/>
        </w:rPr>
      </w:pPr>
      <w:r>
        <w:rPr>
          <w:rFonts w:ascii="宋体" w:hAnsi="宋体" w:eastAsia="宋体" w:cs="宋体"/>
          <w:color w:val="auto"/>
          <w:sz w:val="21"/>
        </w:rPr>
        <w:t>项目名称：</w:t>
      </w:r>
      <w:r>
        <w:rPr>
          <w:rFonts w:hint="eastAsia" w:ascii="宋体" w:hAnsi="宋体" w:cs="宋体"/>
          <w:color w:val="auto"/>
          <w:sz w:val="21"/>
          <w:lang w:eastAsia="zh-CN"/>
        </w:rPr>
        <w:t>仙林地区市政雨水管道养护及应急抢修服务项目</w:t>
      </w:r>
    </w:p>
    <w:p w14:paraId="40F77312">
      <w:pPr>
        <w:pBdr>
          <w:top w:val="none" w:color="000000" w:sz="0" w:space="0"/>
          <w:left w:val="none" w:color="000000" w:sz="0" w:space="0"/>
          <w:bottom w:val="none" w:color="000000" w:sz="0" w:space="0"/>
          <w:right w:val="none" w:color="000000" w:sz="0" w:space="0"/>
        </w:pBdr>
        <w:spacing w:before="0" w:after="0" w:line="360" w:lineRule="auto"/>
        <w:ind w:left="0" w:right="0" w:firstLine="420"/>
        <w:jc w:val="both"/>
        <w:rPr>
          <w:color w:val="auto"/>
        </w:rPr>
      </w:pPr>
      <w:r>
        <w:rPr>
          <w:rFonts w:ascii="宋体" w:hAnsi="宋体" w:eastAsia="宋体" w:cs="宋体"/>
          <w:color w:val="auto"/>
          <w:sz w:val="21"/>
        </w:rPr>
        <w:t>项目预算金额：</w:t>
      </w:r>
      <w:r>
        <w:rPr>
          <w:rFonts w:hint="eastAsia" w:ascii="宋体" w:hAnsi="宋体" w:cs="宋体"/>
          <w:color w:val="auto"/>
          <w:sz w:val="21"/>
          <w:lang w:val="en-US" w:eastAsia="zh-CN"/>
        </w:rPr>
        <w:t>412</w:t>
      </w:r>
      <w:r>
        <w:rPr>
          <w:rFonts w:ascii="宋体" w:hAnsi="宋体" w:eastAsia="宋体" w:cs="宋体"/>
          <w:color w:val="auto"/>
          <w:sz w:val="21"/>
        </w:rPr>
        <w:t>万元</w:t>
      </w:r>
    </w:p>
    <w:p w14:paraId="6A3C5DEC">
      <w:pPr>
        <w:pBdr>
          <w:top w:val="none" w:color="000000" w:sz="0" w:space="0"/>
          <w:left w:val="none" w:color="000000" w:sz="0" w:space="0"/>
          <w:bottom w:val="none" w:color="000000" w:sz="0" w:space="0"/>
          <w:right w:val="none" w:color="000000" w:sz="0" w:space="0"/>
        </w:pBdr>
        <w:spacing w:before="0" w:after="0" w:line="360" w:lineRule="auto"/>
        <w:ind w:left="0" w:right="0" w:firstLine="420"/>
        <w:jc w:val="both"/>
        <w:rPr>
          <w:color w:val="auto"/>
        </w:rPr>
      </w:pPr>
      <w:r>
        <w:rPr>
          <w:rFonts w:ascii="宋体" w:hAnsi="宋体" w:eastAsia="宋体" w:cs="宋体"/>
          <w:color w:val="auto"/>
          <w:sz w:val="21"/>
        </w:rPr>
        <w:t>最高限价（如有）：</w:t>
      </w:r>
      <w:r>
        <w:rPr>
          <w:rFonts w:hint="eastAsia" w:ascii="宋体" w:hAnsi="宋体" w:cs="宋体"/>
          <w:color w:val="auto"/>
          <w:sz w:val="21"/>
          <w:lang w:val="en-US" w:eastAsia="zh-CN"/>
        </w:rPr>
        <w:t>388</w:t>
      </w:r>
      <w:r>
        <w:rPr>
          <w:rFonts w:ascii="宋体" w:hAnsi="宋体" w:eastAsia="宋体" w:cs="宋体"/>
          <w:color w:val="auto"/>
          <w:sz w:val="21"/>
        </w:rPr>
        <w:t>万元，超过最高限价为无效投标。</w:t>
      </w:r>
    </w:p>
    <w:p w14:paraId="376A5E99">
      <w:pPr>
        <w:pBdr>
          <w:top w:val="none" w:color="000000" w:sz="0" w:space="0"/>
          <w:left w:val="none" w:color="000000" w:sz="0" w:space="0"/>
          <w:bottom w:val="none" w:color="000000" w:sz="0" w:space="0"/>
          <w:right w:val="none" w:color="000000" w:sz="0" w:space="0"/>
        </w:pBdr>
        <w:spacing w:before="0" w:after="0" w:line="360" w:lineRule="auto"/>
        <w:ind w:left="0" w:right="0" w:firstLine="422"/>
        <w:jc w:val="both"/>
        <w:rPr>
          <w:b w:val="0"/>
          <w:bCs/>
          <w:color w:val="auto"/>
        </w:rPr>
      </w:pPr>
      <w:r>
        <w:rPr>
          <w:rFonts w:ascii="宋体" w:hAnsi="宋体" w:eastAsia="宋体" w:cs="宋体"/>
          <w:b/>
          <w:color w:val="auto"/>
          <w:sz w:val="21"/>
        </w:rPr>
        <w:t>采购需求：</w:t>
      </w:r>
      <w:r>
        <w:rPr>
          <w:rFonts w:hint="eastAsia" w:ascii="宋体" w:hAnsi="宋体" w:eastAsia="宋体" w:cs="宋体"/>
          <w:b w:val="0"/>
          <w:bCs/>
          <w:color w:val="auto"/>
          <w:sz w:val="21"/>
        </w:rPr>
        <w:t>雨水管道维护工作涵盖仙林地区77条市政道路下的雨水管道清疏，总长约240km，部分道路下破损雨水管道更换，雨水蓖改造等附属设施维护；应急抢修包括降雨期间巡查、开关雨水篦助排、应急抢修、架泵强排水等，具体内容详见采购需求。</w:t>
      </w:r>
    </w:p>
    <w:p w14:paraId="652EBF91">
      <w:pPr>
        <w:pBdr>
          <w:top w:val="none" w:color="000000" w:sz="0" w:space="0"/>
          <w:left w:val="none" w:color="000000" w:sz="0" w:space="0"/>
          <w:bottom w:val="none" w:color="000000" w:sz="0" w:space="0"/>
          <w:right w:val="none" w:color="000000" w:sz="0" w:space="0"/>
        </w:pBdr>
        <w:spacing w:before="0" w:after="0" w:line="360" w:lineRule="auto"/>
        <w:ind w:left="0" w:right="0" w:firstLine="420"/>
        <w:jc w:val="both"/>
        <w:rPr>
          <w:color w:val="auto"/>
        </w:rPr>
      </w:pPr>
      <w:r>
        <w:rPr>
          <w:rFonts w:ascii="宋体" w:hAnsi="宋体" w:eastAsia="宋体" w:cs="宋体"/>
          <w:color w:val="auto"/>
          <w:sz w:val="21"/>
        </w:rPr>
        <w:t>合同履行期限：</w:t>
      </w:r>
      <w:r>
        <w:rPr>
          <w:rFonts w:hint="eastAsia" w:ascii="宋体" w:hAnsi="宋体" w:eastAsia="宋体" w:cs="宋体"/>
          <w:color w:val="auto"/>
          <w:sz w:val="21"/>
        </w:rPr>
        <w:t>自合同签订之日起至2026年12月31日止</w:t>
      </w:r>
      <w:r>
        <w:rPr>
          <w:rFonts w:ascii="宋体" w:hAnsi="宋体" w:eastAsia="宋体" w:cs="宋体"/>
          <w:color w:val="auto"/>
          <w:sz w:val="21"/>
        </w:rPr>
        <w:t xml:space="preserve">。 </w:t>
      </w:r>
    </w:p>
    <w:p w14:paraId="0657F741">
      <w:pPr>
        <w:pBdr>
          <w:top w:val="none" w:color="000000" w:sz="0" w:space="0"/>
          <w:left w:val="none" w:color="000000" w:sz="0" w:space="0"/>
          <w:bottom w:val="none" w:color="000000" w:sz="0" w:space="0"/>
          <w:right w:val="none" w:color="000000" w:sz="0" w:space="0"/>
        </w:pBdr>
        <w:spacing w:before="0" w:after="0" w:line="360" w:lineRule="auto"/>
        <w:ind w:left="0" w:right="0" w:firstLine="420"/>
        <w:jc w:val="both"/>
        <w:rPr>
          <w:color w:val="auto"/>
        </w:rPr>
      </w:pPr>
      <w:r>
        <w:rPr>
          <w:rFonts w:ascii="宋体" w:hAnsi="宋体" w:eastAsia="宋体" w:cs="宋体"/>
          <w:color w:val="auto"/>
          <w:sz w:val="21"/>
        </w:rPr>
        <w:t>本项目不接受联合体投标。</w:t>
      </w:r>
    </w:p>
    <w:p w14:paraId="65193FB8">
      <w:pPr>
        <w:pBdr>
          <w:top w:val="none" w:color="000000" w:sz="0" w:space="0"/>
          <w:left w:val="none" w:color="000000" w:sz="0" w:space="0"/>
          <w:bottom w:val="none" w:color="000000" w:sz="0" w:space="0"/>
          <w:right w:val="none" w:color="000000" w:sz="0" w:space="0"/>
        </w:pBdr>
        <w:spacing w:before="0" w:after="0" w:line="360" w:lineRule="auto"/>
        <w:ind w:left="0" w:right="0" w:firstLine="422"/>
        <w:rPr>
          <w:color w:val="auto"/>
        </w:rPr>
      </w:pPr>
      <w:r>
        <w:rPr>
          <w:rFonts w:ascii="宋体" w:hAnsi="宋体" w:eastAsia="宋体" w:cs="宋体"/>
          <w:b/>
          <w:color w:val="auto"/>
          <w:sz w:val="21"/>
        </w:rPr>
        <w:t>5.本项目所属行业：其他未列明行业</w:t>
      </w:r>
    </w:p>
    <w:p w14:paraId="55644308">
      <w:pPr>
        <w:pStyle w:val="3"/>
        <w:pBdr>
          <w:top w:val="none" w:color="000000" w:sz="0" w:space="0"/>
          <w:left w:val="none" w:color="000000" w:sz="0" w:space="0"/>
          <w:bottom w:val="none" w:color="000000" w:sz="0" w:space="0"/>
          <w:right w:val="none" w:color="000000" w:sz="0" w:space="0"/>
        </w:pBdr>
        <w:spacing w:before="0" w:after="0" w:line="360" w:lineRule="auto"/>
        <w:ind w:left="0" w:right="0" w:firstLine="0"/>
        <w:jc w:val="both"/>
        <w:rPr>
          <w:color w:val="auto"/>
        </w:rPr>
      </w:pPr>
      <w:r>
        <w:rPr>
          <w:rFonts w:ascii="宋体" w:hAnsi="宋体" w:eastAsia="宋体" w:cs="宋体"/>
          <w:b/>
          <w:color w:val="auto"/>
          <w:sz w:val="21"/>
          <w:u w:val="none"/>
        </w:rPr>
        <w:t>二、申请人的资格要求：</w:t>
      </w:r>
    </w:p>
    <w:p w14:paraId="73D66FAE">
      <w:pPr>
        <w:pBdr>
          <w:top w:val="none" w:color="000000" w:sz="0" w:space="0"/>
          <w:left w:val="none" w:color="000000" w:sz="0" w:space="0"/>
          <w:bottom w:val="none" w:color="000000" w:sz="0" w:space="0"/>
          <w:right w:val="none" w:color="000000" w:sz="0" w:space="0"/>
        </w:pBdr>
        <w:tabs>
          <w:tab w:val="left" w:pos="562"/>
          <w:tab w:val="left" w:pos="3372"/>
          <w:tab w:val="left" w:pos="3653"/>
        </w:tabs>
        <w:spacing w:before="0" w:after="0" w:line="360" w:lineRule="auto"/>
        <w:ind w:left="0" w:right="0" w:firstLine="420"/>
        <w:rPr>
          <w:color w:val="auto"/>
        </w:rPr>
      </w:pPr>
      <w:r>
        <w:rPr>
          <w:rFonts w:ascii="宋体" w:hAnsi="宋体" w:eastAsia="宋体" w:cs="宋体"/>
          <w:color w:val="auto"/>
          <w:sz w:val="21"/>
          <w:u w:val="none"/>
        </w:rPr>
        <w:t>2.1</w:t>
      </w:r>
      <w:r>
        <w:rPr>
          <w:rFonts w:ascii="宋体" w:hAnsi="宋体" w:eastAsia="宋体" w:cs="宋体"/>
          <w:color w:val="auto"/>
          <w:sz w:val="21"/>
        </w:rPr>
        <w:t>满足《中华人民共和国政府采购法》第二十二条规定：</w:t>
      </w:r>
    </w:p>
    <w:p w14:paraId="539AB6E5">
      <w:pPr>
        <w:pBdr>
          <w:top w:val="none" w:color="000000" w:sz="0" w:space="0"/>
          <w:left w:val="none" w:color="000000" w:sz="0" w:space="0"/>
          <w:bottom w:val="none" w:color="000000" w:sz="0" w:space="0"/>
          <w:right w:val="none" w:color="000000" w:sz="0" w:space="0"/>
        </w:pBdr>
        <w:tabs>
          <w:tab w:val="left" w:pos="562"/>
          <w:tab w:val="left" w:pos="3372"/>
          <w:tab w:val="left" w:pos="3653"/>
        </w:tabs>
        <w:spacing w:before="0" w:after="0" w:line="360" w:lineRule="auto"/>
        <w:ind w:left="0" w:right="0" w:firstLine="420"/>
        <w:rPr>
          <w:color w:val="auto"/>
        </w:rPr>
      </w:pPr>
      <w:r>
        <w:rPr>
          <w:rFonts w:ascii="宋体" w:hAnsi="宋体" w:eastAsia="宋体" w:cs="宋体"/>
          <w:color w:val="auto"/>
          <w:sz w:val="21"/>
        </w:rPr>
        <w:t>（1）具有独立承担民事责任的能力（提供执业许可证，自然人的身份证明）；</w:t>
      </w:r>
    </w:p>
    <w:p w14:paraId="37560A64">
      <w:pPr>
        <w:pBdr>
          <w:top w:val="none" w:color="000000" w:sz="0" w:space="0"/>
          <w:left w:val="none" w:color="000000" w:sz="0" w:space="0"/>
          <w:bottom w:val="none" w:color="000000" w:sz="0" w:space="0"/>
          <w:right w:val="none" w:color="000000" w:sz="0" w:space="0"/>
        </w:pBdr>
        <w:tabs>
          <w:tab w:val="left" w:pos="562"/>
          <w:tab w:val="left" w:pos="3372"/>
          <w:tab w:val="left" w:pos="3653"/>
        </w:tabs>
        <w:spacing w:before="0" w:after="0" w:line="360" w:lineRule="auto"/>
        <w:ind w:left="0" w:right="0" w:firstLine="420"/>
        <w:rPr>
          <w:color w:val="auto"/>
        </w:rPr>
      </w:pPr>
      <w:r>
        <w:rPr>
          <w:rFonts w:ascii="宋体" w:hAnsi="宋体" w:eastAsia="宋体" w:cs="宋体"/>
          <w:color w:val="auto"/>
          <w:sz w:val="21"/>
        </w:rPr>
        <w:t>（2）具有良好的商业信誉和健全的财务会计制度；</w:t>
      </w:r>
    </w:p>
    <w:p w14:paraId="432EC8BC">
      <w:pPr>
        <w:pBdr>
          <w:top w:val="none" w:color="000000" w:sz="0" w:space="0"/>
          <w:left w:val="none" w:color="000000" w:sz="0" w:space="0"/>
          <w:bottom w:val="none" w:color="000000" w:sz="0" w:space="0"/>
          <w:right w:val="none" w:color="000000" w:sz="0" w:space="0"/>
        </w:pBdr>
        <w:tabs>
          <w:tab w:val="left" w:pos="562"/>
          <w:tab w:val="left" w:pos="3372"/>
          <w:tab w:val="left" w:pos="3653"/>
        </w:tabs>
        <w:spacing w:before="0" w:after="0" w:line="360" w:lineRule="auto"/>
        <w:ind w:left="0" w:right="0" w:firstLine="420"/>
        <w:rPr>
          <w:color w:val="auto"/>
        </w:rPr>
      </w:pPr>
      <w:r>
        <w:rPr>
          <w:rFonts w:ascii="宋体" w:hAnsi="宋体" w:eastAsia="宋体" w:cs="宋体"/>
          <w:color w:val="auto"/>
          <w:sz w:val="21"/>
        </w:rPr>
        <w:t>（3）具有履行合同所必需的设备和专业技术能力（根据项目需求提供履行合同所必需的设备和专业技术能力的证明材料）；</w:t>
      </w:r>
    </w:p>
    <w:p w14:paraId="78C1C5C5">
      <w:pPr>
        <w:pBdr>
          <w:top w:val="none" w:color="000000" w:sz="0" w:space="0"/>
          <w:left w:val="none" w:color="000000" w:sz="0" w:space="0"/>
          <w:bottom w:val="none" w:color="000000" w:sz="0" w:space="0"/>
          <w:right w:val="none" w:color="000000" w:sz="0" w:space="0"/>
        </w:pBdr>
        <w:tabs>
          <w:tab w:val="left" w:pos="562"/>
          <w:tab w:val="left" w:pos="3372"/>
          <w:tab w:val="left" w:pos="3653"/>
        </w:tabs>
        <w:spacing w:before="0" w:after="0" w:line="360" w:lineRule="auto"/>
        <w:ind w:left="0" w:right="0" w:firstLine="420"/>
        <w:rPr>
          <w:color w:val="auto"/>
        </w:rPr>
      </w:pPr>
      <w:r>
        <w:rPr>
          <w:rFonts w:ascii="宋体" w:hAnsi="宋体" w:eastAsia="宋体" w:cs="宋体"/>
          <w:color w:val="auto"/>
          <w:sz w:val="21"/>
        </w:rPr>
        <w:t>（4）有依法缴纳税收和社会保障资金的良好记录；</w:t>
      </w:r>
    </w:p>
    <w:p w14:paraId="394B7D6A">
      <w:pPr>
        <w:pBdr>
          <w:top w:val="none" w:color="000000" w:sz="0" w:space="0"/>
          <w:left w:val="none" w:color="000000" w:sz="0" w:space="0"/>
          <w:bottom w:val="none" w:color="000000" w:sz="0" w:space="0"/>
          <w:right w:val="none" w:color="000000" w:sz="0" w:space="0"/>
        </w:pBdr>
        <w:tabs>
          <w:tab w:val="left" w:pos="562"/>
          <w:tab w:val="left" w:pos="3372"/>
          <w:tab w:val="left" w:pos="3653"/>
        </w:tabs>
        <w:spacing w:before="0" w:after="0" w:line="360" w:lineRule="auto"/>
        <w:ind w:left="0" w:right="0" w:firstLine="420"/>
        <w:rPr>
          <w:color w:val="auto"/>
        </w:rPr>
      </w:pPr>
      <w:r>
        <w:rPr>
          <w:rFonts w:ascii="宋体" w:hAnsi="宋体" w:eastAsia="宋体" w:cs="宋体"/>
          <w:color w:val="auto"/>
          <w:sz w:val="21"/>
        </w:rPr>
        <w:t>（5）参加政府采购活动前三年内，在经营活动中没有重大违法记录（提供参加本次政府采购活动前3年内在经营活动中没有重大违法记录的书面声明）（格式见后附件）；</w:t>
      </w:r>
    </w:p>
    <w:p w14:paraId="0C69C28F">
      <w:pPr>
        <w:pBdr>
          <w:top w:val="none" w:color="000000" w:sz="0" w:space="0"/>
          <w:left w:val="none" w:color="000000" w:sz="0" w:space="0"/>
          <w:bottom w:val="none" w:color="000000" w:sz="0" w:space="0"/>
          <w:right w:val="none" w:color="000000" w:sz="0" w:space="0"/>
        </w:pBdr>
        <w:tabs>
          <w:tab w:val="left" w:pos="562"/>
          <w:tab w:val="left" w:pos="3372"/>
          <w:tab w:val="left" w:pos="3653"/>
        </w:tabs>
        <w:spacing w:before="0" w:after="0" w:line="360" w:lineRule="auto"/>
        <w:ind w:left="0" w:right="0" w:firstLine="420"/>
        <w:rPr>
          <w:color w:val="auto"/>
        </w:rPr>
      </w:pPr>
      <w:r>
        <w:rPr>
          <w:rFonts w:ascii="宋体" w:hAnsi="宋体" w:eastAsia="宋体" w:cs="宋体"/>
          <w:color w:val="auto"/>
          <w:sz w:val="21"/>
        </w:rPr>
        <w:t>（6）法律、行政法规规定的其他条件。</w:t>
      </w:r>
    </w:p>
    <w:p w14:paraId="52BA7A26">
      <w:pPr>
        <w:pBdr>
          <w:top w:val="none" w:color="000000" w:sz="0" w:space="0"/>
          <w:left w:val="none" w:color="000000" w:sz="0" w:space="0"/>
          <w:bottom w:val="none" w:color="000000" w:sz="0" w:space="0"/>
          <w:right w:val="none" w:color="000000" w:sz="0" w:space="0"/>
        </w:pBdr>
        <w:tabs>
          <w:tab w:val="left" w:pos="562"/>
          <w:tab w:val="left" w:pos="3372"/>
          <w:tab w:val="left" w:pos="3653"/>
        </w:tabs>
        <w:spacing w:before="0" w:after="0" w:line="360" w:lineRule="auto"/>
        <w:ind w:left="0" w:right="0" w:firstLine="422"/>
        <w:rPr>
          <w:rFonts w:hint="eastAsia" w:eastAsia="宋体"/>
          <w:color w:val="auto"/>
          <w:lang w:val="en-US" w:eastAsia="zh-CN"/>
        </w:rPr>
      </w:pPr>
      <w:r>
        <w:rPr>
          <w:rFonts w:ascii="宋体" w:hAnsi="宋体" w:eastAsia="宋体" w:cs="宋体"/>
          <w:b/>
          <w:color w:val="auto"/>
          <w:sz w:val="21"/>
        </w:rPr>
        <w:t>2.2落实政府采购政策需要满足的资格条件：</w:t>
      </w:r>
      <w:r>
        <w:rPr>
          <w:rFonts w:hint="eastAsia" w:ascii="宋体" w:hAnsi="宋体" w:eastAsia="宋体" w:cs="宋体"/>
          <w:b w:val="0"/>
          <w:bCs/>
          <w:color w:val="auto"/>
          <w:sz w:val="21"/>
        </w:rPr>
        <w:t>本项目为非预留份额的采购项目或采购包，执行价格扣除优惠政策。</w:t>
      </w:r>
    </w:p>
    <w:p w14:paraId="576D76E4">
      <w:pPr>
        <w:pBdr>
          <w:top w:val="none" w:color="000000" w:sz="0" w:space="0"/>
          <w:left w:val="none" w:color="000000" w:sz="0" w:space="0"/>
          <w:bottom w:val="none" w:color="000000" w:sz="0" w:space="0"/>
          <w:right w:val="none" w:color="000000" w:sz="0" w:space="0"/>
        </w:pBdr>
        <w:tabs>
          <w:tab w:val="left" w:pos="562"/>
          <w:tab w:val="left" w:pos="3372"/>
          <w:tab w:val="left" w:pos="3653"/>
        </w:tabs>
        <w:spacing w:before="0" w:after="0" w:line="360" w:lineRule="auto"/>
        <w:ind w:left="0" w:right="0" w:firstLine="422"/>
        <w:rPr>
          <w:color w:val="auto"/>
        </w:rPr>
      </w:pPr>
      <w:r>
        <w:rPr>
          <w:rFonts w:ascii="宋体" w:hAnsi="宋体" w:eastAsia="宋体" w:cs="宋体"/>
          <w:b/>
          <w:color w:val="auto"/>
          <w:sz w:val="21"/>
        </w:rPr>
        <w:t>2.3本项目的特定资格要求：/</w:t>
      </w:r>
    </w:p>
    <w:p w14:paraId="19F51B58">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rPr>
          <w:color w:val="auto"/>
        </w:rPr>
      </w:pPr>
      <w:r>
        <w:rPr>
          <w:rFonts w:ascii="宋体" w:hAnsi="宋体" w:eastAsia="宋体" w:cs="宋体"/>
          <w:color w:val="auto"/>
          <w:sz w:val="21"/>
        </w:rPr>
        <w:t>2.4本项目不接受联合体投标</w:t>
      </w:r>
      <w:r>
        <w:rPr>
          <w:rFonts w:ascii="Calibri" w:hAnsi="Calibri" w:eastAsia="Calibri" w:cs="Calibri"/>
          <w:color w:val="auto"/>
          <w:sz w:val="21"/>
        </w:rPr>
        <w:t>。</w:t>
      </w:r>
    </w:p>
    <w:p w14:paraId="7039A89A">
      <w:pPr>
        <w:pBdr>
          <w:top w:val="none" w:color="000000" w:sz="0" w:space="0"/>
          <w:left w:val="none" w:color="000000" w:sz="0" w:space="0"/>
          <w:bottom w:val="none" w:color="000000" w:sz="0" w:space="0"/>
          <w:right w:val="none" w:color="000000" w:sz="0" w:space="0"/>
        </w:pBdr>
        <w:spacing w:before="0" w:after="0" w:line="360" w:lineRule="auto"/>
        <w:ind w:left="0" w:right="0" w:firstLine="420"/>
        <w:rPr>
          <w:color w:val="auto"/>
        </w:rPr>
      </w:pPr>
      <w:r>
        <w:rPr>
          <w:rFonts w:ascii="宋体" w:hAnsi="宋体" w:eastAsia="宋体" w:cs="宋体"/>
          <w:color w:val="auto"/>
          <w:sz w:val="21"/>
        </w:rPr>
        <w:t>2.5</w:t>
      </w:r>
      <w:r>
        <w:rPr>
          <w:rFonts w:ascii="Calibri" w:hAnsi="Calibri" w:eastAsia="Calibri" w:cs="Calibri"/>
          <w:color w:val="auto"/>
          <w:sz w:val="21"/>
        </w:rPr>
        <w:t>拒绝下列供应商参加本次</w:t>
      </w:r>
      <w:r>
        <w:rPr>
          <w:rFonts w:ascii="宋体" w:hAnsi="宋体" w:eastAsia="宋体" w:cs="宋体"/>
          <w:color w:val="auto"/>
          <w:sz w:val="21"/>
        </w:rPr>
        <w:t>采购</w:t>
      </w:r>
      <w:r>
        <w:rPr>
          <w:rFonts w:ascii="Calibri" w:hAnsi="Calibri" w:eastAsia="Calibri" w:cs="Calibri"/>
          <w:color w:val="auto"/>
          <w:sz w:val="21"/>
        </w:rPr>
        <w:t>活动：</w:t>
      </w:r>
    </w:p>
    <w:p w14:paraId="33923E48">
      <w:pPr>
        <w:pBdr>
          <w:top w:val="none" w:color="000000" w:sz="0" w:space="0"/>
          <w:left w:val="none" w:color="000000" w:sz="0" w:space="0"/>
          <w:bottom w:val="none" w:color="000000" w:sz="0" w:space="0"/>
          <w:right w:val="none" w:color="000000" w:sz="0" w:space="0"/>
        </w:pBdr>
        <w:spacing w:before="0" w:after="0" w:line="360" w:lineRule="auto"/>
        <w:ind w:left="0" w:right="0" w:firstLine="420"/>
        <w:rPr>
          <w:color w:val="auto"/>
        </w:rPr>
      </w:pPr>
      <w:r>
        <w:rPr>
          <w:rFonts w:ascii="Calibri" w:hAnsi="Calibri" w:eastAsia="Calibri" w:cs="Calibri"/>
          <w:color w:val="auto"/>
          <w:sz w:val="21"/>
        </w:rPr>
        <w:t>（</w:t>
      </w:r>
      <w:r>
        <w:rPr>
          <w:rFonts w:ascii="宋体" w:hAnsi="宋体" w:eastAsia="宋体" w:cs="宋体"/>
          <w:color w:val="auto"/>
          <w:sz w:val="21"/>
        </w:rPr>
        <w:t>1</w:t>
      </w:r>
      <w:r>
        <w:rPr>
          <w:rFonts w:ascii="Calibri" w:hAnsi="Calibri" w:eastAsia="Calibri" w:cs="Calibri"/>
          <w:color w:val="auto"/>
          <w:sz w:val="21"/>
        </w:rPr>
        <w:t>）供应商单位负责人为同一人或者存在直接控股、管理关系的不同供应商，不得参加同一合同项下的</w:t>
      </w:r>
      <w:r>
        <w:rPr>
          <w:rFonts w:ascii="宋体" w:hAnsi="宋体" w:eastAsia="宋体" w:cs="宋体"/>
          <w:color w:val="auto"/>
          <w:sz w:val="21"/>
        </w:rPr>
        <w:t>采购</w:t>
      </w:r>
      <w:r>
        <w:rPr>
          <w:rFonts w:ascii="Calibri" w:hAnsi="Calibri" w:eastAsia="Calibri" w:cs="Calibri"/>
          <w:color w:val="auto"/>
          <w:sz w:val="21"/>
        </w:rPr>
        <w:t>活动；</w:t>
      </w:r>
    </w:p>
    <w:p w14:paraId="3D6F98A0">
      <w:pPr>
        <w:pBdr>
          <w:top w:val="none" w:color="000000" w:sz="0" w:space="0"/>
          <w:left w:val="none" w:color="000000" w:sz="0" w:space="0"/>
          <w:bottom w:val="none" w:color="000000" w:sz="0" w:space="0"/>
          <w:right w:val="none" w:color="000000" w:sz="0" w:space="0"/>
        </w:pBdr>
        <w:spacing w:before="0" w:after="0" w:line="360" w:lineRule="auto"/>
        <w:ind w:left="0" w:right="0" w:firstLine="420"/>
        <w:rPr>
          <w:color w:val="auto"/>
        </w:rPr>
      </w:pPr>
      <w:r>
        <w:rPr>
          <w:rFonts w:ascii="Calibri" w:hAnsi="Calibri" w:eastAsia="Calibri" w:cs="Calibri"/>
          <w:color w:val="auto"/>
          <w:sz w:val="21"/>
        </w:rPr>
        <w:t>（</w:t>
      </w:r>
      <w:r>
        <w:rPr>
          <w:rFonts w:ascii="宋体" w:hAnsi="宋体" w:eastAsia="宋体" w:cs="宋体"/>
          <w:color w:val="auto"/>
          <w:sz w:val="21"/>
        </w:rPr>
        <w:t>2</w:t>
      </w:r>
      <w:r>
        <w:rPr>
          <w:rFonts w:ascii="Calibri" w:hAnsi="Calibri" w:eastAsia="Calibri" w:cs="Calibri"/>
          <w:color w:val="auto"/>
          <w:sz w:val="21"/>
        </w:rPr>
        <w:t>）凡为</w:t>
      </w:r>
      <w:r>
        <w:rPr>
          <w:rFonts w:ascii="宋体" w:hAnsi="宋体" w:eastAsia="宋体" w:cs="宋体"/>
          <w:color w:val="auto"/>
          <w:sz w:val="21"/>
        </w:rPr>
        <w:t>采购</w:t>
      </w:r>
      <w:r>
        <w:rPr>
          <w:rFonts w:ascii="Calibri" w:hAnsi="Calibri" w:eastAsia="Calibri" w:cs="Calibri"/>
          <w:color w:val="auto"/>
          <w:sz w:val="21"/>
        </w:rPr>
        <w:t>项目提供整体设计、规范编制或者项目管理、监理、检测等服务的供应商，不得再参加本项目的</w:t>
      </w:r>
      <w:r>
        <w:rPr>
          <w:rFonts w:ascii="宋体" w:hAnsi="宋体" w:eastAsia="宋体" w:cs="宋体"/>
          <w:color w:val="auto"/>
          <w:sz w:val="21"/>
        </w:rPr>
        <w:t>采购</w:t>
      </w:r>
      <w:r>
        <w:rPr>
          <w:rFonts w:ascii="Calibri" w:hAnsi="Calibri" w:eastAsia="Calibri" w:cs="Calibri"/>
          <w:color w:val="auto"/>
          <w:sz w:val="21"/>
        </w:rPr>
        <w:t>活动；</w:t>
      </w:r>
    </w:p>
    <w:p w14:paraId="052C2541">
      <w:pPr>
        <w:pBdr>
          <w:top w:val="none" w:color="000000" w:sz="0" w:space="0"/>
          <w:left w:val="none" w:color="000000" w:sz="0" w:space="0"/>
          <w:bottom w:val="none" w:color="000000" w:sz="0" w:space="0"/>
          <w:right w:val="none" w:color="000000" w:sz="0" w:space="0"/>
        </w:pBdr>
        <w:spacing w:before="0" w:after="0" w:line="360" w:lineRule="auto"/>
        <w:ind w:left="0" w:right="0" w:firstLine="420"/>
        <w:rPr>
          <w:color w:val="auto"/>
        </w:rPr>
      </w:pPr>
      <w:r>
        <w:rPr>
          <w:rFonts w:ascii="Calibri" w:hAnsi="Calibri" w:eastAsia="Calibri" w:cs="Calibri"/>
          <w:color w:val="auto"/>
          <w:sz w:val="21"/>
        </w:rPr>
        <w:t>（</w:t>
      </w:r>
      <w:r>
        <w:rPr>
          <w:rFonts w:ascii="宋体" w:hAnsi="宋体" w:eastAsia="宋体" w:cs="宋体"/>
          <w:color w:val="auto"/>
          <w:sz w:val="21"/>
        </w:rPr>
        <w:t>3</w:t>
      </w:r>
      <w:r>
        <w:rPr>
          <w:rFonts w:ascii="Calibri" w:hAnsi="Calibri" w:eastAsia="Calibri" w:cs="Calibri"/>
          <w:color w:val="auto"/>
          <w:sz w:val="21"/>
        </w:rPr>
        <w:t>）</w:t>
      </w:r>
      <w:r>
        <w:rPr>
          <w:rFonts w:ascii="宋体" w:hAnsi="宋体" w:eastAsia="宋体" w:cs="宋体"/>
          <w:color w:val="auto"/>
          <w:sz w:val="21"/>
        </w:rPr>
        <w:t>拒绝列入失信被执行人、重大税收违法案件当事人名单、政府采购严重违法失信行为记录名单及《南京市政府采购供应商信用管理工作暂行办法》宁财规[2018]10号第十一条、第十二条所列严重失信行为情形的供应商参加本项目的采购活动。</w:t>
      </w:r>
    </w:p>
    <w:p w14:paraId="05323066">
      <w:pPr>
        <w:pBdr>
          <w:top w:val="none" w:color="000000" w:sz="0" w:space="0"/>
          <w:left w:val="none" w:color="000000" w:sz="0" w:space="0"/>
          <w:bottom w:val="none" w:color="000000" w:sz="0" w:space="0"/>
          <w:right w:val="none" w:color="000000" w:sz="0" w:space="0"/>
        </w:pBdr>
        <w:spacing w:before="0" w:after="0" w:line="360" w:lineRule="auto"/>
        <w:ind w:left="0" w:right="0" w:firstLine="420"/>
        <w:jc w:val="both"/>
        <w:rPr>
          <w:color w:val="auto"/>
        </w:rPr>
      </w:pPr>
      <w:r>
        <w:rPr>
          <w:rFonts w:ascii="宋体" w:hAnsi="宋体" w:eastAsia="宋体" w:cs="宋体"/>
          <w:color w:val="auto"/>
          <w:sz w:val="21"/>
        </w:rPr>
        <w:t>（</w:t>
      </w:r>
      <w:r>
        <w:rPr>
          <w:rFonts w:ascii="Times New Roman" w:hAnsi="Times New Roman" w:eastAsia="Times New Roman" w:cs="Times New Roman"/>
          <w:color w:val="auto"/>
          <w:sz w:val="21"/>
        </w:rPr>
        <w:t>4</w:t>
      </w:r>
      <w:r>
        <w:rPr>
          <w:rFonts w:ascii="宋体" w:hAnsi="宋体" w:eastAsia="宋体" w:cs="宋体"/>
          <w:color w:val="auto"/>
          <w:sz w:val="21"/>
        </w:rPr>
        <w:t>）未提供《南京市政府采购供应商信用记录表暨信用承诺书》。</w:t>
      </w:r>
    </w:p>
    <w:p w14:paraId="116BEE79">
      <w:pPr>
        <w:pStyle w:val="3"/>
        <w:pBdr>
          <w:top w:val="none" w:color="000000" w:sz="0" w:space="0"/>
          <w:left w:val="none" w:color="000000" w:sz="0" w:space="0"/>
          <w:bottom w:val="none" w:color="000000" w:sz="0" w:space="0"/>
          <w:right w:val="none" w:color="000000" w:sz="0" w:space="0"/>
        </w:pBdr>
        <w:spacing w:before="0" w:after="0" w:line="360" w:lineRule="auto"/>
        <w:ind w:left="0" w:right="0" w:firstLine="0"/>
        <w:jc w:val="both"/>
        <w:rPr>
          <w:color w:val="auto"/>
        </w:rPr>
      </w:pPr>
      <w:r>
        <w:rPr>
          <w:rFonts w:ascii="宋体" w:hAnsi="宋体" w:eastAsia="宋体" w:cs="宋体"/>
          <w:b/>
          <w:color w:val="auto"/>
          <w:sz w:val="21"/>
        </w:rPr>
        <w:t>三、获取招标文件</w:t>
      </w:r>
    </w:p>
    <w:p w14:paraId="6748FE86">
      <w:pPr>
        <w:pBdr>
          <w:top w:val="none" w:color="000000" w:sz="0" w:space="0"/>
          <w:left w:val="none" w:color="000000" w:sz="0" w:space="0"/>
          <w:bottom w:val="none" w:color="000000" w:sz="0" w:space="0"/>
          <w:right w:val="none" w:color="000000" w:sz="0" w:space="0"/>
        </w:pBdr>
        <w:spacing w:before="0" w:after="0" w:line="360" w:lineRule="auto"/>
        <w:ind w:left="0" w:right="0" w:firstLine="540"/>
        <w:jc w:val="both"/>
        <w:rPr>
          <w:color w:val="auto"/>
        </w:rPr>
      </w:pPr>
      <w:r>
        <w:rPr>
          <w:rFonts w:ascii="宋体" w:hAnsi="宋体" w:eastAsia="宋体" w:cs="宋体"/>
          <w:color w:val="auto"/>
          <w:sz w:val="21"/>
        </w:rPr>
        <w:t>自招标文件公告发布之日起5个工作日</w:t>
      </w:r>
    </w:p>
    <w:p w14:paraId="37BD0047">
      <w:pPr>
        <w:pBdr>
          <w:top w:val="none" w:color="000000" w:sz="0" w:space="0"/>
          <w:left w:val="none" w:color="000000" w:sz="0" w:space="0"/>
          <w:bottom w:val="none" w:color="000000" w:sz="0" w:space="0"/>
          <w:right w:val="none" w:color="000000" w:sz="0" w:space="0"/>
        </w:pBdr>
        <w:spacing w:before="0" w:after="0" w:line="360" w:lineRule="auto"/>
        <w:ind w:left="0" w:right="0" w:firstLine="420"/>
        <w:rPr>
          <w:color w:val="auto"/>
        </w:rPr>
      </w:pPr>
      <w:r>
        <w:rPr>
          <w:rFonts w:ascii="宋体" w:hAnsi="宋体" w:eastAsia="宋体" w:cs="宋体"/>
          <w:color w:val="auto"/>
          <w:sz w:val="21"/>
        </w:rPr>
        <w:t>地点:江苏政府采购网苏采云系统</w:t>
      </w:r>
    </w:p>
    <w:p w14:paraId="18134CCC">
      <w:pPr>
        <w:pBdr>
          <w:top w:val="none" w:color="000000" w:sz="0" w:space="0"/>
          <w:left w:val="none" w:color="000000" w:sz="0" w:space="0"/>
          <w:bottom w:val="none" w:color="000000" w:sz="0" w:space="0"/>
          <w:right w:val="none" w:color="000000" w:sz="0" w:space="0"/>
        </w:pBdr>
        <w:spacing w:before="0" w:after="0" w:line="360" w:lineRule="auto"/>
        <w:ind w:left="0" w:right="0" w:firstLine="420"/>
        <w:rPr>
          <w:color w:val="auto"/>
        </w:rPr>
      </w:pPr>
      <w:r>
        <w:rPr>
          <w:rFonts w:ascii="宋体" w:hAnsi="宋体" w:eastAsia="宋体" w:cs="宋体"/>
          <w:color w:val="auto"/>
          <w:sz w:val="21"/>
        </w:rPr>
        <w:t>方式:本项目采用网上注册登记方式。</w:t>
      </w:r>
    </w:p>
    <w:p w14:paraId="6A5AB932">
      <w:pPr>
        <w:pBdr>
          <w:top w:val="none" w:color="000000" w:sz="0" w:space="0"/>
          <w:left w:val="none" w:color="000000" w:sz="0" w:space="0"/>
          <w:bottom w:val="none" w:color="000000" w:sz="0" w:space="0"/>
          <w:right w:val="none" w:color="000000" w:sz="0" w:space="0"/>
        </w:pBdr>
        <w:spacing w:before="0" w:after="0" w:line="360" w:lineRule="auto"/>
        <w:ind w:left="0" w:right="0" w:firstLine="420"/>
        <w:rPr>
          <w:color w:val="auto"/>
        </w:rPr>
      </w:pPr>
      <w:r>
        <w:rPr>
          <w:rFonts w:ascii="宋体" w:hAnsi="宋体" w:eastAsia="宋体" w:cs="宋体"/>
          <w:color w:val="auto"/>
          <w:sz w:val="21"/>
        </w:rPr>
        <w:t>售价:0.00元。</w:t>
      </w:r>
    </w:p>
    <w:p w14:paraId="0E7EFF83">
      <w:pPr>
        <w:pStyle w:val="3"/>
        <w:pBdr>
          <w:top w:val="none" w:color="000000" w:sz="0" w:space="0"/>
          <w:left w:val="none" w:color="000000" w:sz="0" w:space="0"/>
          <w:bottom w:val="none" w:color="000000" w:sz="0" w:space="0"/>
          <w:right w:val="none" w:color="000000" w:sz="0" w:space="0"/>
        </w:pBdr>
        <w:spacing w:before="0" w:after="0" w:line="360" w:lineRule="auto"/>
        <w:ind w:left="0" w:right="0" w:firstLine="0"/>
        <w:jc w:val="both"/>
        <w:rPr>
          <w:color w:val="auto"/>
        </w:rPr>
      </w:pPr>
      <w:r>
        <w:rPr>
          <w:rFonts w:ascii="宋体" w:hAnsi="宋体" w:eastAsia="宋体" w:cs="宋体"/>
          <w:b/>
          <w:color w:val="auto"/>
          <w:sz w:val="21"/>
          <w:u w:val="none"/>
        </w:rPr>
        <w:t>四、提交投标文件</w:t>
      </w:r>
      <w:r>
        <w:rPr>
          <w:rFonts w:ascii="宋体" w:hAnsi="宋体" w:eastAsia="宋体" w:cs="宋体"/>
          <w:b/>
          <w:color w:val="auto"/>
          <w:sz w:val="21"/>
        </w:rPr>
        <w:t>截止时间、开标时间和地点</w:t>
      </w:r>
    </w:p>
    <w:p w14:paraId="566614F5">
      <w:pPr>
        <w:pBdr>
          <w:top w:val="none" w:color="000000" w:sz="0" w:space="0"/>
          <w:left w:val="none" w:color="000000" w:sz="0" w:space="0"/>
          <w:bottom w:val="none" w:color="000000" w:sz="0" w:space="0"/>
          <w:right w:val="none" w:color="000000" w:sz="0" w:space="0"/>
        </w:pBdr>
        <w:spacing w:before="0" w:after="0" w:line="360" w:lineRule="auto"/>
        <w:ind w:left="0" w:right="0" w:firstLine="420"/>
        <w:jc w:val="both"/>
        <w:rPr>
          <w:color w:val="auto"/>
        </w:rPr>
      </w:pPr>
      <w:r>
        <w:rPr>
          <w:rFonts w:ascii="宋体" w:hAnsi="宋体" w:eastAsia="宋体" w:cs="宋体"/>
          <w:color w:val="auto"/>
          <w:sz w:val="21"/>
        </w:rPr>
        <w:t>2026年</w:t>
      </w:r>
      <w:r>
        <w:rPr>
          <w:rFonts w:hint="eastAsia" w:ascii="宋体" w:hAnsi="宋体" w:cs="宋体"/>
          <w:color w:val="auto"/>
          <w:sz w:val="21"/>
          <w:lang w:val="en-US" w:eastAsia="zh-CN"/>
        </w:rPr>
        <w:t>6</w:t>
      </w:r>
      <w:r>
        <w:rPr>
          <w:rFonts w:ascii="宋体" w:hAnsi="宋体" w:eastAsia="宋体" w:cs="宋体"/>
          <w:color w:val="auto"/>
          <w:sz w:val="21"/>
        </w:rPr>
        <w:t>月</w:t>
      </w:r>
      <w:r>
        <w:rPr>
          <w:rFonts w:hint="eastAsia" w:ascii="宋体" w:hAnsi="宋体" w:cs="宋体"/>
          <w:color w:val="auto"/>
          <w:sz w:val="21"/>
          <w:lang w:val="en-US" w:eastAsia="zh-CN"/>
        </w:rPr>
        <w:t>17</w:t>
      </w:r>
      <w:r>
        <w:rPr>
          <w:rFonts w:ascii="宋体" w:hAnsi="宋体" w:eastAsia="宋体" w:cs="宋体"/>
          <w:color w:val="auto"/>
          <w:sz w:val="21"/>
        </w:rPr>
        <w:t>日09时30分（北京时间）</w:t>
      </w:r>
    </w:p>
    <w:p w14:paraId="063E68FB">
      <w:pPr>
        <w:pBdr>
          <w:top w:val="none" w:color="000000" w:sz="0" w:space="0"/>
          <w:left w:val="none" w:color="000000" w:sz="0" w:space="0"/>
          <w:bottom w:val="none" w:color="000000" w:sz="0" w:space="0"/>
          <w:right w:val="none" w:color="000000" w:sz="0" w:space="0"/>
        </w:pBdr>
        <w:spacing w:before="0" w:after="0" w:line="360" w:lineRule="auto"/>
        <w:ind w:left="0" w:right="0" w:firstLine="420"/>
        <w:jc w:val="both"/>
        <w:rPr>
          <w:color w:val="auto"/>
        </w:rPr>
      </w:pPr>
      <w:r>
        <w:rPr>
          <w:rFonts w:ascii="宋体" w:hAnsi="宋体" w:eastAsia="宋体" w:cs="宋体"/>
          <w:color w:val="auto"/>
          <w:sz w:val="21"/>
        </w:rPr>
        <w:t>地点：</w:t>
      </w:r>
      <w:r>
        <w:rPr>
          <w:rFonts w:ascii="宋体" w:hAnsi="宋体" w:eastAsia="宋体" w:cs="宋体"/>
          <w:b/>
          <w:color w:val="auto"/>
          <w:sz w:val="21"/>
        </w:rPr>
        <w:t>“苏采云”政府采购交易系统网上开标大厅</w:t>
      </w:r>
    </w:p>
    <w:p w14:paraId="38011E05">
      <w:pPr>
        <w:pStyle w:val="3"/>
        <w:pBdr>
          <w:top w:val="none" w:color="000000" w:sz="0" w:space="0"/>
          <w:left w:val="none" w:color="000000" w:sz="0" w:space="0"/>
          <w:bottom w:val="none" w:color="000000" w:sz="0" w:space="0"/>
          <w:right w:val="none" w:color="000000" w:sz="0" w:space="0"/>
        </w:pBdr>
        <w:spacing w:before="0" w:after="0" w:line="360" w:lineRule="auto"/>
        <w:ind w:left="0" w:right="0" w:firstLine="0"/>
        <w:jc w:val="both"/>
        <w:rPr>
          <w:color w:val="auto"/>
        </w:rPr>
      </w:pPr>
      <w:r>
        <w:rPr>
          <w:rFonts w:ascii="宋体" w:hAnsi="宋体" w:eastAsia="宋体" w:cs="宋体"/>
          <w:b/>
          <w:color w:val="auto"/>
          <w:sz w:val="21"/>
          <w:u w:val="none"/>
        </w:rPr>
        <w:t>五、公告期限</w:t>
      </w:r>
    </w:p>
    <w:p w14:paraId="0F2EAB75">
      <w:pPr>
        <w:pBdr>
          <w:top w:val="none" w:color="000000" w:sz="0" w:space="0"/>
          <w:left w:val="none" w:color="000000" w:sz="0" w:space="0"/>
          <w:bottom w:val="none" w:color="000000" w:sz="0" w:space="0"/>
          <w:right w:val="none" w:color="000000" w:sz="0" w:space="0"/>
        </w:pBdr>
        <w:spacing w:before="0" w:after="0" w:line="360" w:lineRule="auto"/>
        <w:ind w:left="0" w:right="0" w:firstLine="420"/>
        <w:jc w:val="both"/>
        <w:rPr>
          <w:color w:val="auto"/>
        </w:rPr>
      </w:pPr>
      <w:r>
        <w:rPr>
          <w:rFonts w:ascii="宋体" w:hAnsi="宋体" w:eastAsia="宋体" w:cs="宋体"/>
          <w:color w:val="auto"/>
          <w:sz w:val="21"/>
        </w:rPr>
        <w:t>自本公告发布之日起5个工作日。</w:t>
      </w:r>
    </w:p>
    <w:p w14:paraId="32B127CE">
      <w:pPr>
        <w:pStyle w:val="3"/>
        <w:pBdr>
          <w:top w:val="none" w:color="000000" w:sz="0" w:space="0"/>
          <w:left w:val="none" w:color="000000" w:sz="0" w:space="0"/>
          <w:bottom w:val="none" w:color="000000" w:sz="0" w:space="0"/>
          <w:right w:val="none" w:color="000000" w:sz="0" w:space="0"/>
        </w:pBdr>
        <w:spacing w:before="0" w:after="0" w:line="360" w:lineRule="auto"/>
        <w:ind w:left="0" w:right="0" w:firstLine="0"/>
        <w:jc w:val="both"/>
        <w:rPr>
          <w:color w:val="auto"/>
        </w:rPr>
      </w:pPr>
      <w:r>
        <w:rPr>
          <w:rFonts w:ascii="宋体" w:hAnsi="宋体" w:eastAsia="宋体" w:cs="宋体"/>
          <w:b/>
          <w:color w:val="auto"/>
          <w:sz w:val="21"/>
          <w:u w:val="none"/>
        </w:rPr>
        <w:t>六、其他补充事宜</w:t>
      </w:r>
    </w:p>
    <w:p w14:paraId="21C75FC5">
      <w:pPr>
        <w:pBdr>
          <w:top w:val="none" w:color="000000" w:sz="0" w:space="0"/>
          <w:left w:val="none" w:color="000000" w:sz="0" w:space="0"/>
          <w:bottom w:val="none" w:color="000000" w:sz="0" w:space="0"/>
          <w:right w:val="none" w:color="000000" w:sz="0" w:space="0"/>
        </w:pBdr>
        <w:spacing w:before="0" w:after="0" w:line="360" w:lineRule="auto"/>
        <w:ind w:left="0" w:right="0" w:firstLine="420"/>
        <w:jc w:val="both"/>
        <w:rPr>
          <w:color w:val="auto"/>
        </w:rPr>
      </w:pPr>
      <w:r>
        <w:rPr>
          <w:rFonts w:ascii="宋体" w:hAnsi="宋体" w:eastAsia="宋体" w:cs="宋体"/>
          <w:color w:val="auto"/>
          <w:sz w:val="21"/>
        </w:rPr>
        <w:t>6.1集中现场考察或答疑：采购人不统一组织现场答疑，各潜在供应商必须在获取采购文件后自行踏勘现场，并承担相关费用和责任。请潜在供应商务必对采购文件进行仔细认真阅读，在随后的采购中，对采购文件所作出的推论、解释和结论及由此造成的后果由各潜在供应商负责。</w:t>
      </w:r>
    </w:p>
    <w:p w14:paraId="77B518BA">
      <w:pPr>
        <w:pBdr>
          <w:top w:val="none" w:color="000000" w:sz="0" w:space="0"/>
          <w:left w:val="none" w:color="000000" w:sz="0" w:space="0"/>
          <w:bottom w:val="none" w:color="000000" w:sz="0" w:space="0"/>
          <w:right w:val="none" w:color="000000" w:sz="0" w:space="0"/>
        </w:pBdr>
        <w:tabs>
          <w:tab w:val="left" w:pos="562"/>
          <w:tab w:val="left" w:pos="3372"/>
          <w:tab w:val="left" w:pos="3653"/>
        </w:tabs>
        <w:spacing w:before="0" w:after="0" w:line="360" w:lineRule="auto"/>
        <w:ind w:left="0" w:right="0" w:firstLine="420" w:firstLineChars="200"/>
        <w:rPr>
          <w:color w:val="auto"/>
        </w:rPr>
      </w:pPr>
      <w:r>
        <w:rPr>
          <w:rFonts w:ascii="宋体" w:hAnsi="宋体" w:eastAsia="宋体" w:cs="宋体"/>
          <w:color w:val="auto"/>
          <w:sz w:val="21"/>
        </w:rPr>
        <w:t>6.2潜在供应商访问政府采购管理交易系统（苏采云）的网络地址和方法：</w:t>
      </w:r>
    </w:p>
    <w:p w14:paraId="13BE9333">
      <w:pPr>
        <w:pBdr>
          <w:top w:val="none" w:color="000000" w:sz="0" w:space="0"/>
          <w:left w:val="none" w:color="000000" w:sz="0" w:space="0"/>
          <w:bottom w:val="none" w:color="000000" w:sz="0" w:space="0"/>
          <w:right w:val="none" w:color="000000" w:sz="0" w:space="0"/>
        </w:pBdr>
        <w:tabs>
          <w:tab w:val="left" w:pos="562"/>
          <w:tab w:val="left" w:pos="3372"/>
          <w:tab w:val="left" w:pos="3653"/>
        </w:tabs>
        <w:spacing w:before="0" w:after="0" w:line="360" w:lineRule="auto"/>
        <w:ind w:left="0" w:right="0" w:firstLine="210"/>
        <w:rPr>
          <w:color w:val="auto"/>
        </w:rPr>
      </w:pPr>
      <w:r>
        <w:rPr>
          <w:rFonts w:ascii="宋体" w:hAnsi="宋体" w:eastAsia="宋体" w:cs="宋体"/>
          <w:color w:val="auto"/>
          <w:sz w:val="21"/>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119B1736">
      <w:pPr>
        <w:pBdr>
          <w:top w:val="none" w:color="000000" w:sz="0" w:space="0"/>
          <w:left w:val="none" w:color="000000" w:sz="0" w:space="0"/>
          <w:bottom w:val="none" w:color="000000" w:sz="0" w:space="0"/>
          <w:right w:val="none" w:color="000000" w:sz="0" w:space="0"/>
        </w:pBdr>
        <w:tabs>
          <w:tab w:val="left" w:pos="562"/>
          <w:tab w:val="left" w:pos="3372"/>
          <w:tab w:val="left" w:pos="3653"/>
        </w:tabs>
        <w:spacing w:before="0" w:after="0" w:line="360" w:lineRule="auto"/>
        <w:ind w:left="0" w:right="0" w:firstLine="210"/>
        <w:rPr>
          <w:color w:val="auto"/>
        </w:rPr>
      </w:pPr>
      <w:r>
        <w:rPr>
          <w:rFonts w:ascii="宋体" w:hAnsi="宋体" w:eastAsia="宋体" w:cs="宋体"/>
          <w:color w:val="auto"/>
          <w:sz w:val="21"/>
        </w:rPr>
        <w:t>（2）“CA数字证书”的获取：供应商需办理CA锁，“苏采云”系统目前仅支持“苏采云”系统下的政务CA，省内各地区办理的“苏采云”系统下的政务CA全省通用。</w:t>
      </w:r>
    </w:p>
    <w:p w14:paraId="3FBD1431">
      <w:pPr>
        <w:pBdr>
          <w:top w:val="none" w:color="000000" w:sz="0" w:space="0"/>
          <w:left w:val="none" w:color="000000" w:sz="0" w:space="0"/>
          <w:bottom w:val="none" w:color="000000" w:sz="0" w:space="0"/>
          <w:right w:val="none" w:color="000000" w:sz="0" w:space="0"/>
        </w:pBdr>
        <w:tabs>
          <w:tab w:val="left" w:pos="562"/>
          <w:tab w:val="left" w:pos="3372"/>
          <w:tab w:val="left" w:pos="3653"/>
        </w:tabs>
        <w:spacing w:before="0" w:after="0" w:line="360" w:lineRule="auto"/>
        <w:ind w:left="0" w:right="0" w:firstLine="210"/>
        <w:rPr>
          <w:color w:val="auto"/>
        </w:rPr>
      </w:pPr>
      <w:r>
        <w:rPr>
          <w:rFonts w:ascii="宋体" w:hAnsi="宋体" w:eastAsia="宋体" w:cs="宋体"/>
          <w:color w:val="auto"/>
          <w:sz w:val="21"/>
        </w:rPr>
        <w:t>（3）“CA数字证书”的办理材料以及供应商操作手册详见：http://jsxcmm.com/help/gys.html。</w:t>
      </w:r>
    </w:p>
    <w:p w14:paraId="3F33BCE3">
      <w:pPr>
        <w:pBdr>
          <w:top w:val="none" w:color="000000" w:sz="0" w:space="0"/>
          <w:left w:val="none" w:color="000000" w:sz="0" w:space="0"/>
          <w:bottom w:val="none" w:color="000000" w:sz="0" w:space="0"/>
          <w:right w:val="none" w:color="000000" w:sz="0" w:space="0"/>
        </w:pBdr>
        <w:tabs>
          <w:tab w:val="left" w:pos="562"/>
          <w:tab w:val="left" w:pos="3372"/>
          <w:tab w:val="left" w:pos="3653"/>
        </w:tabs>
        <w:spacing w:before="0" w:after="0" w:line="360" w:lineRule="auto"/>
        <w:ind w:left="0" w:right="0" w:firstLine="210"/>
        <w:rPr>
          <w:color w:val="auto"/>
        </w:rPr>
      </w:pPr>
      <w:r>
        <w:rPr>
          <w:rFonts w:ascii="宋体" w:hAnsi="宋体" w:eastAsia="宋体" w:cs="宋体"/>
          <w:color w:val="auto"/>
          <w:sz w:val="21"/>
        </w:rPr>
        <w:t>（4）潜在供应商访问“苏采云”系统的网络地址和方法：“苏采云”系统的网址：http://jszfcg.jsczt.cn/jszc/login。</w:t>
      </w:r>
    </w:p>
    <w:p w14:paraId="07FA3671">
      <w:pPr>
        <w:pBdr>
          <w:top w:val="none" w:color="000000" w:sz="0" w:space="0"/>
          <w:left w:val="none" w:color="000000" w:sz="0" w:space="0"/>
          <w:bottom w:val="none" w:color="000000" w:sz="0" w:space="0"/>
          <w:right w:val="none" w:color="000000" w:sz="0" w:space="0"/>
        </w:pBdr>
        <w:tabs>
          <w:tab w:val="left" w:pos="562"/>
          <w:tab w:val="left" w:pos="3372"/>
          <w:tab w:val="left" w:pos="3653"/>
        </w:tabs>
        <w:spacing w:before="0" w:after="0" w:line="360" w:lineRule="auto"/>
        <w:ind w:left="0" w:right="0" w:firstLine="210"/>
        <w:rPr>
          <w:color w:val="auto"/>
        </w:rPr>
      </w:pPr>
      <w:r>
        <w:rPr>
          <w:rFonts w:ascii="宋体" w:hAnsi="宋体" w:eastAsia="宋体" w:cs="宋体"/>
          <w:color w:val="auto"/>
          <w:sz w:val="21"/>
        </w:rPr>
        <w:t>（5）采购文件（后缀名为“.kedt”）、供应商操作手册及政府采购客户端工具也可通过“苏采云”系统--已报名项目--报名详情页面内相应链接进行下载。</w:t>
      </w:r>
    </w:p>
    <w:p w14:paraId="2E94AEA3">
      <w:pPr>
        <w:pBdr>
          <w:top w:val="none" w:color="000000" w:sz="0" w:space="0"/>
          <w:left w:val="none" w:color="000000" w:sz="0" w:space="0"/>
          <w:bottom w:val="none" w:color="000000" w:sz="0" w:space="0"/>
          <w:right w:val="none" w:color="000000" w:sz="0" w:space="0"/>
        </w:pBdr>
        <w:tabs>
          <w:tab w:val="left" w:pos="562"/>
          <w:tab w:val="left" w:pos="3372"/>
          <w:tab w:val="left" w:pos="3653"/>
        </w:tabs>
        <w:spacing w:before="0" w:after="0" w:line="360" w:lineRule="auto"/>
        <w:ind w:left="0" w:right="0" w:firstLine="210"/>
        <w:rPr>
          <w:color w:val="auto"/>
        </w:rPr>
      </w:pPr>
      <w:r>
        <w:rPr>
          <w:rFonts w:ascii="宋体" w:hAnsi="宋体" w:eastAsia="宋体" w:cs="宋体"/>
          <w:color w:val="auto"/>
          <w:sz w:val="21"/>
        </w:rPr>
        <w:t>（6）招标代理机构（采购代理机构）将数据电文形式的采购文件加载至“苏采云”系统，供潜在供应商下载或者查阅。    </w:t>
      </w:r>
    </w:p>
    <w:p w14:paraId="5DBFFFA6">
      <w:pPr>
        <w:pBdr>
          <w:top w:val="none" w:color="000000" w:sz="0" w:space="0"/>
          <w:left w:val="none" w:color="000000" w:sz="0" w:space="0"/>
          <w:bottom w:val="none" w:color="000000" w:sz="0" w:space="0"/>
          <w:right w:val="none" w:color="000000" w:sz="0" w:space="0"/>
        </w:pBdr>
        <w:tabs>
          <w:tab w:val="left" w:pos="562"/>
          <w:tab w:val="left" w:pos="3372"/>
          <w:tab w:val="left" w:pos="3653"/>
        </w:tabs>
        <w:spacing w:before="0" w:after="0" w:line="360" w:lineRule="auto"/>
        <w:ind w:left="0" w:right="0" w:firstLine="210"/>
        <w:rPr>
          <w:color w:val="auto"/>
        </w:rPr>
      </w:pPr>
      <w:r>
        <w:rPr>
          <w:rFonts w:ascii="宋体" w:hAnsi="宋体" w:eastAsia="宋体" w:cs="宋体"/>
          <w:color w:val="auto"/>
          <w:sz w:val="21"/>
        </w:rPr>
        <w:t>（7）苏采云系统使用谷歌浏览器参与不见面开标。</w:t>
      </w:r>
    </w:p>
    <w:p w14:paraId="3D490696">
      <w:pPr>
        <w:pBdr>
          <w:top w:val="none" w:color="000000" w:sz="0" w:space="0"/>
          <w:left w:val="none" w:color="000000" w:sz="0" w:space="0"/>
          <w:bottom w:val="none" w:color="000000" w:sz="0" w:space="0"/>
          <w:right w:val="none" w:color="000000" w:sz="0" w:space="0"/>
        </w:pBdr>
        <w:tabs>
          <w:tab w:val="left" w:pos="562"/>
          <w:tab w:val="left" w:pos="3372"/>
          <w:tab w:val="left" w:pos="3653"/>
        </w:tabs>
        <w:spacing w:before="0" w:after="0" w:line="360" w:lineRule="auto"/>
        <w:ind w:left="0" w:right="0" w:firstLine="420" w:firstLineChars="200"/>
        <w:rPr>
          <w:color w:val="auto"/>
        </w:rPr>
      </w:pPr>
      <w:r>
        <w:rPr>
          <w:rFonts w:ascii="宋体" w:hAnsi="宋体" w:eastAsia="宋体" w:cs="宋体"/>
          <w:color w:val="auto"/>
          <w:sz w:val="21"/>
        </w:rPr>
        <w:t>6.3、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p>
    <w:p w14:paraId="378BF253">
      <w:pPr>
        <w:pBdr>
          <w:top w:val="none" w:color="000000" w:sz="0" w:space="0"/>
          <w:left w:val="none" w:color="000000" w:sz="0" w:space="0"/>
          <w:bottom w:val="none" w:color="000000" w:sz="0" w:space="0"/>
          <w:right w:val="none" w:color="000000" w:sz="0" w:space="0"/>
        </w:pBdr>
        <w:spacing w:before="0" w:after="0" w:line="360" w:lineRule="auto"/>
        <w:ind w:left="0" w:right="0" w:firstLine="0"/>
        <w:jc w:val="both"/>
        <w:rPr>
          <w:color w:val="auto"/>
        </w:rPr>
      </w:pPr>
      <w:r>
        <w:rPr>
          <w:rFonts w:ascii="宋体" w:hAnsi="宋体" w:eastAsia="宋体" w:cs="宋体"/>
          <w:color w:val="auto"/>
          <w:sz w:val="21"/>
        </w:rPr>
        <w:t>  </w:t>
      </w:r>
      <w:r>
        <w:rPr>
          <w:rFonts w:ascii="Times New Roman" w:hAnsi="Times New Roman" w:eastAsia="Times New Roman" w:cs="Times New Roman"/>
          <w:color w:val="auto"/>
          <w:sz w:val="21"/>
        </w:rPr>
        <w:t>6.4</w:t>
      </w:r>
      <w:r>
        <w:rPr>
          <w:rFonts w:ascii="宋体" w:hAnsi="宋体" w:eastAsia="宋体" w:cs="宋体"/>
          <w:color w:val="auto"/>
          <w:sz w:val="21"/>
        </w:rPr>
        <w:t>、政府采购信用承诺：“根据《关于在政府采购活动中推行信用承诺制的通知》宁财购通〔</w:t>
      </w:r>
      <w:r>
        <w:rPr>
          <w:rFonts w:ascii="Times New Roman" w:hAnsi="Times New Roman" w:eastAsia="Times New Roman" w:cs="Times New Roman"/>
          <w:color w:val="auto"/>
          <w:sz w:val="21"/>
        </w:rPr>
        <w:t>2021</w:t>
      </w:r>
      <w:r>
        <w:rPr>
          <w:rFonts w:ascii="宋体" w:hAnsi="宋体" w:eastAsia="宋体" w:cs="宋体"/>
          <w:color w:val="auto"/>
          <w:sz w:val="21"/>
        </w:rPr>
        <w:t>〕</w:t>
      </w:r>
      <w:r>
        <w:rPr>
          <w:rFonts w:ascii="Times New Roman" w:hAnsi="Times New Roman" w:eastAsia="Times New Roman" w:cs="Times New Roman"/>
          <w:color w:val="auto"/>
          <w:sz w:val="21"/>
        </w:rPr>
        <w:t>5</w:t>
      </w:r>
      <w:r>
        <w:rPr>
          <w:rFonts w:ascii="宋体" w:hAnsi="宋体" w:eastAsia="宋体" w:cs="宋体"/>
          <w:color w:val="auto"/>
          <w:sz w:val="21"/>
        </w:rPr>
        <w:t>号规定， 参加南京地区政府采购活动的供应商，应以书面形式向采购人或政府采购代理机构作出信用承诺。信用承诺以《南京市政府采购供应商信用记录表暨信用承诺书》体现。供应商应尽早做好承诺书工作，点击‘南京公共采购信息网’首页（</w:t>
      </w:r>
      <w:r>
        <w:rPr>
          <w:rFonts w:ascii="Times New Roman" w:hAnsi="Times New Roman" w:eastAsia="Times New Roman" w:cs="Times New Roman"/>
          <w:color w:val="auto"/>
          <w:sz w:val="21"/>
        </w:rPr>
        <w:t>https://njgc.jfh.com/</w:t>
      </w:r>
      <w:r>
        <w:rPr>
          <w:rFonts w:ascii="宋体" w:hAnsi="宋体" w:eastAsia="宋体" w:cs="宋体"/>
          <w:color w:val="auto"/>
          <w:sz w:val="21"/>
        </w:rPr>
        <w:t>）‘南京市政府采购供应商诚信档案’系统链接打开系统页面（</w:t>
      </w:r>
      <w:r>
        <w:rPr>
          <w:rFonts w:ascii="Times New Roman" w:hAnsi="Times New Roman" w:eastAsia="Times New Roman" w:cs="Times New Roman"/>
          <w:color w:val="auto"/>
          <w:sz w:val="21"/>
        </w:rPr>
        <w:t>http://180.101.238.212:8280/hodeframe2018_cxda/index.action;jsessionid=769BA9C8E1729422E7173B991C8EC1E5</w:t>
      </w:r>
      <w:r>
        <w:rPr>
          <w:rFonts w:ascii="宋体" w:hAnsi="宋体" w:eastAsia="宋体" w:cs="宋体"/>
          <w:color w:val="auto"/>
          <w:sz w:val="21"/>
        </w:rPr>
        <w:t>）登录（未注册的供应商应先点击‘供应商注册点这里’并按要求完成注册），然后在“信用记录”模块页面点击“信用记录打印”下载本单位信用记录表，由法人签字并盖单位公章，</w:t>
      </w:r>
      <w:r>
        <w:rPr>
          <w:rFonts w:ascii="宋体" w:hAnsi="宋体" w:eastAsia="宋体" w:cs="宋体"/>
          <w:b/>
          <w:color w:val="auto"/>
          <w:sz w:val="21"/>
        </w:rPr>
        <w:t>上传至电子响应文件中，</w:t>
      </w:r>
      <w:r>
        <w:rPr>
          <w:rFonts w:ascii="宋体" w:hAnsi="宋体" w:eastAsia="宋体" w:cs="宋体"/>
          <w:color w:val="auto"/>
          <w:sz w:val="21"/>
        </w:rPr>
        <w:t>未按要求提供信用记录表的或未按要求签字盖章均作为无效投标。</w:t>
      </w:r>
    </w:p>
    <w:p w14:paraId="06A15033">
      <w:pPr>
        <w:pBdr>
          <w:top w:val="none" w:color="000000" w:sz="0" w:space="0"/>
          <w:left w:val="none" w:color="000000" w:sz="0" w:space="0"/>
          <w:bottom w:val="none" w:color="000000" w:sz="0" w:space="0"/>
          <w:right w:val="none" w:color="000000" w:sz="0" w:space="0"/>
        </w:pBdr>
        <w:spacing w:before="0" w:after="0" w:line="360" w:lineRule="auto"/>
        <w:ind w:left="0" w:right="0" w:firstLine="0"/>
        <w:jc w:val="both"/>
        <w:rPr>
          <w:color w:val="auto"/>
        </w:rPr>
      </w:pPr>
      <w:r>
        <w:rPr>
          <w:rFonts w:ascii="宋体" w:hAnsi="宋体" w:eastAsia="宋体" w:cs="宋体"/>
          <w:color w:val="auto"/>
          <w:sz w:val="21"/>
        </w:rPr>
        <w:t>在政府采购资格审查环节，供应商只需提供书面《南京市政府采购供应商信用记录表暨信用承诺书》，即可替代以下证明材料：</w:t>
      </w:r>
    </w:p>
    <w:p w14:paraId="0CEB607E">
      <w:pPr>
        <w:pBdr>
          <w:top w:val="none" w:color="000000" w:sz="0" w:space="0"/>
          <w:left w:val="none" w:color="000000" w:sz="0" w:space="0"/>
          <w:bottom w:val="none" w:color="000000" w:sz="0" w:space="0"/>
          <w:right w:val="none" w:color="000000" w:sz="0" w:space="0"/>
        </w:pBdr>
        <w:spacing w:before="0" w:after="0" w:line="360" w:lineRule="auto"/>
        <w:ind w:left="0" w:right="0" w:firstLine="0"/>
        <w:jc w:val="both"/>
        <w:rPr>
          <w:color w:val="auto"/>
        </w:rPr>
      </w:pPr>
      <w:r>
        <w:rPr>
          <w:rFonts w:ascii="宋体" w:hAnsi="宋体" w:eastAsia="宋体" w:cs="宋体"/>
          <w:color w:val="auto"/>
          <w:sz w:val="21"/>
        </w:rPr>
        <w:t>（</w:t>
      </w:r>
      <w:r>
        <w:rPr>
          <w:rFonts w:ascii="Times New Roman" w:hAnsi="Times New Roman" w:eastAsia="Times New Roman" w:cs="Times New Roman"/>
          <w:color w:val="auto"/>
          <w:sz w:val="21"/>
        </w:rPr>
        <w:t>1</w:t>
      </w:r>
      <w:r>
        <w:rPr>
          <w:rFonts w:ascii="宋体" w:hAnsi="宋体" w:eastAsia="宋体" w:cs="宋体"/>
          <w:color w:val="auto"/>
          <w:sz w:val="21"/>
        </w:rPr>
        <w:t>）符合国家相关规定的财务状况报告；</w:t>
      </w:r>
    </w:p>
    <w:p w14:paraId="600D08ED">
      <w:pPr>
        <w:pBdr>
          <w:top w:val="none" w:color="000000" w:sz="0" w:space="0"/>
          <w:left w:val="none" w:color="000000" w:sz="0" w:space="0"/>
          <w:bottom w:val="none" w:color="000000" w:sz="0" w:space="0"/>
          <w:right w:val="none" w:color="000000" w:sz="0" w:space="0"/>
        </w:pBdr>
        <w:spacing w:before="0" w:after="0" w:line="360" w:lineRule="auto"/>
        <w:ind w:left="0" w:right="0" w:firstLine="0"/>
        <w:jc w:val="both"/>
        <w:rPr>
          <w:color w:val="auto"/>
        </w:rPr>
      </w:pPr>
      <w:r>
        <w:rPr>
          <w:rFonts w:ascii="宋体" w:hAnsi="宋体" w:eastAsia="宋体" w:cs="宋体"/>
          <w:color w:val="auto"/>
          <w:sz w:val="21"/>
        </w:rPr>
        <w:t>（</w:t>
      </w:r>
      <w:r>
        <w:rPr>
          <w:rFonts w:ascii="Times New Roman" w:hAnsi="Times New Roman" w:eastAsia="Times New Roman" w:cs="Times New Roman"/>
          <w:color w:val="auto"/>
          <w:sz w:val="21"/>
        </w:rPr>
        <w:t>2</w:t>
      </w:r>
      <w:r>
        <w:rPr>
          <w:rFonts w:ascii="宋体" w:hAnsi="宋体" w:eastAsia="宋体" w:cs="宋体"/>
          <w:color w:val="auto"/>
          <w:sz w:val="21"/>
        </w:rPr>
        <w:t>）依法缴纳税收的证明材料；</w:t>
      </w:r>
    </w:p>
    <w:p w14:paraId="191FBC05">
      <w:pPr>
        <w:pBdr>
          <w:top w:val="none" w:color="000000" w:sz="0" w:space="0"/>
          <w:left w:val="none" w:color="000000" w:sz="0" w:space="0"/>
          <w:bottom w:val="none" w:color="000000" w:sz="0" w:space="0"/>
          <w:right w:val="none" w:color="000000" w:sz="0" w:space="0"/>
        </w:pBdr>
        <w:spacing w:before="0" w:after="0" w:line="360" w:lineRule="auto"/>
        <w:ind w:left="0" w:right="0" w:firstLine="0"/>
        <w:jc w:val="both"/>
        <w:rPr>
          <w:color w:val="auto"/>
        </w:rPr>
      </w:pPr>
      <w:r>
        <w:rPr>
          <w:rFonts w:ascii="宋体" w:hAnsi="宋体" w:eastAsia="宋体" w:cs="宋体"/>
          <w:color w:val="auto"/>
          <w:sz w:val="21"/>
        </w:rPr>
        <w:t>（</w:t>
      </w:r>
      <w:r>
        <w:rPr>
          <w:rFonts w:ascii="Times New Roman" w:hAnsi="Times New Roman" w:eastAsia="Times New Roman" w:cs="Times New Roman"/>
          <w:color w:val="auto"/>
          <w:sz w:val="21"/>
        </w:rPr>
        <w:t>3</w:t>
      </w:r>
      <w:r>
        <w:rPr>
          <w:rFonts w:ascii="宋体" w:hAnsi="宋体" w:eastAsia="宋体" w:cs="宋体"/>
          <w:color w:val="auto"/>
          <w:sz w:val="21"/>
        </w:rPr>
        <w:t>）依法缴纳社会保障资金的证明材料；</w:t>
      </w:r>
    </w:p>
    <w:p w14:paraId="3DF20118">
      <w:pPr>
        <w:pBdr>
          <w:top w:val="none" w:color="000000" w:sz="0" w:space="0"/>
          <w:left w:val="none" w:color="000000" w:sz="0" w:space="0"/>
          <w:bottom w:val="none" w:color="000000" w:sz="0" w:space="0"/>
          <w:right w:val="none" w:color="000000" w:sz="0" w:space="0"/>
        </w:pBdr>
        <w:spacing w:before="0" w:after="0" w:line="360" w:lineRule="auto"/>
        <w:ind w:left="0" w:right="0" w:firstLine="0"/>
        <w:jc w:val="both"/>
        <w:rPr>
          <w:color w:val="auto"/>
        </w:rPr>
      </w:pPr>
      <w:r>
        <w:rPr>
          <w:rFonts w:ascii="宋体" w:hAnsi="宋体" w:eastAsia="宋体" w:cs="宋体"/>
          <w:color w:val="auto"/>
          <w:sz w:val="21"/>
        </w:rPr>
        <w:t>（</w:t>
      </w:r>
      <w:r>
        <w:rPr>
          <w:rFonts w:ascii="Times New Roman" w:hAnsi="Times New Roman" w:eastAsia="Times New Roman" w:cs="Times New Roman"/>
          <w:color w:val="auto"/>
          <w:sz w:val="21"/>
        </w:rPr>
        <w:t>4</w:t>
      </w:r>
      <w:r>
        <w:rPr>
          <w:rFonts w:ascii="宋体" w:hAnsi="宋体" w:eastAsia="宋体" w:cs="宋体"/>
          <w:color w:val="auto"/>
          <w:sz w:val="21"/>
        </w:rPr>
        <w:t>）具备履行政府采购合同所必需的设备和专业技术能力的证明材料；</w:t>
      </w:r>
    </w:p>
    <w:p w14:paraId="3149D070">
      <w:pPr>
        <w:pBdr>
          <w:top w:val="none" w:color="000000" w:sz="0" w:space="0"/>
          <w:left w:val="none" w:color="000000" w:sz="0" w:space="0"/>
          <w:bottom w:val="none" w:color="000000" w:sz="0" w:space="0"/>
          <w:right w:val="none" w:color="000000" w:sz="0" w:space="0"/>
        </w:pBdr>
        <w:spacing w:before="0" w:after="0" w:line="360" w:lineRule="auto"/>
        <w:ind w:left="0" w:right="0" w:firstLine="0"/>
        <w:jc w:val="both"/>
        <w:rPr>
          <w:color w:val="auto"/>
        </w:rPr>
      </w:pPr>
      <w:r>
        <w:rPr>
          <w:rFonts w:ascii="宋体" w:hAnsi="宋体" w:eastAsia="宋体" w:cs="宋体"/>
          <w:color w:val="auto"/>
          <w:sz w:val="21"/>
        </w:rPr>
        <w:t>（</w:t>
      </w:r>
      <w:r>
        <w:rPr>
          <w:rFonts w:ascii="Times New Roman" w:hAnsi="Times New Roman" w:eastAsia="Times New Roman" w:cs="Times New Roman"/>
          <w:color w:val="auto"/>
          <w:sz w:val="21"/>
        </w:rPr>
        <w:t>5</w:t>
      </w:r>
      <w:r>
        <w:rPr>
          <w:rFonts w:ascii="宋体" w:hAnsi="宋体" w:eastAsia="宋体" w:cs="宋体"/>
          <w:color w:val="auto"/>
          <w:sz w:val="21"/>
        </w:rPr>
        <w:t>）参加政府采购活动前三年内在经营活动中没有重大违法记录的证明材料；</w:t>
      </w:r>
    </w:p>
    <w:p w14:paraId="235DA693">
      <w:pPr>
        <w:pBdr>
          <w:top w:val="none" w:color="000000" w:sz="0" w:space="0"/>
          <w:left w:val="none" w:color="000000" w:sz="0" w:space="0"/>
          <w:bottom w:val="none" w:color="000000" w:sz="0" w:space="0"/>
          <w:right w:val="none" w:color="000000" w:sz="0" w:space="0"/>
        </w:pBdr>
        <w:spacing w:before="0" w:after="0" w:line="360" w:lineRule="auto"/>
        <w:ind w:left="0" w:right="0" w:firstLine="0"/>
        <w:jc w:val="both"/>
        <w:rPr>
          <w:color w:val="auto"/>
        </w:rPr>
      </w:pPr>
      <w:r>
        <w:rPr>
          <w:rFonts w:ascii="宋体" w:hAnsi="宋体" w:eastAsia="宋体" w:cs="宋体"/>
          <w:color w:val="auto"/>
          <w:sz w:val="21"/>
        </w:rPr>
        <w:t>（</w:t>
      </w:r>
      <w:r>
        <w:rPr>
          <w:rFonts w:ascii="Times New Roman" w:hAnsi="Times New Roman" w:eastAsia="Times New Roman" w:cs="Times New Roman"/>
          <w:color w:val="auto"/>
          <w:sz w:val="21"/>
        </w:rPr>
        <w:t>6</w:t>
      </w:r>
      <w:r>
        <w:rPr>
          <w:rFonts w:ascii="宋体" w:hAnsi="宋体" w:eastAsia="宋体" w:cs="宋体"/>
          <w:color w:val="auto"/>
          <w:sz w:val="21"/>
        </w:rPr>
        <w:t>）未被列入失信被执行人、重大税收违法失信主体、政府采购严重违法失信行为记录名单的证明材料。</w:t>
      </w:r>
    </w:p>
    <w:p w14:paraId="153F96F2">
      <w:pPr>
        <w:pBdr>
          <w:top w:val="none" w:color="000000" w:sz="0" w:space="0"/>
          <w:left w:val="none" w:color="000000" w:sz="0" w:space="0"/>
          <w:bottom w:val="none" w:color="000000" w:sz="0" w:space="0"/>
          <w:right w:val="none" w:color="000000" w:sz="0" w:space="0"/>
        </w:pBdr>
        <w:spacing w:before="0" w:after="0" w:line="360" w:lineRule="auto"/>
        <w:ind w:left="0" w:right="0" w:firstLine="0"/>
        <w:jc w:val="both"/>
        <w:rPr>
          <w:color w:val="auto"/>
        </w:rPr>
      </w:pPr>
      <w:r>
        <w:rPr>
          <w:rFonts w:ascii="宋体" w:hAnsi="宋体" w:eastAsia="宋体" w:cs="宋体"/>
          <w:color w:val="auto"/>
          <w:sz w:val="21"/>
        </w:rPr>
        <w:t>供应商在中标（成交）后，应上述由信用承诺书替代的证明材料（一式伍份），加盖电子公章按采购文件要求胶装提交采购人或采购代理机构核验。经核验无误后，由采购人或采购代理机构发出中标（成交）通知书。</w:t>
      </w:r>
    </w:p>
    <w:p w14:paraId="61051E16">
      <w:pPr>
        <w:pBdr>
          <w:top w:val="none" w:color="000000" w:sz="0" w:space="0"/>
          <w:left w:val="none" w:color="000000" w:sz="0" w:space="0"/>
          <w:bottom w:val="none" w:color="000000" w:sz="0" w:space="0"/>
          <w:right w:val="none" w:color="000000" w:sz="0" w:space="0"/>
        </w:pBdr>
        <w:spacing w:before="0" w:after="0" w:line="360" w:lineRule="auto"/>
        <w:ind w:left="0" w:right="0" w:firstLine="0"/>
        <w:jc w:val="both"/>
        <w:rPr>
          <w:color w:val="auto"/>
        </w:rPr>
      </w:pPr>
      <w:r>
        <w:rPr>
          <w:rFonts w:ascii="宋体" w:hAnsi="宋体" w:eastAsia="宋体" w:cs="宋体"/>
          <w:color w:val="auto"/>
          <w:sz w:val="21"/>
        </w:rPr>
        <w:t>供应商涉及以下情形的，不适用信用承诺，仍须提供上述证明材料：</w:t>
      </w:r>
    </w:p>
    <w:p w14:paraId="35776A2C">
      <w:pPr>
        <w:pBdr>
          <w:top w:val="none" w:color="000000" w:sz="0" w:space="0"/>
          <w:left w:val="none" w:color="000000" w:sz="0" w:space="0"/>
          <w:bottom w:val="none" w:color="000000" w:sz="0" w:space="0"/>
          <w:right w:val="none" w:color="000000" w:sz="0" w:space="0"/>
        </w:pBdr>
        <w:spacing w:before="0" w:after="0" w:line="360" w:lineRule="auto"/>
        <w:ind w:left="0" w:right="0" w:firstLine="0"/>
        <w:jc w:val="both"/>
        <w:rPr>
          <w:color w:val="auto"/>
        </w:rPr>
      </w:pPr>
      <w:r>
        <w:rPr>
          <w:rFonts w:ascii="宋体" w:hAnsi="宋体" w:eastAsia="宋体" w:cs="宋体"/>
          <w:color w:val="auto"/>
          <w:sz w:val="21"/>
        </w:rPr>
        <w:t>（</w:t>
      </w:r>
      <w:r>
        <w:rPr>
          <w:rFonts w:ascii="Times New Roman" w:hAnsi="Times New Roman" w:eastAsia="Times New Roman" w:cs="Times New Roman"/>
          <w:color w:val="auto"/>
          <w:sz w:val="21"/>
        </w:rPr>
        <w:t>1</w:t>
      </w:r>
      <w:r>
        <w:rPr>
          <w:rFonts w:ascii="宋体" w:hAnsi="宋体" w:eastAsia="宋体" w:cs="宋体"/>
          <w:color w:val="auto"/>
          <w:sz w:val="21"/>
        </w:rPr>
        <w:t>）供应商被列入严重失信主体名单；</w:t>
      </w:r>
    </w:p>
    <w:p w14:paraId="01AD3FF9">
      <w:pPr>
        <w:pBdr>
          <w:top w:val="none" w:color="000000" w:sz="0" w:space="0"/>
          <w:left w:val="none" w:color="000000" w:sz="0" w:space="0"/>
          <w:bottom w:val="none" w:color="000000" w:sz="0" w:space="0"/>
          <w:right w:val="none" w:color="000000" w:sz="0" w:space="0"/>
        </w:pBdr>
        <w:spacing w:before="0" w:after="0" w:line="360" w:lineRule="auto"/>
        <w:ind w:left="0" w:right="0" w:firstLine="0"/>
        <w:jc w:val="both"/>
        <w:rPr>
          <w:color w:val="auto"/>
        </w:rPr>
      </w:pPr>
      <w:r>
        <w:rPr>
          <w:rFonts w:ascii="宋体" w:hAnsi="宋体" w:eastAsia="宋体" w:cs="宋体"/>
          <w:color w:val="auto"/>
          <w:sz w:val="21"/>
        </w:rPr>
        <w:t>（</w:t>
      </w:r>
      <w:r>
        <w:rPr>
          <w:rFonts w:ascii="Times New Roman" w:hAnsi="Times New Roman" w:eastAsia="Times New Roman" w:cs="Times New Roman"/>
          <w:color w:val="auto"/>
          <w:sz w:val="21"/>
        </w:rPr>
        <w:t>2</w:t>
      </w:r>
      <w:r>
        <w:rPr>
          <w:rFonts w:ascii="宋体" w:hAnsi="宋体" w:eastAsia="宋体" w:cs="宋体"/>
          <w:color w:val="auto"/>
          <w:sz w:val="21"/>
        </w:rPr>
        <w:t>）被相关监管部门作出行政处罚且尚在处罚有效期内；</w:t>
      </w:r>
    </w:p>
    <w:p w14:paraId="6A56958D">
      <w:pPr>
        <w:pBdr>
          <w:top w:val="none" w:color="000000" w:sz="0" w:space="0"/>
          <w:left w:val="none" w:color="000000" w:sz="0" w:space="0"/>
          <w:bottom w:val="none" w:color="000000" w:sz="0" w:space="0"/>
          <w:right w:val="none" w:color="000000" w:sz="0" w:space="0"/>
        </w:pBdr>
        <w:spacing w:before="0" w:after="0" w:line="360" w:lineRule="auto"/>
        <w:ind w:left="0" w:right="0" w:firstLine="0"/>
        <w:jc w:val="both"/>
        <w:rPr>
          <w:color w:val="auto"/>
        </w:rPr>
      </w:pPr>
      <w:r>
        <w:rPr>
          <w:rFonts w:ascii="宋体" w:hAnsi="宋体" w:eastAsia="宋体" w:cs="宋体"/>
          <w:color w:val="auto"/>
          <w:sz w:val="21"/>
        </w:rPr>
        <w:t>（</w:t>
      </w:r>
      <w:r>
        <w:rPr>
          <w:rFonts w:ascii="Times New Roman" w:hAnsi="Times New Roman" w:eastAsia="Times New Roman" w:cs="Times New Roman"/>
          <w:color w:val="auto"/>
          <w:sz w:val="21"/>
        </w:rPr>
        <w:t>3</w:t>
      </w:r>
      <w:r>
        <w:rPr>
          <w:rFonts w:ascii="宋体" w:hAnsi="宋体" w:eastAsia="宋体" w:cs="宋体"/>
          <w:color w:val="auto"/>
          <w:sz w:val="21"/>
        </w:rPr>
        <w:t>）其他法律、行政法规规定的不适用信用承诺的情形。</w:t>
      </w:r>
    </w:p>
    <w:p w14:paraId="555576D5">
      <w:pPr>
        <w:pBdr>
          <w:top w:val="none" w:color="000000" w:sz="0" w:space="0"/>
          <w:left w:val="none" w:color="000000" w:sz="0" w:space="0"/>
          <w:bottom w:val="none" w:color="000000" w:sz="0" w:space="0"/>
          <w:right w:val="none" w:color="000000" w:sz="0" w:space="0"/>
        </w:pBdr>
        <w:spacing w:before="0" w:after="0" w:line="360" w:lineRule="auto"/>
        <w:ind w:left="0" w:right="0" w:firstLine="0"/>
        <w:jc w:val="both"/>
        <w:rPr>
          <w:color w:val="auto"/>
        </w:rPr>
      </w:pPr>
      <w:r>
        <w:rPr>
          <w:rFonts w:ascii="宋体" w:hAnsi="宋体" w:eastAsia="宋体" w:cs="宋体"/>
          <w:color w:val="auto"/>
          <w:sz w:val="21"/>
        </w:rPr>
        <w:t>供应商对信用承诺内容的真实性、合法性、有效性负责。如作出虚假信用承诺，视同为“提供虚假材料谋取中标、成交”的违法行为。 </w:t>
      </w:r>
    </w:p>
    <w:p w14:paraId="1CDCB228">
      <w:pPr>
        <w:pStyle w:val="3"/>
        <w:pBdr>
          <w:top w:val="none" w:color="000000" w:sz="0" w:space="0"/>
          <w:left w:val="none" w:color="000000" w:sz="0" w:space="0"/>
          <w:bottom w:val="none" w:color="000000" w:sz="0" w:space="0"/>
          <w:right w:val="none" w:color="000000" w:sz="0" w:space="0"/>
        </w:pBdr>
        <w:spacing w:before="0" w:after="0" w:line="360" w:lineRule="auto"/>
        <w:ind w:left="0" w:right="0" w:firstLine="0"/>
        <w:jc w:val="both"/>
        <w:rPr>
          <w:color w:val="auto"/>
        </w:rPr>
      </w:pPr>
      <w:r>
        <w:rPr>
          <w:rFonts w:ascii="宋体" w:hAnsi="宋体" w:eastAsia="宋体" w:cs="宋体"/>
          <w:b/>
          <w:color w:val="auto"/>
          <w:sz w:val="21"/>
        </w:rPr>
        <w:t> 七、对本次招标提出询问，请按以下方式联系。</w:t>
      </w:r>
    </w:p>
    <w:p w14:paraId="030E12D8">
      <w:pPr>
        <w:pBdr>
          <w:top w:val="none" w:color="000000" w:sz="0" w:space="0"/>
          <w:left w:val="none" w:color="000000" w:sz="0" w:space="0"/>
          <w:bottom w:val="none" w:color="000000" w:sz="0" w:space="0"/>
          <w:right w:val="none" w:color="000000" w:sz="0" w:space="0"/>
        </w:pBdr>
        <w:spacing w:before="0" w:after="0" w:line="360" w:lineRule="auto"/>
        <w:ind w:left="0" w:right="0" w:firstLine="422"/>
        <w:rPr>
          <w:color w:val="auto"/>
        </w:rPr>
      </w:pPr>
      <w:r>
        <w:rPr>
          <w:rFonts w:ascii="宋体" w:hAnsi="宋体" w:eastAsia="宋体" w:cs="宋体"/>
          <w:color w:val="auto"/>
          <w:sz w:val="21"/>
        </w:rPr>
        <w:t>1.采购人信息</w:t>
      </w:r>
    </w:p>
    <w:p w14:paraId="0D6E8839">
      <w:pPr>
        <w:pBdr>
          <w:top w:val="none" w:color="000000" w:sz="0" w:space="0"/>
          <w:left w:val="none" w:color="000000" w:sz="0" w:space="0"/>
          <w:bottom w:val="none" w:color="000000" w:sz="0" w:space="0"/>
          <w:right w:val="none" w:color="000000" w:sz="0" w:space="0"/>
        </w:pBdr>
        <w:spacing w:before="0" w:after="0" w:line="360" w:lineRule="auto"/>
        <w:ind w:left="0" w:right="0" w:firstLine="422"/>
        <w:rPr>
          <w:rFonts w:hint="eastAsia" w:eastAsia="宋体"/>
          <w:color w:val="auto"/>
          <w:lang w:eastAsia="zh-CN"/>
        </w:rPr>
      </w:pPr>
      <w:r>
        <w:rPr>
          <w:rFonts w:ascii="宋体" w:hAnsi="宋体" w:eastAsia="宋体" w:cs="宋体"/>
          <w:color w:val="auto"/>
          <w:sz w:val="21"/>
        </w:rPr>
        <w:t>名称：</w:t>
      </w:r>
      <w:r>
        <w:rPr>
          <w:rFonts w:hint="eastAsia" w:ascii="宋体" w:hAnsi="宋体" w:cs="宋体"/>
          <w:color w:val="auto"/>
          <w:sz w:val="21"/>
          <w:lang w:eastAsia="zh-CN"/>
        </w:rPr>
        <w:t>南京市栖霞区水务局</w:t>
      </w:r>
    </w:p>
    <w:p w14:paraId="27AA7F61">
      <w:pPr>
        <w:pBdr>
          <w:top w:val="none" w:color="000000" w:sz="0" w:space="0"/>
          <w:left w:val="none" w:color="000000" w:sz="0" w:space="0"/>
          <w:bottom w:val="none" w:color="000000" w:sz="0" w:space="0"/>
          <w:right w:val="none" w:color="000000" w:sz="0" w:space="0"/>
        </w:pBdr>
        <w:spacing w:before="0" w:after="0" w:line="360" w:lineRule="auto"/>
        <w:ind w:left="0" w:right="0" w:firstLine="422"/>
        <w:rPr>
          <w:rFonts w:hint="eastAsia" w:ascii="宋体" w:hAnsi="宋体" w:eastAsia="宋体" w:cs="宋体"/>
          <w:color w:val="auto"/>
          <w:sz w:val="21"/>
        </w:rPr>
      </w:pPr>
      <w:r>
        <w:rPr>
          <w:rFonts w:hint="eastAsia" w:ascii="宋体" w:hAnsi="宋体" w:eastAsia="宋体" w:cs="宋体"/>
          <w:color w:val="auto"/>
          <w:sz w:val="21"/>
        </w:rPr>
        <w:t>地址：南京市栖霞区文苑路118号仙林商务中心</w:t>
      </w:r>
    </w:p>
    <w:p w14:paraId="5FEB6F33">
      <w:pPr>
        <w:pBdr>
          <w:top w:val="none" w:color="000000" w:sz="0" w:space="0"/>
          <w:left w:val="none" w:color="000000" w:sz="0" w:space="0"/>
          <w:bottom w:val="none" w:color="000000" w:sz="0" w:space="0"/>
          <w:right w:val="none" w:color="000000" w:sz="0" w:space="0"/>
        </w:pBdr>
        <w:spacing w:before="0" w:after="0" w:line="360" w:lineRule="auto"/>
        <w:ind w:left="0" w:right="0" w:firstLine="422"/>
        <w:rPr>
          <w:rFonts w:hint="eastAsia" w:ascii="宋体" w:hAnsi="宋体" w:eastAsia="宋体" w:cs="宋体"/>
          <w:color w:val="auto"/>
          <w:sz w:val="21"/>
          <w:lang w:eastAsia="zh-CN"/>
        </w:rPr>
      </w:pPr>
      <w:r>
        <w:rPr>
          <w:rFonts w:hint="eastAsia" w:ascii="宋体" w:hAnsi="宋体" w:eastAsia="宋体" w:cs="宋体"/>
          <w:color w:val="auto"/>
          <w:sz w:val="21"/>
        </w:rPr>
        <w:t>联系人：</w:t>
      </w:r>
      <w:r>
        <w:rPr>
          <w:rFonts w:hint="eastAsia" w:ascii="宋体" w:hAnsi="宋体" w:cs="宋体"/>
          <w:color w:val="auto"/>
          <w:sz w:val="21"/>
          <w:lang w:eastAsia="zh-CN"/>
        </w:rPr>
        <w:t>王科长</w:t>
      </w:r>
    </w:p>
    <w:p w14:paraId="0F77EB0C">
      <w:pPr>
        <w:pBdr>
          <w:top w:val="none" w:color="000000" w:sz="0" w:space="0"/>
          <w:left w:val="none" w:color="000000" w:sz="0" w:space="0"/>
          <w:bottom w:val="none" w:color="000000" w:sz="0" w:space="0"/>
          <w:right w:val="none" w:color="000000" w:sz="0" w:space="0"/>
        </w:pBdr>
        <w:spacing w:before="0" w:after="0" w:line="360" w:lineRule="auto"/>
        <w:ind w:left="0" w:right="0" w:firstLine="422"/>
        <w:rPr>
          <w:color w:val="auto"/>
        </w:rPr>
      </w:pPr>
      <w:r>
        <w:rPr>
          <w:rFonts w:ascii="宋体" w:hAnsi="宋体" w:eastAsia="宋体" w:cs="宋体"/>
          <w:color w:val="auto"/>
          <w:sz w:val="21"/>
        </w:rPr>
        <w:t>联系方式：</w:t>
      </w:r>
      <w:r>
        <w:rPr>
          <w:rFonts w:hint="eastAsia" w:ascii="宋体" w:hAnsi="宋体" w:eastAsia="宋体" w:cs="宋体"/>
          <w:color w:val="auto"/>
          <w:sz w:val="21"/>
        </w:rPr>
        <w:t>025-85561703</w:t>
      </w:r>
    </w:p>
    <w:p w14:paraId="4FF82BE9">
      <w:pPr>
        <w:pBdr>
          <w:top w:val="none" w:color="000000" w:sz="0" w:space="0"/>
          <w:left w:val="none" w:color="000000" w:sz="0" w:space="0"/>
          <w:bottom w:val="none" w:color="000000" w:sz="0" w:space="0"/>
          <w:right w:val="none" w:color="000000" w:sz="0" w:space="0"/>
        </w:pBdr>
        <w:spacing w:before="0" w:after="0" w:line="360" w:lineRule="auto"/>
        <w:ind w:left="0" w:right="0" w:firstLine="422"/>
        <w:rPr>
          <w:color w:val="auto"/>
        </w:rPr>
      </w:pPr>
      <w:r>
        <w:rPr>
          <w:rFonts w:ascii="宋体" w:hAnsi="宋体" w:eastAsia="宋体" w:cs="宋体"/>
          <w:color w:val="auto"/>
          <w:sz w:val="21"/>
        </w:rPr>
        <w:t> 2.采购代理机构信息</w:t>
      </w:r>
    </w:p>
    <w:p w14:paraId="786764B5">
      <w:pPr>
        <w:pBdr>
          <w:top w:val="none" w:color="000000" w:sz="0" w:space="0"/>
          <w:left w:val="none" w:color="000000" w:sz="0" w:space="0"/>
          <w:bottom w:val="none" w:color="000000" w:sz="0" w:space="0"/>
          <w:right w:val="none" w:color="000000" w:sz="0" w:space="0"/>
        </w:pBdr>
        <w:spacing w:before="0" w:after="0" w:line="360" w:lineRule="auto"/>
        <w:ind w:left="0" w:right="0" w:firstLine="422"/>
        <w:rPr>
          <w:color w:val="auto"/>
        </w:rPr>
      </w:pPr>
      <w:r>
        <w:rPr>
          <w:rFonts w:ascii="宋体" w:hAnsi="宋体" w:eastAsia="宋体" w:cs="宋体"/>
          <w:color w:val="auto"/>
          <w:sz w:val="21"/>
        </w:rPr>
        <w:t>名称：</w:t>
      </w:r>
      <w:r>
        <w:rPr>
          <w:rFonts w:hint="eastAsia" w:ascii="宋体" w:hAnsi="宋体" w:cs="宋体"/>
          <w:color w:val="auto"/>
          <w:sz w:val="21"/>
          <w:lang w:eastAsia="zh-CN"/>
        </w:rPr>
        <w:t>江苏苏越项目管理有限公司</w:t>
      </w:r>
      <w:r>
        <w:rPr>
          <w:rFonts w:ascii="宋体" w:hAnsi="宋体" w:eastAsia="宋体" w:cs="宋体"/>
          <w:color w:val="auto"/>
          <w:sz w:val="21"/>
        </w:rPr>
        <w:t>　</w:t>
      </w:r>
    </w:p>
    <w:p w14:paraId="1641C280">
      <w:pPr>
        <w:pBdr>
          <w:top w:val="none" w:color="000000" w:sz="0" w:space="0"/>
          <w:left w:val="none" w:color="000000" w:sz="0" w:space="0"/>
          <w:bottom w:val="none" w:color="000000" w:sz="0" w:space="0"/>
          <w:right w:val="none" w:color="000000" w:sz="0" w:space="0"/>
        </w:pBdr>
        <w:spacing w:before="0" w:after="0" w:line="360" w:lineRule="auto"/>
        <w:ind w:left="0" w:right="0" w:firstLine="422"/>
        <w:rPr>
          <w:color w:val="auto"/>
        </w:rPr>
      </w:pPr>
      <w:r>
        <w:rPr>
          <w:rFonts w:ascii="宋体" w:hAnsi="宋体" w:eastAsia="宋体" w:cs="宋体"/>
          <w:color w:val="auto"/>
          <w:sz w:val="21"/>
        </w:rPr>
        <w:t>地址：</w:t>
      </w:r>
      <w:r>
        <w:rPr>
          <w:rFonts w:hint="eastAsia" w:ascii="宋体" w:hAnsi="宋体" w:cs="宋体"/>
          <w:color w:val="auto"/>
          <w:sz w:val="21"/>
          <w:lang w:eastAsia="zh-CN"/>
        </w:rPr>
        <w:t>南京市雨花台区锦绣街5号绿地之窗C-4栋320室</w:t>
      </w:r>
      <w:r>
        <w:rPr>
          <w:rFonts w:ascii="宋体" w:hAnsi="宋体" w:eastAsia="宋体" w:cs="宋体"/>
          <w:color w:val="auto"/>
          <w:sz w:val="21"/>
        </w:rPr>
        <w:t>　</w:t>
      </w:r>
    </w:p>
    <w:p w14:paraId="7E794F65">
      <w:pPr>
        <w:pBdr>
          <w:top w:val="none" w:color="000000" w:sz="0" w:space="0"/>
          <w:left w:val="none" w:color="000000" w:sz="0" w:space="0"/>
          <w:bottom w:val="none" w:color="000000" w:sz="0" w:space="0"/>
          <w:right w:val="none" w:color="000000" w:sz="0" w:space="0"/>
        </w:pBdr>
        <w:spacing w:before="0" w:after="0" w:line="360" w:lineRule="auto"/>
        <w:ind w:left="0" w:right="0" w:firstLine="422"/>
        <w:rPr>
          <w:rFonts w:hint="eastAsia" w:eastAsia="宋体"/>
          <w:color w:val="auto"/>
          <w:lang w:eastAsia="zh-CN"/>
        </w:rPr>
      </w:pPr>
      <w:r>
        <w:rPr>
          <w:rFonts w:ascii="宋体" w:hAnsi="宋体" w:eastAsia="宋体" w:cs="宋体"/>
          <w:color w:val="auto"/>
          <w:sz w:val="21"/>
        </w:rPr>
        <w:t>联系人：</w:t>
      </w:r>
      <w:r>
        <w:rPr>
          <w:rFonts w:hint="eastAsia" w:ascii="宋体" w:hAnsi="宋体" w:cs="宋体"/>
          <w:color w:val="auto"/>
          <w:sz w:val="21"/>
          <w:lang w:eastAsia="zh-CN"/>
        </w:rPr>
        <w:t>蒋工</w:t>
      </w:r>
    </w:p>
    <w:p w14:paraId="45015EA3">
      <w:pPr>
        <w:pBdr>
          <w:top w:val="none" w:color="000000" w:sz="0" w:space="0"/>
          <w:left w:val="none" w:color="000000" w:sz="0" w:space="0"/>
          <w:bottom w:val="none" w:color="000000" w:sz="0" w:space="0"/>
          <w:right w:val="none" w:color="000000" w:sz="0" w:space="0"/>
        </w:pBdr>
        <w:spacing w:before="0" w:after="0" w:line="360" w:lineRule="auto"/>
        <w:ind w:left="0" w:right="0" w:firstLine="422"/>
        <w:rPr>
          <w:rFonts w:hint="eastAsia" w:eastAsia="宋体"/>
          <w:color w:val="auto"/>
          <w:lang w:eastAsia="zh-CN"/>
        </w:rPr>
      </w:pPr>
      <w:r>
        <w:rPr>
          <w:rFonts w:ascii="宋体" w:hAnsi="宋体" w:eastAsia="宋体" w:cs="宋体"/>
          <w:color w:val="auto"/>
          <w:sz w:val="21"/>
        </w:rPr>
        <w:t>联系电话：</w:t>
      </w:r>
      <w:r>
        <w:rPr>
          <w:rFonts w:hint="eastAsia" w:ascii="宋体" w:hAnsi="宋体" w:cs="宋体"/>
          <w:color w:val="auto"/>
          <w:sz w:val="21"/>
          <w:lang w:eastAsia="zh-CN"/>
        </w:rPr>
        <w:t>13913353691</w:t>
      </w:r>
    </w:p>
    <w:p w14:paraId="7177C40E">
      <w:pPr>
        <w:pBdr>
          <w:top w:val="none" w:color="000000" w:sz="0" w:space="0"/>
          <w:left w:val="none" w:color="000000" w:sz="0" w:space="0"/>
          <w:bottom w:val="none" w:color="000000" w:sz="0" w:space="0"/>
          <w:right w:val="none" w:color="000000" w:sz="0" w:space="0"/>
        </w:pBdr>
        <w:spacing w:before="0" w:after="0" w:line="85" w:lineRule="atLeast"/>
        <w:ind w:left="0" w:right="0" w:firstLine="422"/>
        <w:jc w:val="center"/>
        <w:rPr>
          <w:color w:val="auto"/>
        </w:rPr>
      </w:pPr>
      <w:r>
        <w:rPr>
          <w:color w:val="auto"/>
        </w:rPr>
        <w:br w:type="page" w:clear="all"/>
      </w:r>
    </w:p>
    <w:p w14:paraId="33FC687C">
      <w:pPr>
        <w:pBdr>
          <w:top w:val="none" w:color="000000" w:sz="0" w:space="0"/>
          <w:left w:val="none" w:color="000000" w:sz="0" w:space="0"/>
          <w:bottom w:val="none" w:color="000000" w:sz="0" w:space="0"/>
          <w:right w:val="none" w:color="000000" w:sz="0" w:space="0"/>
        </w:pBdr>
        <w:spacing w:before="0" w:after="0" w:line="85" w:lineRule="atLeast"/>
        <w:ind w:left="0" w:right="0" w:firstLine="422"/>
        <w:jc w:val="center"/>
        <w:rPr>
          <w:color w:val="auto"/>
        </w:rPr>
      </w:pPr>
      <w:r>
        <w:rPr>
          <w:rFonts w:ascii="宋体" w:hAnsi="宋体" w:eastAsia="宋体" w:cs="宋体"/>
          <w:b/>
          <w:color w:val="auto"/>
          <w:sz w:val="36"/>
        </w:rPr>
        <w:t>第二章</w:t>
      </w:r>
      <w:r>
        <w:rPr>
          <w:rFonts w:ascii="Times New Roman" w:hAnsi="Times New Roman" w:eastAsia="Times New Roman" w:cs="Times New Roman"/>
          <w:b/>
          <w:color w:val="auto"/>
          <w:sz w:val="36"/>
        </w:rPr>
        <w:t> </w:t>
      </w:r>
      <w:r>
        <w:rPr>
          <w:rFonts w:ascii="宋体" w:hAnsi="宋体" w:eastAsia="宋体" w:cs="宋体"/>
          <w:b/>
          <w:color w:val="auto"/>
          <w:sz w:val="36"/>
        </w:rPr>
        <w:t>投标人须知</w:t>
      </w:r>
    </w:p>
    <w:p w14:paraId="6206D344">
      <w:pPr>
        <w:pBdr>
          <w:top w:val="none" w:color="000000" w:sz="0" w:space="0"/>
          <w:left w:val="none" w:color="000000" w:sz="0" w:space="0"/>
          <w:bottom w:val="none" w:color="000000" w:sz="0" w:space="0"/>
          <w:right w:val="none" w:color="000000" w:sz="0" w:space="0"/>
        </w:pBdr>
        <w:spacing w:before="11" w:after="0" w:line="85" w:lineRule="atLeast"/>
        <w:ind w:left="0" w:right="0" w:firstLine="0"/>
        <w:rPr>
          <w:color w:val="auto"/>
        </w:rPr>
      </w:pPr>
      <w:r>
        <w:rPr>
          <w:rFonts w:ascii="宋体" w:hAnsi="宋体" w:eastAsia="宋体" w:cs="宋体"/>
          <w:b/>
          <w:color w:val="auto"/>
          <w:sz w:val="25"/>
        </w:rPr>
        <w:t> </w:t>
      </w:r>
    </w:p>
    <w:tbl>
      <w:tblPr>
        <w:tblStyle w:val="2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427"/>
        <w:gridCol w:w="909"/>
        <w:gridCol w:w="8121"/>
      </w:tblGrid>
      <w:tr w14:paraId="6932DFA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99" w:hRule="atLeast"/>
        </w:trPr>
        <w:tc>
          <w:tcPr>
            <w:tcW w:w="324"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B561DCF">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b/>
                <w:color w:val="auto"/>
                <w:sz w:val="21"/>
              </w:rPr>
              <w:t>序号</w:t>
            </w:r>
          </w:p>
        </w:tc>
        <w:tc>
          <w:tcPr>
            <w:tcW w:w="909"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690F09C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b/>
                <w:color w:val="auto"/>
                <w:sz w:val="21"/>
              </w:rPr>
              <w:t>名称</w:t>
            </w:r>
          </w:p>
        </w:tc>
        <w:tc>
          <w:tcPr>
            <w:tcW w:w="8121"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52BF960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b/>
                <w:color w:val="auto"/>
                <w:sz w:val="21"/>
              </w:rPr>
              <w:t>内容</w:t>
            </w:r>
          </w:p>
        </w:tc>
      </w:tr>
      <w:tr w14:paraId="4A708F1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34" w:hRule="atLeast"/>
        </w:trPr>
        <w:tc>
          <w:tcPr>
            <w:tcW w:w="32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4DCF04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1</w:t>
            </w:r>
          </w:p>
        </w:tc>
        <w:tc>
          <w:tcPr>
            <w:tcW w:w="90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8C4F4A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采购人</w:t>
            </w:r>
          </w:p>
        </w:tc>
        <w:tc>
          <w:tcPr>
            <w:tcW w:w="8121" w:type="dxa"/>
            <w:tcBorders>
              <w:top w:val="nil"/>
              <w:left w:val="nil"/>
              <w:bottom w:val="single" w:color="000000" w:sz="8" w:space="0"/>
              <w:right w:val="single" w:color="000000" w:sz="8" w:space="0"/>
            </w:tcBorders>
            <w:noWrap/>
            <w:tcMar>
              <w:top w:w="0" w:type="dxa"/>
              <w:left w:w="108" w:type="dxa"/>
              <w:bottom w:w="0" w:type="dxa"/>
              <w:right w:w="108" w:type="dxa"/>
            </w:tcMar>
            <w:vAlign w:val="top"/>
          </w:tcPr>
          <w:p w14:paraId="342CB285">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eastAsia="宋体"/>
                <w:color w:val="auto"/>
                <w:lang w:eastAsia="zh-CN"/>
              </w:rPr>
            </w:pPr>
            <w:r>
              <w:rPr>
                <w:rFonts w:ascii="宋体" w:hAnsi="宋体" w:eastAsia="宋体" w:cs="宋体"/>
                <w:color w:val="auto"/>
                <w:sz w:val="21"/>
              </w:rPr>
              <w:t>名  称：</w:t>
            </w:r>
            <w:r>
              <w:rPr>
                <w:rFonts w:hint="eastAsia" w:ascii="宋体" w:hAnsi="宋体" w:cs="宋体"/>
                <w:color w:val="auto"/>
                <w:sz w:val="21"/>
                <w:lang w:eastAsia="zh-CN"/>
              </w:rPr>
              <w:t>南京市栖霞区水务局</w:t>
            </w:r>
          </w:p>
          <w:p w14:paraId="1DD76F7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color w:val="auto"/>
              </w:rPr>
            </w:pPr>
            <w:r>
              <w:rPr>
                <w:rFonts w:hint="eastAsia"/>
                <w:color w:val="auto"/>
              </w:rPr>
              <w:t>地址：南京市栖霞区文苑路118号仙林商务中心</w:t>
            </w:r>
          </w:p>
          <w:p w14:paraId="16BAD75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color w:val="auto"/>
                <w:lang w:eastAsia="zh-CN"/>
              </w:rPr>
            </w:pPr>
            <w:r>
              <w:rPr>
                <w:rFonts w:hint="eastAsia"/>
                <w:color w:val="auto"/>
              </w:rPr>
              <w:t>联系人：</w:t>
            </w:r>
            <w:r>
              <w:rPr>
                <w:rFonts w:hint="eastAsia"/>
                <w:color w:val="auto"/>
                <w:lang w:eastAsia="zh-CN"/>
              </w:rPr>
              <w:t>王科长</w:t>
            </w:r>
          </w:p>
          <w:p w14:paraId="54666456">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color w:val="auto"/>
                <w:lang w:eastAsia="zh-CN"/>
              </w:rPr>
            </w:pPr>
            <w:r>
              <w:rPr>
                <w:rFonts w:ascii="宋体" w:hAnsi="宋体" w:eastAsia="宋体" w:cs="宋体"/>
                <w:color w:val="auto"/>
                <w:sz w:val="21"/>
              </w:rPr>
              <w:t>联系方式：</w:t>
            </w:r>
            <w:r>
              <w:rPr>
                <w:rFonts w:hint="eastAsia" w:ascii="宋体" w:hAnsi="宋体" w:eastAsia="宋体" w:cs="宋体"/>
                <w:color w:val="auto"/>
                <w:sz w:val="21"/>
              </w:rPr>
              <w:t>025-85561703</w:t>
            </w:r>
          </w:p>
        </w:tc>
      </w:tr>
      <w:tr w14:paraId="0F21610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266" w:hRule="atLeast"/>
        </w:trPr>
        <w:tc>
          <w:tcPr>
            <w:tcW w:w="32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CFA49E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2</w:t>
            </w:r>
          </w:p>
        </w:tc>
        <w:tc>
          <w:tcPr>
            <w:tcW w:w="90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A5ADE4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采购代理机构</w:t>
            </w:r>
          </w:p>
        </w:tc>
        <w:tc>
          <w:tcPr>
            <w:tcW w:w="812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A7B5CD3">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名 称：</w:t>
            </w:r>
            <w:r>
              <w:rPr>
                <w:rFonts w:hint="eastAsia" w:ascii="宋体" w:hAnsi="宋体" w:cs="宋体"/>
                <w:color w:val="auto"/>
                <w:sz w:val="21"/>
                <w:lang w:eastAsia="zh-CN"/>
              </w:rPr>
              <w:t>江苏苏越项目管理有限公司</w:t>
            </w:r>
            <w:r>
              <w:rPr>
                <w:rFonts w:ascii="宋体" w:hAnsi="宋体" w:eastAsia="宋体" w:cs="宋体"/>
                <w:color w:val="auto"/>
                <w:sz w:val="21"/>
              </w:rPr>
              <w:t>　</w:t>
            </w:r>
          </w:p>
          <w:p w14:paraId="6BD2CFB3">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eastAsia="宋体"/>
                <w:color w:val="auto"/>
                <w:lang w:eastAsia="zh-CN"/>
              </w:rPr>
            </w:pPr>
            <w:r>
              <w:rPr>
                <w:rFonts w:ascii="宋体" w:hAnsi="宋体" w:eastAsia="宋体" w:cs="宋体"/>
                <w:color w:val="auto"/>
                <w:sz w:val="21"/>
              </w:rPr>
              <w:t>地　址：</w:t>
            </w:r>
            <w:r>
              <w:rPr>
                <w:rFonts w:hint="eastAsia" w:ascii="宋体" w:hAnsi="宋体" w:cs="宋体"/>
                <w:color w:val="auto"/>
                <w:sz w:val="21"/>
                <w:lang w:eastAsia="zh-CN"/>
              </w:rPr>
              <w:t>南京市雨花台区锦绣街5号绿地之窗C-4栋320室</w:t>
            </w:r>
          </w:p>
          <w:p w14:paraId="7B044339">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eastAsia="宋体"/>
                <w:color w:val="auto"/>
                <w:lang w:eastAsia="zh-CN"/>
              </w:rPr>
            </w:pPr>
            <w:r>
              <w:rPr>
                <w:rFonts w:ascii="宋体" w:hAnsi="宋体" w:eastAsia="宋体" w:cs="宋体"/>
                <w:color w:val="auto"/>
                <w:sz w:val="21"/>
              </w:rPr>
              <w:t>项目联系人：</w:t>
            </w:r>
            <w:r>
              <w:rPr>
                <w:rFonts w:hint="eastAsia" w:ascii="宋体" w:hAnsi="宋体" w:cs="宋体"/>
                <w:color w:val="auto"/>
                <w:sz w:val="21"/>
                <w:lang w:eastAsia="zh-CN"/>
              </w:rPr>
              <w:t>蒋工</w:t>
            </w:r>
          </w:p>
          <w:p w14:paraId="37FC4AA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eastAsia="宋体"/>
                <w:color w:val="auto"/>
                <w:lang w:eastAsia="zh-CN"/>
              </w:rPr>
            </w:pPr>
            <w:r>
              <w:rPr>
                <w:rFonts w:ascii="宋体" w:hAnsi="宋体" w:eastAsia="宋体" w:cs="宋体"/>
                <w:color w:val="auto"/>
                <w:sz w:val="21"/>
              </w:rPr>
              <w:t xml:space="preserve">联系方式： </w:t>
            </w:r>
            <w:r>
              <w:rPr>
                <w:rFonts w:hint="eastAsia" w:ascii="宋体" w:hAnsi="宋体" w:cs="宋体"/>
                <w:color w:val="auto"/>
                <w:sz w:val="21"/>
                <w:lang w:eastAsia="zh-CN"/>
              </w:rPr>
              <w:t>13913353691</w:t>
            </w:r>
          </w:p>
        </w:tc>
      </w:tr>
      <w:tr w14:paraId="72C3306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99" w:hRule="atLeast"/>
        </w:trPr>
        <w:tc>
          <w:tcPr>
            <w:tcW w:w="32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C26A95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3</w:t>
            </w:r>
          </w:p>
        </w:tc>
        <w:tc>
          <w:tcPr>
            <w:tcW w:w="90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FD3A05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采购项目名称</w:t>
            </w:r>
          </w:p>
        </w:tc>
        <w:tc>
          <w:tcPr>
            <w:tcW w:w="812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D5579B0">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eastAsia="宋体"/>
                <w:color w:val="auto"/>
                <w:lang w:eastAsia="zh-CN"/>
              </w:rPr>
            </w:pPr>
            <w:r>
              <w:rPr>
                <w:rFonts w:hint="eastAsia" w:ascii="宋体" w:hAnsi="宋体" w:cs="宋体"/>
                <w:color w:val="auto"/>
                <w:sz w:val="21"/>
                <w:lang w:eastAsia="zh-CN"/>
              </w:rPr>
              <w:t>仙林地区市政雨水管道养护及应急抢修服务项目</w:t>
            </w:r>
          </w:p>
        </w:tc>
      </w:tr>
      <w:tr w14:paraId="09889F3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99" w:hRule="atLeast"/>
        </w:trPr>
        <w:tc>
          <w:tcPr>
            <w:tcW w:w="32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8FB8BE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4</w:t>
            </w:r>
          </w:p>
        </w:tc>
        <w:tc>
          <w:tcPr>
            <w:tcW w:w="90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6A5513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项目实施地点</w:t>
            </w:r>
          </w:p>
        </w:tc>
        <w:tc>
          <w:tcPr>
            <w:tcW w:w="812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D534192">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eastAsia="宋体"/>
                <w:color w:val="auto"/>
                <w:lang w:eastAsia="zh-CN"/>
              </w:rPr>
            </w:pPr>
            <w:r>
              <w:rPr>
                <w:rFonts w:ascii="宋体" w:hAnsi="宋体" w:eastAsia="宋体" w:cs="宋体"/>
                <w:color w:val="auto"/>
                <w:sz w:val="21"/>
              </w:rPr>
              <w:t>南京市</w:t>
            </w:r>
            <w:r>
              <w:rPr>
                <w:rFonts w:hint="eastAsia" w:ascii="宋体" w:hAnsi="宋体" w:cs="宋体"/>
                <w:color w:val="auto"/>
                <w:sz w:val="21"/>
                <w:lang w:val="en-US" w:eastAsia="zh-CN"/>
              </w:rPr>
              <w:t>栖霞区</w:t>
            </w:r>
          </w:p>
        </w:tc>
      </w:tr>
      <w:tr w14:paraId="3ED6E4C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99" w:hRule="atLeast"/>
        </w:trPr>
        <w:tc>
          <w:tcPr>
            <w:tcW w:w="32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E17AAB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5</w:t>
            </w:r>
          </w:p>
        </w:tc>
        <w:tc>
          <w:tcPr>
            <w:tcW w:w="90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A32710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资金来源</w:t>
            </w:r>
          </w:p>
        </w:tc>
        <w:tc>
          <w:tcPr>
            <w:tcW w:w="812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54FEAC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财政资金</w:t>
            </w:r>
          </w:p>
        </w:tc>
      </w:tr>
      <w:tr w14:paraId="5F16B21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99" w:hRule="atLeast"/>
        </w:trPr>
        <w:tc>
          <w:tcPr>
            <w:tcW w:w="32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BAAFF3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6</w:t>
            </w:r>
          </w:p>
        </w:tc>
        <w:tc>
          <w:tcPr>
            <w:tcW w:w="90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889EA2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评审方法</w:t>
            </w:r>
          </w:p>
        </w:tc>
        <w:tc>
          <w:tcPr>
            <w:tcW w:w="812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0619706">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综合评分法</w:t>
            </w:r>
          </w:p>
        </w:tc>
      </w:tr>
      <w:tr w14:paraId="6F9A651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99" w:hRule="atLeast"/>
        </w:trPr>
        <w:tc>
          <w:tcPr>
            <w:tcW w:w="32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EB99DB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7</w:t>
            </w:r>
          </w:p>
        </w:tc>
        <w:tc>
          <w:tcPr>
            <w:tcW w:w="90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F78BF2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投标有效期</w:t>
            </w:r>
          </w:p>
        </w:tc>
        <w:tc>
          <w:tcPr>
            <w:tcW w:w="812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B1A652F">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提交投标文件截止之日起60日</w:t>
            </w:r>
          </w:p>
        </w:tc>
      </w:tr>
      <w:tr w14:paraId="59B6112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937" w:hRule="atLeast"/>
        </w:trPr>
        <w:tc>
          <w:tcPr>
            <w:tcW w:w="32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88F2DF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8</w:t>
            </w:r>
          </w:p>
        </w:tc>
        <w:tc>
          <w:tcPr>
            <w:tcW w:w="90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2F7D56F">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供应商企业信用信息</w:t>
            </w:r>
          </w:p>
        </w:tc>
        <w:tc>
          <w:tcPr>
            <w:tcW w:w="812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CCC3A54">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（1）查询渠道：“信用中国”网站（www.creditchina.gov.cn）、“中国政府采购网”网站（www.ccgp.gov.cn）；</w:t>
            </w:r>
          </w:p>
          <w:p w14:paraId="5875C59A">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（2）查询时间：资格审查时；</w:t>
            </w:r>
          </w:p>
          <w:p w14:paraId="143212FB">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（3）查询记录留存方式：由采购代理机构负责将供应商各网站信用记录截图保存；</w:t>
            </w:r>
          </w:p>
          <w:p w14:paraId="628C1BAE">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（4）查询结果处理：对具有违法失信记录的供应商作无效投标处理。</w:t>
            </w:r>
          </w:p>
        </w:tc>
      </w:tr>
      <w:tr w14:paraId="6C604A8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486" w:hRule="atLeast"/>
        </w:trPr>
        <w:tc>
          <w:tcPr>
            <w:tcW w:w="32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A2DE99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9</w:t>
            </w:r>
          </w:p>
        </w:tc>
        <w:tc>
          <w:tcPr>
            <w:tcW w:w="90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31A4AF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盖章要求</w:t>
            </w:r>
          </w:p>
        </w:tc>
        <w:tc>
          <w:tcPr>
            <w:tcW w:w="812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8EB3E92">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供应商投标文件中加盖的公章仅能使用与供应商名称一致的标准公章，不得使用其他形式（如带有“专用章”、“合同章”、“财务章”、“业务章”等字样）的印章；否则，按无效投标处理。</w:t>
            </w:r>
          </w:p>
        </w:tc>
      </w:tr>
    </w:tbl>
    <w:p w14:paraId="0C4828AC">
      <w:pPr>
        <w:pBdr>
          <w:top w:val="none" w:color="000000" w:sz="0" w:space="0"/>
          <w:left w:val="none" w:color="000000" w:sz="0" w:space="0"/>
          <w:bottom w:val="none" w:color="000000" w:sz="0" w:space="0"/>
          <w:right w:val="none" w:color="000000" w:sz="0" w:space="0"/>
        </w:pBdr>
        <w:spacing w:before="0" w:after="0" w:line="85" w:lineRule="atLeast"/>
        <w:ind w:left="0" w:right="0" w:firstLine="422"/>
        <w:jc w:val="center"/>
        <w:rPr>
          <w:color w:val="auto"/>
        </w:rPr>
      </w:pPr>
      <w:r>
        <w:rPr>
          <w:color w:val="auto"/>
        </w:rPr>
        <w:br w:type="page" w:clear="all"/>
      </w:r>
    </w:p>
    <w:p w14:paraId="6CEE90A7">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2"/>
        <w:jc w:val="both"/>
        <w:rPr>
          <w:color w:val="auto"/>
        </w:rPr>
      </w:pPr>
      <w:r>
        <w:rPr>
          <w:rFonts w:ascii="宋体" w:hAnsi="宋体" w:eastAsia="宋体" w:cs="宋体"/>
          <w:b/>
          <w:color w:val="auto"/>
          <w:sz w:val="21"/>
        </w:rPr>
        <w:t>一、总 则</w:t>
      </w:r>
    </w:p>
    <w:p w14:paraId="23A5F81B">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2"/>
        <w:jc w:val="both"/>
        <w:rPr>
          <w:color w:val="auto"/>
        </w:rPr>
      </w:pPr>
      <w:r>
        <w:rPr>
          <w:rFonts w:ascii="宋体" w:hAnsi="宋体" w:eastAsia="宋体" w:cs="宋体"/>
          <w:b/>
          <w:color w:val="auto"/>
          <w:sz w:val="21"/>
        </w:rPr>
        <w:t>1、适用法律</w:t>
      </w:r>
    </w:p>
    <w:p w14:paraId="0CCDA30F">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1.1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54ECAACD">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2"/>
        <w:jc w:val="both"/>
        <w:rPr>
          <w:color w:val="auto"/>
        </w:rPr>
      </w:pPr>
      <w:r>
        <w:rPr>
          <w:rFonts w:ascii="宋体" w:hAnsi="宋体" w:eastAsia="宋体" w:cs="宋体"/>
          <w:b/>
          <w:color w:val="auto"/>
          <w:sz w:val="21"/>
        </w:rPr>
        <w:t>2、定义</w:t>
      </w:r>
    </w:p>
    <w:p w14:paraId="0BA2635B">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2.1“采购人”是指依法进行政府采购的国家机关、事业单位、团体组织。</w:t>
      </w:r>
    </w:p>
    <w:p w14:paraId="1C8D28B3">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2.2“投标人（供应商）”是指参加投标竞争，并符合招标文件规定资格条件的法人、其他组织或者自然人。</w:t>
      </w:r>
    </w:p>
    <w:p w14:paraId="00A2701F">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2.3“采购代理机构”是指集中采购机构和集中采购机构以外的采购代理机构，集中采购机构以外的采购代理机构，是从事采购代理业务的社会中介机构。</w:t>
      </w:r>
    </w:p>
    <w:p w14:paraId="0A84D132">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2.4“货物和服务”指本招标文件中所述产品及相关服务。</w:t>
      </w:r>
    </w:p>
    <w:p w14:paraId="30745778">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2.5“用户或使用单位”是指使用货物，接受服务的单位。</w:t>
      </w:r>
    </w:p>
    <w:p w14:paraId="5F16124A">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2"/>
        <w:jc w:val="both"/>
        <w:rPr>
          <w:color w:val="auto"/>
        </w:rPr>
      </w:pPr>
      <w:r>
        <w:rPr>
          <w:rFonts w:ascii="宋体" w:hAnsi="宋体" w:eastAsia="宋体" w:cs="宋体"/>
          <w:b/>
          <w:color w:val="auto"/>
          <w:sz w:val="21"/>
        </w:rPr>
        <w:t>3、政策功能（本项目不执行）</w:t>
      </w:r>
    </w:p>
    <w:p w14:paraId="31E1FE3D">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p>
    <w:p w14:paraId="53373FCF">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3CB23E75">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20FA96F0">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p>
    <w:p w14:paraId="61A56CB5">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3.5强制采购信息安全产品。参加政府采购活动的信息安全产品投标人应当选择经国家认证的信息安全产品投标，并提供由国家信息安全认证中心按国家标准认证颁发的有效认证证书。</w:t>
      </w:r>
    </w:p>
    <w:p w14:paraId="767F100B">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3.6进口产品政策</w:t>
      </w:r>
    </w:p>
    <w:p w14:paraId="42AF7CBA">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（1）除招标公告载明接受进口产品参加外，不允许进口产品参加。进口产品认定依照《财政部关于政府采购进口产品管理有关问题的通知》（财办库〔2008〕248号）的规定。</w:t>
      </w:r>
    </w:p>
    <w:p w14:paraId="1AC5A188">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（2）允许进口产品参加的，满足需求的国内产品可以参加。</w:t>
      </w:r>
    </w:p>
    <w:p w14:paraId="3998ADE6">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（3）允许进口产品参加的，优先采购向我国企业转让技术、与我国企业签订消化吸收再创新方案的投标人的进口产品。</w:t>
      </w:r>
    </w:p>
    <w:p w14:paraId="3E3E4126">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3.7未按要求提供相关材料的，不享受相关政策。</w:t>
      </w:r>
    </w:p>
    <w:p w14:paraId="7FD1FA85">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2"/>
        <w:jc w:val="both"/>
        <w:rPr>
          <w:color w:val="auto"/>
        </w:rPr>
      </w:pPr>
      <w:r>
        <w:rPr>
          <w:rFonts w:ascii="宋体" w:hAnsi="宋体" w:eastAsia="宋体" w:cs="宋体"/>
          <w:b/>
          <w:color w:val="auto"/>
          <w:sz w:val="21"/>
        </w:rPr>
        <w:t>二、招标文件构成</w:t>
      </w:r>
    </w:p>
    <w:p w14:paraId="4CC4CAFA">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2"/>
        <w:jc w:val="both"/>
        <w:rPr>
          <w:color w:val="auto"/>
        </w:rPr>
      </w:pPr>
      <w:r>
        <w:rPr>
          <w:rFonts w:ascii="宋体" w:hAnsi="宋体" w:eastAsia="宋体" w:cs="宋体"/>
          <w:b/>
          <w:color w:val="auto"/>
          <w:sz w:val="21"/>
        </w:rPr>
        <w:t>4、招标文件组成</w:t>
      </w:r>
    </w:p>
    <w:p w14:paraId="4ED53687">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招标文件包括以下主要内容：</w:t>
      </w:r>
    </w:p>
    <w:p w14:paraId="114AE72E">
      <w:pPr>
        <w:numPr>
          <w:ilvl w:val="0"/>
          <w:numId w:val="3"/>
        </w:numPr>
        <w:pBdr>
          <w:top w:val="none" w:color="000000" w:sz="0" w:space="0"/>
          <w:left w:val="none" w:color="000000" w:sz="0" w:space="0"/>
          <w:bottom w:val="none" w:color="000000" w:sz="0" w:space="0"/>
          <w:right w:val="none" w:color="000000" w:sz="0" w:space="0"/>
        </w:pBdr>
        <w:shd w:val="clear" w:color="FFFFFF" w:fill="FFFFFF"/>
        <w:spacing w:before="0" w:after="0" w:line="360" w:lineRule="auto"/>
        <w:jc w:val="both"/>
        <w:rPr>
          <w:color w:val="auto"/>
        </w:rPr>
      </w:pPr>
      <w:r>
        <w:rPr>
          <w:rFonts w:ascii="宋体" w:hAnsi="宋体" w:eastAsia="宋体" w:cs="宋体"/>
          <w:color w:val="auto"/>
          <w:sz w:val="21"/>
        </w:rPr>
        <w:t>招标公告；</w:t>
      </w:r>
    </w:p>
    <w:p w14:paraId="63C3319A">
      <w:pPr>
        <w:numPr>
          <w:ilvl w:val="0"/>
          <w:numId w:val="3"/>
        </w:numPr>
        <w:pBdr>
          <w:top w:val="none" w:color="000000" w:sz="0" w:space="0"/>
          <w:left w:val="none" w:color="000000" w:sz="0" w:space="0"/>
          <w:bottom w:val="none" w:color="000000" w:sz="0" w:space="0"/>
          <w:right w:val="none" w:color="000000" w:sz="0" w:space="0"/>
        </w:pBdr>
        <w:shd w:val="clear" w:color="FFFFFF" w:fill="FFFFFF"/>
        <w:spacing w:before="0" w:after="0" w:line="360" w:lineRule="auto"/>
        <w:jc w:val="both"/>
        <w:rPr>
          <w:color w:val="auto"/>
        </w:rPr>
      </w:pPr>
      <w:r>
        <w:rPr>
          <w:rFonts w:ascii="宋体" w:hAnsi="宋体" w:eastAsia="宋体" w:cs="宋体"/>
          <w:color w:val="auto"/>
          <w:sz w:val="21"/>
        </w:rPr>
        <w:t>投标人须知；</w:t>
      </w:r>
    </w:p>
    <w:p w14:paraId="6C4BC673">
      <w:pPr>
        <w:numPr>
          <w:ilvl w:val="0"/>
          <w:numId w:val="3"/>
        </w:numPr>
        <w:pBdr>
          <w:top w:val="none" w:color="000000" w:sz="0" w:space="0"/>
          <w:left w:val="none" w:color="000000" w:sz="0" w:space="0"/>
          <w:bottom w:val="none" w:color="000000" w:sz="0" w:space="0"/>
          <w:right w:val="none" w:color="000000" w:sz="0" w:space="0"/>
        </w:pBdr>
        <w:shd w:val="clear" w:color="FFFFFF" w:fill="FFFFFF"/>
        <w:spacing w:before="0" w:after="0" w:line="360" w:lineRule="auto"/>
        <w:jc w:val="both"/>
        <w:rPr>
          <w:color w:val="auto"/>
        </w:rPr>
      </w:pPr>
      <w:r>
        <w:rPr>
          <w:rFonts w:ascii="宋体" w:hAnsi="宋体" w:eastAsia="宋体" w:cs="宋体"/>
          <w:color w:val="auto"/>
          <w:sz w:val="21"/>
        </w:rPr>
        <w:t>评标标准；</w:t>
      </w:r>
    </w:p>
    <w:p w14:paraId="0944DECD">
      <w:pPr>
        <w:numPr>
          <w:ilvl w:val="0"/>
          <w:numId w:val="3"/>
        </w:numPr>
        <w:pBdr>
          <w:top w:val="none" w:color="000000" w:sz="0" w:space="0"/>
          <w:left w:val="none" w:color="000000" w:sz="0" w:space="0"/>
          <w:bottom w:val="none" w:color="000000" w:sz="0" w:space="0"/>
          <w:right w:val="none" w:color="000000" w:sz="0" w:space="0"/>
        </w:pBdr>
        <w:shd w:val="clear" w:color="FFFFFF" w:fill="FFFFFF"/>
        <w:spacing w:before="0" w:after="0" w:line="360" w:lineRule="auto"/>
        <w:jc w:val="both"/>
        <w:rPr>
          <w:color w:val="auto"/>
        </w:rPr>
      </w:pPr>
      <w:r>
        <w:rPr>
          <w:rFonts w:ascii="宋体" w:hAnsi="宋体" w:eastAsia="宋体" w:cs="宋体"/>
          <w:color w:val="auto"/>
          <w:sz w:val="21"/>
        </w:rPr>
        <w:t>采购需求；</w:t>
      </w:r>
    </w:p>
    <w:p w14:paraId="63BEABE9">
      <w:pPr>
        <w:numPr>
          <w:ilvl w:val="0"/>
          <w:numId w:val="3"/>
        </w:numPr>
        <w:pBdr>
          <w:top w:val="none" w:color="000000" w:sz="0" w:space="0"/>
          <w:left w:val="none" w:color="000000" w:sz="0" w:space="0"/>
          <w:bottom w:val="none" w:color="000000" w:sz="0" w:space="0"/>
          <w:right w:val="none" w:color="000000" w:sz="0" w:space="0"/>
        </w:pBdr>
        <w:shd w:val="clear" w:color="FFFFFF" w:fill="FFFFFF"/>
        <w:spacing w:before="0" w:after="0" w:line="360" w:lineRule="auto"/>
        <w:jc w:val="both"/>
        <w:rPr>
          <w:color w:val="auto"/>
        </w:rPr>
      </w:pPr>
      <w:r>
        <w:rPr>
          <w:rFonts w:ascii="宋体" w:hAnsi="宋体" w:eastAsia="宋体" w:cs="宋体"/>
          <w:color w:val="auto"/>
          <w:sz w:val="21"/>
        </w:rPr>
        <w:t>合同主要条款及格式；</w:t>
      </w:r>
    </w:p>
    <w:p w14:paraId="3E2A073E">
      <w:pPr>
        <w:numPr>
          <w:ilvl w:val="0"/>
          <w:numId w:val="3"/>
        </w:numPr>
        <w:pBdr>
          <w:top w:val="none" w:color="000000" w:sz="0" w:space="0"/>
          <w:left w:val="none" w:color="000000" w:sz="0" w:space="0"/>
          <w:bottom w:val="none" w:color="000000" w:sz="0" w:space="0"/>
          <w:right w:val="none" w:color="000000" w:sz="0" w:space="0"/>
        </w:pBdr>
        <w:shd w:val="clear" w:color="FFFFFF" w:fill="FFFFFF"/>
        <w:spacing w:before="0" w:after="0" w:line="360" w:lineRule="auto"/>
        <w:jc w:val="both"/>
        <w:rPr>
          <w:color w:val="auto"/>
        </w:rPr>
      </w:pPr>
      <w:r>
        <w:rPr>
          <w:rFonts w:ascii="宋体" w:hAnsi="宋体" w:eastAsia="宋体" w:cs="宋体"/>
          <w:color w:val="auto"/>
          <w:sz w:val="21"/>
        </w:rPr>
        <w:t>投标文件格式及附件。</w:t>
      </w:r>
    </w:p>
    <w:p w14:paraId="3892621C">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如标书制作工具中格式和内容与“江苏政府采购网”发布的招标文件不一致的，以上述网站发布的招标文件为准。</w:t>
      </w:r>
    </w:p>
    <w:p w14:paraId="6A08662A">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4.2 招标的最小单位是标段。招标数量及技术要求中未分标段的，投标人对要求提供的服务不得部分投标；招标数量及技术要求中已经分标段的，可以以标段为单位投标。</w:t>
      </w:r>
    </w:p>
    <w:p w14:paraId="739DF2E5">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4.3 采购代理机构如果要求投标人按照招标文件规定提交备选投标方案的，投标人可以提交备选方案；否则，备选方案将被拒绝。</w:t>
      </w:r>
    </w:p>
    <w:p w14:paraId="5ACF05F5">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2"/>
        <w:jc w:val="both"/>
        <w:rPr>
          <w:color w:val="auto"/>
        </w:rPr>
      </w:pPr>
      <w:r>
        <w:rPr>
          <w:rFonts w:ascii="宋体" w:hAnsi="宋体" w:eastAsia="宋体" w:cs="宋体"/>
          <w:b/>
          <w:color w:val="auto"/>
          <w:sz w:val="21"/>
        </w:rPr>
        <w:t>5、招标文件的澄清或者修改</w:t>
      </w:r>
    </w:p>
    <w:p w14:paraId="4201E665">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5.1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14:paraId="006F3309">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1BCC395E">
      <w:pPr>
        <w:pBdr>
          <w:top w:val="none" w:color="000000" w:sz="0" w:space="0"/>
          <w:left w:val="none" w:color="000000" w:sz="0" w:space="0"/>
          <w:bottom w:val="none" w:color="000000" w:sz="0" w:space="0"/>
          <w:right w:val="none" w:color="000000" w:sz="0" w:space="0"/>
        </w:pBdr>
        <w:spacing w:before="0" w:after="0" w:line="360" w:lineRule="auto"/>
        <w:ind w:left="0" w:right="0" w:firstLine="420"/>
        <w:jc w:val="both"/>
        <w:rPr>
          <w:color w:val="auto"/>
        </w:rPr>
      </w:pPr>
      <w:r>
        <w:rPr>
          <w:rFonts w:ascii="宋体" w:hAnsi="宋体" w:eastAsia="宋体" w:cs="宋体"/>
          <w:color w:val="auto"/>
          <w:sz w:val="21"/>
        </w:rPr>
        <w:t>5.3 投标人应在提交投标文件截止时间前，关注原公告媒体有关本项目的更正公告，根据更正公告内容自行决定是否需要重新制作和提交投标文件，并承担由此产生的相应责任。</w:t>
      </w:r>
    </w:p>
    <w:p w14:paraId="145AF773">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2"/>
        <w:jc w:val="both"/>
        <w:rPr>
          <w:color w:val="auto"/>
        </w:rPr>
      </w:pPr>
      <w:r>
        <w:rPr>
          <w:rFonts w:ascii="宋体" w:hAnsi="宋体" w:eastAsia="宋体" w:cs="宋体"/>
          <w:b/>
          <w:color w:val="auto"/>
          <w:sz w:val="21"/>
        </w:rPr>
        <w:t>三、投标文件的编制</w:t>
      </w:r>
    </w:p>
    <w:p w14:paraId="3340A4A8">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2"/>
        <w:jc w:val="both"/>
        <w:rPr>
          <w:color w:val="auto"/>
        </w:rPr>
      </w:pPr>
      <w:r>
        <w:rPr>
          <w:rFonts w:ascii="宋体" w:hAnsi="宋体" w:eastAsia="宋体" w:cs="宋体"/>
          <w:b/>
          <w:color w:val="auto"/>
          <w:sz w:val="21"/>
        </w:rPr>
        <w:t>6、投标文件的语言、计量单位、货币和编制</w:t>
      </w:r>
    </w:p>
    <w:p w14:paraId="1B3BBFFB">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p>
    <w:p w14:paraId="1F72EE54">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6.2投标人所使用的计量单位应为国家法定计量单位。</w:t>
      </w:r>
    </w:p>
    <w:p w14:paraId="1D0590D6">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6.3投标人应用人民币报价。投标产品如果是进口产品的，应提供人民币与</w:t>
      </w:r>
      <w:r>
        <w:rPr>
          <w:rFonts w:ascii="宋体" w:hAnsi="宋体" w:eastAsia="宋体" w:cs="宋体"/>
          <w:b/>
          <w:color w:val="auto"/>
          <w:sz w:val="21"/>
        </w:rPr>
        <w:t>外币之间的汇率。</w:t>
      </w:r>
    </w:p>
    <w:p w14:paraId="6816052E">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6.4 投标文件应按照招标文件的规定编写并制作目录。</w:t>
      </w:r>
    </w:p>
    <w:p w14:paraId="702EAC10">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6.5投标人应在投标文件中写清相应的项目编号、项目名称、投标人全称、地址、电话、传真等。</w:t>
      </w:r>
    </w:p>
    <w:p w14:paraId="47AD590A">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6.6投标人根据招标文件载明的标的采购项目实际情况，拟在中标后将中标项目的非主体、非关键性工作交由他人完成的，应当在投标文件中载明。</w:t>
      </w:r>
    </w:p>
    <w:p w14:paraId="34E8F768">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2"/>
        <w:jc w:val="both"/>
        <w:rPr>
          <w:color w:val="auto"/>
        </w:rPr>
      </w:pPr>
      <w:r>
        <w:rPr>
          <w:rFonts w:ascii="宋体" w:hAnsi="宋体" w:eastAsia="宋体" w:cs="宋体"/>
          <w:b/>
          <w:color w:val="auto"/>
          <w:sz w:val="21"/>
        </w:rPr>
        <w:t>7、联合体投标（本项目无）</w:t>
      </w:r>
    </w:p>
    <w:p w14:paraId="43D2A681">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7.1 两个以上的自然人、法人或者其他组织可以组成一个联合体，以一个投标人的身份共同参加政府采购。</w:t>
      </w:r>
    </w:p>
    <w:p w14:paraId="10596555">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7.2 联合体中有同类资质的投标人按照联合体分工承担相同工作的，按照资质等级较低的投标人确定资质等级。</w:t>
      </w:r>
    </w:p>
    <w:p w14:paraId="774ADCE1">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7.3 联合体各方之间应当签订联合体协议，明确约定联合体各方承担的工作和相应的责任，并将联合体协议连同投标文件一同提交。</w:t>
      </w:r>
    </w:p>
    <w:p w14:paraId="6CFA8AEE">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7.4 以联合体形式参加政府采购活动的，联合体各方不得再单独参加或者与其他投标人另外组成联合体参加同一合同项下的政府采购活动。</w:t>
      </w:r>
    </w:p>
    <w:p w14:paraId="20E6C1D3">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2"/>
        <w:jc w:val="both"/>
        <w:rPr>
          <w:color w:val="auto"/>
        </w:rPr>
      </w:pPr>
      <w:r>
        <w:rPr>
          <w:rFonts w:ascii="宋体" w:hAnsi="宋体" w:eastAsia="宋体" w:cs="宋体"/>
          <w:b/>
          <w:color w:val="auto"/>
          <w:sz w:val="21"/>
        </w:rPr>
        <w:t>8、投标文件的组成</w:t>
      </w:r>
    </w:p>
    <w:p w14:paraId="05120730">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rPr>
          <w:color w:val="auto"/>
        </w:rPr>
      </w:pPr>
      <w:r>
        <w:rPr>
          <w:rFonts w:ascii="宋体" w:hAnsi="宋体" w:eastAsia="宋体" w:cs="宋体"/>
          <w:color w:val="auto"/>
          <w:sz w:val="21"/>
        </w:rPr>
        <w:t>8.1投标人编写的投标文件应包括资格证明文件、符合性证明文件、投标分项报价表、响应及偏离表、其他证明文件、投标函、开标一览表等部分</w:t>
      </w:r>
      <w:r>
        <w:rPr>
          <w:rFonts w:ascii="宋体" w:hAnsi="宋体" w:eastAsia="宋体" w:cs="宋体"/>
          <w:b/>
          <w:color w:val="auto"/>
          <w:sz w:val="21"/>
        </w:rPr>
        <w:t>。</w:t>
      </w:r>
    </w:p>
    <w:p w14:paraId="2FE0A36C">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rPr>
          <w:color w:val="auto"/>
        </w:rPr>
      </w:pPr>
      <w:r>
        <w:rPr>
          <w:rFonts w:ascii="宋体" w:hAnsi="宋体" w:eastAsia="宋体" w:cs="宋体"/>
          <w:color w:val="auto"/>
          <w:sz w:val="21"/>
        </w:rPr>
        <w:t>8.2 如标书制作工具中格式和内容与“江苏政府采购网”发布的招标文件不一致，以“江苏政府采购网”发布的招标文件为准。</w:t>
      </w:r>
    </w:p>
    <w:p w14:paraId="58EF61C1">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2"/>
        <w:jc w:val="both"/>
        <w:rPr>
          <w:color w:val="auto"/>
        </w:rPr>
      </w:pPr>
      <w:r>
        <w:rPr>
          <w:rFonts w:ascii="宋体" w:hAnsi="宋体" w:eastAsia="宋体" w:cs="宋体"/>
          <w:b/>
          <w:color w:val="auto"/>
          <w:sz w:val="21"/>
        </w:rPr>
        <w:t>9、投标文件的商务内容</w:t>
      </w:r>
    </w:p>
    <w:p w14:paraId="28EFDA73">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9.1商务部分内容是证明投标人有资格参加投标和中标后有能力履行合同的文件，这些文件应能满足招标的要求，包括但不限于下列文件（</w:t>
      </w:r>
      <w:r>
        <w:rPr>
          <w:rFonts w:ascii="宋体" w:hAnsi="宋体" w:eastAsia="宋体" w:cs="宋体"/>
          <w:b/>
          <w:color w:val="auto"/>
          <w:sz w:val="21"/>
        </w:rPr>
        <w:t>“★”所述材料不得有缺失或提供不全或不满足招标文件的实质性要求</w:t>
      </w:r>
      <w:r>
        <w:rPr>
          <w:rFonts w:ascii="宋体" w:hAnsi="宋体" w:eastAsia="宋体" w:cs="宋体"/>
          <w:color w:val="auto"/>
          <w:sz w:val="21"/>
        </w:rPr>
        <w:t>）：</w:t>
      </w:r>
    </w:p>
    <w:p w14:paraId="7B051DF6">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rPr>
          <w:color w:val="auto"/>
        </w:rPr>
      </w:pPr>
      <w:r>
        <w:rPr>
          <w:rFonts w:ascii="宋体" w:hAnsi="宋体" w:eastAsia="宋体" w:cs="宋体"/>
          <w:color w:val="auto"/>
          <w:sz w:val="21"/>
        </w:rPr>
        <w:t>（1）</w:t>
      </w:r>
      <w:r>
        <w:rPr>
          <w:rFonts w:ascii="宋体" w:hAnsi="宋体" w:eastAsia="宋体" w:cs="宋体"/>
          <w:b/>
          <w:color w:val="auto"/>
          <w:sz w:val="21"/>
        </w:rPr>
        <w:t>★</w:t>
      </w:r>
      <w:r>
        <w:rPr>
          <w:rFonts w:ascii="宋体" w:hAnsi="宋体" w:eastAsia="宋体" w:cs="宋体"/>
          <w:color w:val="auto"/>
          <w:sz w:val="21"/>
        </w:rPr>
        <w:t>投标函（投标申请及声明） ；</w:t>
      </w:r>
    </w:p>
    <w:p w14:paraId="28F198AF">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rPr>
          <w:color w:val="auto"/>
        </w:rPr>
      </w:pPr>
      <w:r>
        <w:rPr>
          <w:rFonts w:ascii="宋体" w:hAnsi="宋体" w:eastAsia="宋体" w:cs="宋体"/>
          <w:color w:val="auto"/>
          <w:sz w:val="21"/>
        </w:rPr>
        <w:t>（2）</w:t>
      </w:r>
      <w:r>
        <w:rPr>
          <w:rFonts w:ascii="宋体" w:hAnsi="宋体" w:eastAsia="宋体" w:cs="宋体"/>
          <w:b/>
          <w:color w:val="auto"/>
          <w:sz w:val="21"/>
        </w:rPr>
        <w:t>★</w:t>
      </w:r>
      <w:r>
        <w:rPr>
          <w:rFonts w:ascii="宋体" w:hAnsi="宋体" w:eastAsia="宋体" w:cs="宋体"/>
          <w:color w:val="auto"/>
          <w:sz w:val="21"/>
        </w:rPr>
        <w:t>法人授权书</w:t>
      </w:r>
    </w:p>
    <w:p w14:paraId="516C3A2D">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（3）</w:t>
      </w:r>
      <w:r>
        <w:rPr>
          <w:rFonts w:ascii="宋体" w:hAnsi="宋体" w:eastAsia="宋体" w:cs="宋体"/>
          <w:b/>
          <w:color w:val="auto"/>
          <w:sz w:val="21"/>
        </w:rPr>
        <w:t>★</w:t>
      </w:r>
      <w:r>
        <w:rPr>
          <w:rFonts w:ascii="宋体" w:hAnsi="宋体" w:eastAsia="宋体" w:cs="宋体"/>
          <w:color w:val="auto"/>
          <w:sz w:val="21"/>
        </w:rPr>
        <w:t>投标人资格证明文件：</w:t>
      </w:r>
    </w:p>
    <w:p w14:paraId="2D491D71">
      <w:pPr>
        <w:numPr>
          <w:ilvl w:val="1"/>
          <w:numId w:val="4"/>
        </w:numPr>
        <w:pBdr>
          <w:top w:val="none" w:color="000000" w:sz="0" w:space="0"/>
          <w:left w:val="none" w:color="000000" w:sz="0" w:space="0"/>
          <w:bottom w:val="none" w:color="000000" w:sz="0" w:space="0"/>
          <w:right w:val="none" w:color="000000" w:sz="0" w:space="0"/>
        </w:pBdr>
        <w:tabs>
          <w:tab w:val="left" w:pos="840"/>
          <w:tab w:val="left" w:pos="990"/>
        </w:tabs>
        <w:spacing w:before="0" w:after="0" w:line="360" w:lineRule="auto"/>
        <w:jc w:val="both"/>
        <w:rPr>
          <w:color w:val="auto"/>
        </w:rPr>
      </w:pPr>
      <w:r>
        <w:rPr>
          <w:rFonts w:ascii="宋体" w:hAnsi="宋体" w:eastAsia="宋体" w:cs="宋体"/>
          <w:color w:val="auto"/>
          <w:sz w:val="21"/>
        </w:rPr>
        <w:t>第一章招标公告中 2.1《中华人民共和国政府采购法》规定的资格条件证明文件；</w:t>
      </w:r>
    </w:p>
    <w:p w14:paraId="2522974A">
      <w:pPr>
        <w:numPr>
          <w:ilvl w:val="1"/>
          <w:numId w:val="4"/>
        </w:numPr>
        <w:pBdr>
          <w:top w:val="none" w:color="000000" w:sz="0" w:space="0"/>
          <w:left w:val="none" w:color="000000" w:sz="0" w:space="0"/>
          <w:bottom w:val="none" w:color="000000" w:sz="0" w:space="0"/>
          <w:right w:val="none" w:color="000000" w:sz="0" w:space="0"/>
        </w:pBdr>
        <w:tabs>
          <w:tab w:val="left" w:pos="840"/>
          <w:tab w:val="left" w:pos="990"/>
        </w:tabs>
        <w:spacing w:before="0" w:after="0" w:line="360" w:lineRule="auto"/>
        <w:jc w:val="both"/>
        <w:rPr>
          <w:color w:val="auto"/>
        </w:rPr>
      </w:pPr>
      <w:r>
        <w:rPr>
          <w:rFonts w:ascii="宋体" w:hAnsi="宋体" w:eastAsia="宋体" w:cs="宋体"/>
          <w:color w:val="auto"/>
          <w:sz w:val="21"/>
        </w:rPr>
        <w:t>第一章招标公告中 2.2</w:t>
      </w:r>
      <w:r>
        <w:rPr>
          <w:rFonts w:ascii="宋体" w:hAnsi="宋体" w:eastAsia="宋体" w:cs="宋体"/>
          <w:color w:val="auto"/>
          <w:spacing w:val="8"/>
          <w:sz w:val="21"/>
        </w:rPr>
        <w:t>落实政府采购政策需满足的资格要求；</w:t>
      </w:r>
    </w:p>
    <w:p w14:paraId="135BBC55">
      <w:pPr>
        <w:numPr>
          <w:ilvl w:val="1"/>
          <w:numId w:val="4"/>
        </w:numPr>
        <w:pBdr>
          <w:top w:val="none" w:color="000000" w:sz="0" w:space="0"/>
          <w:left w:val="none" w:color="000000" w:sz="0" w:space="0"/>
          <w:bottom w:val="none" w:color="000000" w:sz="0" w:space="0"/>
          <w:right w:val="none" w:color="000000" w:sz="0" w:space="0"/>
        </w:pBdr>
        <w:tabs>
          <w:tab w:val="left" w:pos="840"/>
          <w:tab w:val="left" w:pos="990"/>
        </w:tabs>
        <w:spacing w:before="0" w:after="0" w:line="360" w:lineRule="auto"/>
        <w:jc w:val="both"/>
        <w:rPr>
          <w:color w:val="auto"/>
        </w:rPr>
      </w:pPr>
      <w:r>
        <w:rPr>
          <w:rFonts w:ascii="宋体" w:hAnsi="宋体" w:eastAsia="宋体" w:cs="宋体"/>
          <w:color w:val="auto"/>
          <w:sz w:val="21"/>
        </w:rPr>
        <w:t>第一章招标公告中 2.3 采购人根据采购项目的特殊要求规定的特定条件证明文件。（如有）</w:t>
      </w:r>
    </w:p>
    <w:p w14:paraId="692D9630">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rPr>
          <w:color w:val="auto"/>
        </w:rPr>
      </w:pPr>
      <w:r>
        <w:rPr>
          <w:rFonts w:ascii="宋体" w:hAnsi="宋体" w:eastAsia="宋体" w:cs="宋体"/>
          <w:color w:val="auto"/>
          <w:sz w:val="21"/>
        </w:rPr>
        <w:t>（4）开标一览表及附表 ；</w:t>
      </w:r>
    </w:p>
    <w:p w14:paraId="2537F250">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rPr>
          <w:color w:val="auto"/>
        </w:rPr>
      </w:pPr>
      <w:r>
        <w:rPr>
          <w:rFonts w:ascii="宋体" w:hAnsi="宋体" w:eastAsia="宋体" w:cs="宋体"/>
          <w:color w:val="auto"/>
          <w:sz w:val="21"/>
        </w:rPr>
        <w:t>（5）</w:t>
      </w:r>
      <w:r>
        <w:rPr>
          <w:rFonts w:ascii="宋体" w:hAnsi="宋体" w:eastAsia="宋体" w:cs="宋体"/>
          <w:b/>
          <w:color w:val="auto"/>
          <w:sz w:val="21"/>
        </w:rPr>
        <w:t>★</w:t>
      </w:r>
      <w:r>
        <w:rPr>
          <w:rFonts w:ascii="宋体" w:hAnsi="宋体" w:eastAsia="宋体" w:cs="宋体"/>
          <w:color w:val="auto"/>
          <w:sz w:val="21"/>
        </w:rPr>
        <w:t>《南京市政府采购供应商信用记录表暨信用承诺书》</w:t>
      </w:r>
      <w:r>
        <w:rPr>
          <w:rFonts w:ascii="宋体" w:hAnsi="宋体" w:eastAsia="宋体" w:cs="宋体"/>
          <w:b/>
          <w:color w:val="auto"/>
          <w:sz w:val="21"/>
        </w:rPr>
        <w:t>；</w:t>
      </w:r>
    </w:p>
    <w:p w14:paraId="034718A2">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rPr>
          <w:color w:val="auto"/>
        </w:rPr>
      </w:pPr>
      <w:r>
        <w:rPr>
          <w:rFonts w:ascii="宋体" w:hAnsi="宋体" w:eastAsia="宋体" w:cs="宋体"/>
          <w:color w:val="auto"/>
          <w:sz w:val="21"/>
        </w:rPr>
        <w:t>（6）《商务条款偏离表》；</w:t>
      </w:r>
    </w:p>
    <w:p w14:paraId="27BC4526">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rPr>
          <w:color w:val="auto"/>
        </w:rPr>
      </w:pPr>
      <w:r>
        <w:rPr>
          <w:rFonts w:ascii="宋体" w:hAnsi="宋体" w:eastAsia="宋体" w:cs="宋体"/>
          <w:color w:val="auto"/>
          <w:sz w:val="21"/>
        </w:rPr>
        <w:t>（7）评标标准中对应的所需证明材料（如有自行添加）；</w:t>
      </w:r>
    </w:p>
    <w:p w14:paraId="63F2AD8D">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rPr>
          <w:color w:val="auto"/>
        </w:rPr>
      </w:pPr>
      <w:r>
        <w:rPr>
          <w:rFonts w:ascii="宋体" w:hAnsi="宋体" w:eastAsia="宋体" w:cs="宋体"/>
          <w:color w:val="auto"/>
          <w:sz w:val="21"/>
        </w:rPr>
        <w:t>（8）其他（投标人认为有必要提供的声明和文件，如有，自行拟定并添加）。</w:t>
      </w:r>
    </w:p>
    <w:p w14:paraId="467E5EB2">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2"/>
        <w:rPr>
          <w:color w:val="auto"/>
        </w:rPr>
      </w:pPr>
      <w:r>
        <w:rPr>
          <w:rFonts w:ascii="宋体" w:hAnsi="宋体" w:eastAsia="宋体" w:cs="宋体"/>
          <w:b/>
          <w:color w:val="auto"/>
          <w:sz w:val="21"/>
        </w:rPr>
        <w:t>10、投标文件的技术内容</w:t>
      </w:r>
    </w:p>
    <w:p w14:paraId="318D94EE">
      <w:pPr>
        <w:pBdr>
          <w:top w:val="none" w:color="000000" w:sz="0" w:space="0"/>
          <w:left w:val="none" w:color="000000" w:sz="0" w:space="0"/>
          <w:bottom w:val="none" w:color="000000" w:sz="0" w:space="0"/>
          <w:right w:val="none" w:color="000000" w:sz="0" w:space="0"/>
        </w:pBdr>
        <w:spacing w:before="0" w:after="0" w:line="360" w:lineRule="auto"/>
        <w:ind w:left="0" w:right="0" w:firstLine="420"/>
        <w:rPr>
          <w:color w:val="auto"/>
        </w:rPr>
      </w:pPr>
      <w:r>
        <w:rPr>
          <w:rFonts w:ascii="宋体" w:hAnsi="宋体" w:eastAsia="宋体" w:cs="宋体"/>
          <w:color w:val="auto"/>
          <w:sz w:val="21"/>
        </w:rPr>
        <w:t>技术部分内容是证明投标人提供的服务是合格的、并符合招标文件要求的证明文件，以及对服务的详细说明，这些文件可以是文字资料、图纸、数据或其他证明文件等。提供的服务如与招标文件要求有不符之处，应说明其差别之所在。包括但不限于下列文件：</w:t>
      </w:r>
    </w:p>
    <w:p w14:paraId="2B0B1DC5">
      <w:pPr>
        <w:pBdr>
          <w:top w:val="none" w:color="000000" w:sz="0" w:space="0"/>
          <w:left w:val="none" w:color="000000" w:sz="0" w:space="0"/>
          <w:bottom w:val="none" w:color="000000" w:sz="0" w:space="0"/>
          <w:right w:val="none" w:color="000000" w:sz="0" w:space="0"/>
        </w:pBdr>
        <w:spacing w:before="0" w:after="0" w:line="360" w:lineRule="auto"/>
        <w:ind w:left="0" w:right="0" w:firstLine="420"/>
        <w:rPr>
          <w:color w:val="auto"/>
        </w:rPr>
      </w:pPr>
      <w:r>
        <w:rPr>
          <w:rFonts w:ascii="宋体" w:hAnsi="宋体" w:eastAsia="宋体" w:cs="宋体"/>
          <w:color w:val="auto"/>
          <w:sz w:val="21"/>
        </w:rPr>
        <w:t>（1）技术说明或服务方案；</w:t>
      </w:r>
    </w:p>
    <w:p w14:paraId="24F68A09">
      <w:pPr>
        <w:pBdr>
          <w:top w:val="none" w:color="000000" w:sz="0" w:space="0"/>
          <w:left w:val="none" w:color="000000" w:sz="0" w:space="0"/>
          <w:bottom w:val="none" w:color="000000" w:sz="0" w:space="0"/>
          <w:right w:val="none" w:color="000000" w:sz="0" w:space="0"/>
        </w:pBdr>
        <w:spacing w:before="0" w:after="0" w:line="360" w:lineRule="auto"/>
        <w:ind w:left="0" w:right="0" w:firstLine="420"/>
        <w:rPr>
          <w:color w:val="auto"/>
        </w:rPr>
      </w:pPr>
      <w:r>
        <w:rPr>
          <w:rFonts w:ascii="宋体" w:hAnsi="宋体" w:eastAsia="宋体" w:cs="宋体"/>
          <w:color w:val="auto"/>
          <w:sz w:val="21"/>
        </w:rPr>
        <w:t>（2）服务承诺；</w:t>
      </w:r>
    </w:p>
    <w:p w14:paraId="53479AA4">
      <w:pPr>
        <w:pBdr>
          <w:top w:val="none" w:color="000000" w:sz="0" w:space="0"/>
          <w:left w:val="none" w:color="000000" w:sz="0" w:space="0"/>
          <w:bottom w:val="none" w:color="000000" w:sz="0" w:space="0"/>
          <w:right w:val="none" w:color="000000" w:sz="0" w:space="0"/>
        </w:pBdr>
        <w:spacing w:before="0" w:after="0" w:line="360" w:lineRule="auto"/>
        <w:ind w:left="0" w:right="0" w:firstLine="420"/>
        <w:rPr>
          <w:color w:val="auto"/>
        </w:rPr>
      </w:pPr>
      <w:r>
        <w:rPr>
          <w:rFonts w:ascii="宋体" w:hAnsi="宋体" w:eastAsia="宋体" w:cs="宋体"/>
          <w:color w:val="auto"/>
          <w:sz w:val="21"/>
        </w:rPr>
        <w:t>（3）投标人认为需要提供的其他技术资料。</w:t>
      </w:r>
    </w:p>
    <w:p w14:paraId="3B43E3BA">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2"/>
        <w:jc w:val="both"/>
        <w:rPr>
          <w:color w:val="auto"/>
        </w:rPr>
      </w:pPr>
      <w:r>
        <w:rPr>
          <w:rFonts w:ascii="宋体" w:hAnsi="宋体" w:eastAsia="宋体" w:cs="宋体"/>
          <w:b/>
          <w:color w:val="auto"/>
          <w:sz w:val="21"/>
        </w:rPr>
        <w:t>11、投标文件的价格内容</w:t>
      </w:r>
    </w:p>
    <w:p w14:paraId="40D1B04D">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rPr>
          <w:color w:val="auto"/>
        </w:rPr>
      </w:pPr>
      <w:r>
        <w:rPr>
          <w:rFonts w:ascii="宋体" w:hAnsi="宋体" w:eastAsia="宋体" w:cs="宋体"/>
          <w:color w:val="auto"/>
          <w:sz w:val="21"/>
        </w:rPr>
        <w:t>11.1价格部分内容是对采购标的价格构成的说明，招标文件如无特别说明，每一项服务仅接受一个价格。</w:t>
      </w:r>
    </w:p>
    <w:p w14:paraId="7024D24A">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11.2报价应包含为履行本项目合同项下所有义务的全部含税费用（包括但不限于人员培训发生的所有含税费用、支付给员工的工资和国家强制缴纳的各种社会保障资金），以及投标人认为需要的其他费用等</w:t>
      </w:r>
      <w:r>
        <w:rPr>
          <w:rFonts w:ascii="宋体" w:hAnsi="宋体" w:eastAsia="宋体" w:cs="宋体"/>
          <w:b/>
          <w:color w:val="auto"/>
          <w:sz w:val="21"/>
        </w:rPr>
        <w:t>。</w:t>
      </w:r>
    </w:p>
    <w:p w14:paraId="4DD3ED40">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11.3投标人的任何错漏、优惠、竞争性报价不得作为减轻责任、减少服务、增加收费、降低质量的理由。</w:t>
      </w:r>
    </w:p>
    <w:p w14:paraId="729262E7">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2"/>
        <w:jc w:val="both"/>
        <w:rPr>
          <w:color w:val="auto"/>
        </w:rPr>
      </w:pPr>
      <w:r>
        <w:rPr>
          <w:rFonts w:ascii="宋体" w:hAnsi="宋体" w:eastAsia="宋体" w:cs="宋体"/>
          <w:b/>
          <w:color w:val="auto"/>
          <w:sz w:val="21"/>
        </w:rPr>
        <w:t>12、投标文件的其他部分</w:t>
      </w:r>
    </w:p>
    <w:p w14:paraId="5F34B785">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12.1 其他部分由投标人根据编制投标文件需要提供的其他相关文件组成。</w:t>
      </w:r>
    </w:p>
    <w:p w14:paraId="21975591">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2"/>
        <w:jc w:val="both"/>
        <w:rPr>
          <w:color w:val="auto"/>
        </w:rPr>
      </w:pPr>
      <w:r>
        <w:rPr>
          <w:rFonts w:ascii="宋体" w:hAnsi="宋体" w:eastAsia="宋体" w:cs="宋体"/>
          <w:b/>
          <w:color w:val="auto"/>
          <w:sz w:val="21"/>
        </w:rPr>
        <w:t>13、投标保证金（本项目无需缴纳投标保证金）</w:t>
      </w:r>
    </w:p>
    <w:p w14:paraId="7BAAC8BB">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2"/>
        <w:jc w:val="both"/>
        <w:rPr>
          <w:color w:val="auto"/>
        </w:rPr>
      </w:pPr>
      <w:r>
        <w:rPr>
          <w:rFonts w:ascii="宋体" w:hAnsi="宋体" w:eastAsia="宋体" w:cs="宋体"/>
          <w:b/>
          <w:color w:val="auto"/>
          <w:sz w:val="21"/>
        </w:rPr>
        <w:t>14、投标有效期</w:t>
      </w:r>
    </w:p>
    <w:p w14:paraId="109523D4">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14.1 自开标之日起</w:t>
      </w:r>
      <w:r>
        <w:rPr>
          <w:rFonts w:ascii="宋体" w:hAnsi="宋体" w:eastAsia="宋体" w:cs="宋体"/>
          <w:b/>
          <w:color w:val="auto"/>
          <w:sz w:val="21"/>
        </w:rPr>
        <w:t>90</w:t>
      </w:r>
      <w:r>
        <w:rPr>
          <w:rFonts w:ascii="宋体" w:hAnsi="宋体" w:eastAsia="宋体" w:cs="宋体"/>
          <w:color w:val="auto"/>
          <w:sz w:val="21"/>
        </w:rPr>
        <w:t>天内投标有效</w:t>
      </w:r>
      <w:r>
        <w:rPr>
          <w:rFonts w:ascii="宋体" w:hAnsi="宋体" w:eastAsia="宋体" w:cs="宋体"/>
          <w:b/>
          <w:color w:val="auto"/>
          <w:sz w:val="21"/>
        </w:rPr>
        <w:t>，投标有效期从提交投标文件的截止之日起算。投标文件中承诺的投标有效期应当不少于招标文件中载明的投标有效期。</w:t>
      </w:r>
    </w:p>
    <w:p w14:paraId="4757FC74">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14.2 在特殊情况下，于原投标有效期满之前，可向投标人提出延长投标有效期的要求。这种要求与答复均应采用书面形式。投标人可以拒绝这一要求而放弃投标。同意延长投标有效期的投标人既不能要求也不允许修改其投标文件，同时受投标有效期约束的所有权利与义务均延长至新的有效期满。</w:t>
      </w:r>
    </w:p>
    <w:p w14:paraId="23A3D3F1">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2"/>
        <w:jc w:val="both"/>
        <w:rPr>
          <w:color w:val="auto"/>
        </w:rPr>
      </w:pPr>
      <w:r>
        <w:rPr>
          <w:rFonts w:ascii="宋体" w:hAnsi="宋体" w:eastAsia="宋体" w:cs="宋体"/>
          <w:b/>
          <w:color w:val="auto"/>
          <w:sz w:val="21"/>
        </w:rPr>
        <w:t>15、投标文件签署</w:t>
      </w:r>
    </w:p>
    <w:p w14:paraId="20B6FAF4">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15.1 投标文件应按照招标文件要求加盖电子公章，否则视为无效投标。</w:t>
      </w:r>
    </w:p>
    <w:p w14:paraId="026AF739">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2"/>
        <w:jc w:val="both"/>
        <w:rPr>
          <w:color w:val="auto"/>
        </w:rPr>
      </w:pPr>
      <w:r>
        <w:rPr>
          <w:rFonts w:ascii="宋体" w:hAnsi="宋体" w:eastAsia="宋体" w:cs="宋体"/>
          <w:b/>
          <w:color w:val="auto"/>
          <w:sz w:val="21"/>
        </w:rPr>
        <w:t>16、投标费用</w:t>
      </w:r>
    </w:p>
    <w:p w14:paraId="31C783BD">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16.1 投标人应承担所有与准备和参加投标有关的费用，无论招标结果如何，采购代理机构和采购人在任何情况下均无义务和责任承担这些费用。</w:t>
      </w:r>
    </w:p>
    <w:p w14:paraId="773C9AE5">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2"/>
        <w:jc w:val="both"/>
        <w:rPr>
          <w:color w:val="auto"/>
          <w:highlight w:val="none"/>
        </w:rPr>
      </w:pPr>
      <w:r>
        <w:rPr>
          <w:rFonts w:ascii="宋体" w:hAnsi="宋体" w:eastAsia="宋体" w:cs="宋体"/>
          <w:b/>
          <w:color w:val="auto"/>
          <w:sz w:val="21"/>
          <w:highlight w:val="none"/>
        </w:rPr>
        <w:t xml:space="preserve">16.2 </w:t>
      </w:r>
      <w:r>
        <w:rPr>
          <w:rFonts w:ascii="宋体" w:hAnsi="宋体" w:eastAsia="宋体" w:cs="宋体"/>
          <w:color w:val="auto"/>
          <w:sz w:val="21"/>
          <w:highlight w:val="none"/>
        </w:rPr>
        <w:t>招标代理服务费：</w:t>
      </w:r>
      <w:r>
        <w:rPr>
          <w:rFonts w:hint="eastAsia" w:ascii="宋体" w:hAnsi="宋体" w:eastAsia="宋体" w:cs="宋体"/>
          <w:color w:val="auto"/>
          <w:sz w:val="21"/>
          <w:highlight w:val="none"/>
        </w:rPr>
        <w:t>本项目招标代理服务费按苏招协【2022】002号文收费标准的72%计取，由成交供应商在领取成交通知书前一次性付给招标代理公司</w:t>
      </w:r>
      <w:r>
        <w:rPr>
          <w:rFonts w:ascii="宋体" w:hAnsi="宋体" w:eastAsia="宋体" w:cs="宋体"/>
          <w:color w:val="auto"/>
          <w:sz w:val="21"/>
          <w:highlight w:val="none"/>
        </w:rPr>
        <w:t>。</w:t>
      </w:r>
    </w:p>
    <w:p w14:paraId="416C2448">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2"/>
        <w:jc w:val="both"/>
        <w:rPr>
          <w:color w:val="auto"/>
        </w:rPr>
      </w:pPr>
      <w:r>
        <w:rPr>
          <w:rFonts w:ascii="宋体" w:hAnsi="宋体" w:eastAsia="宋体" w:cs="宋体"/>
          <w:b/>
          <w:color w:val="auto"/>
          <w:sz w:val="21"/>
        </w:rPr>
        <w:t>四、投标文件的递交</w:t>
      </w:r>
    </w:p>
    <w:p w14:paraId="27BC60E2">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2"/>
        <w:jc w:val="both"/>
        <w:rPr>
          <w:color w:val="auto"/>
        </w:rPr>
      </w:pPr>
      <w:r>
        <w:rPr>
          <w:rFonts w:ascii="宋体" w:hAnsi="宋体" w:eastAsia="宋体" w:cs="宋体"/>
          <w:b/>
          <w:color w:val="auto"/>
          <w:sz w:val="21"/>
        </w:rPr>
        <w:t>17、投标文件的递交</w:t>
      </w:r>
    </w:p>
    <w:p w14:paraId="0A07D798">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2"/>
        <w:jc w:val="both"/>
        <w:rPr>
          <w:color w:val="auto"/>
        </w:rPr>
      </w:pPr>
      <w:r>
        <w:rPr>
          <w:rFonts w:ascii="宋体" w:hAnsi="宋体" w:eastAsia="宋体" w:cs="宋体"/>
          <w:b/>
          <w:color w:val="auto"/>
          <w:sz w:val="21"/>
        </w:rPr>
        <w:t>17.1 投标人应当按照《操作手册》规定，在招标公告规定的投标截止时间前制作并上传电子投标文件。招标代理机构拒绝接收提交投标文件截止时间后上传的任何电子投标文件。</w:t>
      </w:r>
    </w:p>
    <w:p w14:paraId="7D63688D">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2"/>
        <w:jc w:val="both"/>
        <w:rPr>
          <w:color w:val="auto"/>
        </w:rPr>
      </w:pPr>
      <w:r>
        <w:rPr>
          <w:rFonts w:ascii="宋体" w:hAnsi="宋体" w:eastAsia="宋体" w:cs="宋体"/>
          <w:b/>
          <w:color w:val="auto"/>
          <w:sz w:val="21"/>
        </w:rPr>
        <w:t>18、投标文件的解密</w:t>
      </w:r>
    </w:p>
    <w:p w14:paraId="63E994CB">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2"/>
        <w:jc w:val="both"/>
        <w:rPr>
          <w:color w:val="auto"/>
        </w:rPr>
      </w:pPr>
      <w:r>
        <w:rPr>
          <w:rFonts w:ascii="宋体" w:hAnsi="宋体" w:eastAsia="宋体" w:cs="宋体"/>
          <w:b/>
          <w:color w:val="auto"/>
          <w:sz w:val="21"/>
        </w:rPr>
        <w:t>18.1 投标人应当按照《操作手册》规定，在“苏采云”系统规定的时间内对投标文件进行解密，投标人应充分考虑网络环境、网络带宽等因素可能对投标产生的影响，如因投标人自身原因造成的电子投标文件上传不成功的，按做无效投标处理</w:t>
      </w:r>
    </w:p>
    <w:p w14:paraId="72100B14">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2"/>
        <w:jc w:val="both"/>
        <w:rPr>
          <w:color w:val="auto"/>
        </w:rPr>
      </w:pPr>
      <w:r>
        <w:rPr>
          <w:rFonts w:ascii="宋体" w:hAnsi="宋体" w:eastAsia="宋体" w:cs="宋体"/>
          <w:b/>
          <w:color w:val="auto"/>
          <w:sz w:val="21"/>
        </w:rPr>
        <w:t>18.3 招标人可以按照规定，通过修改招标文件酌情延长投标截止时间，在此情况下，投标人的所有权利和义务均以延长后新的截止时间为准。</w:t>
      </w:r>
    </w:p>
    <w:p w14:paraId="2304E4F4">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2"/>
        <w:jc w:val="both"/>
        <w:rPr>
          <w:color w:val="auto"/>
        </w:rPr>
      </w:pPr>
      <w:r>
        <w:rPr>
          <w:rFonts w:ascii="宋体" w:hAnsi="宋体" w:eastAsia="宋体" w:cs="宋体"/>
          <w:b/>
          <w:color w:val="auto"/>
          <w:sz w:val="21"/>
        </w:rPr>
        <w:t>19、投标文件的修改和撤回</w:t>
      </w:r>
    </w:p>
    <w:p w14:paraId="42FC733C">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19.1 投标文件的撤回</w:t>
      </w:r>
    </w:p>
    <w:p w14:paraId="24406395">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19.1.1投标人可在投标截止时间前撤回其电子投标文件，具体操作方法见《操作手册》。</w:t>
      </w:r>
    </w:p>
    <w:p w14:paraId="2E96F131">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19.1.2投标人撤回电子投标文件，则认为其不再参与本项目投标活动。</w:t>
      </w:r>
    </w:p>
    <w:p w14:paraId="4A93CAFB">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19.2 投标文件的修改</w:t>
      </w:r>
    </w:p>
    <w:p w14:paraId="441E0A14">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19.2.1投标人可在投标截止时间前对其电子投标文件进行修改，具体操作方法见《操作手册》。</w:t>
      </w:r>
    </w:p>
    <w:p w14:paraId="2B4FCC09">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19.2.2投标截止时间之后，投标人不得对其电子投标文件作任何修改。</w:t>
      </w:r>
    </w:p>
    <w:p w14:paraId="0B71EC1A">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19.2.3 在投标截止时间至招标文件中规定的投标有效期满之间的这段时间内，投标人不得撤回其投标。</w:t>
      </w:r>
    </w:p>
    <w:p w14:paraId="72AD8367">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2"/>
        <w:jc w:val="both"/>
        <w:rPr>
          <w:color w:val="auto"/>
        </w:rPr>
      </w:pPr>
      <w:r>
        <w:rPr>
          <w:rFonts w:ascii="宋体" w:hAnsi="宋体" w:eastAsia="宋体" w:cs="宋体"/>
          <w:b/>
          <w:color w:val="auto"/>
          <w:sz w:val="21"/>
        </w:rPr>
        <w:t>20、诚实信用</w:t>
      </w:r>
    </w:p>
    <w:p w14:paraId="6B3BC37A">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20.1投标人应当遵循公平竞争的原则，不得恶意串通，不得妨碍其他投标人的竞争行为，不得损害采购人或者其他投标人的合法权益。</w:t>
      </w:r>
    </w:p>
    <w:p w14:paraId="55CC64BD">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20.2在评标过程中发现投标人有上述情形的，评标委员会应当认定其投标无效，并书面报告本级财政部门。</w:t>
      </w:r>
    </w:p>
    <w:p w14:paraId="672A0CDB">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2"/>
        <w:jc w:val="both"/>
        <w:rPr>
          <w:color w:val="auto"/>
        </w:rPr>
      </w:pPr>
      <w:r>
        <w:rPr>
          <w:rFonts w:ascii="宋体" w:hAnsi="宋体" w:eastAsia="宋体" w:cs="宋体"/>
          <w:b/>
          <w:color w:val="auto"/>
          <w:sz w:val="21"/>
        </w:rPr>
        <w:t>五、开标、评标与定标</w:t>
      </w:r>
    </w:p>
    <w:p w14:paraId="5E4B6B55">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2"/>
        <w:jc w:val="both"/>
        <w:rPr>
          <w:color w:val="auto"/>
        </w:rPr>
      </w:pPr>
      <w:r>
        <w:rPr>
          <w:rFonts w:ascii="宋体" w:hAnsi="宋体" w:eastAsia="宋体" w:cs="宋体"/>
          <w:b/>
          <w:color w:val="auto"/>
          <w:sz w:val="21"/>
        </w:rPr>
        <w:t>21、开标</w:t>
      </w:r>
    </w:p>
    <w:p w14:paraId="6224925F">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21.1 招标人在招标公告中规定的时间和地点组织公开开标。投标人按照《操作手册》规定参加开标活动，并在苏采云系统规定的时间内对投标文件进行解密。苏采云系统公布各</w:t>
      </w:r>
      <w:r>
        <w:rPr>
          <w:rFonts w:hint="eastAsia" w:ascii="宋体" w:hAnsi="宋体" w:cs="宋体"/>
          <w:color w:val="auto"/>
          <w:sz w:val="21"/>
          <w:lang w:eastAsia="zh-CN"/>
        </w:rPr>
        <w:t>供应商名称</w:t>
      </w:r>
      <w:r>
        <w:rPr>
          <w:rFonts w:ascii="宋体" w:hAnsi="宋体" w:eastAsia="宋体" w:cs="宋体"/>
          <w:color w:val="auto"/>
          <w:sz w:val="21"/>
        </w:rPr>
        <w:t>和投标价格。</w:t>
      </w:r>
    </w:p>
    <w:p w14:paraId="3ADF48DB">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21.2 投标人在开标过程中涉及到的投标文件解密、开标结果确认等工作，应按照《操作手册》规定执行。</w:t>
      </w:r>
    </w:p>
    <w:p w14:paraId="2A5BEF4A">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21.3投标人不足3家的，不得开标。</w:t>
      </w:r>
    </w:p>
    <w:p w14:paraId="78A86E85">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21.4 投标人如果对开标过程和开标结果有疑义，应当根据《操作手册》规定提出，“苏采云”系统中《开标记录表》公布后5分钟内未提出的，视同认可开标结果。</w:t>
      </w:r>
    </w:p>
    <w:p w14:paraId="35570897">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2"/>
        <w:jc w:val="both"/>
        <w:rPr>
          <w:color w:val="auto"/>
        </w:rPr>
      </w:pPr>
      <w:r>
        <w:rPr>
          <w:rFonts w:ascii="宋体" w:hAnsi="宋体" w:eastAsia="宋体" w:cs="宋体"/>
          <w:b/>
          <w:color w:val="auto"/>
          <w:sz w:val="21"/>
        </w:rPr>
        <w:t>22、评标</w:t>
      </w:r>
    </w:p>
    <w:p w14:paraId="1804611A">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2"/>
        <w:jc w:val="both"/>
        <w:rPr>
          <w:color w:val="auto"/>
        </w:rPr>
      </w:pPr>
      <w:r>
        <w:rPr>
          <w:rFonts w:ascii="宋体" w:hAnsi="宋体" w:eastAsia="宋体" w:cs="宋体"/>
          <w:b/>
          <w:color w:val="auto"/>
          <w:sz w:val="21"/>
        </w:rPr>
        <w:t>22.1 评标委员会</w:t>
      </w:r>
    </w:p>
    <w:p w14:paraId="2111A13B">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2"/>
        <w:jc w:val="both"/>
        <w:rPr>
          <w:color w:val="auto"/>
        </w:rPr>
      </w:pPr>
      <w:r>
        <w:rPr>
          <w:rFonts w:ascii="宋体" w:hAnsi="宋体" w:eastAsia="宋体" w:cs="宋体"/>
          <w:b/>
          <w:color w:val="auto"/>
          <w:sz w:val="21"/>
        </w:rPr>
        <w:t>22.1 评标由组织评标委员会（以下简称“评委会”）进行。</w:t>
      </w:r>
    </w:p>
    <w:p w14:paraId="700FDE1B">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2"/>
        <w:jc w:val="both"/>
        <w:rPr>
          <w:color w:val="auto"/>
        </w:rPr>
      </w:pPr>
      <w:r>
        <w:rPr>
          <w:rFonts w:ascii="宋体" w:hAnsi="宋体" w:eastAsia="宋体" w:cs="宋体"/>
          <w:b/>
          <w:color w:val="auto"/>
          <w:sz w:val="21"/>
        </w:rPr>
        <w:t>22.2 评委会由采购人代表和有关技术、经济等方面的专家组成，且人员构成符合政府采购有关规定。</w:t>
      </w:r>
    </w:p>
    <w:p w14:paraId="56AA5D71">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2"/>
        <w:jc w:val="both"/>
        <w:rPr>
          <w:color w:val="auto"/>
        </w:rPr>
      </w:pPr>
      <w:r>
        <w:rPr>
          <w:rFonts w:ascii="宋体" w:hAnsi="宋体" w:eastAsia="宋体" w:cs="宋体"/>
          <w:b/>
          <w:color w:val="auto"/>
          <w:sz w:val="21"/>
        </w:rPr>
        <w:t>22.3 评委会独立工作，负责评审所有投标文件并推荐中标候选人，或根据采购人授权直接确定中标供应商。</w:t>
      </w:r>
    </w:p>
    <w:p w14:paraId="1BDEDC01">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2"/>
        <w:jc w:val="both"/>
        <w:rPr>
          <w:color w:val="auto"/>
        </w:rPr>
      </w:pPr>
      <w:r>
        <w:rPr>
          <w:rFonts w:ascii="宋体" w:hAnsi="宋体" w:eastAsia="宋体" w:cs="宋体"/>
          <w:b/>
          <w:color w:val="auto"/>
          <w:sz w:val="21"/>
        </w:rPr>
        <w:t>22.1.1</w:t>
      </w:r>
      <w:r>
        <w:rPr>
          <w:rFonts w:ascii="宋体" w:hAnsi="宋体" w:eastAsia="宋体" w:cs="宋体"/>
          <w:color w:val="auto"/>
          <w:sz w:val="21"/>
        </w:rPr>
        <w:t>评标委员会负责具体评标事务，并独立履行下列职责：</w:t>
      </w:r>
    </w:p>
    <w:p w14:paraId="3846F166">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（一）审查、评价投标文件是否符合招标文件的商务、技术等实质性要求；</w:t>
      </w:r>
    </w:p>
    <w:p w14:paraId="28E67DDF">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（二）要求投标人对投标文件有关事项作出澄清或者说明；</w:t>
      </w:r>
    </w:p>
    <w:p w14:paraId="22964F2A">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（三）对投标文件进行比较和评价；</w:t>
      </w:r>
    </w:p>
    <w:p w14:paraId="45D50C20">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（四）确定中标候选人名单，以及根据采购人委托直接确定中标供应商；</w:t>
      </w:r>
    </w:p>
    <w:p w14:paraId="0B104366">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（五）向采购人、采购代理机构或者有关部门报告评标中发现的违法行为。</w:t>
      </w:r>
    </w:p>
    <w:p w14:paraId="47846549">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2"/>
        <w:rPr>
          <w:color w:val="auto"/>
        </w:rPr>
      </w:pPr>
      <w:r>
        <w:rPr>
          <w:rFonts w:ascii="宋体" w:hAnsi="宋体" w:eastAsia="宋体" w:cs="宋体"/>
          <w:b/>
          <w:color w:val="auto"/>
          <w:sz w:val="21"/>
        </w:rPr>
        <w:t>22.2  评标程序</w:t>
      </w:r>
    </w:p>
    <w:p w14:paraId="6C4C5554">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2"/>
        <w:rPr>
          <w:color w:val="auto"/>
        </w:rPr>
      </w:pPr>
      <w:r>
        <w:rPr>
          <w:rFonts w:ascii="宋体" w:hAnsi="宋体" w:eastAsia="宋体" w:cs="宋体"/>
          <w:b/>
          <w:color w:val="auto"/>
          <w:sz w:val="21"/>
        </w:rPr>
        <w:t>22.2.1 投标文件的资格性检查。</w:t>
      </w:r>
      <w:r>
        <w:rPr>
          <w:rFonts w:ascii="宋体" w:hAnsi="宋体" w:eastAsia="宋体" w:cs="宋体"/>
          <w:color w:val="auto"/>
          <w:sz w:val="21"/>
        </w:rPr>
        <w:t>公开招标采购项目开标结束后，采购人或者采购代理机构应当依法对投标人的资格进行审查。合格投标人不足3家的，不得评标。</w:t>
      </w:r>
    </w:p>
    <w:p w14:paraId="45A4ABD9">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2"/>
        <w:jc w:val="both"/>
        <w:rPr>
          <w:color w:val="auto"/>
        </w:rPr>
      </w:pPr>
      <w:r>
        <w:rPr>
          <w:rFonts w:ascii="宋体" w:hAnsi="宋体" w:eastAsia="宋体" w:cs="宋体"/>
          <w:b/>
          <w:color w:val="auto"/>
          <w:sz w:val="21"/>
        </w:rPr>
        <w:t>22.2.2投标文件的符合性审查。评标委员会对通过资格性检查的投标人的投标文件进行符合性审查，以确定其是否满足招标文件的实质性要求。投标文件有下列情况之一的，在符合性检查时按照无效投标处理：</w:t>
      </w:r>
    </w:p>
    <w:p w14:paraId="5E38022E">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2"/>
        <w:jc w:val="both"/>
        <w:rPr>
          <w:color w:val="auto"/>
        </w:rPr>
      </w:pPr>
      <w:r>
        <w:rPr>
          <w:rFonts w:ascii="宋体" w:hAnsi="宋体" w:eastAsia="宋体" w:cs="宋体"/>
          <w:b/>
          <w:color w:val="auto"/>
          <w:sz w:val="21"/>
        </w:rPr>
        <w:t>（1）投标人在“苏采云”系统规定的时间内未成功解密电子投标文件的；</w:t>
      </w:r>
    </w:p>
    <w:p w14:paraId="74E1F266">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2"/>
        <w:jc w:val="both"/>
        <w:rPr>
          <w:color w:val="auto"/>
        </w:rPr>
      </w:pPr>
      <w:r>
        <w:rPr>
          <w:rFonts w:ascii="宋体" w:hAnsi="宋体" w:eastAsia="宋体" w:cs="宋体"/>
          <w:b/>
          <w:color w:val="auto"/>
          <w:sz w:val="21"/>
        </w:rPr>
        <w:t>（2）投标人未按照招标文件要求上传电子投标文件的；</w:t>
      </w:r>
    </w:p>
    <w:p w14:paraId="35ED2C83">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2"/>
        <w:jc w:val="both"/>
        <w:rPr>
          <w:color w:val="auto"/>
        </w:rPr>
      </w:pPr>
      <w:r>
        <w:rPr>
          <w:rFonts w:ascii="宋体" w:hAnsi="宋体" w:eastAsia="宋体" w:cs="宋体"/>
          <w:b/>
          <w:color w:val="auto"/>
          <w:sz w:val="21"/>
        </w:rPr>
        <w:t>（3）同一投标人提交两个（含两个）以上不同的投标报价的；</w:t>
      </w:r>
    </w:p>
    <w:p w14:paraId="1150A595">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2"/>
        <w:jc w:val="both"/>
        <w:rPr>
          <w:color w:val="auto"/>
        </w:rPr>
      </w:pPr>
      <w:r>
        <w:rPr>
          <w:rFonts w:ascii="宋体" w:hAnsi="宋体" w:eastAsia="宋体" w:cs="宋体"/>
          <w:b/>
          <w:color w:val="auto"/>
          <w:sz w:val="21"/>
        </w:rPr>
        <w:t>（4）投标文件未按照招标文件要求加盖电子公章的；</w:t>
      </w:r>
    </w:p>
    <w:p w14:paraId="1277CC48">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2"/>
        <w:jc w:val="both"/>
        <w:rPr>
          <w:color w:val="auto"/>
        </w:rPr>
      </w:pPr>
      <w:r>
        <w:rPr>
          <w:rFonts w:ascii="宋体" w:hAnsi="宋体" w:eastAsia="宋体" w:cs="宋体"/>
          <w:b/>
          <w:color w:val="auto"/>
          <w:sz w:val="21"/>
        </w:rPr>
        <w:t>（5）不具备招标文件中规定的资格要求的；</w:t>
      </w:r>
    </w:p>
    <w:p w14:paraId="2BBBEC17">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2"/>
        <w:jc w:val="both"/>
        <w:rPr>
          <w:color w:val="auto"/>
        </w:rPr>
      </w:pPr>
      <w:r>
        <w:rPr>
          <w:rFonts w:ascii="宋体" w:hAnsi="宋体" w:eastAsia="宋体" w:cs="宋体"/>
          <w:b/>
          <w:color w:val="auto"/>
          <w:sz w:val="21"/>
        </w:rPr>
        <w:t>（6）报价超过招标文件中规定的预算金额或者最高限价的；</w:t>
      </w:r>
    </w:p>
    <w:p w14:paraId="358C4BE0">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2"/>
        <w:jc w:val="both"/>
        <w:rPr>
          <w:color w:val="auto"/>
        </w:rPr>
      </w:pPr>
      <w:r>
        <w:rPr>
          <w:rFonts w:ascii="宋体" w:hAnsi="宋体" w:eastAsia="宋体" w:cs="宋体"/>
          <w:b/>
          <w:color w:val="auto"/>
          <w:sz w:val="21"/>
        </w:rPr>
        <w:t>（7）投标文件含有采购人不能接受的附加条件的；</w:t>
      </w:r>
    </w:p>
    <w:p w14:paraId="6CAA9278">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2"/>
        <w:jc w:val="both"/>
        <w:rPr>
          <w:color w:val="auto"/>
        </w:rPr>
      </w:pPr>
      <w:r>
        <w:rPr>
          <w:rFonts w:ascii="宋体" w:hAnsi="宋体" w:eastAsia="宋体" w:cs="宋体"/>
          <w:b/>
          <w:color w:val="auto"/>
          <w:sz w:val="21"/>
        </w:rPr>
        <w:t>（8）投标文件内容不全或不符合招标文件中规定的其他实质性要求的；</w:t>
      </w:r>
    </w:p>
    <w:p w14:paraId="230C4BC1">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2"/>
        <w:jc w:val="both"/>
        <w:rPr>
          <w:color w:val="auto"/>
        </w:rPr>
      </w:pPr>
      <w:r>
        <w:rPr>
          <w:rFonts w:ascii="宋体" w:hAnsi="宋体" w:eastAsia="宋体" w:cs="宋体"/>
          <w:b/>
          <w:color w:val="auto"/>
          <w:sz w:val="21"/>
        </w:rPr>
        <w:t>（9）现行法律、法规、规章和招标文件规定的其他无效情形。</w:t>
      </w:r>
    </w:p>
    <w:p w14:paraId="4CA218B4">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2"/>
        <w:jc w:val="both"/>
        <w:rPr>
          <w:color w:val="auto"/>
        </w:rPr>
      </w:pPr>
      <w:r>
        <w:rPr>
          <w:rFonts w:ascii="宋体" w:hAnsi="宋体" w:eastAsia="宋体" w:cs="宋体"/>
          <w:b/>
          <w:color w:val="auto"/>
          <w:sz w:val="21"/>
        </w:rPr>
        <w:t>22.2.2.1 实质性要求是指本招标文件中用带星号（“★”）等或者其他明确要求的废标的商务和技术要求。</w:t>
      </w:r>
    </w:p>
    <w:p w14:paraId="3EBA9275">
      <w:pPr>
        <w:pBdr>
          <w:top w:val="none" w:color="000000" w:sz="0" w:space="0"/>
          <w:left w:val="none" w:color="000000" w:sz="0" w:space="0"/>
          <w:bottom w:val="none" w:color="000000" w:sz="0" w:space="0"/>
          <w:right w:val="none" w:color="000000" w:sz="0" w:space="0"/>
        </w:pBdr>
        <w:spacing w:before="0" w:after="0" w:line="360" w:lineRule="auto"/>
        <w:ind w:left="0" w:right="0" w:firstLine="422"/>
        <w:jc w:val="both"/>
        <w:rPr>
          <w:color w:val="auto"/>
        </w:rPr>
      </w:pPr>
      <w:r>
        <w:rPr>
          <w:rFonts w:ascii="宋体" w:hAnsi="宋体" w:eastAsia="宋体" w:cs="宋体"/>
          <w:b/>
          <w:color w:val="auto"/>
          <w:sz w:val="21"/>
        </w:rPr>
        <w:t>22.2.2.2未通过资格审查或符合性审查的投标人，代理机构将通过“苏采云”系统告知其具体原因，评标结束后不再接受有关询问。</w:t>
      </w:r>
    </w:p>
    <w:p w14:paraId="5BB11FC8">
      <w:pPr>
        <w:pBdr>
          <w:top w:val="none" w:color="000000" w:sz="0" w:space="0"/>
          <w:left w:val="none" w:color="000000" w:sz="0" w:space="0"/>
          <w:bottom w:val="none" w:color="000000" w:sz="0" w:space="0"/>
          <w:right w:val="none" w:color="000000" w:sz="0" w:space="0"/>
        </w:pBdr>
        <w:spacing w:before="0" w:after="0" w:line="360" w:lineRule="auto"/>
        <w:ind w:left="0" w:right="0" w:firstLine="422"/>
        <w:jc w:val="both"/>
        <w:rPr>
          <w:color w:val="auto"/>
        </w:rPr>
      </w:pPr>
      <w:r>
        <w:rPr>
          <w:rFonts w:ascii="宋体" w:hAnsi="宋体" w:eastAsia="宋体" w:cs="宋体"/>
          <w:b/>
          <w:color w:val="auto"/>
          <w:sz w:val="21"/>
        </w:rPr>
        <w:t>22.2.2.3有下列情形之一的予以废标：</w:t>
      </w:r>
    </w:p>
    <w:p w14:paraId="01BB2417">
      <w:pPr>
        <w:pBdr>
          <w:top w:val="none" w:color="000000" w:sz="0" w:space="0"/>
          <w:left w:val="none" w:color="000000" w:sz="0" w:space="0"/>
          <w:bottom w:val="none" w:color="000000" w:sz="0" w:space="0"/>
          <w:right w:val="none" w:color="000000" w:sz="0" w:space="0"/>
        </w:pBdr>
        <w:spacing w:before="0" w:after="0" w:line="360" w:lineRule="auto"/>
        <w:ind w:left="0" w:right="0" w:firstLine="420"/>
        <w:jc w:val="both"/>
        <w:rPr>
          <w:color w:val="auto"/>
        </w:rPr>
      </w:pPr>
      <w:r>
        <w:rPr>
          <w:rFonts w:ascii="宋体" w:hAnsi="宋体" w:eastAsia="宋体" w:cs="宋体"/>
          <w:color w:val="auto"/>
          <w:sz w:val="21"/>
        </w:rPr>
        <w:t>（1）符合专业条件的投标人或者对招标文件作实质性响应的投标人不足三家的；</w:t>
      </w:r>
    </w:p>
    <w:p w14:paraId="1ABC3BAC">
      <w:pPr>
        <w:pBdr>
          <w:top w:val="none" w:color="000000" w:sz="0" w:space="0"/>
          <w:left w:val="none" w:color="000000" w:sz="0" w:space="0"/>
          <w:bottom w:val="none" w:color="000000" w:sz="0" w:space="0"/>
          <w:right w:val="none" w:color="000000" w:sz="0" w:space="0"/>
        </w:pBdr>
        <w:spacing w:before="0" w:after="0" w:line="360" w:lineRule="auto"/>
        <w:ind w:left="0" w:right="0" w:firstLine="420"/>
        <w:jc w:val="both"/>
        <w:rPr>
          <w:color w:val="auto"/>
        </w:rPr>
      </w:pPr>
      <w:r>
        <w:rPr>
          <w:rFonts w:ascii="宋体" w:hAnsi="宋体" w:eastAsia="宋体" w:cs="宋体"/>
          <w:color w:val="auto"/>
          <w:sz w:val="21"/>
        </w:rPr>
        <w:t>（2）出现影响采购公正的违法、违规行为的；</w:t>
      </w:r>
    </w:p>
    <w:p w14:paraId="21DB9819">
      <w:pPr>
        <w:pBdr>
          <w:top w:val="none" w:color="000000" w:sz="0" w:space="0"/>
          <w:left w:val="none" w:color="000000" w:sz="0" w:space="0"/>
          <w:bottom w:val="none" w:color="000000" w:sz="0" w:space="0"/>
          <w:right w:val="none" w:color="000000" w:sz="0" w:space="0"/>
        </w:pBdr>
        <w:spacing w:before="0" w:after="0" w:line="360" w:lineRule="auto"/>
        <w:ind w:left="0" w:right="0" w:firstLine="420"/>
        <w:jc w:val="both"/>
        <w:rPr>
          <w:color w:val="auto"/>
        </w:rPr>
      </w:pPr>
      <w:r>
        <w:rPr>
          <w:rFonts w:ascii="宋体" w:hAnsi="宋体" w:eastAsia="宋体" w:cs="宋体"/>
          <w:color w:val="auto"/>
          <w:sz w:val="21"/>
        </w:rPr>
        <w:t>（3）投标人的报价均超过了采购预算，采购人不能支付的；</w:t>
      </w:r>
    </w:p>
    <w:p w14:paraId="100026C9">
      <w:pPr>
        <w:pBdr>
          <w:top w:val="none" w:color="000000" w:sz="0" w:space="0"/>
          <w:left w:val="none" w:color="000000" w:sz="0" w:space="0"/>
          <w:bottom w:val="none" w:color="000000" w:sz="0" w:space="0"/>
          <w:right w:val="none" w:color="000000" w:sz="0" w:space="0"/>
        </w:pBdr>
        <w:spacing w:before="0" w:after="0" w:line="360" w:lineRule="auto"/>
        <w:ind w:left="0" w:right="0" w:firstLine="420"/>
        <w:jc w:val="both"/>
        <w:rPr>
          <w:color w:val="auto"/>
        </w:rPr>
      </w:pPr>
      <w:r>
        <w:rPr>
          <w:rFonts w:ascii="宋体" w:hAnsi="宋体" w:eastAsia="宋体" w:cs="宋体"/>
          <w:color w:val="auto"/>
          <w:sz w:val="21"/>
        </w:rPr>
        <w:t>（4）因苏采云系统故障造成开标不成功的；</w:t>
      </w:r>
    </w:p>
    <w:p w14:paraId="4001395D">
      <w:pPr>
        <w:pBdr>
          <w:top w:val="none" w:color="000000" w:sz="0" w:space="0"/>
          <w:left w:val="none" w:color="000000" w:sz="0" w:space="0"/>
          <w:bottom w:val="none" w:color="000000" w:sz="0" w:space="0"/>
          <w:right w:val="none" w:color="000000" w:sz="0" w:space="0"/>
        </w:pBdr>
        <w:spacing w:before="0" w:after="0" w:line="360" w:lineRule="auto"/>
        <w:ind w:left="0" w:right="0" w:firstLine="420"/>
        <w:jc w:val="both"/>
        <w:rPr>
          <w:color w:val="auto"/>
        </w:rPr>
      </w:pPr>
      <w:r>
        <w:rPr>
          <w:rFonts w:ascii="宋体" w:hAnsi="宋体" w:eastAsia="宋体" w:cs="宋体"/>
          <w:color w:val="auto"/>
          <w:sz w:val="21"/>
        </w:rPr>
        <w:t>（5）因重大变故，采购任务取消的。</w:t>
      </w:r>
    </w:p>
    <w:p w14:paraId="2E289F7B">
      <w:pPr>
        <w:pBdr>
          <w:top w:val="none" w:color="000000" w:sz="0" w:space="0"/>
          <w:left w:val="none" w:color="000000" w:sz="0" w:space="0"/>
          <w:bottom w:val="none" w:color="000000" w:sz="0" w:space="0"/>
          <w:right w:val="none" w:color="000000" w:sz="0" w:space="0"/>
        </w:pBdr>
        <w:spacing w:before="0" w:after="0" w:line="360" w:lineRule="auto"/>
        <w:ind w:left="0" w:right="0" w:firstLine="420"/>
        <w:jc w:val="both"/>
        <w:rPr>
          <w:color w:val="auto"/>
        </w:rPr>
      </w:pPr>
      <w:r>
        <w:rPr>
          <w:rFonts w:ascii="宋体" w:hAnsi="宋体" w:eastAsia="宋体" w:cs="宋体"/>
          <w:color w:val="auto"/>
          <w:sz w:val="21"/>
        </w:rPr>
        <w:t>（6）投标人以明显低于其他通过符合性审查投标人的报价，有可能影响产品质量或者不能诚信履约的，且不能证明其报价合理性的。</w:t>
      </w:r>
    </w:p>
    <w:p w14:paraId="7BA806E6">
      <w:pPr>
        <w:pBdr>
          <w:top w:val="none" w:color="000000" w:sz="0" w:space="0"/>
          <w:left w:val="none" w:color="000000" w:sz="0" w:space="0"/>
          <w:bottom w:val="none" w:color="000000" w:sz="0" w:space="0"/>
          <w:right w:val="none" w:color="000000" w:sz="0" w:space="0"/>
        </w:pBdr>
        <w:spacing w:before="0" w:after="0" w:line="360" w:lineRule="auto"/>
        <w:ind w:left="0" w:right="0" w:firstLine="420"/>
        <w:jc w:val="both"/>
        <w:rPr>
          <w:color w:val="auto"/>
        </w:rPr>
      </w:pPr>
      <w:r>
        <w:rPr>
          <w:rFonts w:ascii="宋体" w:hAnsi="宋体" w:eastAsia="宋体" w:cs="宋体"/>
          <w:color w:val="auto"/>
          <w:sz w:val="21"/>
        </w:rPr>
        <w:t>22.2.2.4评审过程中出现下列情形之一的，评审委员会应当启动异常低价投标审查程序：</w:t>
      </w:r>
    </w:p>
    <w:p w14:paraId="62BFF275">
      <w:pPr>
        <w:pBdr>
          <w:top w:val="none" w:color="000000" w:sz="0" w:space="0"/>
          <w:left w:val="none" w:color="000000" w:sz="0" w:space="0"/>
          <w:bottom w:val="none" w:color="000000" w:sz="0" w:space="0"/>
          <w:right w:val="none" w:color="000000" w:sz="0" w:space="0"/>
        </w:pBdr>
        <w:spacing w:before="240" w:after="240" w:line="360" w:lineRule="auto"/>
        <w:ind w:left="0" w:right="0" w:firstLine="420"/>
        <w:rPr>
          <w:color w:val="auto"/>
        </w:rPr>
      </w:pPr>
      <w:r>
        <w:rPr>
          <w:rFonts w:ascii="宋体" w:hAnsi="宋体" w:eastAsia="宋体" w:cs="宋体"/>
          <w:color w:val="auto"/>
          <w:sz w:val="21"/>
        </w:rPr>
        <w:t>（1）投标(响应)报价低于全部通过符合性审查供应商投标(响 应)报价平均值65%的，即投标(响应)报价&lt;全部通过符合性审查供应商投标(响应)报价平均值×65%；</w:t>
      </w:r>
    </w:p>
    <w:p w14:paraId="7002A40A">
      <w:pPr>
        <w:pBdr>
          <w:top w:val="none" w:color="000000" w:sz="0" w:space="0"/>
          <w:left w:val="none" w:color="000000" w:sz="0" w:space="0"/>
          <w:bottom w:val="none" w:color="000000" w:sz="0" w:space="0"/>
          <w:right w:val="none" w:color="000000" w:sz="0" w:space="0"/>
        </w:pBdr>
        <w:spacing w:before="240" w:after="240" w:line="360" w:lineRule="auto"/>
        <w:ind w:left="0" w:right="0" w:firstLine="420"/>
        <w:rPr>
          <w:color w:val="auto"/>
        </w:rPr>
      </w:pPr>
      <w:r>
        <w:rPr>
          <w:rFonts w:ascii="宋体" w:hAnsi="宋体" w:eastAsia="宋体" w:cs="宋体"/>
          <w:color w:val="auto"/>
          <w:sz w:val="21"/>
        </w:rPr>
        <w:t>（2）投标(响应)报价低于通过符合性审查的次低报价供应商 投标(响应)报价65%的，即投标(响应)报价&lt;通过符合性审查 的次低报价供应商投标(响应)报价×65%；</w:t>
      </w:r>
    </w:p>
    <w:p w14:paraId="3718A1CC">
      <w:pPr>
        <w:pBdr>
          <w:top w:val="none" w:color="000000" w:sz="0" w:space="0"/>
          <w:left w:val="none" w:color="000000" w:sz="0" w:space="0"/>
          <w:bottom w:val="none" w:color="000000" w:sz="0" w:space="0"/>
          <w:right w:val="none" w:color="000000" w:sz="0" w:space="0"/>
        </w:pBdr>
        <w:spacing w:before="240" w:after="240" w:line="360" w:lineRule="auto"/>
        <w:ind w:left="0" w:right="0" w:firstLine="420"/>
        <w:rPr>
          <w:color w:val="auto"/>
        </w:rPr>
      </w:pPr>
      <w:r>
        <w:rPr>
          <w:rFonts w:ascii="宋体" w:hAnsi="宋体" w:eastAsia="宋体" w:cs="宋体"/>
          <w:color w:val="auto"/>
          <w:sz w:val="21"/>
        </w:rPr>
        <w:t>（3）投标(响应)报价低于采购项目最高限价65%的，即投标(响 应)报价&lt;采购项目最高限价×65%；</w:t>
      </w:r>
    </w:p>
    <w:p w14:paraId="334649E8">
      <w:pPr>
        <w:pBdr>
          <w:top w:val="none" w:color="000000" w:sz="0" w:space="0"/>
          <w:left w:val="none" w:color="000000" w:sz="0" w:space="0"/>
          <w:bottom w:val="none" w:color="000000" w:sz="0" w:space="0"/>
          <w:right w:val="none" w:color="000000" w:sz="0" w:space="0"/>
        </w:pBdr>
        <w:spacing w:before="240" w:after="240" w:line="360" w:lineRule="auto"/>
        <w:ind w:left="0" w:right="0" w:firstLine="420"/>
        <w:rPr>
          <w:color w:val="auto"/>
        </w:rPr>
      </w:pPr>
      <w:r>
        <w:rPr>
          <w:rFonts w:ascii="宋体" w:hAnsi="宋体" w:eastAsia="宋体" w:cs="宋体"/>
          <w:color w:val="auto"/>
          <w:sz w:val="21"/>
        </w:rPr>
        <w:t>（4）评审委员会认定的供应商响应报价过低、有可能影响产品质量或者不能诚信履约的其他情形。</w:t>
      </w:r>
    </w:p>
    <w:p w14:paraId="711E2DCC">
      <w:pPr>
        <w:pBdr>
          <w:top w:val="none" w:color="000000" w:sz="0" w:space="0"/>
          <w:left w:val="none" w:color="000000" w:sz="0" w:space="0"/>
          <w:bottom w:val="none" w:color="000000" w:sz="0" w:space="0"/>
          <w:right w:val="none" w:color="000000" w:sz="0" w:space="0"/>
        </w:pBdr>
        <w:spacing w:before="0" w:after="0" w:line="360" w:lineRule="auto"/>
        <w:ind w:left="0" w:right="0" w:firstLine="420"/>
        <w:jc w:val="both"/>
        <w:rPr>
          <w:color w:val="auto"/>
        </w:rPr>
      </w:pPr>
      <w:r>
        <w:rPr>
          <w:rFonts w:ascii="宋体" w:hAnsi="宋体" w:eastAsia="宋体" w:cs="宋体"/>
          <w:color w:val="auto"/>
          <w:sz w:val="21"/>
        </w:rPr>
        <w:t>采购人可以结合具体项目实际情况，提高上述第1项至第3项中启动异常低价投标（响应）审查的数值标准，但是最高不得超过65%。</w:t>
      </w:r>
    </w:p>
    <w:p w14:paraId="3C447F31">
      <w:pPr>
        <w:pBdr>
          <w:top w:val="none" w:color="000000" w:sz="0" w:space="0"/>
          <w:left w:val="none" w:color="000000" w:sz="0" w:space="0"/>
          <w:bottom w:val="none" w:color="000000" w:sz="0" w:space="0"/>
          <w:right w:val="none" w:color="000000" w:sz="0" w:space="0"/>
        </w:pBdr>
        <w:spacing w:before="240" w:after="240" w:line="360" w:lineRule="auto"/>
        <w:ind w:left="0" w:right="0" w:firstLine="420"/>
        <w:rPr>
          <w:color w:val="auto"/>
        </w:rPr>
      </w:pPr>
      <w:r>
        <w:rPr>
          <w:rFonts w:ascii="宋体" w:hAnsi="宋体" w:eastAsia="宋体" w:cs="宋体"/>
          <w:color w:val="auto"/>
          <w:sz w:val="21"/>
        </w:rPr>
        <w:t>（5）评审委员会启动异常低价投标(响应)审查后，属于前述第1项至第4项情形的，应当要求相关供应商在评审时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(响应)文件一并提交相关书面说明及必要的证明材料的，在评审时可不再重复提交。</w:t>
      </w:r>
    </w:p>
    <w:p w14:paraId="23DE4F1D">
      <w:pPr>
        <w:pBdr>
          <w:top w:val="none" w:color="000000" w:sz="0" w:space="0"/>
          <w:left w:val="none" w:color="000000" w:sz="0" w:space="0"/>
          <w:bottom w:val="none" w:color="000000" w:sz="0" w:space="0"/>
          <w:right w:val="none" w:color="000000" w:sz="0" w:space="0"/>
        </w:pBdr>
        <w:spacing w:before="240" w:after="240" w:line="360" w:lineRule="auto"/>
        <w:ind w:left="0" w:right="0" w:firstLine="420"/>
        <w:rPr>
          <w:color w:val="auto"/>
        </w:rPr>
      </w:pPr>
      <w:r>
        <w:rPr>
          <w:rFonts w:ascii="宋体" w:hAnsi="宋体" w:eastAsia="宋体" w:cs="宋体"/>
          <w:color w:val="auto"/>
          <w:sz w:val="21"/>
        </w:rPr>
        <w:t>（6）评审委员会依据专业经验，参考同类项目中标(成交)价格、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B9DB842">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rPr>
          <w:color w:val="auto"/>
        </w:rPr>
      </w:pPr>
      <w:r>
        <w:rPr>
          <w:rFonts w:ascii="宋体" w:hAnsi="宋体" w:eastAsia="宋体" w:cs="宋体"/>
          <w:color w:val="auto"/>
          <w:sz w:val="21"/>
        </w:rPr>
        <w:t>22.2.3</w:t>
      </w:r>
      <w:r>
        <w:rPr>
          <w:rFonts w:ascii="宋体" w:hAnsi="宋体" w:eastAsia="宋体" w:cs="宋体"/>
          <w:b/>
          <w:color w:val="auto"/>
          <w:sz w:val="21"/>
        </w:rPr>
        <w:t>澄清有关问题</w:t>
      </w:r>
      <w:r>
        <w:rPr>
          <w:rFonts w:ascii="宋体" w:hAnsi="宋体" w:eastAsia="宋体" w:cs="宋体"/>
          <w:color w:val="auto"/>
          <w:sz w:val="21"/>
        </w:rPr>
        <w:t>。</w:t>
      </w:r>
    </w:p>
    <w:p w14:paraId="30D3185D">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rPr>
          <w:color w:val="auto"/>
        </w:rPr>
      </w:pPr>
      <w:r>
        <w:rPr>
          <w:rFonts w:ascii="宋体" w:hAnsi="宋体" w:eastAsia="宋体" w:cs="宋体"/>
          <w:color w:val="auto"/>
          <w:sz w:val="21"/>
        </w:rPr>
        <w:t>22.2.3.1 评标期间，评委会对投标文件中含义不明确、同类问题表述不一致或者有明显文字和计算错误的内容，有权要求投标人作出必要的澄清、说明或者补正。</w:t>
      </w:r>
    </w:p>
    <w:p w14:paraId="560256BA">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rPr>
          <w:color w:val="auto"/>
        </w:rPr>
      </w:pPr>
      <w:r>
        <w:rPr>
          <w:rFonts w:ascii="宋体" w:hAnsi="宋体" w:eastAsia="宋体" w:cs="宋体"/>
          <w:color w:val="auto"/>
          <w:sz w:val="21"/>
        </w:rPr>
        <w:t>投标人的澄清、说明或者补正不得超出投标文件的范围或者改变投标文件的实质性内容。</w:t>
      </w:r>
    </w:p>
    <w:p w14:paraId="43E79F6F">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rPr>
          <w:color w:val="auto"/>
        </w:rPr>
      </w:pPr>
      <w:r>
        <w:rPr>
          <w:rFonts w:ascii="宋体" w:hAnsi="宋体" w:eastAsia="宋体" w:cs="宋体"/>
          <w:color w:val="auto"/>
          <w:sz w:val="21"/>
        </w:rPr>
        <w:t>评委会并非对每个投标人都做澄清要求。</w:t>
      </w:r>
    </w:p>
    <w:p w14:paraId="301C584D">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rPr>
          <w:color w:val="auto"/>
        </w:rPr>
      </w:pPr>
      <w:r>
        <w:rPr>
          <w:rFonts w:ascii="宋体" w:hAnsi="宋体" w:eastAsia="宋体" w:cs="宋体"/>
          <w:color w:val="auto"/>
          <w:sz w:val="21"/>
        </w:rPr>
        <w:t>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6D48810D">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rPr>
          <w:color w:val="auto"/>
        </w:rPr>
      </w:pPr>
      <w:r>
        <w:rPr>
          <w:rFonts w:ascii="宋体" w:hAnsi="宋体" w:eastAsia="宋体" w:cs="宋体"/>
          <w:color w:val="auto"/>
          <w:sz w:val="21"/>
        </w:rPr>
        <w:t>22.2.3.3 接到评委会澄清、说明和补正要求的，投标人如未按规定作出澄清、说明和补正，其风险由投标人自行承担。</w:t>
      </w:r>
    </w:p>
    <w:p w14:paraId="213C223D">
      <w:pPr>
        <w:pBdr>
          <w:top w:val="none" w:color="000000" w:sz="0" w:space="0"/>
          <w:left w:val="none" w:color="000000" w:sz="0" w:space="0"/>
          <w:bottom w:val="none" w:color="000000" w:sz="0" w:space="0"/>
          <w:right w:val="none" w:color="000000" w:sz="0" w:space="0"/>
        </w:pBdr>
        <w:spacing w:before="0" w:after="0" w:line="360" w:lineRule="auto"/>
        <w:ind w:left="0" w:right="0" w:firstLine="420"/>
        <w:jc w:val="both"/>
        <w:rPr>
          <w:color w:val="auto"/>
        </w:rPr>
      </w:pPr>
      <w:r>
        <w:rPr>
          <w:rFonts w:ascii="宋体" w:hAnsi="宋体" w:eastAsia="宋体" w:cs="宋体"/>
          <w:color w:val="auto"/>
          <w:sz w:val="21"/>
        </w:rPr>
        <w:t>22.2.3.4投标人在开、评标全过程中应保持通讯畅通，及时登录苏采云系统查阅、答复相关信息，并安排专人与代理机构及评委会联系。</w:t>
      </w:r>
    </w:p>
    <w:p w14:paraId="0EC6A300">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rPr>
          <w:color w:val="auto"/>
        </w:rPr>
      </w:pPr>
      <w:r>
        <w:rPr>
          <w:rFonts w:ascii="宋体" w:hAnsi="宋体" w:eastAsia="宋体" w:cs="宋体"/>
          <w:color w:val="auto"/>
          <w:sz w:val="21"/>
        </w:rPr>
        <w:t>22.2.4比较与评价。评标委员会应当按照招标文件中规定的评标方法和标准，对符合性审查合格的投标文件进行商务和技术评估，综合比较与评价。</w:t>
      </w:r>
    </w:p>
    <w:p w14:paraId="61CE4011">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2"/>
        <w:rPr>
          <w:color w:val="auto"/>
        </w:rPr>
      </w:pPr>
      <w:r>
        <w:rPr>
          <w:rFonts w:ascii="宋体" w:hAnsi="宋体" w:eastAsia="宋体" w:cs="宋体"/>
          <w:b/>
          <w:color w:val="auto"/>
          <w:sz w:val="21"/>
        </w:rPr>
        <w:t>22.3 评标方法和标准</w:t>
      </w:r>
    </w:p>
    <w:p w14:paraId="5947BC65">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23.3 采用综合评分法的，评标结果按评审后最终得分由高到低进行排名，得分相同的，按投标报价由低到高顺序排列。得分且投标报价相同的，按技术部分方案优劣顺序排列。</w:t>
      </w:r>
    </w:p>
    <w:p w14:paraId="384AAA5D">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2"/>
        <w:jc w:val="both"/>
        <w:rPr>
          <w:color w:val="auto"/>
        </w:rPr>
      </w:pPr>
      <w:r>
        <w:rPr>
          <w:rFonts w:ascii="宋体" w:hAnsi="宋体" w:eastAsia="宋体" w:cs="宋体"/>
          <w:b/>
          <w:color w:val="auto"/>
          <w:sz w:val="21"/>
        </w:rPr>
        <w:t>23、确定中标供应商</w:t>
      </w:r>
    </w:p>
    <w:p w14:paraId="42669E60">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23.1 采用综合评分法的，评标结果按评审后最终得分由高到低进行排名，得分相同的，按投标报价由低到高顺序排列。得分且投标报价相同的，按技术部分方案优劣顺序排列。</w:t>
      </w:r>
    </w:p>
    <w:p w14:paraId="325BB51D">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23.2按以下第（2）种方式确定中标供应商：</w:t>
      </w:r>
    </w:p>
    <w:p w14:paraId="2B6D9B49">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（1）评委会直接确定排名第一的中标候选人为中标供应商；</w:t>
      </w:r>
    </w:p>
    <w:p w14:paraId="2EADBE39">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（2）采购人在评委会推荐的中标候选人中按顺序确定中标供应商。</w:t>
      </w:r>
    </w:p>
    <w:p w14:paraId="742E0EDC">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按第二种方式确定中标供应商的，招标代理机构自评审结束之日起两个工作日内将评审报告送达采购人，采购人自收到评审报告之日起五个工作日内，在评审报告推荐的中标候选人中按顺序确定中标供应商。</w:t>
      </w:r>
    </w:p>
    <w:p w14:paraId="2C098295">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23.3 中标供应商确定后，将在“江苏政府采购网”发布中标公告，公告期限为1个工作日。</w:t>
      </w:r>
    </w:p>
    <w:p w14:paraId="6094190E">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2"/>
        <w:jc w:val="both"/>
        <w:rPr>
          <w:color w:val="auto"/>
        </w:rPr>
      </w:pPr>
      <w:r>
        <w:rPr>
          <w:rFonts w:ascii="宋体" w:hAnsi="宋体" w:eastAsia="宋体" w:cs="宋体"/>
          <w:b/>
          <w:color w:val="auto"/>
          <w:sz w:val="21"/>
        </w:rPr>
        <w:t>24、中标通知书</w:t>
      </w:r>
    </w:p>
    <w:p w14:paraId="6927793A">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24.1中标结果确定后，将向中标供应商发出《中标通知书》。中标供应商可在中标结果公告届满之日起三十日内,登录苏采云系统下载。因系统存储空间有限，中标结果公告届满之日起三十日后，苏采云系统不再保证提供下载《中标通知书》服务，因未及时下载而造成的不利后果由中标供应商自行承担。</w:t>
      </w:r>
    </w:p>
    <w:p w14:paraId="4A4D0A85">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24.2《中标通知书》是合同的一个组成部分，对采购人和中标供应商均具有法律效力。《中标通知书》发出后，采购人改变中标结果或者中标供应商放弃中标项目的，应当依法承担法律责任。</w:t>
      </w:r>
    </w:p>
    <w:p w14:paraId="642AD6AA">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2"/>
        <w:jc w:val="both"/>
        <w:rPr>
          <w:color w:val="auto"/>
        </w:rPr>
      </w:pPr>
      <w:r>
        <w:rPr>
          <w:rFonts w:ascii="宋体" w:hAnsi="宋体" w:eastAsia="宋体" w:cs="宋体"/>
          <w:b/>
          <w:color w:val="auto"/>
          <w:sz w:val="21"/>
        </w:rPr>
        <w:t>25、评标过程的保密性</w:t>
      </w:r>
    </w:p>
    <w:p w14:paraId="058983C3">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25.1 凡是与审查、澄清、评价和比较投标的有关资料以及投标建议等，采购人、评委、均不得向投标人或与评标无关的其他人员透露。</w:t>
      </w:r>
    </w:p>
    <w:p w14:paraId="45FF1109">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25.2 投标人不得以任何方式影响评标，否则其投标文件将被作为无效投标文件。</w:t>
      </w:r>
    </w:p>
    <w:p w14:paraId="03815449">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25.3 招标人和评委会不向未中标的投标人解释未中标原因，也不公布评标过程中的相关细节。</w:t>
      </w:r>
    </w:p>
    <w:p w14:paraId="28B0CF6F">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25.4 采用综合评分法的项目，未中标的投标人可于中标结果公告期限届满之日起通过苏采云系统查看本单位的评审得分及排名情况。</w:t>
      </w:r>
    </w:p>
    <w:p w14:paraId="7BC84068">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2"/>
        <w:jc w:val="both"/>
        <w:rPr>
          <w:color w:val="auto"/>
        </w:rPr>
      </w:pPr>
      <w:r>
        <w:rPr>
          <w:rFonts w:ascii="宋体" w:hAnsi="宋体" w:eastAsia="宋体" w:cs="宋体"/>
          <w:b/>
          <w:color w:val="auto"/>
          <w:sz w:val="21"/>
        </w:rPr>
        <w:t>六、签订合同</w:t>
      </w:r>
    </w:p>
    <w:p w14:paraId="74D68470">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2"/>
        <w:jc w:val="both"/>
        <w:rPr>
          <w:color w:val="auto"/>
        </w:rPr>
      </w:pPr>
      <w:r>
        <w:rPr>
          <w:rFonts w:ascii="宋体" w:hAnsi="宋体" w:eastAsia="宋体" w:cs="宋体"/>
          <w:b/>
          <w:color w:val="auto"/>
          <w:sz w:val="21"/>
        </w:rPr>
        <w:t>26、签订合同</w:t>
      </w:r>
    </w:p>
    <w:p w14:paraId="784262DD">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26.1中标供应商应当在《中标通知书》发出之日起三十日内，按照招标文件确定的事项与采购人签订政府采购合同。</w:t>
      </w:r>
    </w:p>
    <w:p w14:paraId="5F85104B">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2"/>
        <w:jc w:val="both"/>
        <w:rPr>
          <w:color w:val="auto"/>
        </w:rPr>
      </w:pPr>
      <w:r>
        <w:rPr>
          <w:rFonts w:ascii="宋体" w:hAnsi="宋体" w:eastAsia="宋体" w:cs="宋体"/>
          <w:b/>
          <w:color w:val="auto"/>
          <w:sz w:val="21"/>
        </w:rPr>
        <w:t>26.2</w:t>
      </w:r>
      <w:r>
        <w:rPr>
          <w:rFonts w:ascii="宋体" w:hAnsi="宋体" w:eastAsia="宋体" w:cs="宋体"/>
          <w:color w:val="auto"/>
          <w:sz w:val="21"/>
        </w:rPr>
        <w:t>招标文件、中标供应商的投标文件及招标过程中有关澄清、承诺文件均作为合同附件</w:t>
      </w:r>
      <w:r>
        <w:rPr>
          <w:rFonts w:ascii="宋体" w:hAnsi="宋体" w:eastAsia="宋体" w:cs="宋体"/>
          <w:b/>
          <w:color w:val="auto"/>
          <w:sz w:val="21"/>
        </w:rPr>
        <w:t>。</w:t>
      </w:r>
    </w:p>
    <w:p w14:paraId="7DAF8829">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26.3签订合同后，中标供应商不得将合同标的进行转包。未经采购人同意，中标供应商也不得采用分包的形式履行合同，否则采购人有权终止合同。转包或分包造成采购人损失的，中标供应商应承担相应赔偿责任。</w:t>
      </w:r>
    </w:p>
    <w:p w14:paraId="5240A763">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26.4中标供应商因自身原因拒绝与采购人签订合同的，不得参加采购人重新组织的采购活动，且将可能被拒绝参加该采购人一年内的其他政府采购活动。</w:t>
      </w:r>
    </w:p>
    <w:p w14:paraId="6F3F6838">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26.5 中标供应商因不可抗力或者自身原因不能履行合同的，采购人可以重新招标，也可以视情与排位在中标供应商之后第一位的中标候选人签订采购合同。</w:t>
      </w:r>
    </w:p>
    <w:p w14:paraId="751EDDF8">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26.6 采购人与中标供应商应当根据合同的约定依法履行合同义务。</w:t>
      </w:r>
    </w:p>
    <w:p w14:paraId="5A5FBB58">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2"/>
        <w:jc w:val="both"/>
        <w:rPr>
          <w:color w:val="auto"/>
        </w:rPr>
      </w:pPr>
      <w:r>
        <w:rPr>
          <w:rFonts w:ascii="宋体" w:hAnsi="宋体" w:eastAsia="宋体" w:cs="宋体"/>
          <w:b/>
          <w:color w:val="auto"/>
          <w:sz w:val="21"/>
        </w:rPr>
        <w:t>七、质疑和投诉</w:t>
      </w:r>
    </w:p>
    <w:p w14:paraId="110B9DAE">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2"/>
        <w:jc w:val="both"/>
        <w:rPr>
          <w:color w:val="auto"/>
        </w:rPr>
      </w:pPr>
      <w:r>
        <w:rPr>
          <w:rFonts w:ascii="宋体" w:hAnsi="宋体" w:eastAsia="宋体" w:cs="宋体"/>
          <w:b/>
          <w:color w:val="auto"/>
          <w:sz w:val="21"/>
        </w:rPr>
        <w:t>27、质疑</w:t>
      </w:r>
    </w:p>
    <w:p w14:paraId="64F47884">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27.1供应商对招标活动事项有疑问的，可以向采购代理机构提出询问，采购代理机构将依法作出答复，但答复的内容不涉及商业秘密</w:t>
      </w:r>
      <w:r>
        <w:rPr>
          <w:rFonts w:ascii="宋体" w:hAnsi="宋体" w:eastAsia="宋体" w:cs="宋体"/>
          <w:b/>
          <w:color w:val="auto"/>
          <w:sz w:val="21"/>
        </w:rPr>
        <w:t>。</w:t>
      </w:r>
    </w:p>
    <w:p w14:paraId="5099F3AE">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27.2提出质疑的供应商应当是参与所质疑项目采购活动的供应商。潜在供应商已依法获取其可质疑的采购文件的，可以对该文件提出质疑。</w:t>
      </w:r>
    </w:p>
    <w:p w14:paraId="1F4BA436">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以联合体形式参加政府采购活动的，其质疑应当由组成联合体的所有供应商共同提出。</w:t>
      </w:r>
    </w:p>
    <w:p w14:paraId="3B066BB6">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27.3供应商认为采购文件、采购过程和中标结果使自己的合法权益受到损害的，可以在知道或者应知其权益受到损害之日起七个工作日内，将质疑文件原件送达采购人或采购代理机构。</w:t>
      </w:r>
    </w:p>
    <w:p w14:paraId="200BD0F1">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如供应商通过非正当途径获取信息，并质疑投诉，企图改变评审结果等不良行为，则根据《政府采购质疑和投诉办法》第三十七条规定受到相关处罚，如属于虚假、恶意投诉，由财政部门列入不良行为记录名单，禁止其1至3年内参加政府采购活动等。</w:t>
      </w:r>
    </w:p>
    <w:p w14:paraId="356C404A">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2"/>
        <w:jc w:val="both"/>
        <w:rPr>
          <w:color w:val="auto"/>
        </w:rPr>
      </w:pPr>
      <w:r>
        <w:rPr>
          <w:rFonts w:ascii="宋体" w:hAnsi="宋体" w:eastAsia="宋体" w:cs="宋体"/>
          <w:b/>
          <w:color w:val="auto"/>
          <w:sz w:val="21"/>
        </w:rPr>
        <w:t>供应商必须在法定质疑期内一次性提出针对同一采购程序环节的质疑。</w:t>
      </w:r>
    </w:p>
    <w:p w14:paraId="20A511B0">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27.4 供应商提出质疑应当提交质疑函和必要的证明材料。质疑函应当包括下列内容：</w:t>
      </w:r>
    </w:p>
    <w:p w14:paraId="66791910">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（一）供应商的姓名或者名称、地址、邮编、联系人及联系电话；</w:t>
      </w:r>
    </w:p>
    <w:p w14:paraId="3A670855">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（二）质疑项目的名称、编号；</w:t>
      </w:r>
    </w:p>
    <w:p w14:paraId="65DA2FF5">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（三）具体、明确的质疑事项和与质疑事项相关的请求（具体条款）；</w:t>
      </w:r>
    </w:p>
    <w:p w14:paraId="1879F22D">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（四）事实依据（具体条款）；</w:t>
      </w:r>
    </w:p>
    <w:p w14:paraId="4A74C3E8">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（五）必要的法律依据（具体条款）；</w:t>
      </w:r>
    </w:p>
    <w:p w14:paraId="24BB0493">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（六）提出质疑的日期。</w:t>
      </w:r>
    </w:p>
    <w:p w14:paraId="7680FB36">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供应商为自然人的，应当由本人签字；供应商为法人或者其他组织的，应当由法定代表人、主要负责人，或者其授权代表签字或者电子公章，并加盖电子公章。代理人提出质疑和投诉，应当提交供应商签署的授权委托书。其授权委托书应当载明代理人的姓名或者名称、代理事项、具体权限、期限和相关事项。</w:t>
      </w:r>
    </w:p>
    <w:p w14:paraId="64F2B30C">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质疑函应当使用中文。相关当事人提供外文书证或者外国语视听资料的，应当附有中文译本，由翻译机构电子公章或者翻译人员签名。</w:t>
      </w:r>
    </w:p>
    <w:p w14:paraId="63D37589">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27.5质疑函应当现场提交至采购代理机构联系人处，提交时应出示有效身份证明。未按上述要求提交质疑函的，质疑不予受理。</w:t>
      </w:r>
    </w:p>
    <w:p w14:paraId="710854FB">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p>
    <w:p w14:paraId="0828423A">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27.7采购代理机构在收到投标人的书面质疑后将及时组织调查核实，在</w:t>
      </w:r>
      <w:r>
        <w:rPr>
          <w:rFonts w:ascii="宋体" w:hAnsi="宋体" w:eastAsia="宋体" w:cs="宋体"/>
          <w:b/>
          <w:color w:val="auto"/>
          <w:sz w:val="21"/>
        </w:rPr>
        <w:t>七个工作日内</w:t>
      </w:r>
      <w:r>
        <w:rPr>
          <w:rFonts w:ascii="宋体" w:hAnsi="宋体" w:eastAsia="宋体" w:cs="宋体"/>
          <w:color w:val="auto"/>
          <w:sz w:val="21"/>
        </w:rPr>
        <w:t>作出答复，并以书面或在网站公告形式通知质疑投标人和其他有关投标人，答复的内容不涉及商业秘密。</w:t>
      </w:r>
    </w:p>
    <w:p w14:paraId="10FC9ACD">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2"/>
        <w:jc w:val="both"/>
        <w:rPr>
          <w:color w:val="auto"/>
        </w:rPr>
      </w:pPr>
      <w:r>
        <w:rPr>
          <w:rFonts w:ascii="宋体" w:hAnsi="宋体" w:eastAsia="宋体" w:cs="宋体"/>
          <w:b/>
          <w:color w:val="auto"/>
          <w:sz w:val="21"/>
        </w:rPr>
        <w:t>28、投诉</w:t>
      </w:r>
    </w:p>
    <w:p w14:paraId="44B1C93F">
      <w:pPr>
        <w:pBdr>
          <w:top w:val="none" w:color="000000" w:sz="0" w:space="0"/>
          <w:left w:val="none" w:color="000000" w:sz="0" w:space="0"/>
          <w:bottom w:val="none" w:color="000000" w:sz="0" w:space="0"/>
          <w:right w:val="none" w:color="000000" w:sz="0" w:space="0"/>
        </w:pBdr>
        <w:spacing w:before="0" w:after="0" w:line="360" w:lineRule="auto"/>
        <w:ind w:left="0" w:right="0" w:firstLine="420"/>
        <w:jc w:val="both"/>
        <w:rPr>
          <w:color w:val="auto"/>
        </w:rPr>
      </w:pPr>
      <w:r>
        <w:rPr>
          <w:rFonts w:ascii="宋体" w:hAnsi="宋体" w:eastAsia="宋体" w:cs="宋体"/>
          <w:color w:val="auto"/>
          <w:sz w:val="21"/>
        </w:rPr>
        <w:t>28.1质疑供应商对采购代理机构的答复不满意或者采购代理机构未在规定的时间内作出答复的，可以在答复期满后十五个工作日内向同级政府采购监督管理部门投诉。</w:t>
      </w:r>
    </w:p>
    <w:p w14:paraId="4AD5C77F">
      <w:pPr>
        <w:pBdr>
          <w:top w:val="none" w:color="000000" w:sz="0" w:space="0"/>
          <w:left w:val="none" w:color="000000" w:sz="0" w:space="0"/>
          <w:bottom w:val="none" w:color="000000" w:sz="0" w:space="0"/>
          <w:right w:val="none" w:color="000000" w:sz="0" w:space="0"/>
        </w:pBdr>
        <w:spacing w:before="0" w:after="0" w:line="360" w:lineRule="auto"/>
        <w:ind w:left="0" w:right="0" w:firstLine="420"/>
        <w:jc w:val="both"/>
        <w:rPr>
          <w:color w:val="auto"/>
        </w:rPr>
      </w:pPr>
      <w:r>
        <w:rPr>
          <w:rFonts w:ascii="宋体" w:hAnsi="宋体" w:eastAsia="宋体" w:cs="宋体"/>
          <w:color w:val="auto"/>
          <w:sz w:val="21"/>
        </w:rPr>
        <w:t>28.2供应商投诉应当有明确的请求和必要的证明材料。供应商投诉的事项不得超出已质疑事项的范围。</w:t>
      </w:r>
    </w:p>
    <w:p w14:paraId="500BE4E6">
      <w:pPr>
        <w:pBdr>
          <w:top w:val="none" w:color="000000" w:sz="0" w:space="0"/>
          <w:left w:val="none" w:color="000000" w:sz="0" w:space="0"/>
          <w:bottom w:val="none" w:color="000000" w:sz="0" w:space="0"/>
          <w:right w:val="none" w:color="000000" w:sz="0" w:space="0"/>
        </w:pBdr>
        <w:spacing w:before="0" w:after="0" w:line="360" w:lineRule="auto"/>
        <w:ind w:left="0" w:right="0" w:firstLine="420"/>
        <w:jc w:val="both"/>
        <w:rPr>
          <w:color w:val="auto"/>
        </w:rPr>
      </w:pPr>
      <w:r>
        <w:rPr>
          <w:rFonts w:ascii="宋体" w:hAnsi="宋体" w:eastAsia="宋体" w:cs="宋体"/>
          <w:color w:val="auto"/>
          <w:sz w:val="21"/>
        </w:rPr>
        <w:t>28.3投诉人对政府采购监督管理部门的投诉处理决定不服或者政府采购监督管理部门逾期未作处理的，可以依法申请行政复议或者向人民法院提起行政诉讼。</w:t>
      </w:r>
    </w:p>
    <w:p w14:paraId="69A32DE7">
      <w:pPr>
        <w:pBdr>
          <w:top w:val="none" w:color="000000" w:sz="0" w:space="0"/>
          <w:left w:val="none" w:color="000000" w:sz="0" w:space="0"/>
          <w:bottom w:val="none" w:color="000000" w:sz="0" w:space="0"/>
          <w:right w:val="none" w:color="000000" w:sz="0" w:space="0"/>
        </w:pBdr>
        <w:spacing w:before="0" w:after="0" w:line="360" w:lineRule="auto"/>
        <w:ind w:left="0" w:right="0" w:firstLine="420"/>
        <w:jc w:val="both"/>
        <w:rPr>
          <w:color w:val="auto"/>
        </w:rPr>
      </w:pPr>
      <w:r>
        <w:rPr>
          <w:rFonts w:ascii="宋体" w:hAnsi="宋体" w:eastAsia="宋体" w:cs="宋体"/>
          <w:color w:val="auto"/>
          <w:sz w:val="21"/>
        </w:rPr>
        <w:t>28.4 投诉人有下列行为之一的，属于严重失信行为，由财政部门列入不良行为记录名单，禁止其一至三年内参加政府采购活动。</w:t>
      </w:r>
    </w:p>
    <w:p w14:paraId="4020A28D">
      <w:pPr>
        <w:pBdr>
          <w:top w:val="none" w:color="000000" w:sz="0" w:space="0"/>
          <w:left w:val="none" w:color="000000" w:sz="0" w:space="0"/>
          <w:bottom w:val="none" w:color="000000" w:sz="0" w:space="0"/>
          <w:right w:val="none" w:color="000000" w:sz="0" w:space="0"/>
        </w:pBdr>
        <w:spacing w:before="0" w:after="0" w:line="360" w:lineRule="auto"/>
        <w:ind w:left="0" w:right="0" w:firstLine="420"/>
        <w:jc w:val="both"/>
        <w:rPr>
          <w:color w:val="auto"/>
        </w:rPr>
      </w:pPr>
      <w:r>
        <w:rPr>
          <w:rFonts w:ascii="宋体" w:hAnsi="宋体" w:eastAsia="宋体" w:cs="宋体"/>
          <w:color w:val="auto"/>
          <w:sz w:val="21"/>
        </w:rPr>
        <w:t>（1）投诉人在全国范围12个月内三次以上投诉查无实据的；</w:t>
      </w:r>
    </w:p>
    <w:p w14:paraId="0CFAC35F">
      <w:pPr>
        <w:pBdr>
          <w:top w:val="none" w:color="000000" w:sz="0" w:space="0"/>
          <w:left w:val="none" w:color="000000" w:sz="0" w:space="0"/>
          <w:bottom w:val="none" w:color="000000" w:sz="0" w:space="0"/>
          <w:right w:val="none" w:color="000000" w:sz="0" w:space="0"/>
        </w:pBdr>
        <w:spacing w:before="0" w:after="0" w:line="360" w:lineRule="auto"/>
        <w:ind w:left="0" w:right="0" w:firstLine="420"/>
        <w:jc w:val="both"/>
        <w:rPr>
          <w:color w:val="auto"/>
        </w:rPr>
      </w:pPr>
      <w:r>
        <w:rPr>
          <w:rFonts w:ascii="宋体" w:hAnsi="宋体" w:eastAsia="宋体" w:cs="宋体"/>
          <w:color w:val="auto"/>
          <w:sz w:val="21"/>
        </w:rPr>
        <w:t>（2）采用捏造事实、提供虚假材料或者以非法手段取得证明材料等方式进行虚假、恶意投诉。</w:t>
      </w:r>
    </w:p>
    <w:p w14:paraId="716E2AC5">
      <w:pPr>
        <w:pBdr>
          <w:top w:val="none" w:color="000000" w:sz="0" w:space="0"/>
          <w:left w:val="none" w:color="000000" w:sz="0" w:space="0"/>
          <w:bottom w:val="none" w:color="000000" w:sz="0" w:space="0"/>
          <w:right w:val="none" w:color="000000" w:sz="0" w:space="0"/>
        </w:pBdr>
        <w:spacing w:before="0" w:after="0" w:line="360" w:lineRule="auto"/>
        <w:ind w:left="0" w:right="0" w:firstLine="420"/>
        <w:jc w:val="both"/>
        <w:rPr>
          <w:color w:val="auto"/>
        </w:rPr>
      </w:pPr>
      <w:r>
        <w:rPr>
          <w:rFonts w:ascii="宋体" w:hAnsi="宋体" w:eastAsia="宋体" w:cs="宋体"/>
          <w:color w:val="auto"/>
          <w:sz w:val="21"/>
        </w:rPr>
        <w:t>证据来源的合法性存在明显疑问，投诉人无法证明其取得方式合法的，视为以非法手段取得证明材料。</w:t>
      </w:r>
    </w:p>
    <w:p w14:paraId="638A8715">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rPr>
          <w:color w:val="auto"/>
        </w:rPr>
      </w:pPr>
      <w:r>
        <w:rPr>
          <w:rFonts w:ascii="宋体" w:hAnsi="宋体" w:eastAsia="宋体" w:cs="宋体"/>
          <w:color w:val="auto"/>
          <w:sz w:val="21"/>
        </w:rPr>
        <w:t> </w:t>
      </w:r>
    </w:p>
    <w:p w14:paraId="4BB1F3D3">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b/>
          <w:color w:val="auto"/>
          <w:sz w:val="32"/>
        </w:rPr>
        <w:t> </w:t>
      </w:r>
    </w:p>
    <w:p w14:paraId="746E899B">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b/>
          <w:color w:val="auto"/>
          <w:sz w:val="32"/>
        </w:rPr>
        <w:t> </w:t>
      </w:r>
    </w:p>
    <w:p w14:paraId="4E467EDE">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b/>
          <w:color w:val="auto"/>
          <w:sz w:val="32"/>
        </w:rPr>
        <w:t> </w:t>
      </w:r>
    </w:p>
    <w:p w14:paraId="43482DA6">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b/>
          <w:color w:val="auto"/>
          <w:sz w:val="32"/>
        </w:rPr>
        <w:t> </w:t>
      </w:r>
    </w:p>
    <w:p w14:paraId="61F111B5">
      <w:pPr>
        <w:pStyle w:val="2"/>
        <w:pBdr>
          <w:top w:val="none" w:color="000000" w:sz="0" w:space="0"/>
          <w:left w:val="none" w:color="000000" w:sz="0" w:space="0"/>
          <w:bottom w:val="none" w:color="000000" w:sz="0" w:space="0"/>
          <w:right w:val="none" w:color="000000" w:sz="0" w:space="0"/>
        </w:pBdr>
        <w:spacing w:before="340" w:after="330" w:line="85" w:lineRule="atLeast"/>
        <w:ind w:left="0" w:right="0" w:firstLine="0"/>
        <w:jc w:val="center"/>
        <w:rPr>
          <w:color w:val="auto"/>
        </w:rPr>
      </w:pPr>
      <w:r>
        <w:rPr>
          <w:color w:val="auto"/>
        </w:rPr>
        <w:br w:type="page" w:clear="all"/>
      </w:r>
    </w:p>
    <w:p w14:paraId="2BF6EDCC">
      <w:pPr>
        <w:pStyle w:val="2"/>
        <w:pBdr>
          <w:top w:val="none" w:color="000000" w:sz="0" w:space="0"/>
          <w:left w:val="none" w:color="000000" w:sz="0" w:space="0"/>
          <w:bottom w:val="none" w:color="000000" w:sz="0" w:space="0"/>
          <w:right w:val="none" w:color="000000" w:sz="0" w:space="0"/>
        </w:pBdr>
        <w:spacing w:before="340" w:after="330" w:line="85" w:lineRule="atLeast"/>
        <w:ind w:left="0" w:right="0" w:firstLine="0"/>
        <w:jc w:val="center"/>
        <w:rPr>
          <w:color w:val="auto"/>
        </w:rPr>
      </w:pPr>
      <w:r>
        <w:rPr>
          <w:rFonts w:ascii="宋体" w:hAnsi="宋体" w:eastAsia="宋体" w:cs="宋体"/>
          <w:b/>
          <w:color w:val="auto"/>
          <w:sz w:val="36"/>
        </w:rPr>
        <w:t>第三章 评标标准</w:t>
      </w:r>
    </w:p>
    <w:p w14:paraId="2FAC7FA6">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20"/>
        <w:jc w:val="both"/>
        <w:rPr>
          <w:color w:val="auto"/>
        </w:rPr>
      </w:pPr>
      <w:r>
        <w:rPr>
          <w:rFonts w:ascii="宋体" w:hAnsi="宋体" w:eastAsia="宋体" w:cs="宋体"/>
          <w:b/>
          <w:color w:val="auto"/>
          <w:sz w:val="21"/>
        </w:rPr>
        <w:t>1、</w:t>
      </w:r>
      <w:r>
        <w:rPr>
          <w:rFonts w:ascii="宋体" w:hAnsi="宋体" w:eastAsia="宋体" w:cs="宋体"/>
          <w:color w:val="auto"/>
          <w:sz w:val="21"/>
        </w:rPr>
        <w:t>采用综合评分法的，评标结果按评审后最终得分由高到低进行排名，得分相同的，按投标报价由低到高顺序排列。得分且投标报价相同的，按技术部分方案优劣顺序排列。</w:t>
      </w:r>
    </w:p>
    <w:p w14:paraId="3A9965FE">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rPr>
          <w:color w:val="auto"/>
        </w:rPr>
      </w:pPr>
      <w:r>
        <w:rPr>
          <w:rFonts w:ascii="宋体" w:hAnsi="宋体" w:eastAsia="宋体" w:cs="宋体"/>
          <w:b/>
          <w:color w:val="auto"/>
          <w:sz w:val="21"/>
        </w:rPr>
        <w:t>2、评定标准：</w:t>
      </w:r>
    </w:p>
    <w:tbl>
      <w:tblPr>
        <w:tblStyle w:val="2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739"/>
        <w:gridCol w:w="1603"/>
        <w:gridCol w:w="6014"/>
        <w:gridCol w:w="968"/>
      </w:tblGrid>
      <w:tr w14:paraId="2B08520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16" w:hRule="atLeast"/>
        </w:trPr>
        <w:tc>
          <w:tcPr>
            <w:tcW w:w="739" w:type="dxa"/>
            <w:tcBorders>
              <w:top w:val="single" w:color="000000" w:sz="12" w:space="0"/>
              <w:left w:val="single" w:color="000000" w:sz="12" w:space="0"/>
              <w:bottom w:val="single" w:color="000000" w:sz="8" w:space="0"/>
              <w:right w:val="single" w:color="000000" w:sz="8" w:space="0"/>
            </w:tcBorders>
            <w:noWrap w:val="0"/>
            <w:tcMar>
              <w:top w:w="0" w:type="dxa"/>
              <w:left w:w="108" w:type="dxa"/>
              <w:bottom w:w="0" w:type="dxa"/>
              <w:right w:w="108" w:type="dxa"/>
            </w:tcMar>
            <w:vAlign w:val="center"/>
          </w:tcPr>
          <w:p w14:paraId="58F9AF3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序号</w:t>
            </w:r>
          </w:p>
        </w:tc>
        <w:tc>
          <w:tcPr>
            <w:tcW w:w="1603" w:type="dxa"/>
            <w:tcBorders>
              <w:top w:val="single" w:color="000000" w:sz="12"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480FDB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评审因素</w:t>
            </w:r>
          </w:p>
        </w:tc>
        <w:tc>
          <w:tcPr>
            <w:tcW w:w="6014" w:type="dxa"/>
            <w:tcBorders>
              <w:top w:val="single" w:color="000000" w:sz="12"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F64E57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评审标准</w:t>
            </w:r>
          </w:p>
        </w:tc>
        <w:tc>
          <w:tcPr>
            <w:tcW w:w="968" w:type="dxa"/>
            <w:tcBorders>
              <w:top w:val="single" w:color="000000" w:sz="12" w:space="0"/>
              <w:left w:val="single" w:color="000000" w:sz="8" w:space="0"/>
              <w:bottom w:val="single" w:color="000000" w:sz="8" w:space="0"/>
              <w:right w:val="single" w:color="000000" w:sz="12" w:space="0"/>
            </w:tcBorders>
            <w:noWrap w:val="0"/>
            <w:tcMar>
              <w:top w:w="0" w:type="dxa"/>
              <w:left w:w="108" w:type="dxa"/>
              <w:bottom w:w="0" w:type="dxa"/>
              <w:right w:w="108" w:type="dxa"/>
            </w:tcMar>
            <w:vAlign w:val="center"/>
          </w:tcPr>
          <w:p w14:paraId="45594B8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分值</w:t>
            </w:r>
          </w:p>
        </w:tc>
      </w:tr>
      <w:tr w14:paraId="39A7E67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102" w:hRule="atLeast"/>
        </w:trPr>
        <w:tc>
          <w:tcPr>
            <w:tcW w:w="739" w:type="dxa"/>
            <w:tcBorders>
              <w:top w:val="single" w:color="000000" w:sz="8" w:space="0"/>
              <w:left w:val="single" w:color="000000" w:sz="12" w:space="0"/>
              <w:bottom w:val="single" w:color="000000" w:sz="8" w:space="0"/>
              <w:right w:val="single" w:color="000000" w:sz="8" w:space="0"/>
            </w:tcBorders>
            <w:noWrap w:val="0"/>
            <w:tcMar>
              <w:top w:w="0" w:type="dxa"/>
              <w:left w:w="108" w:type="dxa"/>
              <w:bottom w:w="0" w:type="dxa"/>
              <w:right w:w="108" w:type="dxa"/>
            </w:tcMar>
            <w:vAlign w:val="center"/>
          </w:tcPr>
          <w:p w14:paraId="0C4A8BA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Times New Roman" w:hAnsi="Times New Roman" w:eastAsia="Times New Roman" w:cs="Times New Roman"/>
                <w:color w:val="auto"/>
                <w:sz w:val="21"/>
              </w:rPr>
              <w:t>1</w:t>
            </w:r>
          </w:p>
        </w:tc>
        <w:tc>
          <w:tcPr>
            <w:tcW w:w="160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75C220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价格</w:t>
            </w:r>
          </w:p>
        </w:tc>
        <w:tc>
          <w:tcPr>
            <w:tcW w:w="6014"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9F382AA">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采用低价优先法计算，即满足招标文件要求且评审价格最低的价格为评标基准价，其价格分为满分</w:t>
            </w:r>
            <w:r>
              <w:rPr>
                <w:rFonts w:hint="eastAsia" w:ascii="宋体" w:hAnsi="宋体" w:cs="宋体"/>
                <w:color w:val="auto"/>
                <w:sz w:val="21"/>
                <w:lang w:val="en-US" w:eastAsia="zh-CN"/>
              </w:rPr>
              <w:t>1</w:t>
            </w:r>
            <w:r>
              <w:rPr>
                <w:rFonts w:ascii="Times New Roman" w:hAnsi="Times New Roman" w:eastAsia="Times New Roman" w:cs="Times New Roman"/>
                <w:color w:val="auto"/>
                <w:sz w:val="21"/>
              </w:rPr>
              <w:t>0</w:t>
            </w:r>
            <w:r>
              <w:rPr>
                <w:rFonts w:ascii="宋体" w:hAnsi="宋体" w:eastAsia="宋体" w:cs="宋体"/>
                <w:color w:val="auto"/>
                <w:sz w:val="21"/>
              </w:rPr>
              <w:t>分。其他投标人的价格分统一按照下列公式计算：投标报价得分</w:t>
            </w:r>
            <w:r>
              <w:rPr>
                <w:rFonts w:ascii="Times New Roman" w:hAnsi="Times New Roman" w:eastAsia="Times New Roman" w:cs="Times New Roman"/>
                <w:color w:val="auto"/>
                <w:sz w:val="21"/>
              </w:rPr>
              <w:t>=(</w:t>
            </w:r>
            <w:r>
              <w:rPr>
                <w:rFonts w:ascii="宋体" w:hAnsi="宋体" w:eastAsia="宋体" w:cs="宋体"/>
                <w:color w:val="auto"/>
                <w:sz w:val="21"/>
              </w:rPr>
              <w:t>评标基准价</w:t>
            </w:r>
            <w:r>
              <w:rPr>
                <w:rFonts w:ascii="Times New Roman" w:hAnsi="Times New Roman" w:eastAsia="Times New Roman" w:cs="Times New Roman"/>
                <w:color w:val="auto"/>
                <w:sz w:val="21"/>
              </w:rPr>
              <w:t>/</w:t>
            </w:r>
            <w:r>
              <w:rPr>
                <w:rFonts w:ascii="宋体" w:hAnsi="宋体" w:eastAsia="宋体" w:cs="宋体"/>
                <w:color w:val="auto"/>
                <w:sz w:val="21"/>
              </w:rPr>
              <w:t>评审价格</w:t>
            </w:r>
            <w:r>
              <w:rPr>
                <w:rFonts w:ascii="Times New Roman" w:hAnsi="Times New Roman" w:eastAsia="Times New Roman" w:cs="Times New Roman"/>
                <w:color w:val="auto"/>
                <w:sz w:val="21"/>
              </w:rPr>
              <w:t>)×</w:t>
            </w:r>
            <w:r>
              <w:rPr>
                <w:rFonts w:hint="eastAsia" w:cs="Times New Roman"/>
                <w:color w:val="auto"/>
                <w:sz w:val="21"/>
                <w:lang w:val="en-US" w:eastAsia="zh-CN"/>
              </w:rPr>
              <w:t>1</w:t>
            </w:r>
            <w:r>
              <w:rPr>
                <w:rFonts w:ascii="Times New Roman" w:hAnsi="Times New Roman" w:eastAsia="Times New Roman" w:cs="Times New Roman"/>
                <w:color w:val="auto"/>
                <w:sz w:val="21"/>
              </w:rPr>
              <w:t>0(</w:t>
            </w:r>
            <w:r>
              <w:rPr>
                <w:rFonts w:ascii="宋体" w:hAnsi="宋体" w:eastAsia="宋体" w:cs="宋体"/>
                <w:color w:val="auto"/>
                <w:sz w:val="21"/>
              </w:rPr>
              <w:t>小数点保留两位</w:t>
            </w:r>
            <w:r>
              <w:rPr>
                <w:rFonts w:ascii="Times New Roman" w:hAnsi="Times New Roman" w:eastAsia="Times New Roman" w:cs="Times New Roman"/>
                <w:color w:val="auto"/>
                <w:sz w:val="21"/>
              </w:rPr>
              <w:t>)</w:t>
            </w:r>
          </w:p>
          <w:p w14:paraId="21A96B1E">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rPr>
                <w:color w:val="auto"/>
              </w:rPr>
            </w:pPr>
            <w:r>
              <w:rPr>
                <w:rFonts w:ascii="宋体" w:hAnsi="宋体" w:eastAsia="宋体" w:cs="宋体"/>
                <w:color w:val="auto"/>
                <w:sz w:val="21"/>
              </w:rPr>
              <w:t>（评审过程中出现下列情形之一的，评审委员会应当启动异常低价投标审查程序：</w:t>
            </w:r>
          </w:p>
          <w:p w14:paraId="496D5A65">
            <w:pPr>
              <w:pBdr>
                <w:top w:val="none" w:color="000000" w:sz="0" w:space="0"/>
                <w:left w:val="none" w:color="000000" w:sz="0" w:space="0"/>
                <w:bottom w:val="none" w:color="000000" w:sz="0" w:space="0"/>
                <w:right w:val="none" w:color="000000" w:sz="0" w:space="0"/>
              </w:pBdr>
              <w:spacing w:before="200" w:after="200" w:line="85" w:lineRule="atLeast"/>
              <w:ind w:left="0" w:right="0" w:firstLine="420"/>
              <w:rPr>
                <w:color w:val="auto"/>
              </w:rPr>
            </w:pPr>
            <w:r>
              <w:rPr>
                <w:rFonts w:ascii="宋体" w:hAnsi="宋体" w:eastAsia="宋体" w:cs="宋体"/>
                <w:color w:val="auto"/>
                <w:sz w:val="21"/>
              </w:rPr>
              <w:t>（1）投标(响应)报价低于全部通过符合性审查供应商投标(响 应)报价平均值65%的，即投标(响应)报价&lt;全部通过符合性审查供应商投标(响应)报价平均值×65%；</w:t>
            </w:r>
          </w:p>
          <w:p w14:paraId="0306DE2A">
            <w:pPr>
              <w:pBdr>
                <w:top w:val="none" w:color="000000" w:sz="0" w:space="0"/>
                <w:left w:val="none" w:color="000000" w:sz="0" w:space="0"/>
                <w:bottom w:val="none" w:color="000000" w:sz="0" w:space="0"/>
                <w:right w:val="none" w:color="000000" w:sz="0" w:space="0"/>
              </w:pBdr>
              <w:spacing w:before="200" w:after="200" w:line="85" w:lineRule="atLeast"/>
              <w:ind w:left="0" w:right="0" w:firstLine="420"/>
              <w:rPr>
                <w:color w:val="auto"/>
              </w:rPr>
            </w:pPr>
            <w:r>
              <w:rPr>
                <w:rFonts w:ascii="宋体" w:hAnsi="宋体" w:eastAsia="宋体" w:cs="宋体"/>
                <w:color w:val="auto"/>
                <w:sz w:val="21"/>
              </w:rPr>
              <w:t>（2）投标(响应)报价低于通过符合性审查的次低报价供应商 投标(响应)报价65%的，即投标(响应)报价&lt;通过符合性审查 的次低报价供应商投标(响应)报价×65%；</w:t>
            </w:r>
          </w:p>
          <w:p w14:paraId="65A705C7">
            <w:pPr>
              <w:pBdr>
                <w:top w:val="none" w:color="000000" w:sz="0" w:space="0"/>
                <w:left w:val="none" w:color="000000" w:sz="0" w:space="0"/>
                <w:bottom w:val="none" w:color="000000" w:sz="0" w:space="0"/>
                <w:right w:val="none" w:color="000000" w:sz="0" w:space="0"/>
              </w:pBdr>
              <w:spacing w:before="200" w:after="200" w:line="85" w:lineRule="atLeast"/>
              <w:ind w:left="0" w:right="0" w:firstLine="420"/>
              <w:rPr>
                <w:color w:val="auto"/>
              </w:rPr>
            </w:pPr>
            <w:r>
              <w:rPr>
                <w:rFonts w:ascii="宋体" w:hAnsi="宋体" w:eastAsia="宋体" w:cs="宋体"/>
                <w:color w:val="auto"/>
                <w:sz w:val="21"/>
              </w:rPr>
              <w:t>（3）投标(响应)报价低于采购项目最高限价65%的，即投标(响 应)报价&lt;采购项目最高限价×65%；</w:t>
            </w:r>
          </w:p>
          <w:p w14:paraId="11357F3B">
            <w:pPr>
              <w:pBdr>
                <w:top w:val="none" w:color="000000" w:sz="0" w:space="0"/>
                <w:left w:val="none" w:color="000000" w:sz="0" w:space="0"/>
                <w:bottom w:val="none" w:color="000000" w:sz="0" w:space="0"/>
                <w:right w:val="none" w:color="000000" w:sz="0" w:space="0"/>
              </w:pBdr>
              <w:spacing w:before="200" w:after="200" w:line="85" w:lineRule="atLeast"/>
              <w:ind w:left="0" w:right="0" w:firstLine="420"/>
              <w:rPr>
                <w:color w:val="auto"/>
              </w:rPr>
            </w:pPr>
            <w:r>
              <w:rPr>
                <w:rFonts w:ascii="宋体" w:hAnsi="宋体" w:eastAsia="宋体" w:cs="宋体"/>
                <w:color w:val="auto"/>
                <w:sz w:val="21"/>
              </w:rPr>
              <w:t>（4）评审委员会认定的供应商响应报价过低、有可能影响产品质量或者不能诚信履约的其他情形。</w:t>
            </w:r>
          </w:p>
          <w:p w14:paraId="6028D921">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rPr>
                <w:color w:val="auto"/>
              </w:rPr>
            </w:pPr>
            <w:r>
              <w:rPr>
                <w:rFonts w:ascii="宋体" w:hAnsi="宋体" w:eastAsia="宋体" w:cs="宋体"/>
                <w:color w:val="auto"/>
                <w:sz w:val="21"/>
              </w:rPr>
              <w:t>采购人可以结合具体项目实际情况，提高上述第1项至第3项中启动异常低价投标（响应）审查的数值标准，但是最高不得超过65%。</w:t>
            </w:r>
          </w:p>
          <w:p w14:paraId="518C6F66">
            <w:pPr>
              <w:pBdr>
                <w:top w:val="none" w:color="000000" w:sz="0" w:space="0"/>
                <w:left w:val="none" w:color="000000" w:sz="0" w:space="0"/>
                <w:bottom w:val="none" w:color="000000" w:sz="0" w:space="0"/>
                <w:right w:val="none" w:color="000000" w:sz="0" w:space="0"/>
              </w:pBdr>
              <w:spacing w:before="200" w:after="200" w:line="85" w:lineRule="atLeast"/>
              <w:ind w:left="0" w:right="0" w:firstLine="420"/>
              <w:rPr>
                <w:color w:val="auto"/>
              </w:rPr>
            </w:pPr>
            <w:r>
              <w:rPr>
                <w:rFonts w:ascii="宋体" w:hAnsi="宋体" w:eastAsia="宋体" w:cs="宋体"/>
                <w:color w:val="auto"/>
                <w:sz w:val="21"/>
              </w:rPr>
              <w:t>（5）评审委员会启动异常低价投标(响应)审查后，属于前述第1项至第4项情形的，应当要求相关供应商在评审时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(响应)文件一并提交相关书面说明及必要的证明材料的，在评审时可不再重复提交。</w:t>
            </w:r>
          </w:p>
          <w:p w14:paraId="56BA1FCD">
            <w:pPr>
              <w:pBdr>
                <w:top w:val="none" w:color="000000" w:sz="0" w:space="0"/>
                <w:left w:val="none" w:color="000000" w:sz="0" w:space="0"/>
                <w:bottom w:val="none" w:color="000000" w:sz="0" w:space="0"/>
                <w:right w:val="none" w:color="000000" w:sz="0" w:space="0"/>
              </w:pBdr>
              <w:spacing w:before="200" w:after="200" w:line="85" w:lineRule="atLeast"/>
              <w:ind w:left="0" w:right="0" w:firstLine="0"/>
              <w:rPr>
                <w:color w:val="auto"/>
              </w:rPr>
            </w:pPr>
            <w:r>
              <w:rPr>
                <w:rFonts w:ascii="宋体" w:hAnsi="宋体" w:eastAsia="宋体" w:cs="宋体"/>
                <w:color w:val="auto"/>
                <w:sz w:val="21"/>
              </w:rPr>
              <w:t>（6）评审委员会依据专业经验，参考同类项目中标(成交)价格、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eastAsia="宋体" w:cs="宋体"/>
                <w:color w:val="auto"/>
                <w:sz w:val="20"/>
              </w:rPr>
              <w:t>）</w:t>
            </w:r>
          </w:p>
        </w:tc>
        <w:tc>
          <w:tcPr>
            <w:tcW w:w="968" w:type="dxa"/>
            <w:tcBorders>
              <w:top w:val="single" w:color="000000" w:sz="8" w:space="0"/>
              <w:left w:val="single" w:color="000000" w:sz="8" w:space="0"/>
              <w:bottom w:val="single" w:color="000000" w:sz="8" w:space="0"/>
              <w:right w:val="single" w:color="000000" w:sz="12" w:space="0"/>
            </w:tcBorders>
            <w:noWrap w:val="0"/>
            <w:tcMar>
              <w:top w:w="0" w:type="dxa"/>
              <w:left w:w="108" w:type="dxa"/>
              <w:bottom w:w="0" w:type="dxa"/>
              <w:right w:w="108" w:type="dxa"/>
            </w:tcMar>
            <w:vAlign w:val="center"/>
          </w:tcPr>
          <w:p w14:paraId="4E7FA00F">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hint="eastAsia" w:cs="Times New Roman"/>
                <w:color w:val="auto"/>
                <w:sz w:val="21"/>
                <w:lang w:val="en-US" w:eastAsia="zh-CN"/>
              </w:rPr>
              <w:t>1</w:t>
            </w:r>
            <w:r>
              <w:rPr>
                <w:rFonts w:ascii="Times New Roman" w:hAnsi="Times New Roman" w:eastAsia="Times New Roman" w:cs="Times New Roman"/>
                <w:color w:val="auto"/>
                <w:sz w:val="21"/>
              </w:rPr>
              <w:t>0</w:t>
            </w:r>
            <w:r>
              <w:rPr>
                <w:rFonts w:ascii="宋体" w:hAnsi="宋体" w:eastAsia="宋体" w:cs="宋体"/>
                <w:color w:val="auto"/>
                <w:sz w:val="21"/>
              </w:rPr>
              <w:t>分</w:t>
            </w:r>
          </w:p>
        </w:tc>
      </w:tr>
      <w:tr w14:paraId="2F8CEAB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39" w:hRule="atLeast"/>
        </w:trPr>
        <w:tc>
          <w:tcPr>
            <w:tcW w:w="739" w:type="dxa"/>
            <w:vMerge w:val="restart"/>
            <w:tcBorders>
              <w:top w:val="single" w:color="000000" w:sz="8" w:space="0"/>
              <w:left w:val="single" w:color="000000" w:sz="12" w:space="0"/>
              <w:bottom w:val="single" w:color="000000" w:sz="8" w:space="0"/>
              <w:right w:val="single" w:color="000000" w:sz="8" w:space="0"/>
            </w:tcBorders>
            <w:noWrap w:val="0"/>
            <w:tcMar>
              <w:top w:w="0" w:type="dxa"/>
              <w:left w:w="108" w:type="dxa"/>
              <w:bottom w:w="0" w:type="dxa"/>
              <w:right w:w="108" w:type="dxa"/>
            </w:tcMar>
            <w:vAlign w:val="center"/>
          </w:tcPr>
          <w:p w14:paraId="461E225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Times New Roman" w:hAnsi="Times New Roman" w:eastAsia="Times New Roman" w:cs="Times New Roman"/>
                <w:color w:val="auto"/>
                <w:sz w:val="21"/>
              </w:rPr>
              <w:t>2</w:t>
            </w:r>
          </w:p>
        </w:tc>
        <w:tc>
          <w:tcPr>
            <w:tcW w:w="160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CDEEA23">
            <w:pPr>
              <w:pBdr>
                <w:top w:val="none" w:color="000000" w:sz="0" w:space="0"/>
                <w:left w:val="none" w:color="000000" w:sz="0" w:space="0"/>
                <w:bottom w:val="none" w:color="000000" w:sz="0" w:space="0"/>
                <w:right w:val="none" w:color="000000" w:sz="0" w:space="0"/>
              </w:pBdr>
              <w:spacing w:before="0" w:after="0" w:line="380" w:lineRule="atLeast"/>
              <w:ind w:left="0" w:right="0" w:firstLine="0"/>
              <w:jc w:val="center"/>
              <w:rPr>
                <w:color w:val="auto"/>
              </w:rPr>
            </w:pPr>
            <w:r>
              <w:rPr>
                <w:rFonts w:hint="eastAsia"/>
                <w:color w:val="auto"/>
              </w:rPr>
              <w:t>需求理解</w:t>
            </w:r>
          </w:p>
        </w:tc>
        <w:tc>
          <w:tcPr>
            <w:tcW w:w="6014"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F0D200D">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default" w:ascii="宋体" w:hAnsi="宋体" w:eastAsia="宋体" w:cs="宋体"/>
                <w:color w:val="auto"/>
                <w:sz w:val="21"/>
              </w:rPr>
            </w:pPr>
            <w:r>
              <w:rPr>
                <w:rFonts w:hint="eastAsia" w:ascii="宋体" w:hAnsi="宋体" w:eastAsia="宋体" w:cs="宋体"/>
                <w:color w:val="auto"/>
                <w:sz w:val="21"/>
              </w:rPr>
              <w:t>需求理解：评委根据供应商提供的本项目需求理解（包括对本项目的理解、关键性重点、难点分析应对措施等）综合评分：</w:t>
            </w:r>
          </w:p>
          <w:p w14:paraId="12E4F7AA">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default" w:ascii="宋体" w:hAnsi="宋体" w:eastAsia="宋体" w:cs="宋体"/>
                <w:color w:val="auto"/>
                <w:sz w:val="21"/>
              </w:rPr>
            </w:pPr>
            <w:r>
              <w:rPr>
                <w:rFonts w:hint="eastAsia" w:ascii="宋体" w:hAnsi="宋体" w:eastAsia="宋体" w:cs="宋体"/>
                <w:color w:val="auto"/>
                <w:sz w:val="21"/>
              </w:rPr>
              <w:t>（1）对本项目理解准确，关键性重点、难点分析应对措施针对性强的得8分；</w:t>
            </w:r>
          </w:p>
          <w:p w14:paraId="746CC11A">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default" w:ascii="宋体" w:hAnsi="宋体" w:eastAsia="宋体" w:cs="宋体"/>
                <w:color w:val="auto"/>
                <w:sz w:val="21"/>
              </w:rPr>
            </w:pPr>
            <w:r>
              <w:rPr>
                <w:rFonts w:hint="eastAsia" w:ascii="宋体" w:hAnsi="宋体" w:eastAsia="宋体" w:cs="宋体"/>
                <w:color w:val="auto"/>
                <w:sz w:val="21"/>
              </w:rPr>
              <w:t>（2）对本项目理解比较准确，关键性重点、难点分析应对措施针对性较强的得5分；</w:t>
            </w:r>
          </w:p>
          <w:p w14:paraId="6273AB90">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default" w:ascii="宋体" w:hAnsi="宋体" w:eastAsia="宋体" w:cs="宋体"/>
                <w:color w:val="auto"/>
                <w:sz w:val="21"/>
              </w:rPr>
            </w:pPr>
            <w:r>
              <w:rPr>
                <w:rFonts w:hint="eastAsia" w:ascii="宋体" w:hAnsi="宋体" w:eastAsia="宋体" w:cs="宋体"/>
                <w:color w:val="auto"/>
                <w:sz w:val="21"/>
              </w:rPr>
              <w:t>（3）对本项目理解基本准确，关键性重点、难点分析应对措施针对性基本满足要求的得3分；</w:t>
            </w:r>
          </w:p>
          <w:p w14:paraId="058C6709">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hint="eastAsia" w:ascii="宋体" w:hAnsi="宋体" w:eastAsia="宋体" w:cs="宋体"/>
                <w:color w:val="auto"/>
                <w:sz w:val="21"/>
              </w:rPr>
              <w:t>（4）未提供不得分。</w:t>
            </w:r>
          </w:p>
        </w:tc>
        <w:tc>
          <w:tcPr>
            <w:tcW w:w="968" w:type="dxa"/>
            <w:tcBorders>
              <w:top w:val="single" w:color="000000" w:sz="8" w:space="0"/>
              <w:left w:val="single" w:color="000000" w:sz="8" w:space="0"/>
              <w:bottom w:val="single" w:color="000000" w:sz="8" w:space="0"/>
              <w:right w:val="single" w:color="000000" w:sz="12" w:space="0"/>
            </w:tcBorders>
            <w:noWrap w:val="0"/>
            <w:tcMar>
              <w:top w:w="0" w:type="dxa"/>
              <w:left w:w="108" w:type="dxa"/>
              <w:bottom w:w="0" w:type="dxa"/>
              <w:right w:w="108" w:type="dxa"/>
            </w:tcMar>
            <w:vAlign w:val="center"/>
          </w:tcPr>
          <w:p w14:paraId="4E4017D7">
            <w:pPr>
              <w:pBdr>
                <w:top w:val="none" w:color="000000" w:sz="0" w:space="0"/>
                <w:left w:val="none" w:color="000000" w:sz="0" w:space="0"/>
                <w:bottom w:val="none" w:color="000000" w:sz="0" w:space="0"/>
                <w:right w:val="none" w:color="000000" w:sz="0" w:space="0"/>
              </w:pBdr>
              <w:spacing w:before="0" w:after="0" w:line="380" w:lineRule="atLeast"/>
              <w:ind w:left="0" w:right="0" w:firstLine="0"/>
              <w:jc w:val="center"/>
              <w:rPr>
                <w:color w:val="auto"/>
              </w:rPr>
            </w:pPr>
            <w:r>
              <w:rPr>
                <w:rFonts w:hint="eastAsia" w:ascii="宋体" w:hAnsi="宋体" w:cs="宋体"/>
                <w:color w:val="auto"/>
                <w:sz w:val="21"/>
                <w:lang w:val="en-US" w:eastAsia="zh-CN"/>
              </w:rPr>
              <w:t>8</w:t>
            </w:r>
            <w:r>
              <w:rPr>
                <w:rFonts w:ascii="宋体" w:hAnsi="宋体" w:eastAsia="宋体" w:cs="宋体"/>
                <w:color w:val="auto"/>
                <w:sz w:val="21"/>
              </w:rPr>
              <w:t>分</w:t>
            </w:r>
          </w:p>
        </w:tc>
      </w:tr>
      <w:tr w14:paraId="3FB7D65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046" w:hRule="atLeast"/>
        </w:trPr>
        <w:tc>
          <w:tcPr>
            <w:vMerge w:val="continue"/>
            <w:tcBorders>
              <w:top w:val="single" w:color="000000" w:sz="8" w:space="0"/>
            </w:tcBorders>
            <w:noWrap w:val="0"/>
          </w:tcPr>
          <w:p w14:paraId="2E2B6EE5">
            <w:pPr>
              <w:spacing w:after="0" w:line="240" w:lineRule="auto"/>
              <w:rPr>
                <w:color w:val="auto"/>
              </w:rPr>
            </w:pPr>
          </w:p>
        </w:tc>
        <w:tc>
          <w:tcPr>
            <w:tcW w:w="160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8233E55">
            <w:pPr>
              <w:pBdr>
                <w:top w:val="none" w:color="000000" w:sz="0" w:space="0"/>
                <w:left w:val="none" w:color="000000" w:sz="0" w:space="0"/>
                <w:bottom w:val="none" w:color="000000" w:sz="0" w:space="0"/>
                <w:right w:val="none" w:color="000000" w:sz="0" w:space="0"/>
              </w:pBdr>
              <w:spacing w:before="0" w:after="0" w:line="380" w:lineRule="atLeast"/>
              <w:ind w:left="0" w:right="0" w:firstLine="0"/>
              <w:jc w:val="center"/>
              <w:rPr>
                <w:color w:val="auto"/>
              </w:rPr>
            </w:pPr>
            <w:r>
              <w:rPr>
                <w:rFonts w:hint="eastAsia"/>
                <w:color w:val="auto"/>
              </w:rPr>
              <w:t>维护方案</w:t>
            </w:r>
          </w:p>
        </w:tc>
        <w:tc>
          <w:tcPr>
            <w:tcW w:w="6014"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112B14F">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color w:val="auto"/>
              </w:rPr>
            </w:pPr>
            <w:r>
              <w:rPr>
                <w:rFonts w:hint="eastAsia"/>
                <w:color w:val="auto"/>
              </w:rPr>
              <w:t>维护方案：评委根据供应商提供的本项目维护方案（包括河道排口、管道巡查、设施养护、管内清淤及维护、配合污水管道养护、施工现场保洁、周边零星维修等）综合评分：</w:t>
            </w:r>
          </w:p>
          <w:p w14:paraId="55B74124">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color w:val="auto"/>
              </w:rPr>
            </w:pPr>
            <w:r>
              <w:rPr>
                <w:rFonts w:hint="eastAsia"/>
                <w:color w:val="auto"/>
              </w:rPr>
              <w:t>（1）方案全面，可行，针对性强得</w:t>
            </w:r>
            <w:r>
              <w:rPr>
                <w:rFonts w:hint="eastAsia"/>
                <w:color w:val="auto"/>
                <w:lang w:val="en-US" w:eastAsia="zh-CN"/>
              </w:rPr>
              <w:t>8</w:t>
            </w:r>
            <w:r>
              <w:rPr>
                <w:rFonts w:hint="eastAsia"/>
                <w:color w:val="auto"/>
              </w:rPr>
              <w:t>分。</w:t>
            </w:r>
          </w:p>
          <w:p w14:paraId="62F256A1">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color w:val="auto"/>
              </w:rPr>
            </w:pPr>
            <w:r>
              <w:rPr>
                <w:rFonts w:hint="eastAsia"/>
                <w:color w:val="auto"/>
              </w:rPr>
              <w:t>（2）方案较全面，较可行，针对性较强得</w:t>
            </w:r>
            <w:r>
              <w:rPr>
                <w:rFonts w:hint="eastAsia"/>
                <w:color w:val="auto"/>
                <w:lang w:val="en-US" w:eastAsia="zh-CN"/>
              </w:rPr>
              <w:t>5</w:t>
            </w:r>
            <w:r>
              <w:rPr>
                <w:rFonts w:hint="eastAsia"/>
                <w:color w:val="auto"/>
              </w:rPr>
              <w:t>分。</w:t>
            </w:r>
          </w:p>
          <w:p w14:paraId="64E82E5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color w:val="auto"/>
              </w:rPr>
            </w:pPr>
            <w:r>
              <w:rPr>
                <w:rFonts w:hint="eastAsia"/>
                <w:color w:val="auto"/>
              </w:rPr>
              <w:t>（3）方案基本全面，基本可行，针对性基本满足要求得</w:t>
            </w:r>
            <w:r>
              <w:rPr>
                <w:rFonts w:hint="eastAsia"/>
                <w:color w:val="auto"/>
                <w:lang w:val="en-US" w:eastAsia="zh-CN"/>
              </w:rPr>
              <w:t>3</w:t>
            </w:r>
            <w:r>
              <w:rPr>
                <w:rFonts w:hint="eastAsia"/>
                <w:color w:val="auto"/>
              </w:rPr>
              <w:t>分。</w:t>
            </w:r>
          </w:p>
          <w:p w14:paraId="2CFA8D70">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hint="eastAsia"/>
                <w:color w:val="auto"/>
              </w:rPr>
              <w:t>（4）未提供不得分。</w:t>
            </w:r>
          </w:p>
        </w:tc>
        <w:tc>
          <w:tcPr>
            <w:tcW w:w="968" w:type="dxa"/>
            <w:tcBorders>
              <w:top w:val="single" w:color="000000" w:sz="8" w:space="0"/>
              <w:left w:val="single" w:color="000000" w:sz="8" w:space="0"/>
              <w:bottom w:val="single" w:color="000000" w:sz="8" w:space="0"/>
              <w:right w:val="single" w:color="000000" w:sz="12" w:space="0"/>
            </w:tcBorders>
            <w:noWrap w:val="0"/>
            <w:tcMar>
              <w:top w:w="0" w:type="dxa"/>
              <w:left w:w="108" w:type="dxa"/>
              <w:bottom w:w="0" w:type="dxa"/>
              <w:right w:w="108" w:type="dxa"/>
            </w:tcMar>
            <w:vAlign w:val="center"/>
          </w:tcPr>
          <w:p w14:paraId="3CA41795">
            <w:pPr>
              <w:pBdr>
                <w:top w:val="none" w:color="000000" w:sz="0" w:space="0"/>
                <w:left w:val="none" w:color="000000" w:sz="0" w:space="0"/>
                <w:bottom w:val="none" w:color="000000" w:sz="0" w:space="0"/>
                <w:right w:val="none" w:color="000000" w:sz="0" w:space="0"/>
              </w:pBdr>
              <w:spacing w:before="0" w:after="0" w:line="380" w:lineRule="atLeast"/>
              <w:ind w:left="0" w:right="0" w:firstLine="0"/>
              <w:jc w:val="center"/>
              <w:rPr>
                <w:rFonts w:hint="default" w:eastAsia="宋体"/>
                <w:color w:val="auto"/>
                <w:lang w:val="en-US" w:eastAsia="zh-CN"/>
              </w:rPr>
            </w:pPr>
            <w:r>
              <w:rPr>
                <w:rFonts w:hint="eastAsia"/>
                <w:color w:val="auto"/>
                <w:lang w:val="en-US" w:eastAsia="zh-CN"/>
              </w:rPr>
              <w:t>8分</w:t>
            </w:r>
          </w:p>
        </w:tc>
      </w:tr>
      <w:tr w14:paraId="3BACD81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282" w:hRule="atLeast"/>
        </w:trPr>
        <w:tc>
          <w:tcPr>
            <w:vMerge w:val="continue"/>
            <w:noWrap w:val="0"/>
          </w:tcPr>
          <w:p w14:paraId="469F9C06">
            <w:pPr>
              <w:spacing w:after="0" w:line="240" w:lineRule="auto"/>
              <w:rPr>
                <w:color w:val="auto"/>
              </w:rPr>
            </w:pPr>
          </w:p>
        </w:tc>
        <w:tc>
          <w:tcPr>
            <w:tcW w:w="160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6C1EC8E">
            <w:pPr>
              <w:pBdr>
                <w:top w:val="none" w:color="000000" w:sz="0" w:space="0"/>
                <w:left w:val="none" w:color="000000" w:sz="0" w:space="0"/>
                <w:bottom w:val="none" w:color="000000" w:sz="0" w:space="0"/>
                <w:right w:val="none" w:color="000000" w:sz="0" w:space="0"/>
              </w:pBdr>
              <w:spacing w:before="0" w:after="0" w:line="380" w:lineRule="atLeast"/>
              <w:ind w:left="0" w:right="0" w:firstLine="0"/>
              <w:jc w:val="center"/>
              <w:rPr>
                <w:color w:val="auto"/>
              </w:rPr>
            </w:pPr>
            <w:r>
              <w:rPr>
                <w:rFonts w:hint="eastAsia"/>
                <w:color w:val="auto"/>
              </w:rPr>
              <w:t>人员组织方案</w:t>
            </w:r>
          </w:p>
        </w:tc>
        <w:tc>
          <w:tcPr>
            <w:tcW w:w="6014"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9F2495E">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color w:val="auto"/>
              </w:rPr>
            </w:pPr>
            <w:r>
              <w:rPr>
                <w:rFonts w:hint="eastAsia"/>
                <w:color w:val="auto"/>
              </w:rPr>
              <w:t>人员组织方案：评委根据供应商提供的本项目人员组织方案（包括常规养护人员调配方案、雨水设施维修人员调配方案以及人员年龄结构安排等） 综合评分：</w:t>
            </w:r>
          </w:p>
          <w:p w14:paraId="71380E4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color w:val="auto"/>
              </w:rPr>
            </w:pPr>
            <w:r>
              <w:rPr>
                <w:rFonts w:hint="eastAsia"/>
                <w:color w:val="auto"/>
              </w:rPr>
              <w:t>（1）方案全面，可行，针对性强得</w:t>
            </w:r>
            <w:r>
              <w:rPr>
                <w:rFonts w:hint="eastAsia"/>
                <w:color w:val="auto"/>
                <w:lang w:val="en-US" w:eastAsia="zh-CN"/>
              </w:rPr>
              <w:t>8</w:t>
            </w:r>
            <w:r>
              <w:rPr>
                <w:rFonts w:hint="eastAsia"/>
                <w:color w:val="auto"/>
              </w:rPr>
              <w:t>分。</w:t>
            </w:r>
          </w:p>
          <w:p w14:paraId="1B9FDCFA">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color w:val="auto"/>
              </w:rPr>
            </w:pPr>
            <w:r>
              <w:rPr>
                <w:rFonts w:hint="eastAsia"/>
                <w:color w:val="auto"/>
              </w:rPr>
              <w:t>（2）方案较全面，较可行，针对性较强得</w:t>
            </w:r>
            <w:r>
              <w:rPr>
                <w:rFonts w:hint="eastAsia"/>
                <w:color w:val="auto"/>
                <w:lang w:val="en-US" w:eastAsia="zh-CN"/>
              </w:rPr>
              <w:t>5</w:t>
            </w:r>
            <w:r>
              <w:rPr>
                <w:rFonts w:hint="eastAsia"/>
                <w:color w:val="auto"/>
              </w:rPr>
              <w:t>分。</w:t>
            </w:r>
          </w:p>
          <w:p w14:paraId="213F614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color w:val="auto"/>
              </w:rPr>
            </w:pPr>
            <w:r>
              <w:rPr>
                <w:rFonts w:hint="eastAsia"/>
                <w:color w:val="auto"/>
              </w:rPr>
              <w:t>（3）方案基本全面，基本可行，针对性基本满足要求得</w:t>
            </w:r>
            <w:r>
              <w:rPr>
                <w:rFonts w:hint="eastAsia"/>
                <w:color w:val="auto"/>
                <w:lang w:val="en-US" w:eastAsia="zh-CN"/>
              </w:rPr>
              <w:t>3</w:t>
            </w:r>
            <w:r>
              <w:rPr>
                <w:rFonts w:hint="eastAsia"/>
                <w:color w:val="auto"/>
              </w:rPr>
              <w:t>分。</w:t>
            </w:r>
          </w:p>
          <w:p w14:paraId="69DA748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hint="eastAsia"/>
                <w:color w:val="auto"/>
              </w:rPr>
              <w:t>（4）未提供不得分。</w:t>
            </w:r>
          </w:p>
        </w:tc>
        <w:tc>
          <w:tcPr>
            <w:tcW w:w="968" w:type="dxa"/>
            <w:tcBorders>
              <w:top w:val="single" w:color="000000" w:sz="8" w:space="0"/>
              <w:left w:val="single" w:color="000000" w:sz="8" w:space="0"/>
              <w:bottom w:val="single" w:color="000000" w:sz="8" w:space="0"/>
              <w:right w:val="single" w:color="000000" w:sz="12" w:space="0"/>
            </w:tcBorders>
            <w:noWrap w:val="0"/>
            <w:tcMar>
              <w:top w:w="0" w:type="dxa"/>
              <w:left w:w="108" w:type="dxa"/>
              <w:bottom w:w="0" w:type="dxa"/>
              <w:right w:w="108" w:type="dxa"/>
            </w:tcMar>
            <w:vAlign w:val="center"/>
          </w:tcPr>
          <w:p w14:paraId="71A0AD82">
            <w:pPr>
              <w:pBdr>
                <w:top w:val="none" w:color="000000" w:sz="0" w:space="0"/>
                <w:left w:val="none" w:color="000000" w:sz="0" w:space="0"/>
                <w:bottom w:val="none" w:color="000000" w:sz="0" w:space="0"/>
                <w:right w:val="none" w:color="000000" w:sz="0" w:space="0"/>
              </w:pBdr>
              <w:spacing w:before="0" w:after="0" w:line="380" w:lineRule="atLeast"/>
              <w:ind w:left="0" w:right="0" w:firstLine="0"/>
              <w:jc w:val="center"/>
              <w:rPr>
                <w:rFonts w:hint="default" w:eastAsia="宋体"/>
                <w:color w:val="auto"/>
                <w:lang w:val="en-US" w:eastAsia="zh-CN"/>
              </w:rPr>
            </w:pPr>
            <w:r>
              <w:rPr>
                <w:rFonts w:hint="eastAsia"/>
                <w:color w:val="auto"/>
                <w:lang w:val="en-US" w:eastAsia="zh-CN"/>
              </w:rPr>
              <w:t>8分</w:t>
            </w:r>
          </w:p>
        </w:tc>
      </w:tr>
      <w:tr w14:paraId="02EB505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46" w:hRule="atLeast"/>
        </w:trPr>
        <w:tc>
          <w:tcPr>
            <w:vMerge w:val="continue"/>
            <w:noWrap w:val="0"/>
          </w:tcPr>
          <w:p w14:paraId="2E49FD89">
            <w:pPr>
              <w:spacing w:after="0" w:line="240" w:lineRule="auto"/>
              <w:rPr>
                <w:color w:val="auto"/>
              </w:rPr>
            </w:pPr>
          </w:p>
        </w:tc>
        <w:tc>
          <w:tcPr>
            <w:tcW w:w="160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C9FAA01">
            <w:pPr>
              <w:pBdr>
                <w:top w:val="none" w:color="000000" w:sz="0" w:space="0"/>
                <w:left w:val="none" w:color="000000" w:sz="0" w:space="0"/>
                <w:bottom w:val="none" w:color="000000" w:sz="0" w:space="0"/>
                <w:right w:val="none" w:color="000000" w:sz="0" w:space="0"/>
              </w:pBdr>
              <w:spacing w:before="0" w:after="0" w:line="380" w:lineRule="atLeast"/>
              <w:ind w:left="0" w:right="0" w:firstLine="0"/>
              <w:jc w:val="center"/>
              <w:rPr>
                <w:color w:val="auto"/>
              </w:rPr>
            </w:pPr>
            <w:r>
              <w:rPr>
                <w:rFonts w:hint="eastAsia"/>
                <w:color w:val="auto"/>
              </w:rPr>
              <w:t>应急方案</w:t>
            </w:r>
          </w:p>
        </w:tc>
        <w:tc>
          <w:tcPr>
            <w:tcW w:w="6014"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0BF88F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color w:val="auto"/>
              </w:rPr>
            </w:pPr>
            <w:r>
              <w:rPr>
                <w:rFonts w:hint="eastAsia"/>
                <w:color w:val="auto"/>
              </w:rPr>
              <w:t>应急方案：评委根据供应商提供的本项目应急方案（包括突发性事件、应急事件、密集工作事件等）综合评分：</w:t>
            </w:r>
          </w:p>
          <w:p w14:paraId="32A51C81">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color w:val="auto"/>
              </w:rPr>
            </w:pPr>
            <w:r>
              <w:rPr>
                <w:rFonts w:hint="eastAsia"/>
                <w:color w:val="auto"/>
              </w:rPr>
              <w:t>（1）方案全面，可行，针对性强得</w:t>
            </w:r>
            <w:r>
              <w:rPr>
                <w:rFonts w:hint="eastAsia"/>
                <w:color w:val="auto"/>
                <w:lang w:val="en-US" w:eastAsia="zh-CN"/>
              </w:rPr>
              <w:t>8</w:t>
            </w:r>
            <w:r>
              <w:rPr>
                <w:rFonts w:hint="eastAsia"/>
                <w:color w:val="auto"/>
              </w:rPr>
              <w:t>分。</w:t>
            </w:r>
          </w:p>
          <w:p w14:paraId="2E8DE57E">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color w:val="auto"/>
              </w:rPr>
            </w:pPr>
            <w:r>
              <w:rPr>
                <w:rFonts w:hint="eastAsia"/>
                <w:color w:val="auto"/>
              </w:rPr>
              <w:t>（2）方案较全面，较可行，针对性较强得</w:t>
            </w:r>
            <w:r>
              <w:rPr>
                <w:rFonts w:hint="eastAsia"/>
                <w:color w:val="auto"/>
                <w:lang w:val="en-US" w:eastAsia="zh-CN"/>
              </w:rPr>
              <w:t>5</w:t>
            </w:r>
            <w:r>
              <w:rPr>
                <w:rFonts w:hint="eastAsia"/>
                <w:color w:val="auto"/>
              </w:rPr>
              <w:t>分。</w:t>
            </w:r>
          </w:p>
          <w:p w14:paraId="2407BC8A">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color w:val="auto"/>
              </w:rPr>
            </w:pPr>
            <w:r>
              <w:rPr>
                <w:rFonts w:hint="eastAsia"/>
                <w:color w:val="auto"/>
              </w:rPr>
              <w:t>（3）方案基本全面，基本可行，针对性基本满足要求得</w:t>
            </w:r>
            <w:r>
              <w:rPr>
                <w:rFonts w:hint="eastAsia"/>
                <w:color w:val="auto"/>
                <w:lang w:val="en-US" w:eastAsia="zh-CN"/>
              </w:rPr>
              <w:t>3</w:t>
            </w:r>
            <w:r>
              <w:rPr>
                <w:rFonts w:hint="eastAsia"/>
                <w:color w:val="auto"/>
              </w:rPr>
              <w:t>分。</w:t>
            </w:r>
          </w:p>
          <w:p w14:paraId="5B82619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hint="eastAsia"/>
                <w:color w:val="auto"/>
              </w:rPr>
              <w:t>（4）未提供不得分。</w:t>
            </w:r>
          </w:p>
        </w:tc>
        <w:tc>
          <w:tcPr>
            <w:tcW w:w="968" w:type="dxa"/>
            <w:tcBorders>
              <w:top w:val="single" w:color="000000" w:sz="8" w:space="0"/>
              <w:left w:val="single" w:color="000000" w:sz="8" w:space="0"/>
              <w:bottom w:val="single" w:color="000000" w:sz="8" w:space="0"/>
              <w:right w:val="single" w:color="000000" w:sz="12" w:space="0"/>
            </w:tcBorders>
            <w:noWrap w:val="0"/>
            <w:tcMar>
              <w:top w:w="0" w:type="dxa"/>
              <w:left w:w="108" w:type="dxa"/>
              <w:bottom w:w="0" w:type="dxa"/>
              <w:right w:w="108" w:type="dxa"/>
            </w:tcMar>
            <w:vAlign w:val="center"/>
          </w:tcPr>
          <w:p w14:paraId="39366329">
            <w:pPr>
              <w:pBdr>
                <w:top w:val="none" w:color="000000" w:sz="0" w:space="0"/>
                <w:left w:val="none" w:color="000000" w:sz="0" w:space="0"/>
                <w:bottom w:val="none" w:color="000000" w:sz="0" w:space="0"/>
                <w:right w:val="none" w:color="000000" w:sz="0" w:space="0"/>
              </w:pBdr>
              <w:spacing w:before="0" w:after="0" w:line="380" w:lineRule="atLeast"/>
              <w:ind w:left="0" w:right="0" w:firstLine="0"/>
              <w:jc w:val="center"/>
              <w:rPr>
                <w:rFonts w:hint="default" w:eastAsia="宋体"/>
                <w:color w:val="auto"/>
                <w:lang w:val="en-US" w:eastAsia="zh-CN"/>
              </w:rPr>
            </w:pPr>
            <w:r>
              <w:rPr>
                <w:rFonts w:hint="eastAsia"/>
                <w:color w:val="auto"/>
                <w:lang w:val="en-US" w:eastAsia="zh-CN"/>
              </w:rPr>
              <w:t>8分</w:t>
            </w:r>
          </w:p>
        </w:tc>
      </w:tr>
      <w:tr w14:paraId="2AD785B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46" w:hRule="atLeast"/>
        </w:trPr>
        <w:tc>
          <w:tcPr>
            <w:vMerge w:val="continue"/>
            <w:noWrap w:val="0"/>
          </w:tcPr>
          <w:p w14:paraId="35CBE0CE">
            <w:pPr>
              <w:spacing w:after="0" w:line="240" w:lineRule="auto"/>
              <w:rPr>
                <w:color w:val="auto"/>
              </w:rPr>
            </w:pPr>
          </w:p>
        </w:tc>
        <w:tc>
          <w:tcPr>
            <w:tcW w:w="160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8A7F7CB">
            <w:pPr>
              <w:pBdr>
                <w:top w:val="none" w:color="000000" w:sz="0" w:space="0"/>
                <w:left w:val="none" w:color="000000" w:sz="0" w:space="0"/>
                <w:bottom w:val="none" w:color="000000" w:sz="0" w:space="0"/>
                <w:right w:val="none" w:color="000000" w:sz="0" w:space="0"/>
              </w:pBdr>
              <w:spacing w:before="0" w:after="0" w:line="380" w:lineRule="atLeast"/>
              <w:ind w:left="0" w:right="0" w:firstLine="0"/>
              <w:jc w:val="center"/>
              <w:rPr>
                <w:color w:val="auto"/>
              </w:rPr>
            </w:pPr>
            <w:r>
              <w:rPr>
                <w:rFonts w:hint="eastAsia"/>
                <w:color w:val="auto"/>
              </w:rPr>
              <w:t>安全文明施工保证措施</w:t>
            </w:r>
          </w:p>
        </w:tc>
        <w:tc>
          <w:tcPr>
            <w:tcW w:w="6014"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F11BC41">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color w:val="auto"/>
              </w:rPr>
            </w:pPr>
            <w:r>
              <w:rPr>
                <w:rFonts w:hint="eastAsia"/>
                <w:color w:val="auto"/>
              </w:rPr>
              <w:t>安全文明施工保证措施：评委根据供应商提供的本项目安全文明施工保证措施（包括组织架构、进度控制、风险控制管理、质量保障措施、安全管理措施、文明施工管理措施、文档管理措施等）综合评分：</w:t>
            </w:r>
          </w:p>
          <w:p w14:paraId="74EE34B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color w:val="auto"/>
              </w:rPr>
            </w:pPr>
            <w:r>
              <w:rPr>
                <w:rFonts w:hint="eastAsia"/>
                <w:color w:val="auto"/>
              </w:rPr>
              <w:t>（1）方案完善、到位，具有良好的进度控制、风险控制管理、质量保障措施、安全管理措施、文明施工管理措施、文档管理措施等非常合理、可操作性强得8分。</w:t>
            </w:r>
          </w:p>
          <w:p w14:paraId="3F3C83C2">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color w:val="auto"/>
              </w:rPr>
            </w:pPr>
            <w:r>
              <w:rPr>
                <w:rFonts w:hint="eastAsia"/>
                <w:color w:val="auto"/>
              </w:rPr>
              <w:t>（2）方案较完善、到位，进度控制、风险控制管理、质量保障措施、安全管理措施、文明施工管理措施、文档管理措施等合理性良好、可操作性较强得5分。</w:t>
            </w:r>
          </w:p>
          <w:p w14:paraId="1ADE947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color w:val="auto"/>
              </w:rPr>
            </w:pPr>
            <w:r>
              <w:rPr>
                <w:rFonts w:hint="eastAsia"/>
                <w:color w:val="auto"/>
              </w:rPr>
              <w:t>（3）方案基本完善、到位，进度控制、风险控制管理、质量保障措施、安全管理措施、文明施工管理措施、文档管理措施等合理性、可操作性基本满足采购需求的得 3分。</w:t>
            </w:r>
          </w:p>
          <w:p w14:paraId="08D1E302">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hint="eastAsia"/>
                <w:color w:val="auto"/>
              </w:rPr>
              <w:t>（4）未提供不得分。</w:t>
            </w:r>
          </w:p>
        </w:tc>
        <w:tc>
          <w:tcPr>
            <w:tcW w:w="968" w:type="dxa"/>
            <w:tcBorders>
              <w:top w:val="single" w:color="000000" w:sz="8" w:space="0"/>
              <w:left w:val="single" w:color="000000" w:sz="8" w:space="0"/>
              <w:bottom w:val="single" w:color="000000" w:sz="8" w:space="0"/>
              <w:right w:val="single" w:color="000000" w:sz="12" w:space="0"/>
            </w:tcBorders>
            <w:noWrap w:val="0"/>
            <w:tcMar>
              <w:top w:w="0" w:type="dxa"/>
              <w:left w:w="108" w:type="dxa"/>
              <w:bottom w:w="0" w:type="dxa"/>
              <w:right w:w="108" w:type="dxa"/>
            </w:tcMar>
            <w:vAlign w:val="center"/>
          </w:tcPr>
          <w:p w14:paraId="04D7B723">
            <w:pPr>
              <w:pBdr>
                <w:top w:val="none" w:color="000000" w:sz="0" w:space="0"/>
                <w:left w:val="none" w:color="000000" w:sz="0" w:space="0"/>
                <w:bottom w:val="none" w:color="000000" w:sz="0" w:space="0"/>
                <w:right w:val="none" w:color="000000" w:sz="0" w:space="0"/>
              </w:pBdr>
              <w:spacing w:before="0" w:after="0" w:line="380" w:lineRule="atLeast"/>
              <w:ind w:left="0" w:right="0" w:firstLine="0"/>
              <w:jc w:val="center"/>
              <w:rPr>
                <w:rFonts w:hint="default" w:eastAsia="宋体"/>
                <w:color w:val="auto"/>
                <w:lang w:val="en-US" w:eastAsia="zh-CN"/>
              </w:rPr>
            </w:pPr>
            <w:r>
              <w:rPr>
                <w:rFonts w:hint="eastAsia"/>
                <w:color w:val="auto"/>
                <w:lang w:val="en-US" w:eastAsia="zh-CN"/>
              </w:rPr>
              <w:t>8分</w:t>
            </w:r>
          </w:p>
        </w:tc>
      </w:tr>
      <w:tr w14:paraId="03DE3F1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34" w:hRule="atLeast"/>
        </w:trPr>
        <w:tc>
          <w:tcPr>
            <w:tcW w:w="739" w:type="dxa"/>
            <w:tcBorders>
              <w:top w:val="single" w:color="000000" w:sz="8" w:space="0"/>
              <w:left w:val="single" w:color="000000" w:sz="12" w:space="0"/>
              <w:bottom w:val="single" w:color="000000" w:sz="8" w:space="0"/>
              <w:right w:val="single" w:color="000000" w:sz="8" w:space="0"/>
            </w:tcBorders>
            <w:noWrap w:val="0"/>
            <w:tcMar>
              <w:top w:w="0" w:type="dxa"/>
              <w:left w:w="108" w:type="dxa"/>
              <w:bottom w:w="0" w:type="dxa"/>
              <w:right w:w="108" w:type="dxa"/>
            </w:tcMar>
            <w:vAlign w:val="center"/>
          </w:tcPr>
          <w:p w14:paraId="5F3D438F">
            <w:pPr>
              <w:pBdr>
                <w:top w:val="none" w:color="000000" w:sz="0" w:space="0"/>
                <w:left w:val="none" w:color="000000" w:sz="0" w:space="0"/>
                <w:bottom w:val="none" w:color="000000" w:sz="0" w:space="0"/>
                <w:right w:val="none" w:color="000000" w:sz="0" w:space="0"/>
              </w:pBdr>
              <w:spacing w:before="12" w:after="0" w:line="85" w:lineRule="atLeast"/>
              <w:ind w:left="0" w:leftChars="0" w:right="0" w:rightChars="0" w:firstLine="0" w:firstLineChars="0"/>
              <w:jc w:val="both"/>
              <w:rPr>
                <w:color w:val="auto"/>
              </w:rPr>
            </w:pPr>
            <w:r>
              <w:rPr>
                <w:rFonts w:ascii="宋体" w:hAnsi="宋体" w:eastAsia="宋体" w:cs="宋体"/>
                <w:color w:val="auto"/>
                <w:sz w:val="21"/>
              </w:rPr>
              <w:t>3</w:t>
            </w:r>
          </w:p>
        </w:tc>
        <w:tc>
          <w:tcPr>
            <w:tcW w:w="160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FE50B57">
            <w:pPr>
              <w:pBdr>
                <w:top w:val="none" w:color="000000" w:sz="0" w:space="0"/>
                <w:left w:val="none" w:color="000000" w:sz="0" w:space="0"/>
                <w:bottom w:val="none" w:color="000000" w:sz="0" w:space="0"/>
                <w:right w:val="none" w:color="000000" w:sz="0" w:space="0"/>
              </w:pBdr>
              <w:spacing w:before="12" w:after="0" w:line="85" w:lineRule="atLeast"/>
              <w:ind w:left="0" w:leftChars="0" w:right="0" w:rightChars="0" w:firstLine="0" w:firstLineChars="0"/>
              <w:jc w:val="both"/>
              <w:rPr>
                <w:color w:val="auto"/>
                <w:highlight w:val="yellow"/>
              </w:rPr>
            </w:pPr>
            <w:r>
              <w:rPr>
                <w:rFonts w:ascii="宋体" w:hAnsi="宋体" w:eastAsia="宋体" w:cs="宋体"/>
                <w:color w:val="auto"/>
                <w:sz w:val="21"/>
              </w:rPr>
              <w:t>供应商业绩</w:t>
            </w:r>
          </w:p>
        </w:tc>
        <w:tc>
          <w:tcPr>
            <w:tcW w:w="6014"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F38941B">
            <w:pPr>
              <w:pBdr>
                <w:top w:val="none" w:color="000000" w:sz="0" w:space="0"/>
                <w:left w:val="none" w:color="000000" w:sz="0" w:space="0"/>
                <w:bottom w:val="none" w:color="000000" w:sz="0" w:space="0"/>
                <w:right w:val="none" w:color="000000" w:sz="0" w:space="0"/>
              </w:pBdr>
              <w:spacing w:before="12" w:after="0" w:line="85" w:lineRule="atLeast"/>
              <w:ind w:left="0" w:leftChars="0" w:right="0" w:rightChars="0" w:firstLine="0" w:firstLineChars="0"/>
              <w:jc w:val="both"/>
              <w:rPr>
                <w:color w:val="auto"/>
                <w:highlight w:val="yellow"/>
              </w:rPr>
            </w:pPr>
            <w:r>
              <w:rPr>
                <w:rFonts w:hint="eastAsia"/>
                <w:color w:val="auto"/>
              </w:rPr>
              <w:t>2023年</w:t>
            </w:r>
            <w:r>
              <w:rPr>
                <w:rFonts w:hint="eastAsia"/>
                <w:color w:val="auto"/>
                <w:lang w:val="en-US" w:eastAsia="zh-CN"/>
              </w:rPr>
              <w:t>1</w:t>
            </w:r>
            <w:r>
              <w:rPr>
                <w:rFonts w:hint="eastAsia"/>
                <w:color w:val="auto"/>
              </w:rPr>
              <w:t>月1日以来（以合同签订时间为准），供应商承担过类似管道养护或应急维修项目业绩的有一个得3分，最高得9分。（提供合同原件扫描件上传至投标文件中，时间以合同签订时间为准，合同须能反映相关信息，否则视为未提供）</w:t>
            </w:r>
          </w:p>
        </w:tc>
        <w:tc>
          <w:tcPr>
            <w:tcW w:w="968" w:type="dxa"/>
            <w:tcBorders>
              <w:top w:val="single" w:color="000000" w:sz="8" w:space="0"/>
              <w:left w:val="single" w:color="000000" w:sz="8" w:space="0"/>
              <w:bottom w:val="single" w:color="000000" w:sz="8" w:space="0"/>
              <w:right w:val="single" w:color="000000" w:sz="12" w:space="0"/>
            </w:tcBorders>
            <w:noWrap w:val="0"/>
            <w:tcMar>
              <w:top w:w="0" w:type="dxa"/>
              <w:left w:w="108" w:type="dxa"/>
              <w:bottom w:w="0" w:type="dxa"/>
              <w:right w:w="108" w:type="dxa"/>
            </w:tcMar>
            <w:vAlign w:val="center"/>
          </w:tcPr>
          <w:p w14:paraId="688EEDF5">
            <w:pPr>
              <w:pBdr>
                <w:top w:val="none" w:color="000000" w:sz="0" w:space="0"/>
                <w:left w:val="none" w:color="000000" w:sz="0" w:space="0"/>
                <w:bottom w:val="none" w:color="000000" w:sz="0" w:space="0"/>
                <w:right w:val="none" w:color="000000" w:sz="0" w:space="0"/>
              </w:pBdr>
              <w:spacing w:before="12" w:after="0" w:line="85" w:lineRule="atLeast"/>
              <w:ind w:left="0" w:leftChars="0" w:right="0" w:rightChars="0" w:firstLine="0" w:firstLineChars="0"/>
              <w:jc w:val="center"/>
              <w:rPr>
                <w:color w:val="auto"/>
              </w:rPr>
            </w:pPr>
            <w:r>
              <w:rPr>
                <w:rFonts w:ascii="宋体" w:hAnsi="宋体" w:eastAsia="宋体" w:cs="宋体"/>
                <w:color w:val="auto"/>
                <w:sz w:val="21"/>
              </w:rPr>
              <w:t>9</w:t>
            </w:r>
          </w:p>
        </w:tc>
      </w:tr>
      <w:tr w14:paraId="271FB21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34" w:hRule="atLeast"/>
        </w:trPr>
        <w:tc>
          <w:tcPr>
            <w:tcW w:w="739" w:type="dxa"/>
            <w:tcBorders>
              <w:top w:val="single" w:color="000000" w:sz="8" w:space="0"/>
              <w:left w:val="single" w:color="000000" w:sz="12" w:space="0"/>
              <w:bottom w:val="single" w:color="000000" w:sz="8" w:space="0"/>
              <w:right w:val="single" w:color="000000" w:sz="8" w:space="0"/>
            </w:tcBorders>
            <w:noWrap w:val="0"/>
            <w:tcMar>
              <w:top w:w="0" w:type="dxa"/>
              <w:left w:w="108" w:type="dxa"/>
              <w:bottom w:w="0" w:type="dxa"/>
              <w:right w:w="108" w:type="dxa"/>
            </w:tcMar>
            <w:vAlign w:val="center"/>
          </w:tcPr>
          <w:p w14:paraId="7E5CD89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Times New Roman" w:hAnsi="Times New Roman" w:eastAsia="宋体" w:cs="Times New Roman"/>
                <w:color w:val="auto"/>
                <w:sz w:val="21"/>
                <w:highlight w:val="none"/>
                <w:lang w:val="en-US" w:eastAsia="zh-CN"/>
              </w:rPr>
            </w:pPr>
            <w:r>
              <w:rPr>
                <w:rFonts w:hint="eastAsia" w:cs="Times New Roman"/>
                <w:color w:val="auto"/>
                <w:sz w:val="21"/>
                <w:highlight w:val="none"/>
                <w:lang w:val="en-US" w:eastAsia="zh-CN"/>
              </w:rPr>
              <w:t>4</w:t>
            </w:r>
          </w:p>
        </w:tc>
        <w:tc>
          <w:tcPr>
            <w:tcW w:w="160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C2E0DFA">
            <w:pPr>
              <w:spacing w:after="0"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履约设备</w:t>
            </w:r>
          </w:p>
        </w:tc>
        <w:tc>
          <w:tcPr>
            <w:tcW w:w="6014"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036EF23">
            <w:pP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供应商拟投入本项目以下设备：</w:t>
            </w:r>
          </w:p>
          <w:p w14:paraId="63238DFB">
            <w:pP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1、发电机组（不小于45KW）（3分）：每提供1台设备得1.5分，最多3分； </w:t>
            </w:r>
          </w:p>
          <w:p w14:paraId="0B2E01AE">
            <w:pP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2、管道检测潜望镜（3分）：每提供1台设备得1.5分，最多3分； </w:t>
            </w:r>
          </w:p>
          <w:p w14:paraId="7394D14A">
            <w:pP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3、管道检测机器人（3分）：每提供1台设备得1.5分，最多3分； </w:t>
            </w:r>
          </w:p>
          <w:p w14:paraId="35126B65">
            <w:pP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4、有害气体检测仪（1.5分）：每提供1台设备得1.5分，最</w:t>
            </w:r>
          </w:p>
          <w:p w14:paraId="214A8867">
            <w:pP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多1.5分；</w:t>
            </w:r>
          </w:p>
          <w:p w14:paraId="28A02F19">
            <w:pP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5、管道声呐检测系统（1.5分）：每提供1台设备得1.5分，最多1.5分； </w:t>
            </w:r>
          </w:p>
          <w:p w14:paraId="68C45744">
            <w:pPr>
              <w:spacing w:after="0" w:line="24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本项最多得12分</w:t>
            </w:r>
            <w:r>
              <w:rPr>
                <w:rFonts w:hint="eastAsia" w:ascii="宋体" w:hAnsi="宋体" w:eastAsia="宋体" w:cs="宋体"/>
                <w:color w:val="auto"/>
                <w:sz w:val="21"/>
                <w:szCs w:val="21"/>
                <w:highlight w:val="none"/>
              </w:rPr>
              <w:t>。</w:t>
            </w:r>
          </w:p>
          <w:p w14:paraId="291994E2">
            <w:pP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注：1、以上设备若为自有的，须提供相应设备购买发票、设备照片及反映评分参数要求的证明材料复印件加盖公章编入投标文件中，发票抬头须为供应商名称，否则不得分；</w:t>
            </w:r>
          </w:p>
          <w:p w14:paraId="5C5E0C05">
            <w:pP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以上设备若为租赁的，须提供租赁合同【租赁合同应能体现设备租用期并且设备租赁期须覆盖合同履行期（投标截止时间后12个月）（如合同不能体现，需提供租赁方出具的加盖租赁方公章的租赁期证明）】、设备照片及反映评分参数要求的证明材料复印件加盖公章编入投标文件中。</w:t>
            </w:r>
          </w:p>
          <w:p w14:paraId="764E92A6">
            <w:pPr>
              <w:spacing w:after="0" w:line="24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3、允许提供的设备名称与评分标准给定名称有差别，但不能改变设备实质性功能，否则不得分。如提供的设备名称不一致，须提供设备的主要功能介绍并附证明材料。</w:t>
            </w:r>
          </w:p>
        </w:tc>
        <w:tc>
          <w:tcPr>
            <w:tcW w:w="968" w:type="dxa"/>
            <w:tcBorders>
              <w:top w:val="single" w:color="000000" w:sz="8" w:space="0"/>
              <w:left w:val="single" w:color="000000" w:sz="8" w:space="0"/>
              <w:bottom w:val="single" w:color="000000" w:sz="8" w:space="0"/>
              <w:right w:val="single" w:color="000000" w:sz="12" w:space="0"/>
            </w:tcBorders>
            <w:noWrap w:val="0"/>
            <w:tcMar>
              <w:top w:w="0" w:type="dxa"/>
              <w:left w:w="108" w:type="dxa"/>
              <w:bottom w:w="0" w:type="dxa"/>
              <w:right w:w="108" w:type="dxa"/>
            </w:tcMar>
            <w:vAlign w:val="center"/>
          </w:tcPr>
          <w:p w14:paraId="1E5114A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Times New Roman" w:hAnsi="Times New Roman" w:eastAsia="宋体" w:cs="Times New Roman"/>
                <w:color w:val="auto"/>
                <w:sz w:val="21"/>
                <w:lang w:val="en-US" w:eastAsia="zh-CN"/>
              </w:rPr>
            </w:pPr>
            <w:r>
              <w:rPr>
                <w:rFonts w:hint="eastAsia" w:cs="Times New Roman"/>
                <w:color w:val="auto"/>
                <w:sz w:val="21"/>
                <w:lang w:val="en-US" w:eastAsia="zh-CN"/>
              </w:rPr>
              <w:t>12分</w:t>
            </w:r>
          </w:p>
        </w:tc>
      </w:tr>
      <w:tr w14:paraId="3A10C1A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2" w:hRule="atLeast"/>
        </w:trPr>
        <w:tc>
          <w:tcPr>
            <w:tcW w:w="73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598192A">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highlight w:val="none"/>
              </w:rPr>
            </w:pPr>
            <w:r>
              <w:rPr>
                <w:rFonts w:ascii="Times New Roman" w:hAnsi="Times New Roman" w:eastAsia="Times New Roman" w:cs="Times New Roman"/>
                <w:color w:val="auto"/>
                <w:sz w:val="21"/>
                <w:highlight w:val="none"/>
              </w:rPr>
              <w:t>4</w:t>
            </w:r>
          </w:p>
        </w:tc>
        <w:tc>
          <w:tcPr>
            <w:tcW w:w="160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D65FF22">
            <w:pPr>
              <w:spacing w:after="0" w:line="24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实施车辆</w:t>
            </w:r>
          </w:p>
        </w:tc>
        <w:tc>
          <w:tcPr>
            <w:tcW w:w="6014"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99C700F">
            <w:pP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供应商拟投入本项目以下车辆：</w:t>
            </w:r>
          </w:p>
          <w:p w14:paraId="7FAD80A1">
            <w:pP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1、下水道联合疏通车（4分）：每提供1台车辆得2分，最多4分； </w:t>
            </w:r>
          </w:p>
          <w:p w14:paraId="33B4387A">
            <w:pP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2、吸污车（4分）：每提供1台车辆得2分，最多4分； </w:t>
            </w:r>
          </w:p>
          <w:p w14:paraId="588D6E1C">
            <w:pP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3、污泥车或自卸式垃圾车（运送淤泥使用）（4分）：每提供 1台车辆得2分，最多4分； </w:t>
            </w:r>
          </w:p>
          <w:p w14:paraId="5C29773C">
            <w:pP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4、防汛泵车或防汛救险车（功率不小于90KW）（6分）：每提供1台车辆得3分，最多6 分。 </w:t>
            </w:r>
          </w:p>
          <w:p w14:paraId="17953ECA">
            <w:pPr>
              <w:spacing w:after="0" w:line="24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本项最多得 18分。</w:t>
            </w:r>
          </w:p>
          <w:p w14:paraId="045B23B1">
            <w:pP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注：1、以上车辆若为自有的，须提供相应车辆购买发票、有效期内行驶证、车辆照片及反映评分参数要求的证明材料复印件加盖公章编入投标文件中，发票抬头须为供应商名称，否则不得分；</w:t>
            </w:r>
          </w:p>
          <w:p w14:paraId="3F08DC61">
            <w:pP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以上车辆若为租赁的，须提供租赁合同租赁合同应能体现设备租用期并且设备租赁期须覆盖合同履行期（投标截止时间后12个月）（如合同不能体现，需提供租赁方出具的加盖租赁方公章的租赁期证明）】、有效期内行驶证、车辆照片及反映评分参数要求的证明材料复印件加盖公章编入投标文件中。</w:t>
            </w:r>
          </w:p>
          <w:p w14:paraId="730CA9AC">
            <w:pPr>
              <w:spacing w:after="0" w:line="24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注：允许提供的车辆名称与评分标准给定名称有差别，但不能改变车辆实质性功能，否则不得分。如提供的车辆名称不一致，须提供车辆的主要功能介绍并附证明材料。</w:t>
            </w:r>
          </w:p>
        </w:tc>
        <w:tc>
          <w:tcPr>
            <w:tcW w:w="968" w:type="dxa"/>
            <w:tcBorders>
              <w:top w:val="single" w:color="000000" w:sz="8" w:space="0"/>
              <w:left w:val="nil"/>
              <w:bottom w:val="single" w:color="000000" w:sz="8" w:space="0"/>
              <w:right w:val="single" w:color="000000" w:sz="12" w:space="0"/>
            </w:tcBorders>
            <w:noWrap w:val="0"/>
            <w:tcMar>
              <w:top w:w="0" w:type="dxa"/>
              <w:left w:w="108" w:type="dxa"/>
              <w:bottom w:w="0" w:type="dxa"/>
              <w:right w:w="108" w:type="dxa"/>
            </w:tcMar>
            <w:vAlign w:val="center"/>
          </w:tcPr>
          <w:p w14:paraId="1AB22CF1">
            <w:pPr>
              <w:pBdr>
                <w:top w:val="none" w:color="000000" w:sz="0" w:space="0"/>
                <w:left w:val="none" w:color="000000" w:sz="0" w:space="0"/>
                <w:bottom w:val="none" w:color="000000" w:sz="0" w:space="0"/>
                <w:right w:val="none" w:color="000000" w:sz="0" w:space="0"/>
              </w:pBdr>
              <w:spacing w:before="0" w:after="0" w:line="380" w:lineRule="atLeast"/>
              <w:ind w:left="0" w:right="0" w:firstLine="0"/>
              <w:jc w:val="center"/>
              <w:rPr>
                <w:color w:val="auto"/>
                <w:highlight w:val="none"/>
              </w:rPr>
            </w:pPr>
            <w:r>
              <w:rPr>
                <w:rFonts w:hint="eastAsia" w:ascii="宋体" w:hAnsi="宋体" w:cs="宋体"/>
                <w:b/>
                <w:color w:val="auto"/>
                <w:sz w:val="21"/>
                <w:highlight w:val="none"/>
                <w:lang w:val="en-US" w:eastAsia="zh-CN"/>
              </w:rPr>
              <w:t>18</w:t>
            </w:r>
            <w:r>
              <w:rPr>
                <w:rFonts w:ascii="宋体" w:hAnsi="宋体" w:eastAsia="宋体" w:cs="宋体"/>
                <w:b/>
                <w:color w:val="auto"/>
                <w:sz w:val="21"/>
                <w:highlight w:val="none"/>
              </w:rPr>
              <w:t>分</w:t>
            </w:r>
          </w:p>
        </w:tc>
      </w:tr>
      <w:tr w14:paraId="0DDA535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2" w:hRule="atLeast"/>
        </w:trPr>
        <w:tc>
          <w:tcPr>
            <w:tcW w:w="739" w:type="dxa"/>
            <w:vMerge w:val="restart"/>
            <w:tcBorders>
              <w:top w:val="nil"/>
              <w:left w:val="single" w:color="000000" w:sz="8" w:space="0"/>
              <w:right w:val="single" w:color="000000" w:sz="8" w:space="0"/>
            </w:tcBorders>
            <w:noWrap w:val="0"/>
            <w:tcMar>
              <w:top w:w="0" w:type="dxa"/>
              <w:left w:w="108" w:type="dxa"/>
              <w:bottom w:w="0" w:type="dxa"/>
              <w:right w:w="108" w:type="dxa"/>
            </w:tcMar>
            <w:vAlign w:val="center"/>
          </w:tcPr>
          <w:p w14:paraId="347E5024">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Times New Roman" w:hAnsi="Times New Roman" w:eastAsia="Times New Roman" w:cs="Times New Roman"/>
                <w:color w:val="auto"/>
                <w:sz w:val="21"/>
              </w:rPr>
              <w:t>5</w:t>
            </w:r>
          </w:p>
        </w:tc>
        <w:tc>
          <w:tcPr>
            <w:tcW w:w="160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B621AFD">
            <w:pPr>
              <w:spacing w:after="0" w:line="240" w:lineRule="auto"/>
              <w:jc w:val="left"/>
              <w:rPr>
                <w:rFonts w:hint="eastAsia" w:ascii="宋体" w:hAnsi="宋体" w:eastAsia="宋体" w:cs="宋体"/>
                <w:color w:val="auto"/>
                <w:sz w:val="21"/>
                <w:szCs w:val="21"/>
                <w:highlight w:val="yellow"/>
              </w:rPr>
            </w:pPr>
            <w:r>
              <w:rPr>
                <w:rFonts w:hint="eastAsia" w:ascii="宋体" w:hAnsi="宋体" w:eastAsia="宋体" w:cs="宋体"/>
                <w:color w:val="auto"/>
                <w:sz w:val="21"/>
                <w:highlight w:val="none"/>
              </w:rPr>
              <w:t>项目负责人、项目技术负责人</w:t>
            </w:r>
          </w:p>
        </w:tc>
        <w:tc>
          <w:tcPr>
            <w:tcW w:w="6014" w:type="dxa"/>
            <w:tcBorders>
              <w:top w:val="nil"/>
              <w:left w:val="nil"/>
              <w:bottom w:val="single" w:color="000000" w:sz="8" w:space="0"/>
              <w:right w:val="single" w:color="000000" w:sz="8" w:space="0"/>
            </w:tcBorders>
            <w:shd w:val="clear" w:color="auto" w:fill="auto"/>
            <w:noWrap w:val="0"/>
            <w:tcMar>
              <w:top w:w="0" w:type="dxa"/>
              <w:left w:w="108" w:type="dxa"/>
              <w:bottom w:w="0" w:type="dxa"/>
              <w:right w:w="108" w:type="dxa"/>
            </w:tcMar>
            <w:vAlign w:val="center"/>
          </w:tcPr>
          <w:p w14:paraId="58E17CE3">
            <w:pPr>
              <w:spacing w:after="0"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项目负责人：</w:t>
            </w:r>
            <w:r>
              <w:rPr>
                <w:rFonts w:hint="eastAsia" w:ascii="宋体" w:hAnsi="宋体" w:eastAsia="宋体" w:cs="宋体"/>
                <w:color w:val="auto"/>
                <w:sz w:val="21"/>
                <w:szCs w:val="21"/>
                <w:highlight w:val="none"/>
              </w:rPr>
              <w:t>供应商拟投入本项目负责人须具有市政给排水专业中级工程师得2分，市政给排水专业高级工程师及以上职称得</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分，其他不得分。</w:t>
            </w:r>
          </w:p>
          <w:p w14:paraId="4B6393AE">
            <w:pPr>
              <w:spacing w:after="0" w:line="24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项目技术负责人：</w:t>
            </w:r>
            <w:r>
              <w:rPr>
                <w:rFonts w:hint="eastAsia" w:ascii="宋体" w:hAnsi="宋体" w:eastAsia="宋体" w:cs="宋体"/>
                <w:color w:val="auto"/>
                <w:sz w:val="21"/>
                <w:szCs w:val="21"/>
                <w:highlight w:val="none"/>
              </w:rPr>
              <w:t>供应商拟投入本项目技术负责人须具有市政给排水专业中级工程师得</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分，市政给排水专业高级工程师及以上职称得</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分，其他不得分。</w:t>
            </w:r>
          </w:p>
          <w:p w14:paraId="0788F1F2">
            <w:pPr>
              <w:spacing w:after="0" w:line="240" w:lineRule="auto"/>
              <w:rPr>
                <w:rFonts w:hint="eastAsia" w:ascii="宋体" w:hAnsi="宋体" w:eastAsia="宋体" w:cs="宋体"/>
                <w:b/>
                <w:color w:val="auto"/>
                <w:sz w:val="21"/>
                <w:szCs w:val="21"/>
                <w:highlight w:val="yellow"/>
                <w:lang w:val="en-US" w:eastAsia="zh-CN" w:bidi="ar-SA"/>
              </w:rPr>
            </w:pPr>
            <w:r>
              <w:rPr>
                <w:rFonts w:hint="eastAsia" w:ascii="宋体" w:hAnsi="宋体" w:eastAsia="宋体" w:cs="宋体"/>
                <w:color w:val="auto"/>
                <w:sz w:val="21"/>
                <w:szCs w:val="21"/>
                <w:highlight w:val="none"/>
              </w:rPr>
              <w:t xml:space="preserve"> (提供职称证书及供应商为其缴纳的202</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年</w:t>
            </w:r>
            <w:r>
              <w:rPr>
                <w:rFonts w:hint="eastAsia" w:ascii="宋体" w:hAnsi="宋体" w:cs="宋体"/>
                <w:color w:val="auto"/>
                <w:sz w:val="21"/>
                <w:szCs w:val="21"/>
                <w:highlight w:val="none"/>
                <w:lang w:val="en-US" w:eastAsia="zh-CN"/>
              </w:rPr>
              <w:t>11</w:t>
            </w:r>
            <w:r>
              <w:rPr>
                <w:rFonts w:hint="eastAsia" w:ascii="宋体" w:hAnsi="宋体" w:eastAsia="宋体" w:cs="宋体"/>
                <w:color w:val="auto"/>
                <w:sz w:val="21"/>
                <w:szCs w:val="21"/>
                <w:highlight w:val="none"/>
              </w:rPr>
              <w:t>月</w:t>
            </w:r>
            <w:r>
              <w:rPr>
                <w:rFonts w:hint="eastAsia" w:ascii="宋体" w:hAnsi="宋体" w:cs="宋体"/>
                <w:color w:val="auto"/>
                <w:sz w:val="21"/>
                <w:szCs w:val="21"/>
                <w:highlight w:val="none"/>
                <w:lang w:val="en-US" w:eastAsia="zh-CN"/>
              </w:rPr>
              <w:t>以来</w:t>
            </w:r>
            <w:r>
              <w:rPr>
                <w:rFonts w:hint="eastAsia" w:ascii="宋体" w:hAnsi="宋体" w:eastAsia="宋体" w:cs="宋体"/>
                <w:color w:val="auto"/>
                <w:sz w:val="21"/>
                <w:szCs w:val="21"/>
                <w:highlight w:val="none"/>
              </w:rPr>
              <w:t>任意1个月的养老保险缴费证明材料（劳动保障部门出具的社保证明材料，须加盖社保中心章或社保中心参保缴费证明电子专用章）加盖公章编入投标文件中，缺一本项不得分。职称证书如不体现专业，以评审表专业为准）。</w:t>
            </w:r>
          </w:p>
        </w:tc>
        <w:tc>
          <w:tcPr>
            <w:tcW w:w="968" w:type="dxa"/>
            <w:tcBorders>
              <w:top w:val="single" w:color="000000" w:sz="8" w:space="0"/>
              <w:left w:val="nil"/>
              <w:bottom w:val="single" w:color="000000" w:sz="8" w:space="0"/>
              <w:right w:val="single" w:color="000000" w:sz="12" w:space="0"/>
            </w:tcBorders>
            <w:shd w:val="clear" w:color="auto" w:fill="auto"/>
            <w:noWrap w:val="0"/>
            <w:tcMar>
              <w:top w:w="0" w:type="dxa"/>
              <w:left w:w="108" w:type="dxa"/>
              <w:bottom w:w="0" w:type="dxa"/>
              <w:right w:w="108" w:type="dxa"/>
            </w:tcMar>
            <w:vAlign w:val="center"/>
          </w:tcPr>
          <w:p w14:paraId="43F040D2">
            <w:pPr>
              <w:spacing w:after="0" w:line="240" w:lineRule="auto"/>
              <w:jc w:val="center"/>
              <w:rPr>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rPr>
              <w:t>5分</w:t>
            </w:r>
          </w:p>
        </w:tc>
      </w:tr>
      <w:tr w14:paraId="485CA35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2" w:hRule="atLeast"/>
        </w:trPr>
        <w:tc>
          <w:tcPr>
            <w:tcW w:w="739" w:type="dxa"/>
            <w:vMerge w:val="continue"/>
            <w:tcBorders>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E08E218">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p>
        </w:tc>
        <w:tc>
          <w:tcPr>
            <w:tcW w:w="160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6A36A31">
            <w:pPr>
              <w:pBdr>
                <w:top w:val="none" w:color="000000" w:sz="0" w:space="0"/>
                <w:left w:val="none" w:color="000000" w:sz="0" w:space="0"/>
                <w:bottom w:val="none" w:color="000000" w:sz="0" w:space="0"/>
                <w:right w:val="none" w:color="000000" w:sz="0" w:space="0"/>
              </w:pBdr>
              <w:spacing w:before="0" w:after="0" w:line="380" w:lineRule="atLeast"/>
              <w:ind w:left="0" w:leftChars="0" w:right="0" w:rightChars="0" w:firstLine="0" w:firstLineChars="0"/>
              <w:jc w:val="both"/>
              <w:rPr>
                <w:color w:val="auto"/>
                <w:highlight w:val="yellow"/>
              </w:rPr>
            </w:pPr>
            <w:r>
              <w:rPr>
                <w:rFonts w:ascii="宋体" w:hAnsi="宋体" w:eastAsia="宋体" w:cs="宋体"/>
                <w:color w:val="auto"/>
                <w:sz w:val="21"/>
                <w:highlight w:val="none"/>
              </w:rPr>
              <w:t>项目组人员</w:t>
            </w:r>
          </w:p>
        </w:tc>
        <w:tc>
          <w:tcPr>
            <w:tcW w:w="6014"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E81B376">
            <w:pPr>
              <w:widowControl w:val="0"/>
              <w:spacing w:after="0" w:line="240" w:lineRule="auto"/>
              <w:rPr>
                <w:rFonts w:hint="default" w:ascii="宋体" w:hAnsi="宋体" w:eastAsia="宋体"/>
                <w:b/>
                <w:color w:val="auto"/>
                <w:kern w:val="2"/>
                <w:sz w:val="21"/>
                <w:szCs w:val="21"/>
                <w:highlight w:val="none"/>
              </w:rPr>
            </w:pPr>
            <w:r>
              <w:rPr>
                <w:rFonts w:hint="eastAsia" w:ascii="宋体" w:hAnsi="宋体" w:eastAsia="宋体"/>
                <w:b/>
                <w:color w:val="auto"/>
                <w:kern w:val="2"/>
                <w:sz w:val="21"/>
                <w:szCs w:val="21"/>
                <w:highlight w:val="none"/>
              </w:rPr>
              <w:t>供应商拟投入本项目项目</w:t>
            </w:r>
            <w:r>
              <w:rPr>
                <w:rFonts w:hint="default" w:ascii="宋体" w:hAnsi="宋体" w:eastAsia="宋体"/>
                <w:b/>
                <w:color w:val="auto"/>
                <w:kern w:val="2"/>
                <w:sz w:val="21"/>
                <w:szCs w:val="21"/>
                <w:highlight w:val="none"/>
              </w:rPr>
              <w:t>组</w:t>
            </w:r>
            <w:r>
              <w:rPr>
                <w:rFonts w:hint="eastAsia" w:ascii="宋体" w:hAnsi="宋体" w:eastAsia="宋体"/>
                <w:b/>
                <w:color w:val="auto"/>
                <w:kern w:val="2"/>
                <w:sz w:val="21"/>
                <w:szCs w:val="21"/>
                <w:highlight w:val="none"/>
              </w:rPr>
              <w:t>其他</w:t>
            </w:r>
            <w:r>
              <w:rPr>
                <w:rFonts w:hint="default" w:ascii="宋体" w:hAnsi="宋体" w:eastAsia="宋体"/>
                <w:b/>
                <w:color w:val="auto"/>
                <w:kern w:val="2"/>
                <w:sz w:val="21"/>
                <w:szCs w:val="21"/>
                <w:highlight w:val="none"/>
              </w:rPr>
              <w:t>成员（</w:t>
            </w:r>
            <w:r>
              <w:rPr>
                <w:rFonts w:hint="eastAsia" w:ascii="宋体" w:hAnsi="宋体" w:eastAsia="宋体"/>
                <w:b/>
                <w:color w:val="auto"/>
                <w:kern w:val="2"/>
                <w:sz w:val="21"/>
                <w:szCs w:val="21"/>
                <w:highlight w:val="none"/>
              </w:rPr>
              <w:t>不含</w:t>
            </w:r>
            <w:r>
              <w:rPr>
                <w:rFonts w:hint="default" w:ascii="宋体" w:hAnsi="宋体" w:eastAsia="宋体"/>
                <w:b/>
                <w:color w:val="auto"/>
                <w:kern w:val="2"/>
                <w:sz w:val="21"/>
                <w:szCs w:val="21"/>
                <w:highlight w:val="none"/>
              </w:rPr>
              <w:t>项目负责人、</w:t>
            </w:r>
            <w:r>
              <w:rPr>
                <w:rFonts w:hint="eastAsia" w:ascii="宋体" w:hAnsi="宋体" w:eastAsia="宋体"/>
                <w:b/>
                <w:color w:val="auto"/>
                <w:kern w:val="2"/>
                <w:sz w:val="21"/>
                <w:szCs w:val="21"/>
                <w:highlight w:val="none"/>
              </w:rPr>
              <w:t>项目</w:t>
            </w:r>
            <w:r>
              <w:rPr>
                <w:rFonts w:hint="default" w:ascii="宋体" w:hAnsi="宋体" w:eastAsia="宋体"/>
                <w:b/>
                <w:color w:val="auto"/>
                <w:kern w:val="2"/>
                <w:sz w:val="21"/>
                <w:szCs w:val="21"/>
                <w:highlight w:val="none"/>
              </w:rPr>
              <w:t>技术负责人）</w:t>
            </w:r>
            <w:r>
              <w:rPr>
                <w:rFonts w:hint="eastAsia" w:ascii="宋体" w:hAnsi="宋体" w:eastAsia="宋体"/>
                <w:b/>
                <w:color w:val="auto"/>
                <w:kern w:val="2"/>
                <w:sz w:val="21"/>
                <w:szCs w:val="21"/>
                <w:highlight w:val="none"/>
              </w:rPr>
              <w:t>：</w:t>
            </w:r>
          </w:p>
          <w:p w14:paraId="7609B3EA">
            <w:pPr>
              <w:widowControl w:val="0"/>
              <w:spacing w:after="0" w:line="240" w:lineRule="auto"/>
              <w:rPr>
                <w:rFonts w:hint="default" w:ascii="宋体" w:hAnsi="宋体" w:eastAsia="宋体"/>
                <w:color w:val="auto"/>
                <w:kern w:val="2"/>
                <w:sz w:val="21"/>
                <w:szCs w:val="21"/>
                <w:highlight w:val="none"/>
              </w:rPr>
            </w:pPr>
            <w:r>
              <w:rPr>
                <w:rFonts w:hint="eastAsia" w:ascii="宋体" w:hAnsi="宋体" w:eastAsia="宋体"/>
                <w:color w:val="auto"/>
                <w:kern w:val="2"/>
                <w:sz w:val="21"/>
                <w:szCs w:val="21"/>
                <w:highlight w:val="none"/>
              </w:rPr>
              <w:t>1、</w:t>
            </w:r>
            <w:r>
              <w:rPr>
                <w:rFonts w:hint="eastAsia" w:ascii="宋体" w:hAnsi="宋体"/>
                <w:color w:val="auto"/>
                <w:kern w:val="2"/>
                <w:sz w:val="21"/>
                <w:szCs w:val="21"/>
                <w:highlight w:val="none"/>
                <w:lang w:val="en-US" w:eastAsia="zh-CN"/>
              </w:rPr>
              <w:t>项目组其他成员中有</w:t>
            </w:r>
            <w:r>
              <w:rPr>
                <w:rFonts w:hint="eastAsia" w:ascii="宋体" w:hAnsi="宋体" w:eastAsia="宋体"/>
                <w:color w:val="auto"/>
                <w:kern w:val="2"/>
                <w:sz w:val="21"/>
                <w:szCs w:val="21"/>
                <w:highlight w:val="none"/>
              </w:rPr>
              <w:t>二级及以上注册造价工程师得</w:t>
            </w:r>
            <w:r>
              <w:rPr>
                <w:rFonts w:hint="eastAsia" w:ascii="宋体" w:hAnsi="宋体"/>
                <w:color w:val="auto"/>
                <w:kern w:val="2"/>
                <w:sz w:val="21"/>
                <w:szCs w:val="21"/>
                <w:highlight w:val="none"/>
                <w:lang w:val="en-US" w:eastAsia="zh-CN"/>
              </w:rPr>
              <w:t>2</w:t>
            </w:r>
            <w:r>
              <w:rPr>
                <w:rFonts w:hint="eastAsia" w:ascii="宋体" w:hAnsi="宋体" w:eastAsia="宋体"/>
                <w:color w:val="auto"/>
                <w:kern w:val="2"/>
                <w:sz w:val="21"/>
                <w:szCs w:val="21"/>
                <w:highlight w:val="none"/>
              </w:rPr>
              <w:t>分，安全员（提供行政主管部门颁发的安全生产考核合格证书）得1分，满分</w:t>
            </w:r>
            <w:r>
              <w:rPr>
                <w:rFonts w:hint="eastAsia" w:ascii="宋体" w:hAnsi="宋体"/>
                <w:color w:val="auto"/>
                <w:kern w:val="2"/>
                <w:sz w:val="21"/>
                <w:szCs w:val="21"/>
                <w:highlight w:val="none"/>
                <w:lang w:val="en-US" w:eastAsia="zh-CN"/>
              </w:rPr>
              <w:t>3</w:t>
            </w:r>
            <w:r>
              <w:rPr>
                <w:rFonts w:hint="eastAsia" w:ascii="宋体" w:hAnsi="宋体" w:eastAsia="宋体"/>
                <w:color w:val="auto"/>
                <w:kern w:val="2"/>
                <w:sz w:val="21"/>
                <w:szCs w:val="21"/>
                <w:highlight w:val="none"/>
              </w:rPr>
              <w:t>分。【提供证书</w:t>
            </w:r>
            <w:r>
              <w:rPr>
                <w:rFonts w:hint="default" w:ascii="宋体" w:hAnsi="宋体" w:eastAsia="宋体"/>
                <w:color w:val="auto"/>
                <w:kern w:val="2"/>
                <w:sz w:val="21"/>
                <w:szCs w:val="21"/>
                <w:highlight w:val="none"/>
              </w:rPr>
              <w:t>复印件及</w:t>
            </w:r>
            <w:r>
              <w:rPr>
                <w:rFonts w:hint="eastAsia" w:ascii="宋体" w:hAnsi="宋体" w:eastAsia="宋体"/>
                <w:color w:val="auto"/>
                <w:kern w:val="2"/>
                <w:sz w:val="21"/>
                <w:szCs w:val="21"/>
                <w:highlight w:val="none"/>
              </w:rPr>
              <w:t>供应商为其缴纳的202</w:t>
            </w:r>
            <w:r>
              <w:rPr>
                <w:rFonts w:hint="eastAsia" w:ascii="宋体" w:hAnsi="宋体"/>
                <w:color w:val="auto"/>
                <w:kern w:val="2"/>
                <w:sz w:val="21"/>
                <w:szCs w:val="21"/>
                <w:highlight w:val="none"/>
                <w:lang w:val="en-US" w:eastAsia="zh-CN"/>
              </w:rPr>
              <w:t>5</w:t>
            </w:r>
            <w:r>
              <w:rPr>
                <w:rFonts w:hint="eastAsia" w:ascii="宋体" w:hAnsi="宋体" w:eastAsia="宋体"/>
                <w:color w:val="auto"/>
                <w:kern w:val="2"/>
                <w:sz w:val="21"/>
                <w:szCs w:val="21"/>
                <w:highlight w:val="none"/>
              </w:rPr>
              <w:t>年</w:t>
            </w:r>
            <w:r>
              <w:rPr>
                <w:rFonts w:hint="eastAsia" w:ascii="宋体" w:hAnsi="宋体"/>
                <w:color w:val="auto"/>
                <w:kern w:val="2"/>
                <w:sz w:val="21"/>
                <w:szCs w:val="21"/>
                <w:highlight w:val="none"/>
                <w:lang w:val="en-US" w:eastAsia="zh-CN"/>
              </w:rPr>
              <w:t>11</w:t>
            </w:r>
            <w:r>
              <w:rPr>
                <w:rFonts w:hint="eastAsia" w:ascii="宋体" w:hAnsi="宋体" w:eastAsia="宋体"/>
                <w:color w:val="auto"/>
                <w:kern w:val="2"/>
                <w:sz w:val="21"/>
                <w:szCs w:val="21"/>
                <w:highlight w:val="none"/>
              </w:rPr>
              <w:t>月</w:t>
            </w:r>
            <w:r>
              <w:rPr>
                <w:rFonts w:hint="eastAsia" w:ascii="宋体" w:hAnsi="宋体"/>
                <w:color w:val="auto"/>
                <w:kern w:val="2"/>
                <w:sz w:val="21"/>
                <w:szCs w:val="21"/>
                <w:highlight w:val="none"/>
                <w:lang w:val="en-US" w:eastAsia="zh-CN"/>
              </w:rPr>
              <w:t>以来</w:t>
            </w:r>
            <w:r>
              <w:rPr>
                <w:rFonts w:hint="eastAsia" w:ascii="宋体" w:hAnsi="宋体" w:eastAsia="宋体"/>
                <w:color w:val="auto"/>
                <w:kern w:val="2"/>
                <w:sz w:val="21"/>
                <w:szCs w:val="21"/>
                <w:highlight w:val="none"/>
              </w:rPr>
              <w:t>任意</w:t>
            </w:r>
            <w:r>
              <w:rPr>
                <w:rFonts w:hint="default" w:ascii="宋体" w:hAnsi="宋体" w:eastAsia="宋体"/>
                <w:color w:val="auto"/>
                <w:kern w:val="2"/>
                <w:sz w:val="21"/>
                <w:szCs w:val="21"/>
                <w:highlight w:val="none"/>
              </w:rPr>
              <w:t>1</w:t>
            </w:r>
            <w:r>
              <w:rPr>
                <w:rFonts w:hint="eastAsia" w:ascii="宋体" w:hAnsi="宋体" w:eastAsia="宋体"/>
                <w:color w:val="auto"/>
                <w:kern w:val="2"/>
                <w:sz w:val="21"/>
                <w:szCs w:val="21"/>
                <w:highlight w:val="none"/>
              </w:rPr>
              <w:t>个月的养老保险缴费证明材料（劳动保障部门出具的社保证明材料，须加盖社保中心章或社保中心参保缴费证明电子专用章）加盖公章编入投标文件中】</w:t>
            </w:r>
          </w:p>
          <w:p w14:paraId="6FAF998F">
            <w:pPr>
              <w:widowControl w:val="0"/>
              <w:spacing w:after="0" w:line="240" w:lineRule="auto"/>
              <w:rPr>
                <w:rFonts w:hint="default" w:ascii="宋体" w:hAnsi="宋体" w:eastAsia="宋体"/>
                <w:color w:val="auto"/>
                <w:kern w:val="2"/>
                <w:sz w:val="21"/>
                <w:szCs w:val="21"/>
                <w:highlight w:val="none"/>
              </w:rPr>
            </w:pPr>
            <w:r>
              <w:rPr>
                <w:rFonts w:hint="eastAsia" w:ascii="宋体" w:hAnsi="宋体" w:eastAsia="宋体"/>
                <w:color w:val="auto"/>
                <w:kern w:val="2"/>
                <w:sz w:val="21"/>
                <w:szCs w:val="21"/>
                <w:highlight w:val="none"/>
              </w:rPr>
              <w:t>2、供应商提供测量员、施工员、质检员岗位具体人名名单及202</w:t>
            </w:r>
            <w:r>
              <w:rPr>
                <w:rFonts w:hint="eastAsia" w:ascii="宋体" w:hAnsi="宋体"/>
                <w:color w:val="auto"/>
                <w:kern w:val="2"/>
                <w:sz w:val="21"/>
                <w:szCs w:val="21"/>
                <w:highlight w:val="none"/>
                <w:lang w:val="en-US" w:eastAsia="zh-CN"/>
              </w:rPr>
              <w:t>5</w:t>
            </w:r>
            <w:r>
              <w:rPr>
                <w:rFonts w:hint="eastAsia" w:ascii="宋体" w:hAnsi="宋体" w:eastAsia="宋体"/>
                <w:color w:val="auto"/>
                <w:kern w:val="2"/>
                <w:sz w:val="21"/>
                <w:szCs w:val="21"/>
                <w:highlight w:val="none"/>
              </w:rPr>
              <w:t>年</w:t>
            </w:r>
            <w:r>
              <w:rPr>
                <w:rFonts w:hint="eastAsia" w:ascii="宋体" w:hAnsi="宋体"/>
                <w:color w:val="auto"/>
                <w:kern w:val="2"/>
                <w:sz w:val="21"/>
                <w:szCs w:val="21"/>
                <w:highlight w:val="none"/>
                <w:lang w:val="en-US" w:eastAsia="zh-CN"/>
              </w:rPr>
              <w:t>11</w:t>
            </w:r>
            <w:r>
              <w:rPr>
                <w:rFonts w:hint="eastAsia" w:ascii="宋体" w:hAnsi="宋体" w:eastAsia="宋体"/>
                <w:color w:val="auto"/>
                <w:kern w:val="2"/>
                <w:sz w:val="21"/>
                <w:szCs w:val="21"/>
                <w:highlight w:val="none"/>
              </w:rPr>
              <w:t>月</w:t>
            </w:r>
            <w:r>
              <w:rPr>
                <w:rFonts w:hint="eastAsia" w:ascii="宋体" w:hAnsi="宋体"/>
                <w:color w:val="auto"/>
                <w:kern w:val="2"/>
                <w:sz w:val="21"/>
                <w:szCs w:val="21"/>
                <w:highlight w:val="none"/>
                <w:lang w:val="en-US" w:eastAsia="zh-CN"/>
              </w:rPr>
              <w:t>以来</w:t>
            </w:r>
            <w:r>
              <w:rPr>
                <w:rFonts w:hint="eastAsia" w:ascii="宋体" w:hAnsi="宋体" w:eastAsia="宋体"/>
                <w:color w:val="auto"/>
                <w:kern w:val="2"/>
                <w:sz w:val="21"/>
                <w:szCs w:val="21"/>
                <w:highlight w:val="none"/>
              </w:rPr>
              <w:t>任意</w:t>
            </w:r>
            <w:r>
              <w:rPr>
                <w:rFonts w:hint="default" w:ascii="宋体" w:hAnsi="宋体" w:eastAsia="宋体"/>
                <w:color w:val="auto"/>
                <w:kern w:val="2"/>
                <w:sz w:val="21"/>
                <w:szCs w:val="21"/>
                <w:highlight w:val="none"/>
              </w:rPr>
              <w:t>1</w:t>
            </w:r>
            <w:r>
              <w:rPr>
                <w:rFonts w:hint="eastAsia" w:ascii="宋体" w:hAnsi="宋体" w:eastAsia="宋体"/>
                <w:color w:val="auto"/>
                <w:kern w:val="2"/>
                <w:sz w:val="21"/>
                <w:szCs w:val="21"/>
                <w:highlight w:val="none"/>
              </w:rPr>
              <w:t>个月的养老保险缴费证明材料，每提供一种岗位得1分，满分3分。【提供相应岗位人名名单信息</w:t>
            </w:r>
            <w:r>
              <w:rPr>
                <w:rFonts w:hint="eastAsia" w:ascii="宋体" w:hAnsi="宋体" w:eastAsia="宋体"/>
                <w:b/>
                <w:color w:val="auto"/>
                <w:kern w:val="2"/>
                <w:sz w:val="21"/>
                <w:szCs w:val="21"/>
                <w:highlight w:val="none"/>
              </w:rPr>
              <w:t>（填入</w:t>
            </w:r>
            <w:r>
              <w:rPr>
                <w:rFonts w:hint="default" w:ascii="宋体" w:hAnsi="宋体" w:eastAsia="宋体"/>
                <w:b/>
                <w:color w:val="auto"/>
                <w:kern w:val="2"/>
                <w:sz w:val="21"/>
                <w:szCs w:val="21"/>
                <w:highlight w:val="none"/>
              </w:rPr>
              <w:t>投标文件格式</w:t>
            </w:r>
            <w:r>
              <w:rPr>
                <w:rFonts w:hint="eastAsia" w:ascii="宋体" w:hAnsi="宋体" w:eastAsia="宋体"/>
                <w:b/>
                <w:color w:val="auto"/>
                <w:kern w:val="2"/>
                <w:sz w:val="21"/>
                <w:szCs w:val="21"/>
                <w:highlight w:val="none"/>
              </w:rPr>
              <w:t>附件八、拟参与本项目人员一览表中）</w:t>
            </w:r>
            <w:r>
              <w:rPr>
                <w:rFonts w:hint="eastAsia" w:ascii="宋体" w:hAnsi="宋体" w:eastAsia="宋体"/>
                <w:color w:val="auto"/>
                <w:kern w:val="2"/>
                <w:sz w:val="21"/>
                <w:szCs w:val="21"/>
                <w:highlight w:val="none"/>
              </w:rPr>
              <w:t>及供应商为其缴纳的202</w:t>
            </w:r>
            <w:r>
              <w:rPr>
                <w:rFonts w:hint="eastAsia" w:ascii="宋体" w:hAnsi="宋体"/>
                <w:color w:val="auto"/>
                <w:kern w:val="2"/>
                <w:sz w:val="21"/>
                <w:szCs w:val="21"/>
                <w:highlight w:val="none"/>
                <w:lang w:val="en-US" w:eastAsia="zh-CN"/>
              </w:rPr>
              <w:t>5</w:t>
            </w:r>
            <w:r>
              <w:rPr>
                <w:rFonts w:hint="eastAsia" w:ascii="宋体" w:hAnsi="宋体" w:eastAsia="宋体"/>
                <w:color w:val="auto"/>
                <w:kern w:val="2"/>
                <w:sz w:val="21"/>
                <w:szCs w:val="21"/>
                <w:highlight w:val="none"/>
              </w:rPr>
              <w:t>年</w:t>
            </w:r>
            <w:r>
              <w:rPr>
                <w:rFonts w:hint="eastAsia" w:ascii="宋体" w:hAnsi="宋体"/>
                <w:color w:val="auto"/>
                <w:kern w:val="2"/>
                <w:sz w:val="21"/>
                <w:szCs w:val="21"/>
                <w:highlight w:val="none"/>
                <w:lang w:val="en-US" w:eastAsia="zh-CN"/>
              </w:rPr>
              <w:t>11</w:t>
            </w:r>
            <w:r>
              <w:rPr>
                <w:rFonts w:hint="eastAsia" w:ascii="宋体" w:hAnsi="宋体" w:eastAsia="宋体"/>
                <w:color w:val="auto"/>
                <w:kern w:val="2"/>
                <w:sz w:val="21"/>
                <w:szCs w:val="21"/>
                <w:highlight w:val="none"/>
              </w:rPr>
              <w:t>月</w:t>
            </w:r>
            <w:r>
              <w:rPr>
                <w:rFonts w:hint="eastAsia" w:ascii="宋体" w:hAnsi="宋体"/>
                <w:color w:val="auto"/>
                <w:kern w:val="2"/>
                <w:sz w:val="21"/>
                <w:szCs w:val="21"/>
                <w:highlight w:val="none"/>
                <w:lang w:val="en-US" w:eastAsia="zh-CN"/>
              </w:rPr>
              <w:t>以来</w:t>
            </w:r>
            <w:r>
              <w:rPr>
                <w:rFonts w:hint="eastAsia" w:ascii="宋体" w:hAnsi="宋体" w:eastAsia="宋体"/>
                <w:color w:val="auto"/>
                <w:kern w:val="2"/>
                <w:sz w:val="21"/>
                <w:szCs w:val="21"/>
                <w:highlight w:val="none"/>
              </w:rPr>
              <w:t>任意</w:t>
            </w:r>
            <w:r>
              <w:rPr>
                <w:rFonts w:hint="default" w:ascii="宋体" w:hAnsi="宋体" w:eastAsia="宋体"/>
                <w:color w:val="auto"/>
                <w:kern w:val="2"/>
                <w:sz w:val="21"/>
                <w:szCs w:val="21"/>
                <w:highlight w:val="none"/>
              </w:rPr>
              <w:t>1</w:t>
            </w:r>
            <w:r>
              <w:rPr>
                <w:rFonts w:hint="eastAsia" w:ascii="宋体" w:hAnsi="宋体" w:eastAsia="宋体"/>
                <w:color w:val="auto"/>
                <w:kern w:val="2"/>
                <w:sz w:val="21"/>
                <w:szCs w:val="21"/>
                <w:highlight w:val="none"/>
              </w:rPr>
              <w:t>个月的养老保险缴费证明材料（劳动保障部门出具的社保证明材料，须加盖社保中心章或社保中心参保缴费证明电子专用章）加盖公章编入投标文件中】</w:t>
            </w:r>
          </w:p>
          <w:p w14:paraId="74BA29B7">
            <w:pPr>
              <w:pBdr>
                <w:top w:val="none" w:color="000000" w:sz="0" w:space="0"/>
                <w:left w:val="none" w:color="000000" w:sz="0" w:space="0"/>
                <w:bottom w:val="none" w:color="000000" w:sz="0" w:space="0"/>
                <w:right w:val="none" w:color="000000" w:sz="0" w:space="0"/>
              </w:pBdr>
              <w:spacing w:before="0" w:after="0" w:line="85" w:lineRule="atLeast"/>
              <w:ind w:left="0" w:leftChars="0" w:right="0" w:rightChars="0" w:firstLine="0" w:firstLineChars="0"/>
              <w:rPr>
                <w:color w:val="auto"/>
                <w:highlight w:val="yellow"/>
              </w:rPr>
            </w:pPr>
            <w:r>
              <w:rPr>
                <w:rFonts w:hint="eastAsia" w:ascii="宋体" w:hAnsi="宋体" w:eastAsia="宋体"/>
                <w:b/>
                <w:color w:val="auto"/>
                <w:sz w:val="21"/>
                <w:szCs w:val="21"/>
                <w:highlight w:val="none"/>
              </w:rPr>
              <w:t>注：项目负责人</w:t>
            </w:r>
            <w:r>
              <w:rPr>
                <w:rFonts w:hint="eastAsia" w:ascii="宋体" w:hAnsi="宋体"/>
                <w:b/>
                <w:color w:val="auto"/>
                <w:sz w:val="21"/>
                <w:szCs w:val="21"/>
                <w:highlight w:val="none"/>
                <w:lang w:eastAsia="zh-CN"/>
              </w:rPr>
              <w:t>、</w:t>
            </w:r>
            <w:r>
              <w:rPr>
                <w:rFonts w:hint="eastAsia" w:ascii="宋体" w:hAnsi="宋体" w:eastAsia="宋体"/>
                <w:b/>
                <w:color w:val="auto"/>
                <w:sz w:val="21"/>
                <w:szCs w:val="21"/>
                <w:highlight w:val="none"/>
              </w:rPr>
              <w:t>项目技术负责人、项目组其他成员互相不可兼任。</w:t>
            </w:r>
          </w:p>
        </w:tc>
        <w:tc>
          <w:tcPr>
            <w:tcW w:w="968" w:type="dxa"/>
            <w:tcBorders>
              <w:top w:val="single" w:color="000000" w:sz="8" w:space="0"/>
              <w:left w:val="nil"/>
              <w:bottom w:val="single" w:color="000000" w:sz="8" w:space="0"/>
              <w:right w:val="single" w:color="000000" w:sz="12" w:space="0"/>
            </w:tcBorders>
            <w:noWrap w:val="0"/>
            <w:tcMar>
              <w:top w:w="0" w:type="dxa"/>
              <w:left w:w="108" w:type="dxa"/>
              <w:bottom w:w="0" w:type="dxa"/>
              <w:right w:w="108" w:type="dxa"/>
            </w:tcMar>
            <w:vAlign w:val="center"/>
          </w:tcPr>
          <w:p w14:paraId="5D3D613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hint="eastAsia" w:ascii="宋体" w:hAnsi="宋体" w:cs="宋体"/>
                <w:color w:val="auto"/>
                <w:sz w:val="21"/>
                <w:lang w:val="en-US" w:eastAsia="zh-CN"/>
              </w:rPr>
              <w:t>6</w:t>
            </w:r>
            <w:r>
              <w:rPr>
                <w:rFonts w:ascii="宋体" w:hAnsi="宋体" w:eastAsia="宋体" w:cs="宋体"/>
                <w:color w:val="auto"/>
                <w:sz w:val="21"/>
              </w:rPr>
              <w:t>分</w:t>
            </w:r>
          </w:p>
        </w:tc>
      </w:tr>
      <w:tr w14:paraId="5663DF0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32" w:hRule="atLeast"/>
        </w:trPr>
        <w:tc>
          <w:tcPr>
            <w:tcW w:w="8356" w:type="dxa"/>
            <w:gridSpan w:val="3"/>
            <w:tcBorders>
              <w:top w:val="nil"/>
              <w:left w:val="single" w:color="000000" w:sz="12" w:space="0"/>
              <w:bottom w:val="single" w:color="000000" w:sz="12" w:space="0"/>
              <w:right w:val="single" w:color="000000" w:sz="8" w:space="0"/>
            </w:tcBorders>
            <w:noWrap w:val="0"/>
            <w:tcMar>
              <w:top w:w="0" w:type="dxa"/>
              <w:left w:w="108" w:type="dxa"/>
              <w:bottom w:w="0" w:type="dxa"/>
              <w:right w:w="108" w:type="dxa"/>
            </w:tcMar>
            <w:vAlign w:val="center"/>
          </w:tcPr>
          <w:p w14:paraId="4434815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b/>
                <w:color w:val="auto"/>
                <w:sz w:val="21"/>
              </w:rPr>
              <w:t>合计</w:t>
            </w:r>
          </w:p>
        </w:tc>
        <w:tc>
          <w:tcPr>
            <w:tcW w:w="968" w:type="dxa"/>
            <w:tcBorders>
              <w:top w:val="single" w:color="000000" w:sz="8" w:space="0"/>
              <w:left w:val="single" w:color="000000" w:sz="8" w:space="0"/>
              <w:bottom w:val="single" w:color="000000" w:sz="12" w:space="0"/>
              <w:right w:val="single" w:color="000000" w:sz="12" w:space="0"/>
            </w:tcBorders>
            <w:noWrap w:val="0"/>
            <w:tcMar>
              <w:top w:w="0" w:type="dxa"/>
              <w:left w:w="108" w:type="dxa"/>
              <w:bottom w:w="0" w:type="dxa"/>
              <w:right w:w="108" w:type="dxa"/>
            </w:tcMar>
            <w:vAlign w:val="center"/>
          </w:tcPr>
          <w:p w14:paraId="40C7AC6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Times New Roman" w:hAnsi="Times New Roman" w:eastAsia="Times New Roman" w:cs="Times New Roman"/>
                <w:b/>
                <w:color w:val="auto"/>
                <w:sz w:val="21"/>
              </w:rPr>
              <w:t>100</w:t>
            </w:r>
            <w:r>
              <w:rPr>
                <w:rFonts w:ascii="宋体" w:hAnsi="宋体" w:eastAsia="宋体" w:cs="宋体"/>
                <w:b/>
                <w:color w:val="auto"/>
                <w:sz w:val="21"/>
              </w:rPr>
              <w:t>分</w:t>
            </w:r>
          </w:p>
        </w:tc>
      </w:tr>
    </w:tbl>
    <w:p w14:paraId="75F7DFAF">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说明：</w:t>
      </w:r>
    </w:p>
    <w:p w14:paraId="6CB3C3A9">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1、所有认证、证明和业绩除上表要求外均须提供有效的证明材料加盖电子公章。</w:t>
      </w:r>
    </w:p>
    <w:p w14:paraId="5988F588">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2、评审小组不保证有效报价最低的供应商成交。</w:t>
      </w:r>
    </w:p>
    <w:p w14:paraId="1A30E043">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3、本项目所属行业：“</w:t>
      </w:r>
      <w:r>
        <w:rPr>
          <w:rFonts w:ascii="宋体" w:hAnsi="宋体" w:eastAsia="宋体" w:cs="宋体"/>
          <w:b/>
          <w:color w:val="auto"/>
          <w:sz w:val="21"/>
        </w:rPr>
        <w:t>其他未列明行业</w:t>
      </w:r>
      <w:r>
        <w:rPr>
          <w:rFonts w:ascii="宋体" w:hAnsi="宋体" w:eastAsia="宋体" w:cs="宋体"/>
          <w:color w:val="auto"/>
          <w:sz w:val="21"/>
        </w:rPr>
        <w:t>”</w:t>
      </w:r>
    </w:p>
    <w:p w14:paraId="2CBC601A">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rPr>
      </w:pPr>
      <w:r>
        <w:rPr>
          <w:color w:val="auto"/>
        </w:rPr>
        <w:br w:type="page" w:clear="all"/>
      </w:r>
    </w:p>
    <w:p w14:paraId="5D73027F">
      <w:pPr>
        <w:pBdr>
          <w:top w:val="none" w:color="000000" w:sz="0" w:space="0"/>
          <w:left w:val="none" w:color="000000" w:sz="0" w:space="0"/>
          <w:bottom w:val="none" w:color="000000" w:sz="0" w:space="0"/>
          <w:right w:val="none" w:color="000000" w:sz="0" w:space="0"/>
        </w:pBdr>
        <w:spacing w:before="0" w:after="0" w:line="85" w:lineRule="atLeast"/>
        <w:ind w:left="0" w:right="0" w:firstLine="643"/>
        <w:jc w:val="center"/>
        <w:rPr>
          <w:color w:val="auto"/>
        </w:rPr>
      </w:pPr>
      <w:r>
        <w:rPr>
          <w:rFonts w:ascii="黑体" w:hAnsi="黑体" w:eastAsia="黑体" w:cs="黑体"/>
          <w:b/>
          <w:color w:val="auto"/>
          <w:sz w:val="32"/>
        </w:rPr>
        <w:t>第四章</w:t>
      </w:r>
      <w:r>
        <w:rPr>
          <w:rFonts w:ascii="黑体" w:hAnsi="黑体" w:eastAsia="黑体" w:cs="黑体"/>
          <w:b/>
          <w:color w:val="auto"/>
          <w:sz w:val="32"/>
        </w:rPr>
        <w:tab/>
      </w:r>
      <w:r>
        <w:rPr>
          <w:rFonts w:ascii="黑体" w:hAnsi="黑体" w:eastAsia="黑体" w:cs="黑体"/>
          <w:b/>
          <w:color w:val="auto"/>
          <w:sz w:val="32"/>
        </w:rPr>
        <w:t> 招标项目的技术规格、要求和数量等</w:t>
      </w:r>
    </w:p>
    <w:p w14:paraId="7A606087">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20"/>
        <w:jc w:val="both"/>
        <w:rPr>
          <w:rFonts w:ascii="Times New Roman" w:hAnsi="Times New Roman" w:eastAsia="宋体" w:cs="Times New Roman"/>
          <w:color w:val="auto"/>
          <w:szCs w:val="24"/>
        </w:rPr>
      </w:pPr>
      <w:r>
        <w:rPr>
          <w:rFonts w:ascii="宋体" w:hAnsi="宋体" w:eastAsia="宋体" w:cs="宋体"/>
          <w:color w:val="auto"/>
          <w:sz w:val="21"/>
          <w:szCs w:val="24"/>
        </w:rPr>
        <w:t>一、项目概况</w:t>
      </w:r>
    </w:p>
    <w:p w14:paraId="7B1FEE19">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20"/>
        <w:jc w:val="both"/>
        <w:rPr>
          <w:rFonts w:ascii="Times New Roman" w:hAnsi="Times New Roman" w:eastAsia="宋体" w:cs="Times New Roman"/>
          <w:color w:val="auto"/>
          <w:szCs w:val="24"/>
        </w:rPr>
      </w:pPr>
      <w:r>
        <w:rPr>
          <w:rFonts w:ascii="宋体" w:hAnsi="宋体" w:eastAsia="宋体" w:cs="宋体"/>
          <w:color w:val="auto"/>
          <w:sz w:val="21"/>
          <w:szCs w:val="24"/>
        </w:rPr>
        <w:t>1、项目名称：</w:t>
      </w:r>
      <w:r>
        <w:rPr>
          <w:rFonts w:hint="eastAsia" w:ascii="宋体" w:hAnsi="宋体" w:eastAsia="宋体" w:cs="宋体"/>
          <w:color w:val="auto"/>
          <w:sz w:val="21"/>
          <w:szCs w:val="24"/>
          <w:lang w:eastAsia="zh-CN"/>
        </w:rPr>
        <w:t>仙林地区市政雨水管道养护及应急抢修服务项目</w:t>
      </w:r>
    </w:p>
    <w:p w14:paraId="6E6F29C5">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20"/>
        <w:jc w:val="both"/>
        <w:rPr>
          <w:rFonts w:hint="eastAsia" w:ascii="Times New Roman" w:hAnsi="Times New Roman" w:eastAsia="宋体" w:cs="Times New Roman"/>
          <w:color w:val="auto"/>
          <w:szCs w:val="24"/>
          <w:lang w:eastAsia="zh-CN"/>
        </w:rPr>
      </w:pPr>
      <w:r>
        <w:rPr>
          <w:rFonts w:ascii="宋体" w:hAnsi="宋体" w:eastAsia="宋体" w:cs="宋体"/>
          <w:color w:val="auto"/>
          <w:sz w:val="21"/>
          <w:szCs w:val="24"/>
        </w:rPr>
        <w:t>2.项目地点位于：南京市</w:t>
      </w:r>
      <w:r>
        <w:rPr>
          <w:rFonts w:hint="eastAsia" w:ascii="宋体" w:hAnsi="宋体" w:eastAsia="宋体" w:cs="宋体"/>
          <w:color w:val="auto"/>
          <w:sz w:val="21"/>
          <w:szCs w:val="24"/>
          <w:lang w:val="en-US" w:eastAsia="zh-CN"/>
        </w:rPr>
        <w:t>栖霞区</w:t>
      </w:r>
    </w:p>
    <w:p w14:paraId="140487FD">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20"/>
        <w:jc w:val="both"/>
        <w:rPr>
          <w:rFonts w:hint="default" w:ascii="宋体" w:hAnsi="宋体" w:eastAsia="宋体" w:cs="宋体"/>
          <w:color w:val="auto"/>
          <w:sz w:val="21"/>
          <w:szCs w:val="24"/>
          <w:lang w:eastAsia="zh-CN"/>
        </w:rPr>
      </w:pPr>
      <w:r>
        <w:rPr>
          <w:rFonts w:hint="eastAsia" w:ascii="宋体" w:hAnsi="宋体" w:eastAsia="宋体" w:cs="宋体"/>
          <w:color w:val="auto"/>
          <w:sz w:val="21"/>
          <w:szCs w:val="24"/>
          <w:lang w:eastAsia="zh-CN"/>
        </w:rPr>
        <w:t>3.</w:t>
      </w:r>
      <w:r>
        <w:rPr>
          <w:rFonts w:hint="eastAsia" w:ascii="宋体" w:hAnsi="宋体" w:eastAsia="宋体" w:cs="宋体"/>
          <w:color w:val="auto"/>
          <w:sz w:val="21"/>
          <w:szCs w:val="24"/>
          <w:lang w:val="en-US" w:eastAsia="zh-CN"/>
        </w:rPr>
        <w:t>建设目标</w:t>
      </w:r>
      <w:r>
        <w:rPr>
          <w:rFonts w:hint="eastAsia" w:ascii="宋体" w:hAnsi="宋体" w:eastAsia="宋体" w:cs="宋体"/>
          <w:color w:val="auto"/>
          <w:sz w:val="21"/>
          <w:szCs w:val="24"/>
          <w:lang w:eastAsia="zh-CN"/>
        </w:rPr>
        <w:t>：</w:t>
      </w:r>
      <w:r>
        <w:rPr>
          <w:rFonts w:hint="default" w:ascii="宋体" w:hAnsi="宋体" w:eastAsia="宋体" w:cs="宋体"/>
          <w:color w:val="auto"/>
          <w:sz w:val="21"/>
          <w:szCs w:val="24"/>
          <w:lang w:eastAsia="zh-CN"/>
        </w:rPr>
        <w:t>雨水管道维护工作涵盖仙林地区77条市政道路下的雨水管道清疏，总长约240km，部分道路下破损雨水管道更换，雨水蓖改造等附属设施维护；应急抢修包括降雨期间巡查、开关雨水篦助排、应急抢修、架泵强排水等。</w:t>
      </w:r>
    </w:p>
    <w:p w14:paraId="1C6270D6">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20"/>
        <w:jc w:val="both"/>
        <w:rPr>
          <w:rFonts w:hint="default" w:ascii="宋体" w:hAnsi="宋体" w:eastAsia="宋体" w:cs="宋体"/>
          <w:color w:val="auto"/>
          <w:sz w:val="21"/>
          <w:szCs w:val="24"/>
          <w:lang w:eastAsia="zh-CN"/>
        </w:rPr>
      </w:pPr>
      <w:r>
        <w:rPr>
          <w:rFonts w:hint="eastAsia" w:ascii="宋体" w:hAnsi="宋体" w:eastAsia="宋体" w:cs="宋体"/>
          <w:color w:val="auto"/>
          <w:sz w:val="21"/>
          <w:szCs w:val="24"/>
          <w:lang w:val="en-US" w:eastAsia="zh-CN"/>
        </w:rPr>
        <w:t>4.</w:t>
      </w:r>
      <w:r>
        <w:rPr>
          <w:rFonts w:hint="eastAsia" w:ascii="宋体" w:hAnsi="宋体" w:eastAsia="宋体" w:cs="宋体"/>
          <w:color w:val="auto"/>
          <w:sz w:val="21"/>
          <w:szCs w:val="24"/>
          <w:lang w:eastAsia="zh-CN"/>
        </w:rPr>
        <w:t>项目建设遵循标准</w:t>
      </w:r>
    </w:p>
    <w:p w14:paraId="47CC75F2">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20"/>
        <w:jc w:val="both"/>
        <w:rPr>
          <w:rFonts w:hint="default" w:ascii="宋体" w:hAnsi="宋体" w:eastAsia="宋体" w:cs="宋体"/>
          <w:color w:val="auto"/>
          <w:sz w:val="21"/>
          <w:szCs w:val="24"/>
          <w:lang w:eastAsia="zh-CN"/>
        </w:rPr>
      </w:pPr>
      <w:r>
        <w:rPr>
          <w:rFonts w:hint="eastAsia" w:ascii="宋体" w:hAnsi="宋体" w:eastAsia="宋体" w:cs="宋体"/>
          <w:color w:val="auto"/>
          <w:sz w:val="21"/>
          <w:szCs w:val="24"/>
          <w:lang w:eastAsia="zh-CN"/>
        </w:rPr>
        <w:t>1.《建设工程工程量清单计价规范》GB50500-2013、《房屋建筑与装饰工程工程量计算规范》GB50854-2013、《通用安装工程工程量计算规范》GB50856-2013、《市政工程工程量计算规范》GB50857-2013 等。</w:t>
      </w:r>
    </w:p>
    <w:p w14:paraId="095B3A4B">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20"/>
        <w:jc w:val="both"/>
        <w:rPr>
          <w:rFonts w:hint="default" w:ascii="宋体" w:hAnsi="宋体" w:eastAsia="宋体" w:cs="宋体"/>
          <w:color w:val="auto"/>
          <w:sz w:val="21"/>
          <w:szCs w:val="24"/>
          <w:lang w:eastAsia="zh-CN"/>
        </w:rPr>
      </w:pPr>
      <w:r>
        <w:rPr>
          <w:rFonts w:hint="eastAsia" w:ascii="宋体" w:hAnsi="宋体" w:eastAsia="宋体" w:cs="宋体"/>
          <w:color w:val="auto"/>
          <w:sz w:val="21"/>
          <w:szCs w:val="24"/>
          <w:lang w:eastAsia="zh-CN"/>
        </w:rPr>
        <w:t>2. 2014 年《江苏省市政工程计价定额》、2013 年《江苏省市政设施养护维修计价定额》、2019 年《江苏修缮加固计价定额》。</w:t>
      </w:r>
    </w:p>
    <w:p w14:paraId="5D784761">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20"/>
        <w:jc w:val="both"/>
        <w:rPr>
          <w:rFonts w:hint="default" w:ascii="宋体" w:hAnsi="宋体" w:eastAsia="宋体" w:cs="宋体"/>
          <w:color w:val="auto"/>
          <w:sz w:val="21"/>
          <w:szCs w:val="24"/>
          <w:lang w:eastAsia="zh-CN"/>
        </w:rPr>
      </w:pPr>
      <w:r>
        <w:rPr>
          <w:rFonts w:hint="eastAsia" w:ascii="宋体" w:hAnsi="宋体" w:eastAsia="宋体" w:cs="宋体"/>
          <w:color w:val="auto"/>
          <w:sz w:val="21"/>
          <w:szCs w:val="24"/>
          <w:lang w:eastAsia="zh-CN"/>
        </w:rPr>
        <w:t>3．省住房城乡建设厅关于调整建设工程按质论价等费用计取方法的公告。</w:t>
      </w:r>
    </w:p>
    <w:p w14:paraId="2AB71BC5">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20"/>
        <w:jc w:val="both"/>
        <w:rPr>
          <w:rFonts w:hint="default" w:ascii="宋体" w:hAnsi="宋体" w:eastAsia="宋体" w:cs="宋体"/>
          <w:color w:val="auto"/>
          <w:sz w:val="21"/>
          <w:szCs w:val="24"/>
          <w:lang w:eastAsia="zh-CN"/>
        </w:rPr>
      </w:pPr>
      <w:r>
        <w:rPr>
          <w:rFonts w:hint="eastAsia" w:ascii="宋体" w:hAnsi="宋体" w:eastAsia="宋体" w:cs="宋体"/>
          <w:color w:val="auto"/>
          <w:sz w:val="21"/>
          <w:szCs w:val="24"/>
          <w:lang w:eastAsia="zh-CN"/>
        </w:rPr>
        <w:t>4．相关标准图集以及现行有关清单编制文件。</w:t>
      </w:r>
    </w:p>
    <w:p w14:paraId="65C22EB9">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20"/>
        <w:jc w:val="both"/>
        <w:rPr>
          <w:rFonts w:hint="default" w:ascii="宋体" w:hAnsi="宋体" w:eastAsia="宋体" w:cs="宋体"/>
          <w:color w:val="auto"/>
          <w:sz w:val="21"/>
          <w:szCs w:val="24"/>
          <w:lang w:eastAsia="zh-CN"/>
        </w:rPr>
      </w:pPr>
      <w:r>
        <w:rPr>
          <w:rFonts w:hint="eastAsia" w:ascii="宋体" w:hAnsi="宋体" w:eastAsia="宋体" w:cs="宋体"/>
          <w:color w:val="auto"/>
          <w:sz w:val="21"/>
          <w:szCs w:val="24"/>
          <w:lang w:eastAsia="zh-CN"/>
        </w:rPr>
        <w:t>5．苏建价[2016]154 号《省住房城乡建设厅关于其他未列明行业实施营改增后江苏省建设工程计价依据调整的通知》</w:t>
      </w:r>
    </w:p>
    <w:p w14:paraId="0034AAF5">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20"/>
        <w:jc w:val="both"/>
        <w:rPr>
          <w:rFonts w:hint="default" w:ascii="宋体" w:hAnsi="宋体" w:eastAsia="宋体" w:cs="宋体"/>
          <w:color w:val="auto"/>
          <w:sz w:val="21"/>
          <w:szCs w:val="24"/>
          <w:lang w:eastAsia="zh-CN"/>
        </w:rPr>
      </w:pPr>
      <w:r>
        <w:rPr>
          <w:rFonts w:hint="eastAsia" w:ascii="宋体" w:hAnsi="宋体" w:eastAsia="宋体" w:cs="宋体"/>
          <w:color w:val="auto"/>
          <w:sz w:val="21"/>
          <w:szCs w:val="24"/>
          <w:lang w:eastAsia="zh-CN"/>
        </w:rPr>
        <w:t>6、验收标准：按行业通行标准和中标供应商投标文件的承诺（不低于国家相关标准）。</w:t>
      </w:r>
    </w:p>
    <w:p w14:paraId="09C2EF81">
      <w:pPr>
        <w:widowControl/>
        <w:numPr>
          <w:ilvl w:val="0"/>
          <w:numId w:val="5"/>
        </w:num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rPr>
          <w:rFonts w:ascii="宋体" w:hAnsi="宋体" w:eastAsia="宋体" w:cs="宋体"/>
          <w:color w:val="auto"/>
          <w:sz w:val="21"/>
          <w:szCs w:val="24"/>
        </w:rPr>
      </w:pPr>
      <w:r>
        <w:rPr>
          <w:rFonts w:ascii="宋体" w:hAnsi="宋体" w:eastAsia="宋体" w:cs="宋体"/>
          <w:color w:val="auto"/>
          <w:sz w:val="21"/>
          <w:szCs w:val="24"/>
        </w:rPr>
        <w:t xml:space="preserve">服务清单： </w:t>
      </w:r>
    </w:p>
    <w:tbl>
      <w:tblPr>
        <w:tblStyle w:val="28"/>
        <w:tblpPr w:leftFromText="180" w:rightFromText="180" w:vertAnchor="text" w:horzAnchor="page" w:tblpX="1268" w:tblpY="244"/>
        <w:tblOverlap w:val="never"/>
        <w:tblW w:w="4997" w:type="pct"/>
        <w:tblInd w:w="0" w:type="dxa"/>
        <w:tblLayout w:type="autofit"/>
        <w:tblCellMar>
          <w:top w:w="0" w:type="dxa"/>
          <w:left w:w="108" w:type="dxa"/>
          <w:bottom w:w="0" w:type="dxa"/>
          <w:right w:w="108" w:type="dxa"/>
        </w:tblCellMar>
      </w:tblPr>
      <w:tblGrid>
        <w:gridCol w:w="741"/>
        <w:gridCol w:w="1602"/>
        <w:gridCol w:w="3188"/>
        <w:gridCol w:w="988"/>
        <w:gridCol w:w="1233"/>
        <w:gridCol w:w="1231"/>
        <w:gridCol w:w="973"/>
      </w:tblGrid>
      <w:tr w14:paraId="2335E958">
        <w:tblPrEx>
          <w:tblCellMar>
            <w:top w:w="0" w:type="dxa"/>
            <w:left w:w="108" w:type="dxa"/>
            <w:bottom w:w="0" w:type="dxa"/>
            <w:right w:w="108" w:type="dxa"/>
          </w:tblCellMar>
        </w:tblPrEx>
        <w:trPr>
          <w:trHeight w:val="1001" w:hRule="atLeast"/>
        </w:trPr>
        <w:tc>
          <w:tcPr>
            <w:tcW w:w="372" w:type="pct"/>
            <w:tcBorders>
              <w:top w:val="single" w:color="000000" w:sz="4" w:space="0"/>
              <w:left w:val="single" w:color="000000" w:sz="4" w:space="0"/>
              <w:bottom w:val="single" w:color="000000" w:sz="4" w:space="0"/>
              <w:right w:val="single" w:color="000000" w:sz="4" w:space="0"/>
            </w:tcBorders>
            <w:noWrap/>
            <w:vAlign w:val="center"/>
          </w:tcPr>
          <w:p w14:paraId="6F60569D">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序号</w:t>
            </w:r>
          </w:p>
        </w:tc>
        <w:tc>
          <w:tcPr>
            <w:tcW w:w="804" w:type="pct"/>
            <w:tcBorders>
              <w:top w:val="single" w:color="000000" w:sz="4" w:space="0"/>
              <w:left w:val="nil"/>
              <w:bottom w:val="single" w:color="000000" w:sz="4" w:space="0"/>
              <w:right w:val="single" w:color="000000" w:sz="4" w:space="0"/>
            </w:tcBorders>
            <w:noWrap/>
            <w:vAlign w:val="center"/>
          </w:tcPr>
          <w:p w14:paraId="2D1D1EFE">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★名称</w:t>
            </w:r>
          </w:p>
        </w:tc>
        <w:tc>
          <w:tcPr>
            <w:tcW w:w="1600" w:type="pct"/>
            <w:tcBorders>
              <w:top w:val="single" w:color="000000" w:sz="4" w:space="0"/>
              <w:left w:val="nil"/>
              <w:bottom w:val="single" w:color="000000" w:sz="4" w:space="0"/>
              <w:right w:val="single" w:color="000000" w:sz="4" w:space="0"/>
            </w:tcBorders>
            <w:noWrap/>
            <w:vAlign w:val="center"/>
          </w:tcPr>
          <w:p w14:paraId="054FBB0D">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★特征描述</w:t>
            </w:r>
          </w:p>
        </w:tc>
        <w:tc>
          <w:tcPr>
            <w:tcW w:w="496" w:type="pct"/>
            <w:tcBorders>
              <w:top w:val="single" w:color="000000" w:sz="4" w:space="0"/>
              <w:left w:val="nil"/>
              <w:bottom w:val="single" w:color="000000" w:sz="4" w:space="0"/>
              <w:right w:val="single" w:color="000000" w:sz="4" w:space="0"/>
            </w:tcBorders>
            <w:noWrap/>
            <w:vAlign w:val="center"/>
          </w:tcPr>
          <w:p w14:paraId="1D5146BE">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★单位</w:t>
            </w:r>
          </w:p>
        </w:tc>
        <w:tc>
          <w:tcPr>
            <w:tcW w:w="619" w:type="pct"/>
            <w:tcBorders>
              <w:top w:val="single" w:color="000000" w:sz="4" w:space="0"/>
              <w:left w:val="nil"/>
              <w:bottom w:val="single" w:color="000000" w:sz="4" w:space="0"/>
              <w:right w:val="single" w:color="000000" w:sz="4" w:space="0"/>
            </w:tcBorders>
            <w:noWrap/>
            <w:vAlign w:val="center"/>
          </w:tcPr>
          <w:p w14:paraId="23D52146">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★工程量</w:t>
            </w:r>
          </w:p>
        </w:tc>
        <w:tc>
          <w:tcPr>
            <w:tcW w:w="618" w:type="pct"/>
            <w:tcBorders>
              <w:top w:val="single" w:color="000000" w:sz="4" w:space="0"/>
              <w:left w:val="nil"/>
              <w:bottom w:val="single" w:color="000000" w:sz="4" w:space="0"/>
              <w:right w:val="single" w:color="000000" w:sz="4" w:space="0"/>
            </w:tcBorders>
            <w:noWrap w:val="0"/>
            <w:vAlign w:val="center"/>
          </w:tcPr>
          <w:p w14:paraId="646BD56D">
            <w:pPr>
              <w:widowControl w:val="0"/>
              <w:jc w:val="left"/>
              <w:rPr>
                <w:rFonts w:hint="default" w:ascii="宋体" w:hAnsi="宋体" w:eastAsia="宋体" w:cs="宋体"/>
                <w:color w:val="auto"/>
                <w:kern w:val="0"/>
                <w:sz w:val="21"/>
                <w:szCs w:val="21"/>
                <w:lang w:val="en-US" w:eastAsia="zh-CN"/>
              </w:rPr>
            </w:pPr>
            <w:r>
              <w:rPr>
                <w:rFonts w:hint="eastAsia" w:ascii="宋体" w:hAnsi="宋体" w:eastAsia="宋体" w:cs="宋体"/>
                <w:color w:val="auto"/>
                <w:kern w:val="0"/>
                <w:sz w:val="21"/>
                <w:szCs w:val="21"/>
              </w:rPr>
              <w:t>★</w:t>
            </w:r>
            <w:r>
              <w:rPr>
                <w:rFonts w:hint="eastAsia" w:ascii="宋体" w:hAnsi="宋体" w:cs="宋体"/>
                <w:color w:val="auto"/>
                <w:kern w:val="0"/>
                <w:sz w:val="21"/>
                <w:szCs w:val="21"/>
                <w:lang w:val="en-US" w:eastAsia="zh-CN"/>
              </w:rPr>
              <w:t>单价最高限价</w:t>
            </w:r>
          </w:p>
        </w:tc>
        <w:tc>
          <w:tcPr>
            <w:tcW w:w="488" w:type="pct"/>
            <w:tcBorders>
              <w:top w:val="single" w:color="000000" w:sz="4" w:space="0"/>
              <w:left w:val="nil"/>
              <w:bottom w:val="single" w:color="000000" w:sz="4" w:space="0"/>
              <w:right w:val="single" w:color="000000" w:sz="4" w:space="0"/>
            </w:tcBorders>
            <w:noWrap/>
            <w:vAlign w:val="center"/>
          </w:tcPr>
          <w:p w14:paraId="31219984">
            <w:pPr>
              <w:widowControl w:val="0"/>
              <w:jc w:val="left"/>
              <w:rPr>
                <w:rFonts w:hint="eastAsia" w:ascii="宋体" w:hAnsi="宋体" w:eastAsia="宋体" w:cs="宋体"/>
                <w:color w:val="auto"/>
                <w:kern w:val="0"/>
                <w:sz w:val="21"/>
                <w:szCs w:val="21"/>
                <w:lang w:eastAsia="zh-CN"/>
              </w:rPr>
            </w:pPr>
            <w:r>
              <w:rPr>
                <w:rFonts w:hint="eastAsia" w:ascii="宋体" w:hAnsi="宋体" w:cs="宋体"/>
                <w:color w:val="auto"/>
                <w:kern w:val="0"/>
                <w:sz w:val="21"/>
                <w:szCs w:val="21"/>
                <w:lang w:val="en-US" w:eastAsia="zh-CN"/>
              </w:rPr>
              <w:t>备注</w:t>
            </w:r>
          </w:p>
        </w:tc>
      </w:tr>
      <w:tr w14:paraId="25603892">
        <w:tblPrEx>
          <w:tblCellMar>
            <w:top w:w="0" w:type="dxa"/>
            <w:left w:w="108" w:type="dxa"/>
            <w:bottom w:w="0" w:type="dxa"/>
            <w:right w:w="108" w:type="dxa"/>
          </w:tblCellMar>
        </w:tblPrEx>
        <w:trPr>
          <w:trHeight w:val="4998" w:hRule="atLeast"/>
        </w:trPr>
        <w:tc>
          <w:tcPr>
            <w:tcW w:w="372" w:type="pct"/>
            <w:tcBorders>
              <w:top w:val="nil"/>
              <w:left w:val="single" w:color="000000" w:sz="4" w:space="0"/>
              <w:bottom w:val="single" w:color="000000" w:sz="4" w:space="0"/>
              <w:right w:val="single" w:color="000000" w:sz="4" w:space="0"/>
            </w:tcBorders>
            <w:noWrap w:val="0"/>
            <w:vAlign w:val="center"/>
          </w:tcPr>
          <w:p w14:paraId="059AFD02">
            <w:pPr>
              <w:widowControl w:val="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w:t>
            </w:r>
          </w:p>
        </w:tc>
        <w:tc>
          <w:tcPr>
            <w:tcW w:w="804" w:type="pct"/>
            <w:tcBorders>
              <w:top w:val="nil"/>
              <w:left w:val="nil"/>
              <w:bottom w:val="single" w:color="000000" w:sz="8" w:space="0"/>
              <w:right w:val="single" w:color="000000" w:sz="4" w:space="0"/>
            </w:tcBorders>
            <w:noWrap w:val="0"/>
            <w:vAlign w:val="center"/>
          </w:tcPr>
          <w:p w14:paraId="725C3C5D">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管道清疏管径Φ600以上</w:t>
            </w:r>
          </w:p>
        </w:tc>
        <w:tc>
          <w:tcPr>
            <w:tcW w:w="1600" w:type="pct"/>
            <w:tcBorders>
              <w:top w:val="nil"/>
              <w:left w:val="nil"/>
              <w:bottom w:val="single" w:color="000000" w:sz="8" w:space="0"/>
              <w:right w:val="single" w:color="000000" w:sz="4" w:space="0"/>
            </w:tcBorders>
            <w:noWrap w:val="0"/>
            <w:vAlign w:val="center"/>
          </w:tcPr>
          <w:p w14:paraId="223F0885">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1.管道清疏管径Φ600以上含Φ600（含宽度50cm以上山体撇洪沟、明沟、盖板沟清理）清疏。</w:t>
            </w:r>
          </w:p>
          <w:p w14:paraId="2181B59A">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2.含清疏的所有垃圾外运</w:t>
            </w:r>
          </w:p>
          <w:p w14:paraId="5A6E477A">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3.投标人结合CCTV检测报告自行报价，包含管道清疏中冲洗费用，综合考虑前期复测摸排、清疏所需的封堵、施工后拆除及调排水的费用、通气、毒气检测等</w:t>
            </w:r>
          </w:p>
          <w:p w14:paraId="15651D83">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4.弃置运距 投标人自行勘察选择规定的弃置场所并自报运距,所有费用要求在综合单价中充分考虑（包含场地倒置费等），但必须根据南京市城市管理局相关规定，运至合法指定场地</w:t>
            </w:r>
          </w:p>
          <w:p w14:paraId="5808FFA8">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5.保洁费、消纳费等所有费用须投标单位自行考虑，渣土费不予计取</w:t>
            </w:r>
          </w:p>
          <w:p w14:paraId="4B2EFEAE">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6.投标人自行报价，结算不予调整</w:t>
            </w:r>
          </w:p>
        </w:tc>
        <w:tc>
          <w:tcPr>
            <w:tcW w:w="496" w:type="pct"/>
            <w:tcBorders>
              <w:top w:val="nil"/>
              <w:left w:val="nil"/>
              <w:bottom w:val="single" w:color="000000" w:sz="8" w:space="0"/>
              <w:right w:val="single" w:color="000000" w:sz="4" w:space="0"/>
            </w:tcBorders>
            <w:noWrap w:val="0"/>
            <w:vAlign w:val="center"/>
          </w:tcPr>
          <w:p w14:paraId="0889996B">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m</w:t>
            </w:r>
          </w:p>
        </w:tc>
        <w:tc>
          <w:tcPr>
            <w:tcW w:w="619" w:type="pct"/>
            <w:tcBorders>
              <w:top w:val="nil"/>
              <w:left w:val="nil"/>
              <w:bottom w:val="single" w:color="000000" w:sz="8" w:space="0"/>
              <w:right w:val="single" w:color="000000" w:sz="4" w:space="0"/>
            </w:tcBorders>
            <w:noWrap w:val="0"/>
            <w:vAlign w:val="center"/>
          </w:tcPr>
          <w:p w14:paraId="4FB778B9">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59920.13</w:t>
            </w:r>
          </w:p>
        </w:tc>
        <w:tc>
          <w:tcPr>
            <w:tcW w:w="618" w:type="pct"/>
            <w:tcBorders>
              <w:top w:val="nil"/>
              <w:left w:val="nil"/>
              <w:bottom w:val="single" w:color="000000" w:sz="8" w:space="0"/>
              <w:right w:val="single" w:color="000000" w:sz="4" w:space="0"/>
            </w:tcBorders>
            <w:noWrap w:val="0"/>
            <w:vAlign w:val="center"/>
          </w:tcPr>
          <w:p w14:paraId="1834D0BE">
            <w:pPr>
              <w:keepNext w:val="0"/>
              <w:keepLines w:val="0"/>
              <w:widowControl/>
              <w:suppressLineNumbers w:val="0"/>
              <w:jc w:val="center"/>
              <w:textAlignment w:val="center"/>
              <w:rPr>
                <w:rFonts w:hint="default"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t>21.5</w:t>
            </w:r>
          </w:p>
        </w:tc>
        <w:tc>
          <w:tcPr>
            <w:tcW w:w="488" w:type="pct"/>
            <w:tcBorders>
              <w:top w:val="nil"/>
              <w:left w:val="nil"/>
              <w:bottom w:val="single" w:color="000000" w:sz="4" w:space="0"/>
              <w:right w:val="single" w:color="000000" w:sz="4" w:space="0"/>
            </w:tcBorders>
            <w:noWrap w:val="0"/>
            <w:vAlign w:val="center"/>
          </w:tcPr>
          <w:p w14:paraId="536ED814">
            <w:pPr>
              <w:widowControl w:val="0"/>
              <w:jc w:val="center"/>
              <w:rPr>
                <w:rFonts w:hint="eastAsia" w:ascii="宋体" w:hAnsi="宋体" w:eastAsia="宋体" w:cs="宋体"/>
                <w:color w:val="auto"/>
                <w:kern w:val="0"/>
                <w:sz w:val="21"/>
                <w:szCs w:val="21"/>
              </w:rPr>
            </w:pPr>
          </w:p>
        </w:tc>
      </w:tr>
      <w:tr w14:paraId="7A864357">
        <w:tblPrEx>
          <w:tblCellMar>
            <w:top w:w="0" w:type="dxa"/>
            <w:left w:w="108" w:type="dxa"/>
            <w:bottom w:w="0" w:type="dxa"/>
            <w:right w:w="108" w:type="dxa"/>
          </w:tblCellMar>
        </w:tblPrEx>
        <w:trPr>
          <w:trHeight w:val="4908" w:hRule="atLeast"/>
        </w:trPr>
        <w:tc>
          <w:tcPr>
            <w:tcW w:w="372" w:type="pct"/>
            <w:tcBorders>
              <w:top w:val="nil"/>
              <w:left w:val="single" w:color="000000" w:sz="4" w:space="0"/>
              <w:bottom w:val="single" w:color="000000" w:sz="4" w:space="0"/>
              <w:right w:val="single" w:color="000000" w:sz="4" w:space="0"/>
            </w:tcBorders>
            <w:noWrap w:val="0"/>
            <w:vAlign w:val="center"/>
          </w:tcPr>
          <w:p w14:paraId="46ABE68C">
            <w:pPr>
              <w:widowControl w:val="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w:t>
            </w:r>
          </w:p>
        </w:tc>
        <w:tc>
          <w:tcPr>
            <w:tcW w:w="804" w:type="pct"/>
            <w:tcBorders>
              <w:top w:val="single" w:color="000000" w:sz="4" w:space="0"/>
              <w:left w:val="nil"/>
              <w:bottom w:val="single" w:color="000000" w:sz="8" w:space="0"/>
              <w:right w:val="single" w:color="000000" w:sz="4" w:space="0"/>
            </w:tcBorders>
            <w:noWrap w:val="0"/>
            <w:vAlign w:val="center"/>
          </w:tcPr>
          <w:p w14:paraId="2F372FDC">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管道清疏管径Φ600以下</w:t>
            </w:r>
          </w:p>
        </w:tc>
        <w:tc>
          <w:tcPr>
            <w:tcW w:w="1600" w:type="pct"/>
            <w:tcBorders>
              <w:top w:val="single" w:color="000000" w:sz="4" w:space="0"/>
              <w:left w:val="nil"/>
              <w:bottom w:val="single" w:color="000000" w:sz="8" w:space="0"/>
              <w:right w:val="single" w:color="000000" w:sz="4" w:space="0"/>
            </w:tcBorders>
            <w:noWrap w:val="0"/>
            <w:vAlign w:val="center"/>
          </w:tcPr>
          <w:p w14:paraId="21B00CE8">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1.管道清疏管径Φ600以下（含宽度50cm及以内山体撇洪沟、明沟、盖板沟清理）清疏。</w:t>
            </w:r>
          </w:p>
          <w:p w14:paraId="3CA49887">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2.含清疏的所有垃圾外运</w:t>
            </w:r>
          </w:p>
          <w:p w14:paraId="5740CF7C">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3.投标人结合CCTV检测报告自行报价，包含管道清疏中冲洗费用，综合考虑前期复测摸排、清疏所需的封堵、施工后拆除及调排水的费用、通气、毒气检测等</w:t>
            </w:r>
          </w:p>
          <w:p w14:paraId="132C7E13">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4.弃置运距 投标人自行勘察选择规定的弃置场所并自报运距,所有费用要求在综合单价中充分考虑（包含场地倒置费等），但必须根据南京市城市管理局相关规定，运至合法指定场地</w:t>
            </w:r>
          </w:p>
          <w:p w14:paraId="7A1609E5">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5.保洁费、消纳费等所有费用须投标单位自行考虑，渣土费不予计取</w:t>
            </w:r>
          </w:p>
          <w:p w14:paraId="2581B98B">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6.投标人自行报价，结算不予调整</w:t>
            </w:r>
          </w:p>
        </w:tc>
        <w:tc>
          <w:tcPr>
            <w:tcW w:w="496" w:type="pct"/>
            <w:tcBorders>
              <w:top w:val="single" w:color="000000" w:sz="4" w:space="0"/>
              <w:left w:val="nil"/>
              <w:bottom w:val="single" w:color="000000" w:sz="8" w:space="0"/>
              <w:right w:val="single" w:color="000000" w:sz="4" w:space="0"/>
            </w:tcBorders>
            <w:noWrap w:val="0"/>
            <w:vAlign w:val="center"/>
          </w:tcPr>
          <w:p w14:paraId="14DD956E">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m</w:t>
            </w:r>
          </w:p>
        </w:tc>
        <w:tc>
          <w:tcPr>
            <w:tcW w:w="619" w:type="pct"/>
            <w:tcBorders>
              <w:top w:val="single" w:color="000000" w:sz="4" w:space="0"/>
              <w:left w:val="nil"/>
              <w:bottom w:val="single" w:color="000000" w:sz="8" w:space="0"/>
              <w:right w:val="single" w:color="000000" w:sz="4" w:space="0"/>
            </w:tcBorders>
            <w:noWrap w:val="0"/>
            <w:vAlign w:val="center"/>
          </w:tcPr>
          <w:p w14:paraId="08D4627B">
            <w:pPr>
              <w:widowControl w:val="0"/>
              <w:jc w:val="left"/>
              <w:rPr>
                <w:rFonts w:hint="default"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39547.57</w:t>
            </w:r>
          </w:p>
        </w:tc>
        <w:tc>
          <w:tcPr>
            <w:tcW w:w="618" w:type="pct"/>
            <w:tcBorders>
              <w:top w:val="single" w:color="000000" w:sz="4" w:space="0"/>
              <w:left w:val="nil"/>
              <w:bottom w:val="single" w:color="000000" w:sz="8" w:space="0"/>
              <w:right w:val="single" w:color="000000" w:sz="4" w:space="0"/>
            </w:tcBorders>
            <w:noWrap w:val="0"/>
            <w:vAlign w:val="center"/>
          </w:tcPr>
          <w:p w14:paraId="27F8FD25">
            <w:pPr>
              <w:keepNext w:val="0"/>
              <w:keepLines w:val="0"/>
              <w:widowControl/>
              <w:suppressLineNumbers w:val="0"/>
              <w:jc w:val="center"/>
              <w:textAlignment w:val="center"/>
              <w:rPr>
                <w:rFonts w:hint="default"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t>14.89</w:t>
            </w:r>
          </w:p>
        </w:tc>
        <w:tc>
          <w:tcPr>
            <w:tcW w:w="488" w:type="pct"/>
            <w:tcBorders>
              <w:top w:val="nil"/>
              <w:left w:val="nil"/>
              <w:bottom w:val="single" w:color="000000" w:sz="4" w:space="0"/>
              <w:right w:val="single" w:color="000000" w:sz="4" w:space="0"/>
            </w:tcBorders>
            <w:noWrap w:val="0"/>
            <w:vAlign w:val="center"/>
          </w:tcPr>
          <w:p w14:paraId="54CA3646">
            <w:pPr>
              <w:widowControl w:val="0"/>
              <w:jc w:val="center"/>
              <w:rPr>
                <w:rFonts w:hint="eastAsia" w:ascii="宋体" w:hAnsi="宋体" w:eastAsia="宋体" w:cs="宋体"/>
                <w:color w:val="auto"/>
                <w:kern w:val="0"/>
                <w:sz w:val="21"/>
                <w:szCs w:val="21"/>
              </w:rPr>
            </w:pPr>
          </w:p>
        </w:tc>
      </w:tr>
      <w:tr w14:paraId="357A7A3A">
        <w:tblPrEx>
          <w:tblCellMar>
            <w:top w:w="0" w:type="dxa"/>
            <w:left w:w="108" w:type="dxa"/>
            <w:bottom w:w="0" w:type="dxa"/>
            <w:right w:w="108" w:type="dxa"/>
          </w:tblCellMar>
        </w:tblPrEx>
        <w:trPr>
          <w:trHeight w:val="4308" w:hRule="atLeast"/>
        </w:trPr>
        <w:tc>
          <w:tcPr>
            <w:tcW w:w="372" w:type="pct"/>
            <w:tcBorders>
              <w:top w:val="nil"/>
              <w:left w:val="single" w:color="000000" w:sz="4" w:space="0"/>
              <w:bottom w:val="single" w:color="000000" w:sz="4" w:space="0"/>
              <w:right w:val="single" w:color="000000" w:sz="4" w:space="0"/>
            </w:tcBorders>
            <w:noWrap w:val="0"/>
            <w:vAlign w:val="center"/>
          </w:tcPr>
          <w:p w14:paraId="79AE9241">
            <w:pPr>
              <w:widowControl w:val="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w:t>
            </w:r>
          </w:p>
        </w:tc>
        <w:tc>
          <w:tcPr>
            <w:tcW w:w="804" w:type="pct"/>
            <w:tcBorders>
              <w:top w:val="single" w:color="000000" w:sz="4" w:space="0"/>
              <w:left w:val="nil"/>
              <w:bottom w:val="single" w:color="000000" w:sz="8" w:space="0"/>
              <w:right w:val="single" w:color="000000" w:sz="4" w:space="0"/>
            </w:tcBorders>
            <w:noWrap w:val="0"/>
            <w:vAlign w:val="center"/>
          </w:tcPr>
          <w:p w14:paraId="32010A3C">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雨水口清掏</w:t>
            </w:r>
          </w:p>
        </w:tc>
        <w:tc>
          <w:tcPr>
            <w:tcW w:w="1600" w:type="pct"/>
            <w:tcBorders>
              <w:top w:val="single" w:color="000000" w:sz="4" w:space="0"/>
              <w:left w:val="nil"/>
              <w:bottom w:val="single" w:color="000000" w:sz="8" w:space="0"/>
              <w:right w:val="single" w:color="000000" w:sz="4" w:space="0"/>
            </w:tcBorders>
            <w:noWrap w:val="0"/>
            <w:vAlign w:val="center"/>
          </w:tcPr>
          <w:p w14:paraId="2EF400B9">
            <w:pPr>
              <w:widowControl w:val="0"/>
              <w:numPr>
                <w:ilvl w:val="0"/>
                <w:numId w:val="6"/>
              </w:numPr>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对道路所有雨水口进行清掏，确保排水通畅</w:t>
            </w:r>
            <w:r>
              <w:rPr>
                <w:rFonts w:hint="eastAsia" w:ascii="宋体" w:hAnsi="宋体" w:cs="宋体"/>
                <w:color w:val="auto"/>
                <w:kern w:val="0"/>
                <w:sz w:val="21"/>
                <w:szCs w:val="21"/>
                <w:lang w:eastAsia="zh-CN"/>
              </w:rPr>
              <w:t>。</w:t>
            </w:r>
          </w:p>
          <w:p w14:paraId="7C54FB59">
            <w:pPr>
              <w:widowControl w:val="0"/>
              <w:numPr>
                <w:ilvl w:val="0"/>
                <w:numId w:val="0"/>
              </w:numPr>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2.含清掏垃圾外运</w:t>
            </w:r>
          </w:p>
          <w:p w14:paraId="082476AE">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3.投标人结合CCTV检测报告自行报价，包含管道清疏中洗费用，综合考虑前期复测摸排、清疏所需的封堵、施工后拆除及调排水的费用、通气、毒气检测等</w:t>
            </w:r>
          </w:p>
          <w:p w14:paraId="7DFB0D6B">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4.弃置运距 投标人自行勘察选择规定的弃置场所并自报运距,所有费用要求在综合单价中充分考虑，结算时不得调整（包含场地倒置费等），但必须根据南京市城市管理局相关规定，运至合法指定场地</w:t>
            </w:r>
          </w:p>
          <w:p w14:paraId="42A53278">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5.保洁费、消纳费等所有费用 须投标单位自行考虑  ，渣土费不予计取</w:t>
            </w:r>
          </w:p>
        </w:tc>
        <w:tc>
          <w:tcPr>
            <w:tcW w:w="496" w:type="pct"/>
            <w:tcBorders>
              <w:top w:val="single" w:color="000000" w:sz="4" w:space="0"/>
              <w:left w:val="nil"/>
              <w:bottom w:val="single" w:color="000000" w:sz="8" w:space="0"/>
              <w:right w:val="single" w:color="000000" w:sz="4" w:space="0"/>
            </w:tcBorders>
            <w:noWrap w:val="0"/>
            <w:vAlign w:val="center"/>
          </w:tcPr>
          <w:p w14:paraId="276AD37F">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座</w:t>
            </w:r>
          </w:p>
        </w:tc>
        <w:tc>
          <w:tcPr>
            <w:tcW w:w="619" w:type="pct"/>
            <w:tcBorders>
              <w:top w:val="single" w:color="000000" w:sz="4" w:space="0"/>
              <w:left w:val="nil"/>
              <w:bottom w:val="single" w:color="000000" w:sz="8" w:space="0"/>
              <w:right w:val="single" w:color="000000" w:sz="4" w:space="0"/>
            </w:tcBorders>
            <w:noWrap w:val="0"/>
            <w:vAlign w:val="center"/>
          </w:tcPr>
          <w:p w14:paraId="3AF93AB0">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3217</w:t>
            </w:r>
          </w:p>
        </w:tc>
        <w:tc>
          <w:tcPr>
            <w:tcW w:w="618" w:type="pct"/>
            <w:tcBorders>
              <w:top w:val="single" w:color="000000" w:sz="4" w:space="0"/>
              <w:left w:val="nil"/>
              <w:bottom w:val="single" w:color="000000" w:sz="8" w:space="0"/>
              <w:right w:val="single" w:color="000000" w:sz="4" w:space="0"/>
            </w:tcBorders>
            <w:noWrap w:val="0"/>
            <w:vAlign w:val="center"/>
          </w:tcPr>
          <w:p w14:paraId="2F09BF28">
            <w:pPr>
              <w:keepNext w:val="0"/>
              <w:keepLines w:val="0"/>
              <w:widowControl/>
              <w:suppressLineNumbers w:val="0"/>
              <w:jc w:val="center"/>
              <w:textAlignment w:val="center"/>
              <w:rPr>
                <w:rFonts w:hint="default"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t>23.2</w:t>
            </w:r>
          </w:p>
        </w:tc>
        <w:tc>
          <w:tcPr>
            <w:tcW w:w="488" w:type="pct"/>
            <w:tcBorders>
              <w:top w:val="nil"/>
              <w:left w:val="nil"/>
              <w:bottom w:val="single" w:color="000000" w:sz="4" w:space="0"/>
              <w:right w:val="single" w:color="000000" w:sz="4" w:space="0"/>
            </w:tcBorders>
            <w:noWrap w:val="0"/>
            <w:vAlign w:val="center"/>
          </w:tcPr>
          <w:p w14:paraId="5DAB9545">
            <w:pPr>
              <w:widowControl w:val="0"/>
              <w:jc w:val="center"/>
              <w:rPr>
                <w:rFonts w:hint="eastAsia" w:ascii="宋体" w:hAnsi="宋体" w:eastAsia="宋体" w:cs="宋体"/>
                <w:color w:val="auto"/>
                <w:kern w:val="0"/>
                <w:sz w:val="21"/>
                <w:szCs w:val="21"/>
              </w:rPr>
            </w:pPr>
          </w:p>
        </w:tc>
      </w:tr>
      <w:tr w14:paraId="7582D0CE">
        <w:tblPrEx>
          <w:tblCellMar>
            <w:top w:w="0" w:type="dxa"/>
            <w:left w:w="108" w:type="dxa"/>
            <w:bottom w:w="0" w:type="dxa"/>
            <w:right w:w="108" w:type="dxa"/>
          </w:tblCellMar>
        </w:tblPrEx>
        <w:trPr>
          <w:trHeight w:val="1290" w:hRule="atLeast"/>
        </w:trPr>
        <w:tc>
          <w:tcPr>
            <w:tcW w:w="372" w:type="pct"/>
            <w:tcBorders>
              <w:top w:val="nil"/>
              <w:left w:val="single" w:color="000000" w:sz="4" w:space="0"/>
              <w:bottom w:val="single" w:color="000000" w:sz="4" w:space="0"/>
              <w:right w:val="single" w:color="000000" w:sz="4" w:space="0"/>
            </w:tcBorders>
            <w:noWrap w:val="0"/>
            <w:vAlign w:val="center"/>
          </w:tcPr>
          <w:p w14:paraId="6EDD3FC2">
            <w:pPr>
              <w:widowControl w:val="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4</w:t>
            </w:r>
          </w:p>
        </w:tc>
        <w:tc>
          <w:tcPr>
            <w:tcW w:w="804" w:type="pct"/>
            <w:tcBorders>
              <w:top w:val="single" w:color="000000" w:sz="4" w:space="0"/>
              <w:left w:val="nil"/>
              <w:bottom w:val="single" w:color="000000" w:sz="4" w:space="0"/>
              <w:right w:val="single" w:color="000000" w:sz="4" w:space="0"/>
            </w:tcBorders>
            <w:noWrap w:val="0"/>
            <w:vAlign w:val="center"/>
          </w:tcPr>
          <w:p w14:paraId="461F617B">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排口巡查、水质检测、水草清捞、垃圾清理等零星用工</w:t>
            </w:r>
          </w:p>
        </w:tc>
        <w:tc>
          <w:tcPr>
            <w:tcW w:w="1600" w:type="pct"/>
            <w:tcBorders>
              <w:top w:val="single" w:color="000000" w:sz="4" w:space="0"/>
              <w:left w:val="nil"/>
              <w:bottom w:val="single" w:color="000000" w:sz="4" w:space="0"/>
              <w:right w:val="single" w:color="000000" w:sz="4" w:space="0"/>
            </w:tcBorders>
            <w:noWrap w:val="0"/>
            <w:vAlign w:val="center"/>
          </w:tcPr>
          <w:p w14:paraId="00081B93">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1、用于排口巡查、水质检测、水草清捞、岸坡垃圾清理等零星用工，点工数量最终以指令单及计量单为准</w:t>
            </w:r>
          </w:p>
        </w:tc>
        <w:tc>
          <w:tcPr>
            <w:tcW w:w="496" w:type="pct"/>
            <w:tcBorders>
              <w:top w:val="single" w:color="000000" w:sz="4" w:space="0"/>
              <w:left w:val="nil"/>
              <w:bottom w:val="single" w:color="000000" w:sz="4" w:space="0"/>
              <w:right w:val="single" w:color="000000" w:sz="4" w:space="0"/>
            </w:tcBorders>
            <w:noWrap w:val="0"/>
            <w:vAlign w:val="center"/>
          </w:tcPr>
          <w:p w14:paraId="4AF5E2E4">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工日</w:t>
            </w:r>
          </w:p>
        </w:tc>
        <w:tc>
          <w:tcPr>
            <w:tcW w:w="619" w:type="pct"/>
            <w:tcBorders>
              <w:top w:val="single" w:color="000000" w:sz="4" w:space="0"/>
              <w:left w:val="nil"/>
              <w:bottom w:val="single" w:color="000000" w:sz="4" w:space="0"/>
              <w:right w:val="single" w:color="000000" w:sz="4" w:space="0"/>
            </w:tcBorders>
            <w:noWrap w:val="0"/>
            <w:vAlign w:val="center"/>
          </w:tcPr>
          <w:p w14:paraId="2C10FA10">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668</w:t>
            </w:r>
          </w:p>
        </w:tc>
        <w:tc>
          <w:tcPr>
            <w:tcW w:w="618" w:type="pct"/>
            <w:tcBorders>
              <w:top w:val="single" w:color="000000" w:sz="4" w:space="0"/>
              <w:left w:val="nil"/>
              <w:bottom w:val="single" w:color="000000" w:sz="4" w:space="0"/>
              <w:right w:val="single" w:color="000000" w:sz="4" w:space="0"/>
            </w:tcBorders>
            <w:noWrap w:val="0"/>
            <w:vAlign w:val="center"/>
          </w:tcPr>
          <w:p w14:paraId="51D771E4">
            <w:pPr>
              <w:keepNext w:val="0"/>
              <w:keepLines w:val="0"/>
              <w:widowControl/>
              <w:suppressLineNumbers w:val="0"/>
              <w:jc w:val="center"/>
              <w:textAlignment w:val="center"/>
              <w:rPr>
                <w:rFonts w:hint="default"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t>157.72</w:t>
            </w:r>
          </w:p>
        </w:tc>
        <w:tc>
          <w:tcPr>
            <w:tcW w:w="488" w:type="pct"/>
            <w:tcBorders>
              <w:top w:val="nil"/>
              <w:left w:val="nil"/>
              <w:bottom w:val="single" w:color="000000" w:sz="4" w:space="0"/>
              <w:right w:val="single" w:color="000000" w:sz="4" w:space="0"/>
            </w:tcBorders>
            <w:noWrap w:val="0"/>
            <w:vAlign w:val="center"/>
          </w:tcPr>
          <w:p w14:paraId="75A422FC">
            <w:pPr>
              <w:widowControl w:val="0"/>
              <w:jc w:val="center"/>
              <w:rPr>
                <w:rFonts w:hint="eastAsia" w:ascii="宋体" w:hAnsi="宋体" w:eastAsia="宋体" w:cs="宋体"/>
                <w:color w:val="auto"/>
                <w:kern w:val="0"/>
                <w:sz w:val="21"/>
                <w:szCs w:val="21"/>
              </w:rPr>
            </w:pPr>
          </w:p>
        </w:tc>
      </w:tr>
      <w:tr w14:paraId="2F5498FC">
        <w:tblPrEx>
          <w:tblCellMar>
            <w:top w:w="0" w:type="dxa"/>
            <w:left w:w="108" w:type="dxa"/>
            <w:bottom w:w="0" w:type="dxa"/>
            <w:right w:w="108" w:type="dxa"/>
          </w:tblCellMar>
        </w:tblPrEx>
        <w:trPr>
          <w:trHeight w:val="1170" w:hRule="atLeast"/>
        </w:trPr>
        <w:tc>
          <w:tcPr>
            <w:tcW w:w="372" w:type="pct"/>
            <w:tcBorders>
              <w:top w:val="nil"/>
              <w:left w:val="single" w:color="000000" w:sz="4" w:space="0"/>
              <w:bottom w:val="single" w:color="000000" w:sz="4" w:space="0"/>
              <w:right w:val="single" w:color="000000" w:sz="4" w:space="0"/>
            </w:tcBorders>
            <w:noWrap w:val="0"/>
            <w:vAlign w:val="center"/>
          </w:tcPr>
          <w:p w14:paraId="4A672753">
            <w:pPr>
              <w:widowControl w:val="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5</w:t>
            </w:r>
          </w:p>
        </w:tc>
        <w:tc>
          <w:tcPr>
            <w:tcW w:w="804" w:type="pct"/>
            <w:tcBorders>
              <w:top w:val="nil"/>
              <w:left w:val="nil"/>
              <w:bottom w:val="single" w:color="000000" w:sz="4" w:space="0"/>
              <w:right w:val="single" w:color="000000" w:sz="4" w:space="0"/>
            </w:tcBorders>
            <w:noWrap w:val="0"/>
            <w:vAlign w:val="center"/>
          </w:tcPr>
          <w:p w14:paraId="7396609F">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排口巡查、水质检测、垃圾清理用车</w:t>
            </w:r>
          </w:p>
        </w:tc>
        <w:tc>
          <w:tcPr>
            <w:tcW w:w="1600" w:type="pct"/>
            <w:tcBorders>
              <w:top w:val="nil"/>
              <w:left w:val="nil"/>
              <w:bottom w:val="single" w:color="000000" w:sz="4" w:space="0"/>
              <w:right w:val="single" w:color="000000" w:sz="4" w:space="0"/>
            </w:tcBorders>
            <w:noWrap w:val="0"/>
            <w:vAlign w:val="center"/>
          </w:tcPr>
          <w:p w14:paraId="6175F5F7">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1、用于排口巡查、水质检测、岸坡垃圾清理等零星用车，台班数量最终以指令单及计量单为准</w:t>
            </w:r>
          </w:p>
        </w:tc>
        <w:tc>
          <w:tcPr>
            <w:tcW w:w="496" w:type="pct"/>
            <w:tcBorders>
              <w:top w:val="nil"/>
              <w:left w:val="nil"/>
              <w:bottom w:val="single" w:color="000000" w:sz="4" w:space="0"/>
              <w:right w:val="single" w:color="000000" w:sz="4" w:space="0"/>
            </w:tcBorders>
            <w:noWrap w:val="0"/>
            <w:vAlign w:val="center"/>
          </w:tcPr>
          <w:p w14:paraId="5DC4550F">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台班</w:t>
            </w:r>
          </w:p>
        </w:tc>
        <w:tc>
          <w:tcPr>
            <w:tcW w:w="619" w:type="pct"/>
            <w:tcBorders>
              <w:top w:val="nil"/>
              <w:left w:val="nil"/>
              <w:bottom w:val="single" w:color="000000" w:sz="4" w:space="0"/>
              <w:right w:val="single" w:color="000000" w:sz="4" w:space="0"/>
            </w:tcBorders>
            <w:noWrap w:val="0"/>
            <w:vAlign w:val="center"/>
          </w:tcPr>
          <w:p w14:paraId="201155A0">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212</w:t>
            </w:r>
          </w:p>
        </w:tc>
        <w:tc>
          <w:tcPr>
            <w:tcW w:w="618" w:type="pct"/>
            <w:tcBorders>
              <w:top w:val="nil"/>
              <w:left w:val="nil"/>
              <w:bottom w:val="single" w:color="000000" w:sz="4" w:space="0"/>
              <w:right w:val="single" w:color="000000" w:sz="4" w:space="0"/>
            </w:tcBorders>
            <w:noWrap w:val="0"/>
            <w:vAlign w:val="center"/>
          </w:tcPr>
          <w:p w14:paraId="427EAEAE">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515.01</w:t>
            </w:r>
          </w:p>
        </w:tc>
        <w:tc>
          <w:tcPr>
            <w:tcW w:w="488" w:type="pct"/>
            <w:tcBorders>
              <w:top w:val="nil"/>
              <w:left w:val="nil"/>
              <w:bottom w:val="single" w:color="000000" w:sz="4" w:space="0"/>
              <w:right w:val="single" w:color="000000" w:sz="4" w:space="0"/>
            </w:tcBorders>
            <w:noWrap w:val="0"/>
            <w:vAlign w:val="center"/>
          </w:tcPr>
          <w:p w14:paraId="2119CDCC">
            <w:pPr>
              <w:widowControl w:val="0"/>
              <w:jc w:val="center"/>
              <w:rPr>
                <w:rFonts w:hint="eastAsia" w:ascii="宋体" w:hAnsi="宋体" w:eastAsia="宋体" w:cs="宋体"/>
                <w:color w:val="auto"/>
                <w:kern w:val="0"/>
                <w:sz w:val="21"/>
                <w:szCs w:val="21"/>
              </w:rPr>
            </w:pPr>
          </w:p>
        </w:tc>
      </w:tr>
      <w:tr w14:paraId="0A116AB9">
        <w:tblPrEx>
          <w:tblCellMar>
            <w:top w:w="0" w:type="dxa"/>
            <w:left w:w="108" w:type="dxa"/>
            <w:bottom w:w="0" w:type="dxa"/>
            <w:right w:w="108" w:type="dxa"/>
          </w:tblCellMar>
        </w:tblPrEx>
        <w:trPr>
          <w:trHeight w:val="1110" w:hRule="atLeast"/>
        </w:trPr>
        <w:tc>
          <w:tcPr>
            <w:tcW w:w="372" w:type="pct"/>
            <w:tcBorders>
              <w:top w:val="nil"/>
              <w:left w:val="single" w:color="000000" w:sz="4" w:space="0"/>
              <w:bottom w:val="single" w:color="000000" w:sz="4" w:space="0"/>
              <w:right w:val="single" w:color="000000" w:sz="4" w:space="0"/>
            </w:tcBorders>
            <w:noWrap w:val="0"/>
            <w:vAlign w:val="center"/>
          </w:tcPr>
          <w:p w14:paraId="5C419299">
            <w:pPr>
              <w:widowControl w:val="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6</w:t>
            </w:r>
          </w:p>
        </w:tc>
        <w:tc>
          <w:tcPr>
            <w:tcW w:w="804" w:type="pct"/>
            <w:tcBorders>
              <w:top w:val="nil"/>
              <w:left w:val="nil"/>
              <w:bottom w:val="single" w:color="000000" w:sz="4" w:space="0"/>
              <w:right w:val="single" w:color="000000" w:sz="4" w:space="0"/>
            </w:tcBorders>
            <w:noWrap w:val="0"/>
            <w:vAlign w:val="center"/>
          </w:tcPr>
          <w:p w14:paraId="3E7D8A58">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潜水员班组水下、暗涵、污水井池内摸排</w:t>
            </w:r>
          </w:p>
        </w:tc>
        <w:tc>
          <w:tcPr>
            <w:tcW w:w="1600" w:type="pct"/>
            <w:tcBorders>
              <w:top w:val="nil"/>
              <w:left w:val="nil"/>
              <w:bottom w:val="single" w:color="000000" w:sz="4" w:space="0"/>
              <w:right w:val="single" w:color="000000" w:sz="4" w:space="0"/>
            </w:tcBorders>
            <w:noWrap w:val="0"/>
            <w:vAlign w:val="center"/>
          </w:tcPr>
          <w:p w14:paraId="3B836CFA">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1.用于水下及暗涵、管道等有限空间通风、有毒气体检测、摸排作业</w:t>
            </w:r>
          </w:p>
        </w:tc>
        <w:tc>
          <w:tcPr>
            <w:tcW w:w="496" w:type="pct"/>
            <w:tcBorders>
              <w:top w:val="nil"/>
              <w:left w:val="nil"/>
              <w:bottom w:val="single" w:color="000000" w:sz="4" w:space="0"/>
              <w:right w:val="single" w:color="000000" w:sz="4" w:space="0"/>
            </w:tcBorders>
            <w:noWrap w:val="0"/>
            <w:vAlign w:val="center"/>
          </w:tcPr>
          <w:p w14:paraId="7E1CCFFE">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台班</w:t>
            </w:r>
          </w:p>
        </w:tc>
        <w:tc>
          <w:tcPr>
            <w:tcW w:w="619" w:type="pct"/>
            <w:tcBorders>
              <w:top w:val="nil"/>
              <w:left w:val="nil"/>
              <w:bottom w:val="single" w:color="000000" w:sz="4" w:space="0"/>
              <w:right w:val="single" w:color="000000" w:sz="4" w:space="0"/>
            </w:tcBorders>
            <w:noWrap w:val="0"/>
            <w:vAlign w:val="center"/>
          </w:tcPr>
          <w:p w14:paraId="76F32656">
            <w:pPr>
              <w:widowControl w:val="0"/>
              <w:jc w:val="left"/>
              <w:rPr>
                <w:rFonts w:hint="eastAsia" w:ascii="宋体" w:hAnsi="宋体" w:eastAsia="宋体" w:cs="宋体"/>
                <w:color w:val="auto"/>
                <w:kern w:val="0"/>
                <w:sz w:val="21"/>
                <w:szCs w:val="21"/>
                <w:lang w:eastAsia="zh-CN"/>
              </w:rPr>
            </w:pPr>
            <w:r>
              <w:rPr>
                <w:rFonts w:hint="eastAsia" w:ascii="宋体" w:hAnsi="宋体" w:cs="宋体"/>
                <w:color w:val="auto"/>
                <w:kern w:val="0"/>
                <w:sz w:val="21"/>
                <w:szCs w:val="21"/>
                <w:lang w:val="en-US" w:eastAsia="zh-CN"/>
              </w:rPr>
              <w:t>2</w:t>
            </w:r>
          </w:p>
        </w:tc>
        <w:tc>
          <w:tcPr>
            <w:tcW w:w="618" w:type="pct"/>
            <w:tcBorders>
              <w:top w:val="nil"/>
              <w:left w:val="nil"/>
              <w:bottom w:val="single" w:color="000000" w:sz="4" w:space="0"/>
              <w:right w:val="single" w:color="000000" w:sz="4" w:space="0"/>
            </w:tcBorders>
            <w:noWrap w:val="0"/>
            <w:vAlign w:val="center"/>
          </w:tcPr>
          <w:p w14:paraId="59790A6A">
            <w:pPr>
              <w:keepNext w:val="0"/>
              <w:keepLines w:val="0"/>
              <w:widowControl/>
              <w:suppressLineNumbers w:val="0"/>
              <w:jc w:val="center"/>
              <w:textAlignment w:val="center"/>
              <w:rPr>
                <w:rFonts w:hint="default" w:ascii="宋体" w:hAnsi="宋体" w:eastAsia="宋体" w:cs="宋体"/>
                <w:color w:val="auto"/>
                <w:kern w:val="0"/>
                <w:sz w:val="21"/>
                <w:szCs w:val="21"/>
                <w:lang w:val="en-US"/>
              </w:rPr>
            </w:pPr>
            <w:r>
              <w:rPr>
                <w:rFonts w:hint="eastAsia" w:ascii="宋体" w:hAnsi="宋体" w:cs="宋体"/>
                <w:i w:val="0"/>
                <w:iCs w:val="0"/>
                <w:color w:val="auto"/>
                <w:kern w:val="0"/>
                <w:sz w:val="18"/>
                <w:szCs w:val="18"/>
                <w:u w:val="none"/>
                <w:lang w:val="en-US" w:eastAsia="zh-CN" w:bidi="ar"/>
              </w:rPr>
              <w:t>5218.56</w:t>
            </w:r>
          </w:p>
        </w:tc>
        <w:tc>
          <w:tcPr>
            <w:tcW w:w="488" w:type="pct"/>
            <w:tcBorders>
              <w:top w:val="nil"/>
              <w:left w:val="nil"/>
              <w:bottom w:val="single" w:color="000000" w:sz="4" w:space="0"/>
              <w:right w:val="single" w:color="000000" w:sz="4" w:space="0"/>
            </w:tcBorders>
            <w:noWrap w:val="0"/>
            <w:vAlign w:val="center"/>
          </w:tcPr>
          <w:p w14:paraId="548391E4">
            <w:pPr>
              <w:widowControl w:val="0"/>
              <w:jc w:val="center"/>
              <w:rPr>
                <w:rFonts w:hint="eastAsia" w:ascii="宋体" w:hAnsi="宋体" w:eastAsia="宋体" w:cs="宋体"/>
                <w:color w:val="auto"/>
                <w:kern w:val="0"/>
                <w:sz w:val="21"/>
                <w:szCs w:val="21"/>
              </w:rPr>
            </w:pPr>
          </w:p>
        </w:tc>
      </w:tr>
      <w:tr w14:paraId="18914EF1">
        <w:tblPrEx>
          <w:tblCellMar>
            <w:top w:w="0" w:type="dxa"/>
            <w:left w:w="108" w:type="dxa"/>
            <w:bottom w:w="0" w:type="dxa"/>
            <w:right w:w="108" w:type="dxa"/>
          </w:tblCellMar>
        </w:tblPrEx>
        <w:trPr>
          <w:trHeight w:val="1065" w:hRule="atLeast"/>
        </w:trPr>
        <w:tc>
          <w:tcPr>
            <w:tcW w:w="372" w:type="pct"/>
            <w:tcBorders>
              <w:top w:val="nil"/>
              <w:left w:val="single" w:color="000000" w:sz="4" w:space="0"/>
              <w:bottom w:val="single" w:color="000000" w:sz="4" w:space="0"/>
              <w:right w:val="single" w:color="000000" w:sz="4" w:space="0"/>
            </w:tcBorders>
            <w:noWrap w:val="0"/>
            <w:vAlign w:val="center"/>
          </w:tcPr>
          <w:p w14:paraId="2F5FB326">
            <w:pPr>
              <w:widowControl w:val="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7</w:t>
            </w:r>
          </w:p>
        </w:tc>
        <w:tc>
          <w:tcPr>
            <w:tcW w:w="804" w:type="pct"/>
            <w:tcBorders>
              <w:top w:val="nil"/>
              <w:left w:val="nil"/>
              <w:bottom w:val="single" w:color="000000" w:sz="4" w:space="0"/>
              <w:right w:val="single" w:color="000000" w:sz="4" w:space="0"/>
            </w:tcBorders>
            <w:noWrap w:val="0"/>
            <w:vAlign w:val="center"/>
          </w:tcPr>
          <w:p w14:paraId="43979155">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暗涵、管道排查检测</w:t>
            </w:r>
          </w:p>
        </w:tc>
        <w:tc>
          <w:tcPr>
            <w:tcW w:w="1600" w:type="pct"/>
            <w:tcBorders>
              <w:top w:val="nil"/>
              <w:left w:val="nil"/>
              <w:bottom w:val="single" w:color="000000" w:sz="4" w:space="0"/>
              <w:right w:val="single" w:color="000000" w:sz="4" w:space="0"/>
            </w:tcBorders>
            <w:noWrap w:val="0"/>
            <w:vAlign w:val="center"/>
          </w:tcPr>
          <w:p w14:paraId="161749E2">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管道开井通风、有毒气体检测、采用潜望镜、机器人等视频检测、绘制简图、标记等，提供检测报告</w:t>
            </w:r>
          </w:p>
        </w:tc>
        <w:tc>
          <w:tcPr>
            <w:tcW w:w="496" w:type="pct"/>
            <w:tcBorders>
              <w:top w:val="nil"/>
              <w:left w:val="nil"/>
              <w:bottom w:val="single" w:color="000000" w:sz="4" w:space="0"/>
              <w:right w:val="single" w:color="000000" w:sz="4" w:space="0"/>
            </w:tcBorders>
            <w:noWrap w:val="0"/>
            <w:vAlign w:val="center"/>
          </w:tcPr>
          <w:p w14:paraId="2991958D">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m</w:t>
            </w:r>
          </w:p>
        </w:tc>
        <w:tc>
          <w:tcPr>
            <w:tcW w:w="619" w:type="pct"/>
            <w:tcBorders>
              <w:top w:val="nil"/>
              <w:left w:val="nil"/>
              <w:bottom w:val="single" w:color="000000" w:sz="4" w:space="0"/>
              <w:right w:val="single" w:color="000000" w:sz="4" w:space="0"/>
            </w:tcBorders>
            <w:noWrap w:val="0"/>
            <w:vAlign w:val="center"/>
          </w:tcPr>
          <w:p w14:paraId="6D797ADE">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4020</w:t>
            </w:r>
          </w:p>
        </w:tc>
        <w:tc>
          <w:tcPr>
            <w:tcW w:w="618" w:type="pct"/>
            <w:tcBorders>
              <w:top w:val="nil"/>
              <w:left w:val="nil"/>
              <w:bottom w:val="single" w:color="000000" w:sz="4" w:space="0"/>
              <w:right w:val="single" w:color="000000" w:sz="4" w:space="0"/>
            </w:tcBorders>
            <w:noWrap w:val="0"/>
            <w:vAlign w:val="center"/>
          </w:tcPr>
          <w:p w14:paraId="4AF7796A">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20.3</w:t>
            </w:r>
          </w:p>
        </w:tc>
        <w:tc>
          <w:tcPr>
            <w:tcW w:w="488" w:type="pct"/>
            <w:tcBorders>
              <w:top w:val="nil"/>
              <w:left w:val="nil"/>
              <w:bottom w:val="single" w:color="000000" w:sz="4" w:space="0"/>
              <w:right w:val="single" w:color="000000" w:sz="4" w:space="0"/>
            </w:tcBorders>
            <w:noWrap w:val="0"/>
            <w:vAlign w:val="center"/>
          </w:tcPr>
          <w:p w14:paraId="6127AE41">
            <w:pPr>
              <w:widowControl w:val="0"/>
              <w:jc w:val="center"/>
              <w:rPr>
                <w:rFonts w:hint="eastAsia" w:ascii="宋体" w:hAnsi="宋体" w:eastAsia="宋体" w:cs="宋体"/>
                <w:color w:val="auto"/>
                <w:kern w:val="0"/>
                <w:sz w:val="21"/>
                <w:szCs w:val="21"/>
              </w:rPr>
            </w:pPr>
          </w:p>
        </w:tc>
      </w:tr>
      <w:tr w14:paraId="367D0D3A">
        <w:tblPrEx>
          <w:tblCellMar>
            <w:top w:w="0" w:type="dxa"/>
            <w:left w:w="108" w:type="dxa"/>
            <w:bottom w:w="0" w:type="dxa"/>
            <w:right w:w="108" w:type="dxa"/>
          </w:tblCellMar>
        </w:tblPrEx>
        <w:trPr>
          <w:trHeight w:val="1981" w:hRule="atLeast"/>
        </w:trPr>
        <w:tc>
          <w:tcPr>
            <w:tcW w:w="372" w:type="pct"/>
            <w:tcBorders>
              <w:top w:val="nil"/>
              <w:left w:val="single" w:color="000000" w:sz="4" w:space="0"/>
              <w:bottom w:val="single" w:color="000000" w:sz="4" w:space="0"/>
              <w:right w:val="single" w:color="000000" w:sz="4" w:space="0"/>
            </w:tcBorders>
            <w:noWrap w:val="0"/>
            <w:vAlign w:val="center"/>
          </w:tcPr>
          <w:p w14:paraId="4C4E204A">
            <w:pPr>
              <w:widowControl w:val="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8</w:t>
            </w:r>
          </w:p>
        </w:tc>
        <w:tc>
          <w:tcPr>
            <w:tcW w:w="804" w:type="pct"/>
            <w:tcBorders>
              <w:top w:val="nil"/>
              <w:left w:val="nil"/>
              <w:bottom w:val="single" w:color="000000" w:sz="4" w:space="0"/>
              <w:right w:val="single" w:color="000000" w:sz="4" w:space="0"/>
            </w:tcBorders>
            <w:noWrap w:val="0"/>
            <w:vAlign w:val="center"/>
          </w:tcPr>
          <w:p w14:paraId="3A3D7E3B">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Φ800以内管道砖封堵</w:t>
            </w:r>
          </w:p>
        </w:tc>
        <w:tc>
          <w:tcPr>
            <w:tcW w:w="1600" w:type="pct"/>
            <w:tcBorders>
              <w:top w:val="nil"/>
              <w:left w:val="nil"/>
              <w:bottom w:val="single" w:color="000000" w:sz="4" w:space="0"/>
              <w:right w:val="single" w:color="000000" w:sz="4" w:space="0"/>
            </w:tcBorders>
            <w:noWrap w:val="0"/>
            <w:vAlign w:val="center"/>
          </w:tcPr>
          <w:p w14:paraId="0856EFA0">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1.人工堵管口： 砖封Φ800及以内，含有毒气体测试、防护措施等费用</w:t>
            </w:r>
          </w:p>
          <w:p w14:paraId="34247531">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2.满足施工安全要求，含封堵、拆除、清理，上下游调排水的费用、通气、毒气检测等，并考虑材料、机械运至施工现场及施工等所有费用，结算时不调整</w:t>
            </w:r>
          </w:p>
        </w:tc>
        <w:tc>
          <w:tcPr>
            <w:tcW w:w="496" w:type="pct"/>
            <w:tcBorders>
              <w:top w:val="nil"/>
              <w:left w:val="nil"/>
              <w:bottom w:val="single" w:color="000000" w:sz="4" w:space="0"/>
              <w:right w:val="single" w:color="000000" w:sz="4" w:space="0"/>
            </w:tcBorders>
            <w:noWrap w:val="0"/>
            <w:vAlign w:val="center"/>
          </w:tcPr>
          <w:p w14:paraId="7FD10793">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个</w:t>
            </w:r>
          </w:p>
        </w:tc>
        <w:tc>
          <w:tcPr>
            <w:tcW w:w="619" w:type="pct"/>
            <w:tcBorders>
              <w:top w:val="nil"/>
              <w:left w:val="nil"/>
              <w:bottom w:val="single" w:color="000000" w:sz="4" w:space="0"/>
              <w:right w:val="single" w:color="000000" w:sz="4" w:space="0"/>
            </w:tcBorders>
            <w:noWrap w:val="0"/>
            <w:vAlign w:val="center"/>
          </w:tcPr>
          <w:p w14:paraId="5E7510A4">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11</w:t>
            </w:r>
          </w:p>
        </w:tc>
        <w:tc>
          <w:tcPr>
            <w:tcW w:w="618" w:type="pct"/>
            <w:tcBorders>
              <w:top w:val="nil"/>
              <w:left w:val="nil"/>
              <w:bottom w:val="single" w:color="000000" w:sz="4" w:space="0"/>
              <w:right w:val="single" w:color="000000" w:sz="4" w:space="0"/>
            </w:tcBorders>
            <w:noWrap w:val="0"/>
            <w:vAlign w:val="center"/>
          </w:tcPr>
          <w:p w14:paraId="25E2129E">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2709.9</w:t>
            </w:r>
          </w:p>
        </w:tc>
        <w:tc>
          <w:tcPr>
            <w:tcW w:w="488" w:type="pct"/>
            <w:tcBorders>
              <w:top w:val="nil"/>
              <w:left w:val="nil"/>
              <w:bottom w:val="single" w:color="000000" w:sz="4" w:space="0"/>
              <w:right w:val="single" w:color="000000" w:sz="4" w:space="0"/>
            </w:tcBorders>
            <w:noWrap w:val="0"/>
            <w:vAlign w:val="center"/>
          </w:tcPr>
          <w:p w14:paraId="5EF349A8">
            <w:pPr>
              <w:widowControl w:val="0"/>
              <w:jc w:val="center"/>
              <w:rPr>
                <w:rFonts w:hint="eastAsia" w:ascii="宋体" w:hAnsi="宋体" w:eastAsia="宋体" w:cs="宋体"/>
                <w:color w:val="auto"/>
                <w:kern w:val="0"/>
                <w:sz w:val="21"/>
                <w:szCs w:val="21"/>
              </w:rPr>
            </w:pPr>
          </w:p>
        </w:tc>
      </w:tr>
      <w:tr w14:paraId="5390985F">
        <w:tblPrEx>
          <w:tblCellMar>
            <w:top w:w="0" w:type="dxa"/>
            <w:left w:w="108" w:type="dxa"/>
            <w:bottom w:w="0" w:type="dxa"/>
            <w:right w:w="108" w:type="dxa"/>
          </w:tblCellMar>
        </w:tblPrEx>
        <w:trPr>
          <w:trHeight w:val="1996" w:hRule="atLeast"/>
        </w:trPr>
        <w:tc>
          <w:tcPr>
            <w:tcW w:w="372" w:type="pct"/>
            <w:tcBorders>
              <w:top w:val="nil"/>
              <w:left w:val="single" w:color="000000" w:sz="4" w:space="0"/>
              <w:bottom w:val="single" w:color="000000" w:sz="4" w:space="0"/>
              <w:right w:val="single" w:color="000000" w:sz="4" w:space="0"/>
            </w:tcBorders>
            <w:noWrap w:val="0"/>
            <w:vAlign w:val="center"/>
          </w:tcPr>
          <w:p w14:paraId="0640BFFE">
            <w:pPr>
              <w:widowControl w:val="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9</w:t>
            </w:r>
          </w:p>
        </w:tc>
        <w:tc>
          <w:tcPr>
            <w:tcW w:w="804" w:type="pct"/>
            <w:tcBorders>
              <w:top w:val="nil"/>
              <w:left w:val="nil"/>
              <w:bottom w:val="single" w:color="000000" w:sz="4" w:space="0"/>
              <w:right w:val="single" w:color="000000" w:sz="4" w:space="0"/>
            </w:tcBorders>
            <w:noWrap w:val="0"/>
            <w:vAlign w:val="center"/>
          </w:tcPr>
          <w:p w14:paraId="76C4DEF0">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Φ1000-φ1200管道砖封堵</w:t>
            </w:r>
          </w:p>
        </w:tc>
        <w:tc>
          <w:tcPr>
            <w:tcW w:w="1600" w:type="pct"/>
            <w:tcBorders>
              <w:top w:val="nil"/>
              <w:left w:val="nil"/>
              <w:bottom w:val="single" w:color="000000" w:sz="4" w:space="0"/>
              <w:right w:val="single" w:color="000000" w:sz="4" w:space="0"/>
            </w:tcBorders>
            <w:noWrap w:val="0"/>
            <w:vAlign w:val="center"/>
          </w:tcPr>
          <w:p w14:paraId="3C3A6314">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1.人工堵管口： 砖封Φ1000-Φ1200，含有毒气体测试、防护措施等费用</w:t>
            </w:r>
          </w:p>
          <w:p w14:paraId="7D1BFBF4">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2.满足施工安全要求，含封堵、拆除、清理，上下游调排水的费用、通气、毒气检测等，并考虑材料、机械运至施工现场及施工等所有费用，结算时不调整</w:t>
            </w:r>
          </w:p>
        </w:tc>
        <w:tc>
          <w:tcPr>
            <w:tcW w:w="496" w:type="pct"/>
            <w:tcBorders>
              <w:top w:val="nil"/>
              <w:left w:val="nil"/>
              <w:bottom w:val="single" w:color="000000" w:sz="4" w:space="0"/>
              <w:right w:val="single" w:color="000000" w:sz="4" w:space="0"/>
            </w:tcBorders>
            <w:noWrap w:val="0"/>
            <w:vAlign w:val="center"/>
          </w:tcPr>
          <w:p w14:paraId="3E3CFDAF">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个</w:t>
            </w:r>
          </w:p>
        </w:tc>
        <w:tc>
          <w:tcPr>
            <w:tcW w:w="619" w:type="pct"/>
            <w:tcBorders>
              <w:top w:val="nil"/>
              <w:left w:val="nil"/>
              <w:bottom w:val="single" w:color="000000" w:sz="4" w:space="0"/>
              <w:right w:val="single" w:color="000000" w:sz="4" w:space="0"/>
            </w:tcBorders>
            <w:noWrap w:val="0"/>
            <w:vAlign w:val="center"/>
          </w:tcPr>
          <w:p w14:paraId="4B6A4643">
            <w:pPr>
              <w:widowControl w:val="0"/>
              <w:jc w:val="left"/>
              <w:rPr>
                <w:rFonts w:hint="eastAsia"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2</w:t>
            </w:r>
          </w:p>
        </w:tc>
        <w:tc>
          <w:tcPr>
            <w:tcW w:w="618" w:type="pct"/>
            <w:tcBorders>
              <w:top w:val="nil"/>
              <w:left w:val="nil"/>
              <w:bottom w:val="single" w:color="000000" w:sz="4" w:space="0"/>
              <w:right w:val="single" w:color="000000" w:sz="4" w:space="0"/>
            </w:tcBorders>
            <w:noWrap w:val="0"/>
            <w:vAlign w:val="center"/>
          </w:tcPr>
          <w:p w14:paraId="156B9CF9">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5666.91</w:t>
            </w:r>
          </w:p>
        </w:tc>
        <w:tc>
          <w:tcPr>
            <w:tcW w:w="488" w:type="pct"/>
            <w:tcBorders>
              <w:top w:val="nil"/>
              <w:left w:val="nil"/>
              <w:bottom w:val="single" w:color="000000" w:sz="4" w:space="0"/>
              <w:right w:val="single" w:color="000000" w:sz="4" w:space="0"/>
            </w:tcBorders>
            <w:noWrap w:val="0"/>
            <w:vAlign w:val="center"/>
          </w:tcPr>
          <w:p w14:paraId="644F5D6F">
            <w:pPr>
              <w:widowControl w:val="0"/>
              <w:jc w:val="center"/>
              <w:rPr>
                <w:rFonts w:hint="eastAsia" w:ascii="宋体" w:hAnsi="宋体" w:eastAsia="宋体" w:cs="宋体"/>
                <w:color w:val="auto"/>
                <w:kern w:val="0"/>
                <w:sz w:val="21"/>
                <w:szCs w:val="21"/>
              </w:rPr>
            </w:pPr>
          </w:p>
        </w:tc>
      </w:tr>
      <w:tr w14:paraId="570B99D6">
        <w:tblPrEx>
          <w:tblCellMar>
            <w:top w:w="0" w:type="dxa"/>
            <w:left w:w="108" w:type="dxa"/>
            <w:bottom w:w="0" w:type="dxa"/>
            <w:right w:w="108" w:type="dxa"/>
          </w:tblCellMar>
        </w:tblPrEx>
        <w:trPr>
          <w:trHeight w:val="1936" w:hRule="atLeast"/>
        </w:trPr>
        <w:tc>
          <w:tcPr>
            <w:tcW w:w="372" w:type="pct"/>
            <w:tcBorders>
              <w:top w:val="nil"/>
              <w:left w:val="single" w:color="000000" w:sz="4" w:space="0"/>
              <w:bottom w:val="single" w:color="000000" w:sz="4" w:space="0"/>
              <w:right w:val="single" w:color="000000" w:sz="4" w:space="0"/>
            </w:tcBorders>
            <w:noWrap w:val="0"/>
            <w:vAlign w:val="center"/>
          </w:tcPr>
          <w:p w14:paraId="24F6B182">
            <w:pPr>
              <w:widowControl w:val="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10</w:t>
            </w:r>
          </w:p>
        </w:tc>
        <w:tc>
          <w:tcPr>
            <w:tcW w:w="804" w:type="pct"/>
            <w:tcBorders>
              <w:top w:val="nil"/>
              <w:left w:val="nil"/>
              <w:bottom w:val="single" w:color="000000" w:sz="4" w:space="0"/>
              <w:right w:val="single" w:color="000000" w:sz="4" w:space="0"/>
            </w:tcBorders>
            <w:noWrap w:val="0"/>
            <w:vAlign w:val="center"/>
          </w:tcPr>
          <w:p w14:paraId="43A69298">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Φ1500-φ2000管道砖封堵</w:t>
            </w:r>
          </w:p>
        </w:tc>
        <w:tc>
          <w:tcPr>
            <w:tcW w:w="1600" w:type="pct"/>
            <w:tcBorders>
              <w:top w:val="nil"/>
              <w:left w:val="nil"/>
              <w:bottom w:val="single" w:color="000000" w:sz="4" w:space="0"/>
              <w:right w:val="single" w:color="000000" w:sz="4" w:space="0"/>
            </w:tcBorders>
            <w:noWrap w:val="0"/>
            <w:vAlign w:val="center"/>
          </w:tcPr>
          <w:p w14:paraId="42F8F2C0">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1.人工堵管口： 砖封Φ1500-Φ2000，含有毒气体测试、防护措施等费用</w:t>
            </w:r>
          </w:p>
          <w:p w14:paraId="74417323">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2.满足施工安全要求，含封堵、拆除、清理，上下游调排水的费用、通气、毒气检测等，并考虑材料、机械运至施工现场及施工等所有费用，结算时不调整</w:t>
            </w:r>
          </w:p>
        </w:tc>
        <w:tc>
          <w:tcPr>
            <w:tcW w:w="496" w:type="pct"/>
            <w:tcBorders>
              <w:top w:val="nil"/>
              <w:left w:val="nil"/>
              <w:bottom w:val="single" w:color="000000" w:sz="4" w:space="0"/>
              <w:right w:val="single" w:color="000000" w:sz="4" w:space="0"/>
            </w:tcBorders>
            <w:noWrap w:val="0"/>
            <w:vAlign w:val="center"/>
          </w:tcPr>
          <w:p w14:paraId="1B0B1350">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个</w:t>
            </w:r>
          </w:p>
        </w:tc>
        <w:tc>
          <w:tcPr>
            <w:tcW w:w="619" w:type="pct"/>
            <w:tcBorders>
              <w:top w:val="nil"/>
              <w:left w:val="nil"/>
              <w:bottom w:val="single" w:color="000000" w:sz="4" w:space="0"/>
              <w:right w:val="single" w:color="000000" w:sz="4" w:space="0"/>
            </w:tcBorders>
            <w:noWrap w:val="0"/>
            <w:vAlign w:val="center"/>
          </w:tcPr>
          <w:p w14:paraId="40DFE948">
            <w:pPr>
              <w:widowControl w:val="0"/>
              <w:jc w:val="left"/>
              <w:rPr>
                <w:rFonts w:hint="eastAsia"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2</w:t>
            </w:r>
          </w:p>
        </w:tc>
        <w:tc>
          <w:tcPr>
            <w:tcW w:w="618" w:type="pct"/>
            <w:tcBorders>
              <w:top w:val="nil"/>
              <w:left w:val="nil"/>
              <w:bottom w:val="single" w:color="000000" w:sz="4" w:space="0"/>
              <w:right w:val="single" w:color="000000" w:sz="4" w:space="0"/>
            </w:tcBorders>
            <w:noWrap w:val="0"/>
            <w:vAlign w:val="center"/>
          </w:tcPr>
          <w:p w14:paraId="220827FE">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14028.5</w:t>
            </w:r>
          </w:p>
        </w:tc>
        <w:tc>
          <w:tcPr>
            <w:tcW w:w="488" w:type="pct"/>
            <w:tcBorders>
              <w:top w:val="nil"/>
              <w:left w:val="nil"/>
              <w:bottom w:val="single" w:color="000000" w:sz="4" w:space="0"/>
              <w:right w:val="single" w:color="000000" w:sz="4" w:space="0"/>
            </w:tcBorders>
            <w:noWrap w:val="0"/>
            <w:vAlign w:val="center"/>
          </w:tcPr>
          <w:p w14:paraId="62E2CFF6">
            <w:pPr>
              <w:widowControl w:val="0"/>
              <w:jc w:val="center"/>
              <w:rPr>
                <w:rFonts w:hint="eastAsia" w:ascii="宋体" w:hAnsi="宋体" w:eastAsia="宋体" w:cs="宋体"/>
                <w:color w:val="auto"/>
                <w:kern w:val="0"/>
                <w:sz w:val="21"/>
                <w:szCs w:val="21"/>
              </w:rPr>
            </w:pPr>
          </w:p>
        </w:tc>
      </w:tr>
      <w:tr w14:paraId="32B52580">
        <w:tblPrEx>
          <w:tblCellMar>
            <w:top w:w="0" w:type="dxa"/>
            <w:left w:w="108" w:type="dxa"/>
            <w:bottom w:w="0" w:type="dxa"/>
            <w:right w:w="108" w:type="dxa"/>
          </w:tblCellMar>
        </w:tblPrEx>
        <w:trPr>
          <w:trHeight w:val="2371" w:hRule="atLeast"/>
        </w:trPr>
        <w:tc>
          <w:tcPr>
            <w:tcW w:w="372" w:type="pct"/>
            <w:tcBorders>
              <w:top w:val="nil"/>
              <w:left w:val="single" w:color="000000" w:sz="4" w:space="0"/>
              <w:bottom w:val="single" w:color="000000" w:sz="4" w:space="0"/>
              <w:right w:val="single" w:color="000000" w:sz="4" w:space="0"/>
            </w:tcBorders>
            <w:noWrap w:val="0"/>
            <w:vAlign w:val="center"/>
          </w:tcPr>
          <w:p w14:paraId="24497650">
            <w:pPr>
              <w:widowControl w:val="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11</w:t>
            </w:r>
          </w:p>
        </w:tc>
        <w:tc>
          <w:tcPr>
            <w:tcW w:w="804" w:type="pct"/>
            <w:tcBorders>
              <w:top w:val="nil"/>
              <w:left w:val="nil"/>
              <w:bottom w:val="single" w:color="000000" w:sz="4" w:space="0"/>
              <w:right w:val="single" w:color="000000" w:sz="4" w:space="0"/>
            </w:tcBorders>
            <w:noWrap w:val="0"/>
            <w:vAlign w:val="center"/>
          </w:tcPr>
          <w:p w14:paraId="0AE3329B">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人工堵管口 气囊堵管口Φ800及以内</w:t>
            </w:r>
          </w:p>
        </w:tc>
        <w:tc>
          <w:tcPr>
            <w:tcW w:w="1600" w:type="pct"/>
            <w:tcBorders>
              <w:top w:val="nil"/>
              <w:left w:val="nil"/>
              <w:bottom w:val="single" w:color="000000" w:sz="4" w:space="0"/>
              <w:right w:val="single" w:color="000000" w:sz="4" w:space="0"/>
            </w:tcBorders>
            <w:noWrap w:val="0"/>
            <w:vAlign w:val="center"/>
          </w:tcPr>
          <w:p w14:paraId="1707D97C">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1.人工堵管口 ，气囊堵管口Φ800及以内，含排气阀及管道辅材、有毒气体测试、防护措施等费用</w:t>
            </w:r>
          </w:p>
          <w:p w14:paraId="26F0F7EF">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2.气囊堵管，满足施工安全要求，含安装、补气及拆除、清理，上下游调排水的费用、通气、毒气检测等，并考虑材料、机械运至施工现场及施工等所有费用，结算时不调整</w:t>
            </w:r>
          </w:p>
        </w:tc>
        <w:tc>
          <w:tcPr>
            <w:tcW w:w="496" w:type="pct"/>
            <w:tcBorders>
              <w:top w:val="nil"/>
              <w:left w:val="nil"/>
              <w:bottom w:val="single" w:color="000000" w:sz="4" w:space="0"/>
              <w:right w:val="single" w:color="000000" w:sz="4" w:space="0"/>
            </w:tcBorders>
            <w:noWrap w:val="0"/>
            <w:vAlign w:val="center"/>
          </w:tcPr>
          <w:p w14:paraId="46CB99D6">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个</w:t>
            </w:r>
          </w:p>
        </w:tc>
        <w:tc>
          <w:tcPr>
            <w:tcW w:w="619" w:type="pct"/>
            <w:tcBorders>
              <w:top w:val="nil"/>
              <w:left w:val="nil"/>
              <w:bottom w:val="single" w:color="000000" w:sz="4" w:space="0"/>
              <w:right w:val="single" w:color="000000" w:sz="4" w:space="0"/>
            </w:tcBorders>
            <w:noWrap w:val="0"/>
            <w:vAlign w:val="center"/>
          </w:tcPr>
          <w:p w14:paraId="17B4FDC2">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10</w:t>
            </w:r>
          </w:p>
        </w:tc>
        <w:tc>
          <w:tcPr>
            <w:tcW w:w="618" w:type="pct"/>
            <w:tcBorders>
              <w:top w:val="nil"/>
              <w:left w:val="nil"/>
              <w:bottom w:val="single" w:color="000000" w:sz="4" w:space="0"/>
              <w:right w:val="single" w:color="000000" w:sz="4" w:space="0"/>
            </w:tcBorders>
            <w:noWrap w:val="0"/>
            <w:vAlign w:val="center"/>
          </w:tcPr>
          <w:p w14:paraId="4B4D02EE">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1111.81</w:t>
            </w:r>
          </w:p>
        </w:tc>
        <w:tc>
          <w:tcPr>
            <w:tcW w:w="488" w:type="pct"/>
            <w:tcBorders>
              <w:top w:val="nil"/>
              <w:left w:val="nil"/>
              <w:bottom w:val="single" w:color="000000" w:sz="4" w:space="0"/>
              <w:right w:val="single" w:color="000000" w:sz="4" w:space="0"/>
            </w:tcBorders>
            <w:noWrap w:val="0"/>
            <w:vAlign w:val="center"/>
          </w:tcPr>
          <w:p w14:paraId="7CE39ADB">
            <w:pPr>
              <w:widowControl w:val="0"/>
              <w:jc w:val="center"/>
              <w:rPr>
                <w:rFonts w:hint="eastAsia" w:ascii="宋体" w:hAnsi="宋体" w:eastAsia="宋体" w:cs="宋体"/>
                <w:color w:val="auto"/>
                <w:kern w:val="0"/>
                <w:sz w:val="21"/>
                <w:szCs w:val="21"/>
              </w:rPr>
            </w:pPr>
          </w:p>
        </w:tc>
      </w:tr>
      <w:tr w14:paraId="183324AF">
        <w:tblPrEx>
          <w:tblCellMar>
            <w:top w:w="0" w:type="dxa"/>
            <w:left w:w="108" w:type="dxa"/>
            <w:bottom w:w="0" w:type="dxa"/>
            <w:right w:w="108" w:type="dxa"/>
          </w:tblCellMar>
        </w:tblPrEx>
        <w:trPr>
          <w:trHeight w:val="2176" w:hRule="atLeast"/>
        </w:trPr>
        <w:tc>
          <w:tcPr>
            <w:tcW w:w="372" w:type="pct"/>
            <w:tcBorders>
              <w:top w:val="nil"/>
              <w:left w:val="single" w:color="000000" w:sz="4" w:space="0"/>
              <w:bottom w:val="single" w:color="000000" w:sz="4" w:space="0"/>
              <w:right w:val="single" w:color="000000" w:sz="4" w:space="0"/>
            </w:tcBorders>
            <w:noWrap w:val="0"/>
            <w:vAlign w:val="center"/>
          </w:tcPr>
          <w:p w14:paraId="62DEB415">
            <w:pPr>
              <w:widowControl w:val="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12</w:t>
            </w:r>
          </w:p>
        </w:tc>
        <w:tc>
          <w:tcPr>
            <w:tcW w:w="804" w:type="pct"/>
            <w:tcBorders>
              <w:top w:val="nil"/>
              <w:left w:val="nil"/>
              <w:bottom w:val="single" w:color="000000" w:sz="4" w:space="0"/>
              <w:right w:val="single" w:color="000000" w:sz="4" w:space="0"/>
            </w:tcBorders>
            <w:noWrap w:val="0"/>
            <w:vAlign w:val="center"/>
          </w:tcPr>
          <w:p w14:paraId="7C6CD4E0">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人工堵管口 气囊堵管口Φ1000-φ1200</w:t>
            </w:r>
          </w:p>
        </w:tc>
        <w:tc>
          <w:tcPr>
            <w:tcW w:w="1600" w:type="pct"/>
            <w:tcBorders>
              <w:top w:val="nil"/>
              <w:left w:val="nil"/>
              <w:bottom w:val="single" w:color="000000" w:sz="4" w:space="0"/>
              <w:right w:val="single" w:color="000000" w:sz="4" w:space="0"/>
            </w:tcBorders>
            <w:noWrap w:val="0"/>
            <w:vAlign w:val="center"/>
          </w:tcPr>
          <w:p w14:paraId="074F6807">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1.人工堵管口 ，气囊堵管口Φ1000-φ1200，含排气阀及管道辅材、有毒气体测试、防护措施等费用</w:t>
            </w:r>
          </w:p>
          <w:p w14:paraId="178A8BA9">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2.气囊堵管，满足施工安全要求，含安装、补气及拆除、清理，并考虑材料、机械运至施工现场及施工等所有费用，结算时不调整</w:t>
            </w:r>
          </w:p>
        </w:tc>
        <w:tc>
          <w:tcPr>
            <w:tcW w:w="496" w:type="pct"/>
            <w:tcBorders>
              <w:top w:val="nil"/>
              <w:left w:val="nil"/>
              <w:bottom w:val="single" w:color="000000" w:sz="4" w:space="0"/>
              <w:right w:val="single" w:color="000000" w:sz="4" w:space="0"/>
            </w:tcBorders>
            <w:noWrap w:val="0"/>
            <w:vAlign w:val="center"/>
          </w:tcPr>
          <w:p w14:paraId="18AF9FF5">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个</w:t>
            </w:r>
          </w:p>
        </w:tc>
        <w:tc>
          <w:tcPr>
            <w:tcW w:w="619" w:type="pct"/>
            <w:tcBorders>
              <w:top w:val="nil"/>
              <w:left w:val="nil"/>
              <w:bottom w:val="single" w:color="000000" w:sz="4" w:space="0"/>
              <w:right w:val="single" w:color="000000" w:sz="4" w:space="0"/>
            </w:tcBorders>
            <w:noWrap w:val="0"/>
            <w:vAlign w:val="center"/>
          </w:tcPr>
          <w:p w14:paraId="57909B5F">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7</w:t>
            </w:r>
          </w:p>
        </w:tc>
        <w:tc>
          <w:tcPr>
            <w:tcW w:w="618" w:type="pct"/>
            <w:tcBorders>
              <w:top w:val="nil"/>
              <w:left w:val="nil"/>
              <w:bottom w:val="single" w:color="000000" w:sz="4" w:space="0"/>
              <w:right w:val="single" w:color="000000" w:sz="4" w:space="0"/>
            </w:tcBorders>
            <w:noWrap w:val="0"/>
            <w:vAlign w:val="center"/>
          </w:tcPr>
          <w:p w14:paraId="5F87586E">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1592.5</w:t>
            </w:r>
          </w:p>
        </w:tc>
        <w:tc>
          <w:tcPr>
            <w:tcW w:w="488" w:type="pct"/>
            <w:tcBorders>
              <w:top w:val="nil"/>
              <w:left w:val="nil"/>
              <w:bottom w:val="single" w:color="000000" w:sz="4" w:space="0"/>
              <w:right w:val="single" w:color="000000" w:sz="4" w:space="0"/>
            </w:tcBorders>
            <w:noWrap w:val="0"/>
            <w:vAlign w:val="center"/>
          </w:tcPr>
          <w:p w14:paraId="29716EC0">
            <w:pPr>
              <w:widowControl w:val="0"/>
              <w:jc w:val="center"/>
              <w:rPr>
                <w:rFonts w:hint="eastAsia" w:ascii="宋体" w:hAnsi="宋体" w:eastAsia="宋体" w:cs="宋体"/>
                <w:color w:val="auto"/>
                <w:kern w:val="0"/>
                <w:sz w:val="21"/>
                <w:szCs w:val="21"/>
              </w:rPr>
            </w:pPr>
          </w:p>
        </w:tc>
      </w:tr>
      <w:tr w14:paraId="20F47743">
        <w:tblPrEx>
          <w:tblCellMar>
            <w:top w:w="0" w:type="dxa"/>
            <w:left w:w="108" w:type="dxa"/>
            <w:bottom w:w="0" w:type="dxa"/>
            <w:right w:w="108" w:type="dxa"/>
          </w:tblCellMar>
        </w:tblPrEx>
        <w:trPr>
          <w:trHeight w:val="2461" w:hRule="atLeast"/>
        </w:trPr>
        <w:tc>
          <w:tcPr>
            <w:tcW w:w="372" w:type="pct"/>
            <w:tcBorders>
              <w:top w:val="nil"/>
              <w:left w:val="single" w:color="000000" w:sz="4" w:space="0"/>
              <w:bottom w:val="single" w:color="000000" w:sz="4" w:space="0"/>
              <w:right w:val="single" w:color="000000" w:sz="4" w:space="0"/>
            </w:tcBorders>
            <w:noWrap w:val="0"/>
            <w:vAlign w:val="center"/>
          </w:tcPr>
          <w:p w14:paraId="0031B00A">
            <w:pPr>
              <w:widowControl w:val="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13</w:t>
            </w:r>
          </w:p>
        </w:tc>
        <w:tc>
          <w:tcPr>
            <w:tcW w:w="804" w:type="pct"/>
            <w:tcBorders>
              <w:top w:val="nil"/>
              <w:left w:val="nil"/>
              <w:bottom w:val="single" w:color="000000" w:sz="4" w:space="0"/>
              <w:right w:val="single" w:color="000000" w:sz="4" w:space="0"/>
            </w:tcBorders>
            <w:noWrap w:val="0"/>
            <w:vAlign w:val="center"/>
          </w:tcPr>
          <w:p w14:paraId="5C8C88E8">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人工堵管口 气囊堵管口Φ1500-φ2000</w:t>
            </w:r>
          </w:p>
        </w:tc>
        <w:tc>
          <w:tcPr>
            <w:tcW w:w="1600" w:type="pct"/>
            <w:tcBorders>
              <w:top w:val="nil"/>
              <w:left w:val="nil"/>
              <w:bottom w:val="single" w:color="000000" w:sz="4" w:space="0"/>
              <w:right w:val="single" w:color="000000" w:sz="4" w:space="0"/>
            </w:tcBorders>
            <w:noWrap w:val="0"/>
            <w:vAlign w:val="center"/>
          </w:tcPr>
          <w:p w14:paraId="20DB69D0">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1.人工堵管口 ，气囊堵管口Φ1500-φ2000，含排气阀及管道辅材、有毒气体测试、防护措施等费用</w:t>
            </w:r>
          </w:p>
          <w:p w14:paraId="780803FF">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2.气囊堵管，满足施工安全要求，含安装、补气及拆除、清理，上下游调排水的费用、通气、毒气检测等，并考虑材料、机械运至施工现场及施工等所有费用，结算时不调整</w:t>
            </w:r>
          </w:p>
        </w:tc>
        <w:tc>
          <w:tcPr>
            <w:tcW w:w="496" w:type="pct"/>
            <w:tcBorders>
              <w:top w:val="nil"/>
              <w:left w:val="nil"/>
              <w:bottom w:val="single" w:color="000000" w:sz="4" w:space="0"/>
              <w:right w:val="single" w:color="000000" w:sz="4" w:space="0"/>
            </w:tcBorders>
            <w:noWrap w:val="0"/>
            <w:vAlign w:val="center"/>
          </w:tcPr>
          <w:p w14:paraId="676E8D2C">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个</w:t>
            </w:r>
          </w:p>
        </w:tc>
        <w:tc>
          <w:tcPr>
            <w:tcW w:w="619" w:type="pct"/>
            <w:tcBorders>
              <w:top w:val="nil"/>
              <w:left w:val="nil"/>
              <w:bottom w:val="single" w:color="000000" w:sz="4" w:space="0"/>
              <w:right w:val="single" w:color="000000" w:sz="4" w:space="0"/>
            </w:tcBorders>
            <w:noWrap w:val="0"/>
            <w:vAlign w:val="center"/>
          </w:tcPr>
          <w:p w14:paraId="32E29A42">
            <w:pPr>
              <w:widowControl w:val="0"/>
              <w:jc w:val="left"/>
              <w:rPr>
                <w:rFonts w:hint="eastAsia" w:ascii="宋体" w:hAnsi="宋体" w:eastAsia="宋体" w:cs="宋体"/>
                <w:color w:val="auto"/>
                <w:kern w:val="0"/>
                <w:sz w:val="21"/>
                <w:szCs w:val="21"/>
                <w:lang w:eastAsia="zh-CN"/>
              </w:rPr>
            </w:pPr>
            <w:r>
              <w:rPr>
                <w:rFonts w:hint="eastAsia" w:ascii="宋体" w:hAnsi="宋体" w:cs="宋体"/>
                <w:color w:val="auto"/>
                <w:kern w:val="0"/>
                <w:sz w:val="21"/>
                <w:szCs w:val="21"/>
                <w:lang w:val="en-US" w:eastAsia="zh-CN"/>
              </w:rPr>
              <w:t>4</w:t>
            </w:r>
          </w:p>
        </w:tc>
        <w:tc>
          <w:tcPr>
            <w:tcW w:w="618" w:type="pct"/>
            <w:tcBorders>
              <w:top w:val="nil"/>
              <w:left w:val="nil"/>
              <w:bottom w:val="single" w:color="000000" w:sz="4" w:space="0"/>
              <w:right w:val="single" w:color="000000" w:sz="4" w:space="0"/>
            </w:tcBorders>
            <w:noWrap w:val="0"/>
            <w:vAlign w:val="center"/>
          </w:tcPr>
          <w:p w14:paraId="34F41B49">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2678.66</w:t>
            </w:r>
          </w:p>
        </w:tc>
        <w:tc>
          <w:tcPr>
            <w:tcW w:w="488" w:type="pct"/>
            <w:tcBorders>
              <w:top w:val="nil"/>
              <w:left w:val="nil"/>
              <w:bottom w:val="single" w:color="000000" w:sz="4" w:space="0"/>
              <w:right w:val="single" w:color="000000" w:sz="4" w:space="0"/>
            </w:tcBorders>
            <w:noWrap w:val="0"/>
            <w:vAlign w:val="center"/>
          </w:tcPr>
          <w:p w14:paraId="12ED2DB0">
            <w:pPr>
              <w:widowControl w:val="0"/>
              <w:jc w:val="center"/>
              <w:rPr>
                <w:rFonts w:hint="eastAsia" w:ascii="宋体" w:hAnsi="宋体" w:eastAsia="宋体" w:cs="宋体"/>
                <w:color w:val="auto"/>
                <w:kern w:val="0"/>
                <w:sz w:val="21"/>
                <w:szCs w:val="21"/>
              </w:rPr>
            </w:pPr>
          </w:p>
        </w:tc>
      </w:tr>
      <w:tr w14:paraId="703490B6">
        <w:tblPrEx>
          <w:tblCellMar>
            <w:top w:w="0" w:type="dxa"/>
            <w:left w:w="108" w:type="dxa"/>
            <w:bottom w:w="0" w:type="dxa"/>
            <w:right w:w="108" w:type="dxa"/>
          </w:tblCellMar>
        </w:tblPrEx>
        <w:trPr>
          <w:trHeight w:val="1636" w:hRule="atLeast"/>
        </w:trPr>
        <w:tc>
          <w:tcPr>
            <w:tcW w:w="372" w:type="pct"/>
            <w:tcBorders>
              <w:top w:val="nil"/>
              <w:left w:val="single" w:color="000000" w:sz="4" w:space="0"/>
              <w:bottom w:val="single" w:color="000000" w:sz="4" w:space="0"/>
              <w:right w:val="single" w:color="000000" w:sz="4" w:space="0"/>
            </w:tcBorders>
            <w:noWrap w:val="0"/>
            <w:vAlign w:val="center"/>
          </w:tcPr>
          <w:p w14:paraId="554603BF">
            <w:pPr>
              <w:widowControl w:val="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14</w:t>
            </w:r>
          </w:p>
        </w:tc>
        <w:tc>
          <w:tcPr>
            <w:tcW w:w="804" w:type="pct"/>
            <w:tcBorders>
              <w:top w:val="nil"/>
              <w:left w:val="nil"/>
              <w:bottom w:val="single" w:color="000000" w:sz="4" w:space="0"/>
              <w:right w:val="single" w:color="000000" w:sz="4" w:space="0"/>
            </w:tcBorders>
            <w:noWrap w:val="0"/>
            <w:vAlign w:val="center"/>
          </w:tcPr>
          <w:p w14:paraId="2336FDA5">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河面障碍物（水生植物浮萍、水草等）弃置</w:t>
            </w:r>
          </w:p>
        </w:tc>
        <w:tc>
          <w:tcPr>
            <w:tcW w:w="1600" w:type="pct"/>
            <w:tcBorders>
              <w:top w:val="nil"/>
              <w:left w:val="nil"/>
              <w:bottom w:val="single" w:color="000000" w:sz="4" w:space="0"/>
              <w:right w:val="single" w:color="000000" w:sz="4" w:space="0"/>
            </w:tcBorders>
            <w:noWrap w:val="0"/>
            <w:vAlign w:val="center"/>
          </w:tcPr>
          <w:p w14:paraId="27678FC1">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1、主要用于文苑河（南师大1-3号门，羊山公园末端），仙林大道中间湖、纬地路沟、灵山北沟等水面浮萍、水草等清理弃置</w:t>
            </w:r>
          </w:p>
          <w:p w14:paraId="7A2BBCF1">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2、工程车车厢尺寸3.2m*1.9m</w:t>
            </w:r>
          </w:p>
        </w:tc>
        <w:tc>
          <w:tcPr>
            <w:tcW w:w="496" w:type="pct"/>
            <w:tcBorders>
              <w:top w:val="nil"/>
              <w:left w:val="nil"/>
              <w:bottom w:val="single" w:color="000000" w:sz="4" w:space="0"/>
              <w:right w:val="single" w:color="000000" w:sz="4" w:space="0"/>
            </w:tcBorders>
            <w:noWrap w:val="0"/>
            <w:vAlign w:val="center"/>
          </w:tcPr>
          <w:p w14:paraId="2D33E8E1">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车</w:t>
            </w:r>
          </w:p>
        </w:tc>
        <w:tc>
          <w:tcPr>
            <w:tcW w:w="619" w:type="pct"/>
            <w:tcBorders>
              <w:top w:val="nil"/>
              <w:left w:val="nil"/>
              <w:bottom w:val="single" w:color="000000" w:sz="4" w:space="0"/>
              <w:right w:val="single" w:color="000000" w:sz="4" w:space="0"/>
            </w:tcBorders>
            <w:noWrap w:val="0"/>
            <w:vAlign w:val="center"/>
          </w:tcPr>
          <w:p w14:paraId="47A48A6D">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115</w:t>
            </w:r>
          </w:p>
        </w:tc>
        <w:tc>
          <w:tcPr>
            <w:tcW w:w="618" w:type="pct"/>
            <w:tcBorders>
              <w:top w:val="nil"/>
              <w:left w:val="nil"/>
              <w:bottom w:val="single" w:color="000000" w:sz="4" w:space="0"/>
              <w:right w:val="single" w:color="000000" w:sz="4" w:space="0"/>
            </w:tcBorders>
            <w:noWrap w:val="0"/>
            <w:vAlign w:val="center"/>
          </w:tcPr>
          <w:p w14:paraId="212D9DCE">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173.95</w:t>
            </w:r>
          </w:p>
        </w:tc>
        <w:tc>
          <w:tcPr>
            <w:tcW w:w="488" w:type="pct"/>
            <w:tcBorders>
              <w:top w:val="nil"/>
              <w:left w:val="nil"/>
              <w:bottom w:val="single" w:color="000000" w:sz="4" w:space="0"/>
              <w:right w:val="single" w:color="000000" w:sz="4" w:space="0"/>
            </w:tcBorders>
            <w:noWrap w:val="0"/>
            <w:vAlign w:val="center"/>
          </w:tcPr>
          <w:p w14:paraId="69948D82">
            <w:pPr>
              <w:widowControl w:val="0"/>
              <w:jc w:val="center"/>
              <w:rPr>
                <w:rFonts w:hint="eastAsia" w:ascii="宋体" w:hAnsi="宋体" w:eastAsia="宋体" w:cs="宋体"/>
                <w:color w:val="auto"/>
                <w:kern w:val="0"/>
                <w:sz w:val="21"/>
                <w:szCs w:val="21"/>
              </w:rPr>
            </w:pPr>
          </w:p>
        </w:tc>
      </w:tr>
      <w:tr w14:paraId="75A7EF8E">
        <w:tblPrEx>
          <w:tblCellMar>
            <w:top w:w="0" w:type="dxa"/>
            <w:left w:w="108" w:type="dxa"/>
            <w:bottom w:w="0" w:type="dxa"/>
            <w:right w:w="108" w:type="dxa"/>
          </w:tblCellMar>
        </w:tblPrEx>
        <w:trPr>
          <w:trHeight w:val="919" w:hRule="atLeast"/>
        </w:trPr>
        <w:tc>
          <w:tcPr>
            <w:tcW w:w="372" w:type="pct"/>
            <w:tcBorders>
              <w:top w:val="nil"/>
              <w:left w:val="single" w:color="000000" w:sz="4" w:space="0"/>
              <w:bottom w:val="single" w:color="000000" w:sz="4" w:space="0"/>
              <w:right w:val="single" w:color="000000" w:sz="4" w:space="0"/>
            </w:tcBorders>
            <w:noWrap w:val="0"/>
            <w:vAlign w:val="center"/>
          </w:tcPr>
          <w:p w14:paraId="64EF8472">
            <w:pPr>
              <w:widowControl w:val="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15</w:t>
            </w:r>
          </w:p>
        </w:tc>
        <w:tc>
          <w:tcPr>
            <w:tcW w:w="804" w:type="pct"/>
            <w:tcBorders>
              <w:top w:val="nil"/>
              <w:left w:val="nil"/>
              <w:bottom w:val="single" w:color="000000" w:sz="4" w:space="0"/>
              <w:right w:val="single" w:color="000000" w:sz="4" w:space="0"/>
            </w:tcBorders>
            <w:noWrap w:val="0"/>
            <w:vAlign w:val="center"/>
          </w:tcPr>
          <w:p w14:paraId="3184A4F1">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砌筑φ700砼模块检查井</w:t>
            </w:r>
          </w:p>
        </w:tc>
        <w:tc>
          <w:tcPr>
            <w:tcW w:w="1600" w:type="pct"/>
            <w:tcBorders>
              <w:top w:val="nil"/>
              <w:left w:val="nil"/>
              <w:bottom w:val="single" w:color="000000" w:sz="4" w:space="0"/>
              <w:right w:val="single" w:color="000000" w:sz="4" w:space="0"/>
            </w:tcBorders>
            <w:noWrap w:val="0"/>
            <w:vAlign w:val="center"/>
          </w:tcPr>
          <w:p w14:paraId="6846340C">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砌筑φ700混凝土模块井，井深3.0米以内，φ700球墨铸铁五防井盖（用于九乡河东路、仙林大道等新建检查井）</w:t>
            </w:r>
          </w:p>
        </w:tc>
        <w:tc>
          <w:tcPr>
            <w:tcW w:w="496" w:type="pct"/>
            <w:tcBorders>
              <w:top w:val="nil"/>
              <w:left w:val="nil"/>
              <w:bottom w:val="single" w:color="000000" w:sz="4" w:space="0"/>
              <w:right w:val="single" w:color="000000" w:sz="4" w:space="0"/>
            </w:tcBorders>
            <w:noWrap w:val="0"/>
            <w:vAlign w:val="center"/>
          </w:tcPr>
          <w:p w14:paraId="45CDE71D">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座</w:t>
            </w:r>
          </w:p>
        </w:tc>
        <w:tc>
          <w:tcPr>
            <w:tcW w:w="619" w:type="pct"/>
            <w:tcBorders>
              <w:top w:val="nil"/>
              <w:left w:val="nil"/>
              <w:bottom w:val="single" w:color="000000" w:sz="4" w:space="0"/>
              <w:right w:val="single" w:color="000000" w:sz="4" w:space="0"/>
            </w:tcBorders>
            <w:noWrap w:val="0"/>
            <w:vAlign w:val="center"/>
          </w:tcPr>
          <w:p w14:paraId="630322D7">
            <w:pPr>
              <w:widowControl w:val="0"/>
              <w:jc w:val="left"/>
              <w:rPr>
                <w:rFonts w:hint="eastAsia" w:ascii="宋体" w:hAnsi="宋体" w:eastAsia="宋体" w:cs="宋体"/>
                <w:color w:val="auto"/>
                <w:kern w:val="0"/>
                <w:sz w:val="21"/>
                <w:szCs w:val="21"/>
                <w:lang w:eastAsia="zh-CN"/>
              </w:rPr>
            </w:pPr>
            <w:r>
              <w:rPr>
                <w:rFonts w:hint="eastAsia" w:ascii="宋体" w:hAnsi="宋体" w:cs="宋体"/>
                <w:color w:val="auto"/>
                <w:kern w:val="0"/>
                <w:sz w:val="21"/>
                <w:szCs w:val="21"/>
                <w:lang w:val="en-US" w:eastAsia="zh-CN"/>
              </w:rPr>
              <w:t>3</w:t>
            </w:r>
          </w:p>
        </w:tc>
        <w:tc>
          <w:tcPr>
            <w:tcW w:w="618" w:type="pct"/>
            <w:tcBorders>
              <w:top w:val="nil"/>
              <w:left w:val="nil"/>
              <w:bottom w:val="single" w:color="000000" w:sz="4" w:space="0"/>
              <w:right w:val="single" w:color="000000" w:sz="4" w:space="0"/>
            </w:tcBorders>
            <w:noWrap w:val="0"/>
            <w:vAlign w:val="center"/>
          </w:tcPr>
          <w:p w14:paraId="58EAFF96">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5665.32</w:t>
            </w:r>
          </w:p>
        </w:tc>
        <w:tc>
          <w:tcPr>
            <w:tcW w:w="488" w:type="pct"/>
            <w:tcBorders>
              <w:top w:val="nil"/>
              <w:left w:val="nil"/>
              <w:bottom w:val="single" w:color="000000" w:sz="4" w:space="0"/>
              <w:right w:val="single" w:color="000000" w:sz="4" w:space="0"/>
            </w:tcBorders>
            <w:noWrap w:val="0"/>
            <w:vAlign w:val="center"/>
          </w:tcPr>
          <w:p w14:paraId="0A71B33A">
            <w:pPr>
              <w:widowControl w:val="0"/>
              <w:jc w:val="center"/>
              <w:rPr>
                <w:rFonts w:hint="eastAsia" w:ascii="宋体" w:hAnsi="宋体" w:eastAsia="宋体" w:cs="宋体"/>
                <w:color w:val="auto"/>
                <w:kern w:val="0"/>
                <w:sz w:val="21"/>
                <w:szCs w:val="21"/>
              </w:rPr>
            </w:pPr>
          </w:p>
        </w:tc>
      </w:tr>
      <w:tr w14:paraId="18C7AE16">
        <w:tblPrEx>
          <w:tblCellMar>
            <w:top w:w="0" w:type="dxa"/>
            <w:left w:w="108" w:type="dxa"/>
            <w:bottom w:w="0" w:type="dxa"/>
            <w:right w:w="108" w:type="dxa"/>
          </w:tblCellMar>
        </w:tblPrEx>
        <w:trPr>
          <w:trHeight w:val="915" w:hRule="atLeast"/>
        </w:trPr>
        <w:tc>
          <w:tcPr>
            <w:tcW w:w="372" w:type="pct"/>
            <w:tcBorders>
              <w:top w:val="nil"/>
              <w:left w:val="single" w:color="000000" w:sz="4" w:space="0"/>
              <w:bottom w:val="single" w:color="000000" w:sz="4" w:space="0"/>
              <w:right w:val="single" w:color="000000" w:sz="4" w:space="0"/>
            </w:tcBorders>
            <w:noWrap w:val="0"/>
            <w:vAlign w:val="center"/>
          </w:tcPr>
          <w:p w14:paraId="3C1F5F71">
            <w:pPr>
              <w:widowControl w:val="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16</w:t>
            </w:r>
          </w:p>
        </w:tc>
        <w:tc>
          <w:tcPr>
            <w:tcW w:w="804" w:type="pct"/>
            <w:tcBorders>
              <w:top w:val="nil"/>
              <w:left w:val="nil"/>
              <w:bottom w:val="single" w:color="000000" w:sz="4" w:space="0"/>
              <w:right w:val="single" w:color="000000" w:sz="4" w:space="0"/>
            </w:tcBorders>
            <w:noWrap w:val="0"/>
            <w:vAlign w:val="center"/>
          </w:tcPr>
          <w:p w14:paraId="7E3F7A4D">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砖砌φ700圆井</w:t>
            </w:r>
          </w:p>
        </w:tc>
        <w:tc>
          <w:tcPr>
            <w:tcW w:w="1600" w:type="pct"/>
            <w:tcBorders>
              <w:top w:val="nil"/>
              <w:left w:val="nil"/>
              <w:bottom w:val="single" w:color="000000" w:sz="4" w:space="0"/>
              <w:right w:val="single" w:color="000000" w:sz="4" w:space="0"/>
            </w:tcBorders>
            <w:noWrap w:val="0"/>
            <w:vAlign w:val="center"/>
          </w:tcPr>
          <w:p w14:paraId="46774CCE">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砖砌φ700圆井，井深2.0米以内，重型φ700钢筋砼井盖框（用于DN300支管维修更换过程中需增加的转点井）</w:t>
            </w:r>
          </w:p>
        </w:tc>
        <w:tc>
          <w:tcPr>
            <w:tcW w:w="496" w:type="pct"/>
            <w:tcBorders>
              <w:top w:val="nil"/>
              <w:left w:val="nil"/>
              <w:bottom w:val="single" w:color="000000" w:sz="4" w:space="0"/>
              <w:right w:val="single" w:color="000000" w:sz="4" w:space="0"/>
            </w:tcBorders>
            <w:noWrap w:val="0"/>
            <w:vAlign w:val="center"/>
          </w:tcPr>
          <w:p w14:paraId="5AD490F1">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座</w:t>
            </w:r>
          </w:p>
        </w:tc>
        <w:tc>
          <w:tcPr>
            <w:tcW w:w="619" w:type="pct"/>
            <w:tcBorders>
              <w:top w:val="nil"/>
              <w:left w:val="nil"/>
              <w:bottom w:val="single" w:color="000000" w:sz="4" w:space="0"/>
              <w:right w:val="single" w:color="000000" w:sz="4" w:space="0"/>
            </w:tcBorders>
            <w:noWrap w:val="0"/>
            <w:vAlign w:val="center"/>
          </w:tcPr>
          <w:p w14:paraId="7F2D69B0">
            <w:pPr>
              <w:widowControl w:val="0"/>
              <w:jc w:val="left"/>
              <w:rPr>
                <w:rFonts w:hint="eastAsia" w:ascii="宋体" w:hAnsi="宋体" w:eastAsia="宋体" w:cs="宋体"/>
                <w:color w:val="auto"/>
                <w:kern w:val="0"/>
                <w:sz w:val="21"/>
                <w:szCs w:val="21"/>
                <w:lang w:eastAsia="zh-CN"/>
              </w:rPr>
            </w:pPr>
            <w:r>
              <w:rPr>
                <w:rFonts w:hint="eastAsia" w:ascii="宋体" w:hAnsi="宋体" w:cs="宋体"/>
                <w:color w:val="auto"/>
                <w:kern w:val="0"/>
                <w:sz w:val="21"/>
                <w:szCs w:val="21"/>
                <w:lang w:val="en-US" w:eastAsia="zh-CN"/>
              </w:rPr>
              <w:t>3</w:t>
            </w:r>
          </w:p>
        </w:tc>
        <w:tc>
          <w:tcPr>
            <w:tcW w:w="618" w:type="pct"/>
            <w:tcBorders>
              <w:top w:val="nil"/>
              <w:left w:val="nil"/>
              <w:bottom w:val="single" w:color="000000" w:sz="4" w:space="0"/>
              <w:right w:val="single" w:color="000000" w:sz="4" w:space="0"/>
            </w:tcBorders>
            <w:noWrap w:val="0"/>
            <w:vAlign w:val="center"/>
          </w:tcPr>
          <w:p w14:paraId="05F1B0A4">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3153.59</w:t>
            </w:r>
          </w:p>
        </w:tc>
        <w:tc>
          <w:tcPr>
            <w:tcW w:w="488" w:type="pct"/>
            <w:tcBorders>
              <w:top w:val="nil"/>
              <w:left w:val="nil"/>
              <w:bottom w:val="single" w:color="000000" w:sz="4" w:space="0"/>
              <w:right w:val="single" w:color="000000" w:sz="4" w:space="0"/>
            </w:tcBorders>
            <w:noWrap w:val="0"/>
            <w:vAlign w:val="center"/>
          </w:tcPr>
          <w:p w14:paraId="01B3E59B">
            <w:pPr>
              <w:widowControl w:val="0"/>
              <w:jc w:val="center"/>
              <w:rPr>
                <w:rFonts w:hint="eastAsia" w:ascii="宋体" w:hAnsi="宋体" w:eastAsia="宋体" w:cs="宋体"/>
                <w:color w:val="auto"/>
                <w:kern w:val="0"/>
                <w:sz w:val="21"/>
                <w:szCs w:val="21"/>
              </w:rPr>
            </w:pPr>
          </w:p>
        </w:tc>
      </w:tr>
      <w:tr w14:paraId="25A2BB6B">
        <w:tblPrEx>
          <w:tblCellMar>
            <w:top w:w="0" w:type="dxa"/>
            <w:left w:w="108" w:type="dxa"/>
            <w:bottom w:w="0" w:type="dxa"/>
            <w:right w:w="108" w:type="dxa"/>
          </w:tblCellMar>
        </w:tblPrEx>
        <w:trPr>
          <w:trHeight w:val="1125" w:hRule="atLeast"/>
        </w:trPr>
        <w:tc>
          <w:tcPr>
            <w:tcW w:w="372" w:type="pct"/>
            <w:tcBorders>
              <w:top w:val="nil"/>
              <w:left w:val="single" w:color="000000" w:sz="4" w:space="0"/>
              <w:bottom w:val="single" w:color="000000" w:sz="4" w:space="0"/>
              <w:right w:val="single" w:color="000000" w:sz="4" w:space="0"/>
            </w:tcBorders>
            <w:noWrap w:val="0"/>
            <w:vAlign w:val="center"/>
          </w:tcPr>
          <w:p w14:paraId="5201EE99">
            <w:pPr>
              <w:widowControl w:val="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17</w:t>
            </w:r>
          </w:p>
        </w:tc>
        <w:tc>
          <w:tcPr>
            <w:tcW w:w="804" w:type="pct"/>
            <w:tcBorders>
              <w:top w:val="nil"/>
              <w:left w:val="nil"/>
              <w:bottom w:val="single" w:color="000000" w:sz="4" w:space="0"/>
              <w:right w:val="single" w:color="000000" w:sz="4" w:space="0"/>
            </w:tcBorders>
            <w:noWrap w:val="0"/>
            <w:vAlign w:val="center"/>
          </w:tcPr>
          <w:p w14:paraId="7210F6AA">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新建、改扩建收水口（含铸铁雨水篦）</w:t>
            </w:r>
          </w:p>
        </w:tc>
        <w:tc>
          <w:tcPr>
            <w:tcW w:w="1600" w:type="pct"/>
            <w:tcBorders>
              <w:top w:val="nil"/>
              <w:left w:val="nil"/>
              <w:bottom w:val="single" w:color="000000" w:sz="4" w:space="0"/>
              <w:right w:val="single" w:color="000000" w:sz="4" w:space="0"/>
            </w:tcBorders>
            <w:noWrap w:val="0"/>
            <w:vAlign w:val="center"/>
          </w:tcPr>
          <w:p w14:paraId="198F2DD8">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1、新建雨水口</w:t>
            </w:r>
          </w:p>
          <w:p w14:paraId="5A2A730E">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2、原单篦收水口扩建为双篦收水口</w:t>
            </w:r>
          </w:p>
          <w:p w14:paraId="0045AD94">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2、含开挖、回填、外弃、雨水篦子更换</w:t>
            </w:r>
          </w:p>
        </w:tc>
        <w:tc>
          <w:tcPr>
            <w:tcW w:w="496" w:type="pct"/>
            <w:tcBorders>
              <w:top w:val="nil"/>
              <w:left w:val="nil"/>
              <w:bottom w:val="single" w:color="000000" w:sz="4" w:space="0"/>
              <w:right w:val="single" w:color="000000" w:sz="4" w:space="0"/>
            </w:tcBorders>
            <w:noWrap w:val="0"/>
            <w:vAlign w:val="center"/>
          </w:tcPr>
          <w:p w14:paraId="71AA9B6E">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座</w:t>
            </w:r>
          </w:p>
        </w:tc>
        <w:tc>
          <w:tcPr>
            <w:tcW w:w="619" w:type="pct"/>
            <w:tcBorders>
              <w:top w:val="nil"/>
              <w:left w:val="nil"/>
              <w:bottom w:val="single" w:color="000000" w:sz="4" w:space="0"/>
              <w:right w:val="single" w:color="000000" w:sz="4" w:space="0"/>
            </w:tcBorders>
            <w:noWrap w:val="0"/>
            <w:vAlign w:val="center"/>
          </w:tcPr>
          <w:p w14:paraId="7154C863">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21</w:t>
            </w:r>
          </w:p>
        </w:tc>
        <w:tc>
          <w:tcPr>
            <w:tcW w:w="618" w:type="pct"/>
            <w:tcBorders>
              <w:top w:val="nil"/>
              <w:left w:val="nil"/>
              <w:bottom w:val="single" w:color="000000" w:sz="4" w:space="0"/>
              <w:right w:val="single" w:color="000000" w:sz="4" w:space="0"/>
            </w:tcBorders>
            <w:noWrap w:val="0"/>
            <w:vAlign w:val="center"/>
          </w:tcPr>
          <w:p w14:paraId="5859AE71">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935.68</w:t>
            </w:r>
          </w:p>
        </w:tc>
        <w:tc>
          <w:tcPr>
            <w:tcW w:w="488" w:type="pct"/>
            <w:tcBorders>
              <w:top w:val="nil"/>
              <w:left w:val="nil"/>
              <w:bottom w:val="single" w:color="000000" w:sz="4" w:space="0"/>
              <w:right w:val="single" w:color="000000" w:sz="4" w:space="0"/>
            </w:tcBorders>
            <w:noWrap w:val="0"/>
            <w:vAlign w:val="center"/>
          </w:tcPr>
          <w:p w14:paraId="7F2BA4DE">
            <w:pPr>
              <w:widowControl w:val="0"/>
              <w:jc w:val="center"/>
              <w:rPr>
                <w:rFonts w:hint="eastAsia" w:ascii="宋体" w:hAnsi="宋体" w:eastAsia="宋体" w:cs="宋体"/>
                <w:color w:val="auto"/>
                <w:kern w:val="0"/>
                <w:sz w:val="21"/>
                <w:szCs w:val="21"/>
              </w:rPr>
            </w:pPr>
          </w:p>
        </w:tc>
      </w:tr>
      <w:tr w14:paraId="09AEC79B">
        <w:tblPrEx>
          <w:tblCellMar>
            <w:top w:w="0" w:type="dxa"/>
            <w:left w:w="108" w:type="dxa"/>
            <w:bottom w:w="0" w:type="dxa"/>
            <w:right w:w="108" w:type="dxa"/>
          </w:tblCellMar>
        </w:tblPrEx>
        <w:trPr>
          <w:trHeight w:val="904" w:hRule="atLeast"/>
        </w:trPr>
        <w:tc>
          <w:tcPr>
            <w:tcW w:w="372" w:type="pct"/>
            <w:tcBorders>
              <w:top w:val="nil"/>
              <w:left w:val="single" w:color="000000" w:sz="4" w:space="0"/>
              <w:bottom w:val="single" w:color="000000" w:sz="4" w:space="0"/>
              <w:right w:val="single" w:color="000000" w:sz="4" w:space="0"/>
            </w:tcBorders>
            <w:noWrap w:val="0"/>
            <w:vAlign w:val="center"/>
          </w:tcPr>
          <w:p w14:paraId="2221BD63">
            <w:pPr>
              <w:widowControl w:val="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18</w:t>
            </w:r>
          </w:p>
        </w:tc>
        <w:tc>
          <w:tcPr>
            <w:tcW w:w="804" w:type="pct"/>
            <w:tcBorders>
              <w:top w:val="nil"/>
              <w:left w:val="nil"/>
              <w:bottom w:val="single" w:color="000000" w:sz="4" w:space="0"/>
              <w:right w:val="single" w:color="000000" w:sz="4" w:space="0"/>
            </w:tcBorders>
            <w:noWrap w:val="0"/>
            <w:vAlign w:val="center"/>
          </w:tcPr>
          <w:p w14:paraId="0BD9464C">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砖砌500*500方井</w:t>
            </w:r>
          </w:p>
        </w:tc>
        <w:tc>
          <w:tcPr>
            <w:tcW w:w="1600" w:type="pct"/>
            <w:tcBorders>
              <w:top w:val="nil"/>
              <w:left w:val="nil"/>
              <w:bottom w:val="single" w:color="000000" w:sz="4" w:space="0"/>
              <w:right w:val="single" w:color="000000" w:sz="4" w:space="0"/>
            </w:tcBorders>
            <w:noWrap w:val="0"/>
            <w:vAlign w:val="center"/>
          </w:tcPr>
          <w:p w14:paraId="43F87E16">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砖砌500*500方井，井深1.5米以内，钢筋砼井盖框（用于DN200支管维修更换过程中需增加的转点井）</w:t>
            </w:r>
          </w:p>
        </w:tc>
        <w:tc>
          <w:tcPr>
            <w:tcW w:w="496" w:type="pct"/>
            <w:tcBorders>
              <w:top w:val="nil"/>
              <w:left w:val="nil"/>
              <w:bottom w:val="single" w:color="000000" w:sz="4" w:space="0"/>
              <w:right w:val="single" w:color="000000" w:sz="4" w:space="0"/>
            </w:tcBorders>
            <w:noWrap w:val="0"/>
            <w:vAlign w:val="center"/>
          </w:tcPr>
          <w:p w14:paraId="5518E0DD">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座</w:t>
            </w:r>
          </w:p>
        </w:tc>
        <w:tc>
          <w:tcPr>
            <w:tcW w:w="619" w:type="pct"/>
            <w:tcBorders>
              <w:top w:val="nil"/>
              <w:left w:val="nil"/>
              <w:bottom w:val="single" w:color="000000" w:sz="4" w:space="0"/>
              <w:right w:val="single" w:color="000000" w:sz="4" w:space="0"/>
            </w:tcBorders>
            <w:noWrap w:val="0"/>
            <w:vAlign w:val="center"/>
          </w:tcPr>
          <w:p w14:paraId="70648633">
            <w:pPr>
              <w:widowControl w:val="0"/>
              <w:jc w:val="left"/>
              <w:rPr>
                <w:rFonts w:hint="eastAsia" w:ascii="宋体" w:hAnsi="宋体" w:eastAsia="宋体" w:cs="宋体"/>
                <w:color w:val="auto"/>
                <w:kern w:val="0"/>
                <w:sz w:val="21"/>
                <w:szCs w:val="21"/>
                <w:lang w:eastAsia="zh-CN"/>
              </w:rPr>
            </w:pPr>
            <w:r>
              <w:rPr>
                <w:rFonts w:hint="eastAsia" w:ascii="宋体" w:hAnsi="宋体" w:cs="宋体"/>
                <w:color w:val="auto"/>
                <w:kern w:val="0"/>
                <w:sz w:val="21"/>
                <w:szCs w:val="21"/>
                <w:lang w:val="en-US" w:eastAsia="zh-CN"/>
              </w:rPr>
              <w:t>4</w:t>
            </w:r>
          </w:p>
        </w:tc>
        <w:tc>
          <w:tcPr>
            <w:tcW w:w="618" w:type="pct"/>
            <w:tcBorders>
              <w:top w:val="nil"/>
              <w:left w:val="nil"/>
              <w:bottom w:val="single" w:color="000000" w:sz="4" w:space="0"/>
              <w:right w:val="single" w:color="000000" w:sz="4" w:space="0"/>
            </w:tcBorders>
            <w:noWrap w:val="0"/>
            <w:vAlign w:val="center"/>
          </w:tcPr>
          <w:p w14:paraId="30344FFD">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1820.13</w:t>
            </w:r>
          </w:p>
        </w:tc>
        <w:tc>
          <w:tcPr>
            <w:tcW w:w="488" w:type="pct"/>
            <w:tcBorders>
              <w:top w:val="nil"/>
              <w:left w:val="nil"/>
              <w:bottom w:val="single" w:color="000000" w:sz="4" w:space="0"/>
              <w:right w:val="single" w:color="000000" w:sz="4" w:space="0"/>
            </w:tcBorders>
            <w:noWrap w:val="0"/>
            <w:vAlign w:val="center"/>
          </w:tcPr>
          <w:p w14:paraId="4669A514">
            <w:pPr>
              <w:widowControl w:val="0"/>
              <w:jc w:val="center"/>
              <w:rPr>
                <w:rFonts w:hint="eastAsia" w:ascii="宋体" w:hAnsi="宋体" w:eastAsia="宋体" w:cs="宋体"/>
                <w:color w:val="auto"/>
                <w:kern w:val="0"/>
                <w:sz w:val="21"/>
                <w:szCs w:val="21"/>
              </w:rPr>
            </w:pPr>
          </w:p>
        </w:tc>
      </w:tr>
      <w:tr w14:paraId="4537EF8D">
        <w:tblPrEx>
          <w:tblCellMar>
            <w:top w:w="0" w:type="dxa"/>
            <w:left w:w="108" w:type="dxa"/>
            <w:bottom w:w="0" w:type="dxa"/>
            <w:right w:w="108" w:type="dxa"/>
          </w:tblCellMar>
        </w:tblPrEx>
        <w:trPr>
          <w:trHeight w:val="919" w:hRule="atLeast"/>
        </w:trPr>
        <w:tc>
          <w:tcPr>
            <w:tcW w:w="372" w:type="pct"/>
            <w:tcBorders>
              <w:top w:val="nil"/>
              <w:left w:val="single" w:color="000000" w:sz="4" w:space="0"/>
              <w:bottom w:val="single" w:color="000000" w:sz="4" w:space="0"/>
              <w:right w:val="single" w:color="000000" w:sz="4" w:space="0"/>
            </w:tcBorders>
            <w:noWrap w:val="0"/>
            <w:vAlign w:val="center"/>
          </w:tcPr>
          <w:p w14:paraId="7292D8FD">
            <w:pPr>
              <w:widowControl w:val="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19</w:t>
            </w:r>
          </w:p>
        </w:tc>
        <w:tc>
          <w:tcPr>
            <w:tcW w:w="804" w:type="pct"/>
            <w:tcBorders>
              <w:top w:val="nil"/>
              <w:left w:val="nil"/>
              <w:bottom w:val="single" w:color="000000" w:sz="4" w:space="0"/>
              <w:right w:val="single" w:color="000000" w:sz="4" w:space="0"/>
            </w:tcBorders>
            <w:noWrap w:val="0"/>
            <w:vAlign w:val="center"/>
          </w:tcPr>
          <w:p w14:paraId="0308714F">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施工调排水</w:t>
            </w:r>
          </w:p>
        </w:tc>
        <w:tc>
          <w:tcPr>
            <w:tcW w:w="1600" w:type="pct"/>
            <w:tcBorders>
              <w:top w:val="nil"/>
              <w:left w:val="nil"/>
              <w:bottom w:val="single" w:color="000000" w:sz="4" w:space="0"/>
              <w:right w:val="single" w:color="000000" w:sz="4" w:space="0"/>
            </w:tcBorders>
            <w:noWrap w:val="0"/>
            <w:vAlign w:val="center"/>
          </w:tcPr>
          <w:p w14:paraId="38B857C5">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1、用于管道等调排水（工程车配备30-50KW柴油发电机及7.5KW-18.5KW水泵）</w:t>
            </w:r>
          </w:p>
          <w:p w14:paraId="44C8942B">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2、含维护用工</w:t>
            </w:r>
          </w:p>
        </w:tc>
        <w:tc>
          <w:tcPr>
            <w:tcW w:w="496" w:type="pct"/>
            <w:tcBorders>
              <w:top w:val="nil"/>
              <w:left w:val="nil"/>
              <w:bottom w:val="single" w:color="000000" w:sz="4" w:space="0"/>
              <w:right w:val="single" w:color="000000" w:sz="4" w:space="0"/>
            </w:tcBorders>
            <w:noWrap w:val="0"/>
            <w:vAlign w:val="center"/>
          </w:tcPr>
          <w:p w14:paraId="1BE2C07F">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台班</w:t>
            </w:r>
          </w:p>
        </w:tc>
        <w:tc>
          <w:tcPr>
            <w:tcW w:w="619" w:type="pct"/>
            <w:tcBorders>
              <w:top w:val="nil"/>
              <w:left w:val="nil"/>
              <w:bottom w:val="single" w:color="000000" w:sz="4" w:space="0"/>
              <w:right w:val="single" w:color="000000" w:sz="4" w:space="0"/>
            </w:tcBorders>
            <w:noWrap w:val="0"/>
            <w:vAlign w:val="center"/>
          </w:tcPr>
          <w:p w14:paraId="4B33C7C7">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20</w:t>
            </w:r>
          </w:p>
        </w:tc>
        <w:tc>
          <w:tcPr>
            <w:tcW w:w="618" w:type="pct"/>
            <w:tcBorders>
              <w:top w:val="nil"/>
              <w:left w:val="nil"/>
              <w:bottom w:val="single" w:color="000000" w:sz="4" w:space="0"/>
              <w:right w:val="single" w:color="000000" w:sz="4" w:space="0"/>
            </w:tcBorders>
            <w:noWrap w:val="0"/>
            <w:vAlign w:val="center"/>
          </w:tcPr>
          <w:p w14:paraId="1222BCBE">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1206.01</w:t>
            </w:r>
          </w:p>
        </w:tc>
        <w:tc>
          <w:tcPr>
            <w:tcW w:w="488" w:type="pct"/>
            <w:tcBorders>
              <w:top w:val="nil"/>
              <w:left w:val="nil"/>
              <w:bottom w:val="single" w:color="000000" w:sz="4" w:space="0"/>
              <w:right w:val="single" w:color="000000" w:sz="4" w:space="0"/>
            </w:tcBorders>
            <w:noWrap w:val="0"/>
            <w:vAlign w:val="center"/>
          </w:tcPr>
          <w:p w14:paraId="6A79799C">
            <w:pPr>
              <w:widowControl w:val="0"/>
              <w:jc w:val="center"/>
              <w:rPr>
                <w:rFonts w:hint="eastAsia" w:ascii="宋体" w:hAnsi="宋体" w:eastAsia="宋体" w:cs="宋体"/>
                <w:color w:val="auto"/>
                <w:kern w:val="0"/>
                <w:sz w:val="21"/>
                <w:szCs w:val="21"/>
              </w:rPr>
            </w:pPr>
          </w:p>
        </w:tc>
      </w:tr>
      <w:tr w14:paraId="06E42B80">
        <w:tblPrEx>
          <w:tblCellMar>
            <w:top w:w="0" w:type="dxa"/>
            <w:left w:w="108" w:type="dxa"/>
            <w:bottom w:w="0" w:type="dxa"/>
            <w:right w:w="108" w:type="dxa"/>
          </w:tblCellMar>
        </w:tblPrEx>
        <w:trPr>
          <w:trHeight w:val="919" w:hRule="atLeast"/>
        </w:trPr>
        <w:tc>
          <w:tcPr>
            <w:tcW w:w="372" w:type="pct"/>
            <w:tcBorders>
              <w:top w:val="nil"/>
              <w:left w:val="single" w:color="000000" w:sz="4" w:space="0"/>
              <w:bottom w:val="single" w:color="000000" w:sz="4" w:space="0"/>
              <w:right w:val="single" w:color="000000" w:sz="4" w:space="0"/>
            </w:tcBorders>
            <w:noWrap w:val="0"/>
            <w:vAlign w:val="center"/>
          </w:tcPr>
          <w:p w14:paraId="0D426604">
            <w:pPr>
              <w:widowControl w:val="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20</w:t>
            </w:r>
          </w:p>
        </w:tc>
        <w:tc>
          <w:tcPr>
            <w:tcW w:w="804" w:type="pct"/>
            <w:tcBorders>
              <w:top w:val="nil"/>
              <w:left w:val="nil"/>
              <w:bottom w:val="single" w:color="000000" w:sz="4" w:space="0"/>
              <w:right w:val="single" w:color="000000" w:sz="4" w:space="0"/>
            </w:tcBorders>
            <w:noWrap w:val="0"/>
            <w:vAlign w:val="center"/>
          </w:tcPr>
          <w:p w14:paraId="1DE53E5C">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沥青路面及基层恢复</w:t>
            </w:r>
          </w:p>
        </w:tc>
        <w:tc>
          <w:tcPr>
            <w:tcW w:w="1600" w:type="pct"/>
            <w:tcBorders>
              <w:top w:val="nil"/>
              <w:left w:val="nil"/>
              <w:bottom w:val="single" w:color="000000" w:sz="4" w:space="0"/>
              <w:right w:val="single" w:color="000000" w:sz="4" w:space="0"/>
            </w:tcBorders>
            <w:noWrap w:val="0"/>
            <w:vAlign w:val="center"/>
          </w:tcPr>
          <w:p w14:paraId="47AAFC1A">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1、原状沥青路面恢复，用于支管维修更换处沟槽沥青路面恢复</w:t>
            </w:r>
          </w:p>
          <w:p w14:paraId="35FB8BFD">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2、投标人需自行踏勘现场，自主报价，结算时不予调整</w:t>
            </w:r>
          </w:p>
        </w:tc>
        <w:tc>
          <w:tcPr>
            <w:tcW w:w="496" w:type="pct"/>
            <w:tcBorders>
              <w:top w:val="nil"/>
              <w:left w:val="nil"/>
              <w:bottom w:val="single" w:color="000000" w:sz="4" w:space="0"/>
              <w:right w:val="single" w:color="000000" w:sz="4" w:space="0"/>
            </w:tcBorders>
            <w:noWrap w:val="0"/>
            <w:vAlign w:val="center"/>
          </w:tcPr>
          <w:p w14:paraId="1E4755D3">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m2</w:t>
            </w:r>
          </w:p>
        </w:tc>
        <w:tc>
          <w:tcPr>
            <w:tcW w:w="619" w:type="pct"/>
            <w:tcBorders>
              <w:top w:val="nil"/>
              <w:left w:val="nil"/>
              <w:bottom w:val="single" w:color="000000" w:sz="4" w:space="0"/>
              <w:right w:val="single" w:color="000000" w:sz="4" w:space="0"/>
            </w:tcBorders>
            <w:noWrap w:val="0"/>
            <w:vAlign w:val="center"/>
          </w:tcPr>
          <w:p w14:paraId="665BD893">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67</w:t>
            </w:r>
          </w:p>
        </w:tc>
        <w:tc>
          <w:tcPr>
            <w:tcW w:w="618" w:type="pct"/>
            <w:tcBorders>
              <w:top w:val="nil"/>
              <w:left w:val="nil"/>
              <w:bottom w:val="single" w:color="000000" w:sz="4" w:space="0"/>
              <w:right w:val="single" w:color="000000" w:sz="4" w:space="0"/>
            </w:tcBorders>
            <w:noWrap w:val="0"/>
            <w:vAlign w:val="center"/>
          </w:tcPr>
          <w:p w14:paraId="57E5776C">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211.12</w:t>
            </w:r>
          </w:p>
        </w:tc>
        <w:tc>
          <w:tcPr>
            <w:tcW w:w="488" w:type="pct"/>
            <w:tcBorders>
              <w:top w:val="nil"/>
              <w:left w:val="nil"/>
              <w:bottom w:val="single" w:color="000000" w:sz="4" w:space="0"/>
              <w:right w:val="single" w:color="000000" w:sz="4" w:space="0"/>
            </w:tcBorders>
            <w:noWrap w:val="0"/>
            <w:vAlign w:val="center"/>
          </w:tcPr>
          <w:p w14:paraId="189F7CAA">
            <w:pPr>
              <w:widowControl w:val="0"/>
              <w:jc w:val="center"/>
              <w:rPr>
                <w:rFonts w:hint="eastAsia" w:ascii="宋体" w:hAnsi="宋体" w:eastAsia="宋体" w:cs="宋体"/>
                <w:color w:val="auto"/>
                <w:kern w:val="0"/>
                <w:sz w:val="21"/>
                <w:szCs w:val="21"/>
              </w:rPr>
            </w:pPr>
          </w:p>
        </w:tc>
      </w:tr>
      <w:tr w14:paraId="42F79AE3">
        <w:tblPrEx>
          <w:tblCellMar>
            <w:top w:w="0" w:type="dxa"/>
            <w:left w:w="108" w:type="dxa"/>
            <w:bottom w:w="0" w:type="dxa"/>
            <w:right w:w="108" w:type="dxa"/>
          </w:tblCellMar>
        </w:tblPrEx>
        <w:trPr>
          <w:trHeight w:val="1486" w:hRule="atLeast"/>
        </w:trPr>
        <w:tc>
          <w:tcPr>
            <w:tcW w:w="372" w:type="pct"/>
            <w:tcBorders>
              <w:top w:val="nil"/>
              <w:left w:val="single" w:color="000000" w:sz="4" w:space="0"/>
              <w:bottom w:val="single" w:color="000000" w:sz="4" w:space="0"/>
              <w:right w:val="single" w:color="000000" w:sz="4" w:space="0"/>
            </w:tcBorders>
            <w:noWrap w:val="0"/>
            <w:vAlign w:val="center"/>
          </w:tcPr>
          <w:p w14:paraId="1331602E">
            <w:pPr>
              <w:widowControl w:val="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21</w:t>
            </w:r>
          </w:p>
        </w:tc>
        <w:tc>
          <w:tcPr>
            <w:tcW w:w="804" w:type="pct"/>
            <w:tcBorders>
              <w:top w:val="nil"/>
              <w:left w:val="nil"/>
              <w:bottom w:val="single" w:color="000000" w:sz="4" w:space="0"/>
              <w:right w:val="single" w:color="000000" w:sz="4" w:space="0"/>
            </w:tcBorders>
            <w:noWrap w:val="0"/>
            <w:vAlign w:val="center"/>
          </w:tcPr>
          <w:p w14:paraId="1C620965">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人行道面层及基层恢复（非石材面层）</w:t>
            </w:r>
          </w:p>
        </w:tc>
        <w:tc>
          <w:tcPr>
            <w:tcW w:w="1600" w:type="pct"/>
            <w:tcBorders>
              <w:top w:val="nil"/>
              <w:left w:val="nil"/>
              <w:bottom w:val="single" w:color="000000" w:sz="4" w:space="0"/>
              <w:right w:val="single" w:color="000000" w:sz="4" w:space="0"/>
            </w:tcBorders>
            <w:noWrap w:val="0"/>
            <w:vAlign w:val="center"/>
          </w:tcPr>
          <w:p w14:paraId="05472091">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1、原状恢复人行道（非石材人行道）</w:t>
            </w:r>
          </w:p>
          <w:p w14:paraId="3F50EAC2">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2、含5cm碎石垫层、10cmC25细石砼基层</w:t>
            </w:r>
          </w:p>
          <w:p w14:paraId="7152F550">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3、投标人需自行踏勘现场，自主报价，结算时不予调整</w:t>
            </w:r>
          </w:p>
        </w:tc>
        <w:tc>
          <w:tcPr>
            <w:tcW w:w="496" w:type="pct"/>
            <w:tcBorders>
              <w:top w:val="nil"/>
              <w:left w:val="nil"/>
              <w:bottom w:val="single" w:color="000000" w:sz="4" w:space="0"/>
              <w:right w:val="single" w:color="000000" w:sz="4" w:space="0"/>
            </w:tcBorders>
            <w:noWrap w:val="0"/>
            <w:vAlign w:val="center"/>
          </w:tcPr>
          <w:p w14:paraId="46025257">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m2</w:t>
            </w:r>
          </w:p>
        </w:tc>
        <w:tc>
          <w:tcPr>
            <w:tcW w:w="619" w:type="pct"/>
            <w:tcBorders>
              <w:top w:val="nil"/>
              <w:left w:val="nil"/>
              <w:bottom w:val="single" w:color="000000" w:sz="4" w:space="0"/>
              <w:right w:val="single" w:color="000000" w:sz="4" w:space="0"/>
            </w:tcBorders>
            <w:noWrap w:val="0"/>
            <w:vAlign w:val="center"/>
          </w:tcPr>
          <w:p w14:paraId="2F591077">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13.4</w:t>
            </w:r>
          </w:p>
        </w:tc>
        <w:tc>
          <w:tcPr>
            <w:tcW w:w="618" w:type="pct"/>
            <w:tcBorders>
              <w:top w:val="nil"/>
              <w:left w:val="nil"/>
              <w:bottom w:val="single" w:color="000000" w:sz="4" w:space="0"/>
              <w:right w:val="single" w:color="000000" w:sz="4" w:space="0"/>
            </w:tcBorders>
            <w:noWrap w:val="0"/>
            <w:vAlign w:val="center"/>
          </w:tcPr>
          <w:p w14:paraId="51A9A6B1">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207.79</w:t>
            </w:r>
          </w:p>
        </w:tc>
        <w:tc>
          <w:tcPr>
            <w:tcW w:w="488" w:type="pct"/>
            <w:tcBorders>
              <w:top w:val="nil"/>
              <w:left w:val="nil"/>
              <w:bottom w:val="single" w:color="000000" w:sz="4" w:space="0"/>
              <w:right w:val="single" w:color="000000" w:sz="4" w:space="0"/>
            </w:tcBorders>
            <w:noWrap w:val="0"/>
            <w:vAlign w:val="center"/>
          </w:tcPr>
          <w:p w14:paraId="36B92DBB">
            <w:pPr>
              <w:widowControl w:val="0"/>
              <w:jc w:val="center"/>
              <w:rPr>
                <w:rFonts w:hint="eastAsia" w:ascii="宋体" w:hAnsi="宋体" w:eastAsia="宋体" w:cs="宋体"/>
                <w:color w:val="auto"/>
                <w:kern w:val="0"/>
                <w:sz w:val="21"/>
                <w:szCs w:val="21"/>
              </w:rPr>
            </w:pPr>
          </w:p>
        </w:tc>
      </w:tr>
      <w:tr w14:paraId="53CB37B9">
        <w:tblPrEx>
          <w:tblCellMar>
            <w:top w:w="0" w:type="dxa"/>
            <w:left w:w="108" w:type="dxa"/>
            <w:bottom w:w="0" w:type="dxa"/>
            <w:right w:w="108" w:type="dxa"/>
          </w:tblCellMar>
        </w:tblPrEx>
        <w:trPr>
          <w:trHeight w:val="1576" w:hRule="atLeast"/>
        </w:trPr>
        <w:tc>
          <w:tcPr>
            <w:tcW w:w="372" w:type="pct"/>
            <w:tcBorders>
              <w:top w:val="nil"/>
              <w:left w:val="single" w:color="000000" w:sz="4" w:space="0"/>
              <w:bottom w:val="single" w:color="000000" w:sz="4" w:space="0"/>
              <w:right w:val="single" w:color="000000" w:sz="4" w:space="0"/>
            </w:tcBorders>
            <w:noWrap w:val="0"/>
            <w:vAlign w:val="center"/>
          </w:tcPr>
          <w:p w14:paraId="0EE61D74">
            <w:pPr>
              <w:widowControl w:val="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22</w:t>
            </w:r>
          </w:p>
        </w:tc>
        <w:tc>
          <w:tcPr>
            <w:tcW w:w="804" w:type="pct"/>
            <w:tcBorders>
              <w:top w:val="nil"/>
              <w:left w:val="nil"/>
              <w:bottom w:val="single" w:color="000000" w:sz="4" w:space="0"/>
              <w:right w:val="single" w:color="000000" w:sz="4" w:space="0"/>
            </w:tcBorders>
            <w:noWrap w:val="0"/>
            <w:vAlign w:val="center"/>
          </w:tcPr>
          <w:p w14:paraId="1A74063A">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人行道面层及基层恢复（石材面层）</w:t>
            </w:r>
          </w:p>
        </w:tc>
        <w:tc>
          <w:tcPr>
            <w:tcW w:w="1600" w:type="pct"/>
            <w:tcBorders>
              <w:top w:val="nil"/>
              <w:left w:val="nil"/>
              <w:bottom w:val="single" w:color="000000" w:sz="4" w:space="0"/>
              <w:right w:val="single" w:color="000000" w:sz="4" w:space="0"/>
            </w:tcBorders>
            <w:noWrap w:val="0"/>
            <w:vAlign w:val="center"/>
          </w:tcPr>
          <w:p w14:paraId="1ECD19B9">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1、原状恢复人行道（石材面层，3cm厚）</w:t>
            </w:r>
          </w:p>
          <w:p w14:paraId="734DDCB9">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2、含10cm碎石垫层、10cmC25细石砼基层</w:t>
            </w:r>
          </w:p>
          <w:p w14:paraId="62A19F20">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3、投标人需自行踏勘现场，自主报价，结算时不予调整</w:t>
            </w:r>
          </w:p>
        </w:tc>
        <w:tc>
          <w:tcPr>
            <w:tcW w:w="496" w:type="pct"/>
            <w:tcBorders>
              <w:top w:val="nil"/>
              <w:left w:val="nil"/>
              <w:bottom w:val="single" w:color="000000" w:sz="4" w:space="0"/>
              <w:right w:val="single" w:color="000000" w:sz="4" w:space="0"/>
            </w:tcBorders>
            <w:noWrap w:val="0"/>
            <w:vAlign w:val="center"/>
          </w:tcPr>
          <w:p w14:paraId="3211DFF0">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m2</w:t>
            </w:r>
          </w:p>
        </w:tc>
        <w:tc>
          <w:tcPr>
            <w:tcW w:w="619" w:type="pct"/>
            <w:tcBorders>
              <w:top w:val="nil"/>
              <w:left w:val="nil"/>
              <w:bottom w:val="single" w:color="000000" w:sz="4" w:space="0"/>
              <w:right w:val="single" w:color="000000" w:sz="4" w:space="0"/>
            </w:tcBorders>
            <w:noWrap w:val="0"/>
            <w:vAlign w:val="center"/>
          </w:tcPr>
          <w:p w14:paraId="498D5B98">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20.1</w:t>
            </w:r>
          </w:p>
        </w:tc>
        <w:tc>
          <w:tcPr>
            <w:tcW w:w="618" w:type="pct"/>
            <w:tcBorders>
              <w:top w:val="nil"/>
              <w:left w:val="nil"/>
              <w:bottom w:val="single" w:color="000000" w:sz="4" w:space="0"/>
              <w:right w:val="single" w:color="000000" w:sz="4" w:space="0"/>
            </w:tcBorders>
            <w:noWrap w:val="0"/>
            <w:vAlign w:val="center"/>
          </w:tcPr>
          <w:p w14:paraId="4F852037">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346.31</w:t>
            </w:r>
          </w:p>
        </w:tc>
        <w:tc>
          <w:tcPr>
            <w:tcW w:w="488" w:type="pct"/>
            <w:tcBorders>
              <w:top w:val="nil"/>
              <w:left w:val="nil"/>
              <w:bottom w:val="single" w:color="000000" w:sz="4" w:space="0"/>
              <w:right w:val="single" w:color="000000" w:sz="4" w:space="0"/>
            </w:tcBorders>
            <w:noWrap w:val="0"/>
            <w:vAlign w:val="center"/>
          </w:tcPr>
          <w:p w14:paraId="1021B7EF">
            <w:pPr>
              <w:widowControl w:val="0"/>
              <w:jc w:val="center"/>
              <w:rPr>
                <w:rFonts w:hint="eastAsia" w:ascii="宋体" w:hAnsi="宋体" w:eastAsia="宋体" w:cs="宋体"/>
                <w:color w:val="auto"/>
                <w:kern w:val="0"/>
                <w:sz w:val="21"/>
                <w:szCs w:val="21"/>
              </w:rPr>
            </w:pPr>
          </w:p>
        </w:tc>
      </w:tr>
      <w:tr w14:paraId="6954B377">
        <w:tblPrEx>
          <w:tblCellMar>
            <w:top w:w="0" w:type="dxa"/>
            <w:left w:w="108" w:type="dxa"/>
            <w:bottom w:w="0" w:type="dxa"/>
            <w:right w:w="108" w:type="dxa"/>
          </w:tblCellMar>
        </w:tblPrEx>
        <w:trPr>
          <w:trHeight w:val="1486" w:hRule="atLeast"/>
        </w:trPr>
        <w:tc>
          <w:tcPr>
            <w:tcW w:w="372" w:type="pct"/>
            <w:tcBorders>
              <w:top w:val="nil"/>
              <w:left w:val="single" w:color="000000" w:sz="4" w:space="0"/>
              <w:bottom w:val="single" w:color="000000" w:sz="4" w:space="0"/>
              <w:right w:val="single" w:color="000000" w:sz="4" w:space="0"/>
            </w:tcBorders>
            <w:noWrap w:val="0"/>
            <w:vAlign w:val="center"/>
          </w:tcPr>
          <w:p w14:paraId="79DB4A55">
            <w:pPr>
              <w:widowControl w:val="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23</w:t>
            </w:r>
          </w:p>
        </w:tc>
        <w:tc>
          <w:tcPr>
            <w:tcW w:w="804" w:type="pct"/>
            <w:tcBorders>
              <w:top w:val="nil"/>
              <w:left w:val="nil"/>
              <w:bottom w:val="single" w:color="000000" w:sz="4" w:space="0"/>
              <w:right w:val="single" w:color="000000" w:sz="4" w:space="0"/>
            </w:tcBorders>
            <w:noWrap w:val="0"/>
            <w:vAlign w:val="center"/>
          </w:tcPr>
          <w:p w14:paraId="3E754DD4">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检查井升降</w:t>
            </w:r>
          </w:p>
        </w:tc>
        <w:tc>
          <w:tcPr>
            <w:tcW w:w="1600" w:type="pct"/>
            <w:tcBorders>
              <w:top w:val="nil"/>
              <w:left w:val="nil"/>
              <w:bottom w:val="single" w:color="000000" w:sz="4" w:space="0"/>
              <w:right w:val="single" w:color="000000" w:sz="4" w:space="0"/>
            </w:tcBorders>
            <w:noWrap w:val="0"/>
            <w:vAlign w:val="center"/>
          </w:tcPr>
          <w:p w14:paraId="04F7016F">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1、检查井定位、升降40cm以内（主要用于文澜路、学海路、仙林大道等覆盖检查井）</w:t>
            </w:r>
          </w:p>
          <w:p w14:paraId="5C1F2F7E">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2、结合CCTV检测报告，根据现场实际情况自行报价，结算时不予调整</w:t>
            </w:r>
          </w:p>
        </w:tc>
        <w:tc>
          <w:tcPr>
            <w:tcW w:w="496" w:type="pct"/>
            <w:tcBorders>
              <w:top w:val="nil"/>
              <w:left w:val="nil"/>
              <w:bottom w:val="single" w:color="000000" w:sz="4" w:space="0"/>
              <w:right w:val="single" w:color="000000" w:sz="4" w:space="0"/>
            </w:tcBorders>
            <w:noWrap w:val="0"/>
            <w:vAlign w:val="center"/>
          </w:tcPr>
          <w:p w14:paraId="21BE7E31">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座</w:t>
            </w:r>
          </w:p>
        </w:tc>
        <w:tc>
          <w:tcPr>
            <w:tcW w:w="619" w:type="pct"/>
            <w:tcBorders>
              <w:top w:val="nil"/>
              <w:left w:val="nil"/>
              <w:bottom w:val="single" w:color="000000" w:sz="4" w:space="0"/>
              <w:right w:val="single" w:color="000000" w:sz="4" w:space="0"/>
            </w:tcBorders>
            <w:noWrap w:val="0"/>
            <w:vAlign w:val="center"/>
          </w:tcPr>
          <w:p w14:paraId="0406FAEE">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10</w:t>
            </w:r>
          </w:p>
        </w:tc>
        <w:tc>
          <w:tcPr>
            <w:tcW w:w="618" w:type="pct"/>
            <w:tcBorders>
              <w:top w:val="nil"/>
              <w:left w:val="nil"/>
              <w:bottom w:val="single" w:color="000000" w:sz="4" w:space="0"/>
              <w:right w:val="single" w:color="000000" w:sz="4" w:space="0"/>
            </w:tcBorders>
            <w:noWrap w:val="0"/>
            <w:vAlign w:val="center"/>
          </w:tcPr>
          <w:p w14:paraId="2E356AA1">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418.96</w:t>
            </w:r>
          </w:p>
        </w:tc>
        <w:tc>
          <w:tcPr>
            <w:tcW w:w="488" w:type="pct"/>
            <w:tcBorders>
              <w:top w:val="nil"/>
              <w:left w:val="nil"/>
              <w:bottom w:val="single" w:color="000000" w:sz="4" w:space="0"/>
              <w:right w:val="single" w:color="000000" w:sz="4" w:space="0"/>
            </w:tcBorders>
            <w:noWrap w:val="0"/>
            <w:vAlign w:val="center"/>
          </w:tcPr>
          <w:p w14:paraId="38E74D89">
            <w:pPr>
              <w:widowControl w:val="0"/>
              <w:jc w:val="center"/>
              <w:rPr>
                <w:rFonts w:hint="eastAsia" w:ascii="宋体" w:hAnsi="宋体" w:eastAsia="宋体" w:cs="宋体"/>
                <w:color w:val="auto"/>
                <w:kern w:val="0"/>
                <w:sz w:val="21"/>
                <w:szCs w:val="21"/>
              </w:rPr>
            </w:pPr>
          </w:p>
        </w:tc>
      </w:tr>
      <w:tr w14:paraId="0DE71178">
        <w:tblPrEx>
          <w:tblCellMar>
            <w:top w:w="0" w:type="dxa"/>
            <w:left w:w="108" w:type="dxa"/>
            <w:bottom w:w="0" w:type="dxa"/>
            <w:right w:w="108" w:type="dxa"/>
          </w:tblCellMar>
        </w:tblPrEx>
        <w:trPr>
          <w:trHeight w:val="2071" w:hRule="atLeast"/>
        </w:trPr>
        <w:tc>
          <w:tcPr>
            <w:tcW w:w="372" w:type="pct"/>
            <w:tcBorders>
              <w:top w:val="nil"/>
              <w:left w:val="single" w:color="000000" w:sz="4" w:space="0"/>
              <w:bottom w:val="single" w:color="000000" w:sz="4" w:space="0"/>
              <w:right w:val="single" w:color="000000" w:sz="4" w:space="0"/>
            </w:tcBorders>
            <w:noWrap w:val="0"/>
            <w:vAlign w:val="center"/>
          </w:tcPr>
          <w:p w14:paraId="0CDE276F">
            <w:pPr>
              <w:widowControl w:val="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24</w:t>
            </w:r>
          </w:p>
        </w:tc>
        <w:tc>
          <w:tcPr>
            <w:tcW w:w="804" w:type="pct"/>
            <w:tcBorders>
              <w:top w:val="nil"/>
              <w:left w:val="nil"/>
              <w:bottom w:val="single" w:color="000000" w:sz="4" w:space="0"/>
              <w:right w:val="single" w:color="000000" w:sz="4" w:space="0"/>
            </w:tcBorders>
            <w:noWrap w:val="0"/>
            <w:vAlign w:val="center"/>
          </w:tcPr>
          <w:p w14:paraId="000C3014">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检查井检修（更换砼钢纤维井盖）</w:t>
            </w:r>
          </w:p>
        </w:tc>
        <w:tc>
          <w:tcPr>
            <w:tcW w:w="1600" w:type="pct"/>
            <w:tcBorders>
              <w:top w:val="nil"/>
              <w:left w:val="nil"/>
              <w:bottom w:val="single" w:color="000000" w:sz="4" w:space="0"/>
              <w:right w:val="single" w:color="000000" w:sz="4" w:space="0"/>
            </w:tcBorders>
            <w:noWrap w:val="0"/>
            <w:vAlign w:val="center"/>
          </w:tcPr>
          <w:p w14:paraId="742F0AC2">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1、检查井检修并更换砼钢纤维φ700井盖（主要用于仙林大道绿化内损坏井盖更换）</w:t>
            </w:r>
          </w:p>
          <w:p w14:paraId="25E360FE">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2、井盖样式由投标人自行踏勘现场，恢复至原状</w:t>
            </w:r>
          </w:p>
          <w:p w14:paraId="7AC2069F">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3、结合CCTV检测报告，根据现场实际情况自行报价，结算时不予调整</w:t>
            </w:r>
          </w:p>
        </w:tc>
        <w:tc>
          <w:tcPr>
            <w:tcW w:w="496" w:type="pct"/>
            <w:tcBorders>
              <w:top w:val="nil"/>
              <w:left w:val="nil"/>
              <w:bottom w:val="single" w:color="000000" w:sz="4" w:space="0"/>
              <w:right w:val="single" w:color="000000" w:sz="4" w:space="0"/>
            </w:tcBorders>
            <w:noWrap w:val="0"/>
            <w:vAlign w:val="center"/>
          </w:tcPr>
          <w:p w14:paraId="1ACBE5E8">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座</w:t>
            </w:r>
          </w:p>
        </w:tc>
        <w:tc>
          <w:tcPr>
            <w:tcW w:w="619" w:type="pct"/>
            <w:tcBorders>
              <w:top w:val="nil"/>
              <w:left w:val="nil"/>
              <w:bottom w:val="single" w:color="000000" w:sz="4" w:space="0"/>
              <w:right w:val="single" w:color="000000" w:sz="4" w:space="0"/>
            </w:tcBorders>
            <w:noWrap w:val="0"/>
            <w:vAlign w:val="center"/>
          </w:tcPr>
          <w:p w14:paraId="4F8CC955">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14</w:t>
            </w:r>
          </w:p>
        </w:tc>
        <w:tc>
          <w:tcPr>
            <w:tcW w:w="618" w:type="pct"/>
            <w:tcBorders>
              <w:top w:val="nil"/>
              <w:left w:val="nil"/>
              <w:bottom w:val="single" w:color="000000" w:sz="4" w:space="0"/>
              <w:right w:val="single" w:color="000000" w:sz="4" w:space="0"/>
            </w:tcBorders>
            <w:noWrap w:val="0"/>
            <w:vAlign w:val="center"/>
          </w:tcPr>
          <w:p w14:paraId="23121F06">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302.5</w:t>
            </w:r>
          </w:p>
        </w:tc>
        <w:tc>
          <w:tcPr>
            <w:tcW w:w="488" w:type="pct"/>
            <w:tcBorders>
              <w:top w:val="nil"/>
              <w:left w:val="nil"/>
              <w:bottom w:val="single" w:color="000000" w:sz="4" w:space="0"/>
              <w:right w:val="single" w:color="000000" w:sz="4" w:space="0"/>
            </w:tcBorders>
            <w:noWrap w:val="0"/>
            <w:vAlign w:val="center"/>
          </w:tcPr>
          <w:p w14:paraId="05AA1A9B">
            <w:pPr>
              <w:widowControl w:val="0"/>
              <w:jc w:val="center"/>
              <w:rPr>
                <w:rFonts w:hint="eastAsia" w:ascii="宋体" w:hAnsi="宋体" w:eastAsia="宋体" w:cs="宋体"/>
                <w:color w:val="auto"/>
                <w:kern w:val="0"/>
                <w:sz w:val="21"/>
                <w:szCs w:val="21"/>
              </w:rPr>
            </w:pPr>
          </w:p>
        </w:tc>
      </w:tr>
      <w:tr w14:paraId="02D79AFC">
        <w:tblPrEx>
          <w:tblCellMar>
            <w:top w:w="0" w:type="dxa"/>
            <w:left w:w="108" w:type="dxa"/>
            <w:bottom w:w="0" w:type="dxa"/>
            <w:right w:w="108" w:type="dxa"/>
          </w:tblCellMar>
        </w:tblPrEx>
        <w:trPr>
          <w:trHeight w:val="1891" w:hRule="atLeast"/>
        </w:trPr>
        <w:tc>
          <w:tcPr>
            <w:tcW w:w="372" w:type="pct"/>
            <w:tcBorders>
              <w:top w:val="nil"/>
              <w:left w:val="single" w:color="000000" w:sz="4" w:space="0"/>
              <w:bottom w:val="single" w:color="000000" w:sz="4" w:space="0"/>
              <w:right w:val="single" w:color="000000" w:sz="4" w:space="0"/>
            </w:tcBorders>
            <w:noWrap w:val="0"/>
            <w:vAlign w:val="center"/>
          </w:tcPr>
          <w:p w14:paraId="35ADF9D4">
            <w:pPr>
              <w:widowControl w:val="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25</w:t>
            </w:r>
          </w:p>
        </w:tc>
        <w:tc>
          <w:tcPr>
            <w:tcW w:w="804" w:type="pct"/>
            <w:tcBorders>
              <w:top w:val="nil"/>
              <w:left w:val="nil"/>
              <w:bottom w:val="single" w:color="000000" w:sz="4" w:space="0"/>
              <w:right w:val="single" w:color="000000" w:sz="4" w:space="0"/>
            </w:tcBorders>
            <w:noWrap w:val="0"/>
            <w:vAlign w:val="center"/>
          </w:tcPr>
          <w:p w14:paraId="145B90B1">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检查井维修</w:t>
            </w:r>
          </w:p>
        </w:tc>
        <w:tc>
          <w:tcPr>
            <w:tcW w:w="1600" w:type="pct"/>
            <w:tcBorders>
              <w:top w:val="nil"/>
              <w:left w:val="nil"/>
              <w:bottom w:val="single" w:color="000000" w:sz="4" w:space="0"/>
              <w:right w:val="single" w:color="000000" w:sz="4" w:space="0"/>
            </w:tcBorders>
            <w:noWrap w:val="0"/>
            <w:vAlign w:val="center"/>
          </w:tcPr>
          <w:p w14:paraId="341CB253">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1、现状检查井维修；破损、裂缝修复等，满足业主要求</w:t>
            </w:r>
          </w:p>
          <w:p w14:paraId="09448C55">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2、结合CCTV检测报告，根据现场实际情况自行报价，结算时不予调整</w:t>
            </w:r>
          </w:p>
          <w:p w14:paraId="70088465">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3、主要用于学海路等检查井内两侧支管处破损井壁填充维修</w:t>
            </w:r>
          </w:p>
        </w:tc>
        <w:tc>
          <w:tcPr>
            <w:tcW w:w="496" w:type="pct"/>
            <w:tcBorders>
              <w:top w:val="nil"/>
              <w:left w:val="nil"/>
              <w:bottom w:val="single" w:color="000000" w:sz="4" w:space="0"/>
              <w:right w:val="single" w:color="000000" w:sz="4" w:space="0"/>
            </w:tcBorders>
            <w:noWrap w:val="0"/>
            <w:vAlign w:val="center"/>
          </w:tcPr>
          <w:p w14:paraId="23C2CE86">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座</w:t>
            </w:r>
          </w:p>
        </w:tc>
        <w:tc>
          <w:tcPr>
            <w:tcW w:w="619" w:type="pct"/>
            <w:tcBorders>
              <w:top w:val="nil"/>
              <w:left w:val="nil"/>
              <w:bottom w:val="single" w:color="000000" w:sz="4" w:space="0"/>
              <w:right w:val="single" w:color="000000" w:sz="4" w:space="0"/>
            </w:tcBorders>
            <w:noWrap w:val="0"/>
            <w:vAlign w:val="center"/>
          </w:tcPr>
          <w:p w14:paraId="5C1DF6F7">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14</w:t>
            </w:r>
          </w:p>
        </w:tc>
        <w:tc>
          <w:tcPr>
            <w:tcW w:w="618" w:type="pct"/>
            <w:tcBorders>
              <w:top w:val="nil"/>
              <w:left w:val="nil"/>
              <w:bottom w:val="single" w:color="000000" w:sz="4" w:space="0"/>
              <w:right w:val="single" w:color="000000" w:sz="4" w:space="0"/>
            </w:tcBorders>
            <w:noWrap w:val="0"/>
            <w:vAlign w:val="center"/>
          </w:tcPr>
          <w:p w14:paraId="24F1AEAD">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139.16</w:t>
            </w:r>
          </w:p>
        </w:tc>
        <w:tc>
          <w:tcPr>
            <w:tcW w:w="488" w:type="pct"/>
            <w:tcBorders>
              <w:top w:val="nil"/>
              <w:left w:val="nil"/>
              <w:bottom w:val="single" w:color="000000" w:sz="4" w:space="0"/>
              <w:right w:val="single" w:color="000000" w:sz="4" w:space="0"/>
            </w:tcBorders>
            <w:noWrap w:val="0"/>
            <w:vAlign w:val="center"/>
          </w:tcPr>
          <w:p w14:paraId="39973576">
            <w:pPr>
              <w:widowControl w:val="0"/>
              <w:jc w:val="center"/>
              <w:rPr>
                <w:rFonts w:hint="eastAsia" w:ascii="宋体" w:hAnsi="宋体" w:eastAsia="宋体" w:cs="宋体"/>
                <w:color w:val="auto"/>
                <w:kern w:val="0"/>
                <w:sz w:val="21"/>
                <w:szCs w:val="21"/>
              </w:rPr>
            </w:pPr>
          </w:p>
        </w:tc>
      </w:tr>
      <w:tr w14:paraId="51333DE3">
        <w:tblPrEx>
          <w:tblCellMar>
            <w:top w:w="0" w:type="dxa"/>
            <w:left w:w="108" w:type="dxa"/>
            <w:bottom w:w="0" w:type="dxa"/>
            <w:right w:w="108" w:type="dxa"/>
          </w:tblCellMar>
        </w:tblPrEx>
        <w:trPr>
          <w:trHeight w:val="2071" w:hRule="atLeast"/>
        </w:trPr>
        <w:tc>
          <w:tcPr>
            <w:tcW w:w="372" w:type="pct"/>
            <w:tcBorders>
              <w:top w:val="nil"/>
              <w:left w:val="single" w:color="000000" w:sz="4" w:space="0"/>
              <w:bottom w:val="single" w:color="000000" w:sz="4" w:space="0"/>
              <w:right w:val="single" w:color="000000" w:sz="4" w:space="0"/>
            </w:tcBorders>
            <w:noWrap w:val="0"/>
            <w:vAlign w:val="center"/>
          </w:tcPr>
          <w:p w14:paraId="4BC03165">
            <w:pPr>
              <w:widowControl w:val="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26</w:t>
            </w:r>
          </w:p>
        </w:tc>
        <w:tc>
          <w:tcPr>
            <w:tcW w:w="804" w:type="pct"/>
            <w:tcBorders>
              <w:top w:val="nil"/>
              <w:left w:val="nil"/>
              <w:bottom w:val="single" w:color="000000" w:sz="4" w:space="0"/>
              <w:right w:val="single" w:color="000000" w:sz="4" w:space="0"/>
            </w:tcBorders>
            <w:noWrap w:val="0"/>
            <w:vAlign w:val="center"/>
          </w:tcPr>
          <w:p w14:paraId="7E9EB96E">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检查井检修（更换砼钢纤维井框）</w:t>
            </w:r>
          </w:p>
        </w:tc>
        <w:tc>
          <w:tcPr>
            <w:tcW w:w="1600" w:type="pct"/>
            <w:tcBorders>
              <w:top w:val="nil"/>
              <w:left w:val="nil"/>
              <w:bottom w:val="single" w:color="000000" w:sz="4" w:space="0"/>
              <w:right w:val="single" w:color="000000" w:sz="4" w:space="0"/>
            </w:tcBorders>
            <w:noWrap w:val="0"/>
            <w:vAlign w:val="center"/>
          </w:tcPr>
          <w:p w14:paraId="3D9336D6">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1、检查井检修并更换砼钢纤维φ700井框（主要用于仙林大道绿化内损坏井框更换）</w:t>
            </w:r>
          </w:p>
          <w:p w14:paraId="2DC18569">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2、井框样式由投标人自行踏勘现场，恢复至原状</w:t>
            </w:r>
          </w:p>
          <w:p w14:paraId="02E22557">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3、结合CCTV检测报告，根据现场实际情况自行报价，结算时不予调整</w:t>
            </w:r>
          </w:p>
        </w:tc>
        <w:tc>
          <w:tcPr>
            <w:tcW w:w="496" w:type="pct"/>
            <w:tcBorders>
              <w:top w:val="nil"/>
              <w:left w:val="nil"/>
              <w:bottom w:val="single" w:color="000000" w:sz="4" w:space="0"/>
              <w:right w:val="single" w:color="000000" w:sz="4" w:space="0"/>
            </w:tcBorders>
            <w:noWrap w:val="0"/>
            <w:vAlign w:val="center"/>
          </w:tcPr>
          <w:p w14:paraId="387FF41B">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座</w:t>
            </w:r>
          </w:p>
        </w:tc>
        <w:tc>
          <w:tcPr>
            <w:tcW w:w="619" w:type="pct"/>
            <w:tcBorders>
              <w:top w:val="nil"/>
              <w:left w:val="nil"/>
              <w:bottom w:val="single" w:color="000000" w:sz="4" w:space="0"/>
              <w:right w:val="single" w:color="000000" w:sz="4" w:space="0"/>
            </w:tcBorders>
            <w:noWrap w:val="0"/>
            <w:vAlign w:val="center"/>
          </w:tcPr>
          <w:p w14:paraId="45C8F40A">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14</w:t>
            </w:r>
          </w:p>
        </w:tc>
        <w:tc>
          <w:tcPr>
            <w:tcW w:w="618" w:type="pct"/>
            <w:tcBorders>
              <w:top w:val="nil"/>
              <w:left w:val="nil"/>
              <w:bottom w:val="single" w:color="000000" w:sz="4" w:space="0"/>
              <w:right w:val="single" w:color="000000" w:sz="4" w:space="0"/>
            </w:tcBorders>
            <w:noWrap w:val="0"/>
            <w:vAlign w:val="center"/>
          </w:tcPr>
          <w:p w14:paraId="7218688F">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491.74</w:t>
            </w:r>
          </w:p>
        </w:tc>
        <w:tc>
          <w:tcPr>
            <w:tcW w:w="488" w:type="pct"/>
            <w:tcBorders>
              <w:top w:val="nil"/>
              <w:left w:val="nil"/>
              <w:bottom w:val="single" w:color="000000" w:sz="4" w:space="0"/>
              <w:right w:val="single" w:color="000000" w:sz="4" w:space="0"/>
            </w:tcBorders>
            <w:noWrap w:val="0"/>
            <w:vAlign w:val="center"/>
          </w:tcPr>
          <w:p w14:paraId="3BAD6C31">
            <w:pPr>
              <w:widowControl w:val="0"/>
              <w:jc w:val="center"/>
              <w:rPr>
                <w:rFonts w:hint="eastAsia" w:ascii="宋体" w:hAnsi="宋体" w:eastAsia="宋体" w:cs="宋体"/>
                <w:color w:val="auto"/>
                <w:kern w:val="0"/>
                <w:sz w:val="21"/>
                <w:szCs w:val="21"/>
              </w:rPr>
            </w:pPr>
          </w:p>
        </w:tc>
      </w:tr>
      <w:tr w14:paraId="2A2EE468">
        <w:tblPrEx>
          <w:tblCellMar>
            <w:top w:w="0" w:type="dxa"/>
            <w:left w:w="108" w:type="dxa"/>
            <w:bottom w:w="0" w:type="dxa"/>
            <w:right w:w="108" w:type="dxa"/>
          </w:tblCellMar>
        </w:tblPrEx>
        <w:trPr>
          <w:trHeight w:val="1891" w:hRule="atLeast"/>
        </w:trPr>
        <w:tc>
          <w:tcPr>
            <w:tcW w:w="372" w:type="pct"/>
            <w:tcBorders>
              <w:top w:val="nil"/>
              <w:left w:val="single" w:color="000000" w:sz="4" w:space="0"/>
              <w:bottom w:val="single" w:color="000000" w:sz="4" w:space="0"/>
              <w:right w:val="single" w:color="000000" w:sz="4" w:space="0"/>
            </w:tcBorders>
            <w:noWrap w:val="0"/>
            <w:vAlign w:val="center"/>
          </w:tcPr>
          <w:p w14:paraId="503EDAA3">
            <w:pPr>
              <w:widowControl w:val="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27</w:t>
            </w:r>
          </w:p>
        </w:tc>
        <w:tc>
          <w:tcPr>
            <w:tcW w:w="804" w:type="pct"/>
            <w:tcBorders>
              <w:top w:val="nil"/>
              <w:left w:val="nil"/>
              <w:bottom w:val="single" w:color="000000" w:sz="4" w:space="0"/>
              <w:right w:val="single" w:color="000000" w:sz="4" w:space="0"/>
            </w:tcBorders>
            <w:noWrap w:val="0"/>
            <w:vAlign w:val="center"/>
          </w:tcPr>
          <w:p w14:paraId="4C2FB43B">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检查井检修（更换五防铸铁井盖座）</w:t>
            </w:r>
          </w:p>
        </w:tc>
        <w:tc>
          <w:tcPr>
            <w:tcW w:w="1600" w:type="pct"/>
            <w:tcBorders>
              <w:top w:val="nil"/>
              <w:left w:val="nil"/>
              <w:bottom w:val="single" w:color="000000" w:sz="4" w:space="0"/>
              <w:right w:val="single" w:color="000000" w:sz="4" w:space="0"/>
            </w:tcBorders>
            <w:noWrap w:val="0"/>
            <w:vAlign w:val="center"/>
          </w:tcPr>
          <w:p w14:paraId="0FCB2492">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1、检查井检修并更换五防铸铁井盖座（主要用于临湖北街等沥青路上损坏井井盖框更换）</w:t>
            </w:r>
          </w:p>
          <w:p w14:paraId="6117F6B3">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2、井盖样式由投标人自行踏勘现场，恢复至原状</w:t>
            </w:r>
          </w:p>
          <w:p w14:paraId="26D50354">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3、结合CCTV检测报告，根据现场实际情况自行报价；结算时不予调整</w:t>
            </w:r>
          </w:p>
        </w:tc>
        <w:tc>
          <w:tcPr>
            <w:tcW w:w="496" w:type="pct"/>
            <w:tcBorders>
              <w:top w:val="nil"/>
              <w:left w:val="nil"/>
              <w:bottom w:val="single" w:color="000000" w:sz="4" w:space="0"/>
              <w:right w:val="single" w:color="000000" w:sz="4" w:space="0"/>
            </w:tcBorders>
            <w:noWrap w:val="0"/>
            <w:vAlign w:val="center"/>
          </w:tcPr>
          <w:p w14:paraId="6DB422D0">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座</w:t>
            </w:r>
          </w:p>
        </w:tc>
        <w:tc>
          <w:tcPr>
            <w:tcW w:w="619" w:type="pct"/>
            <w:tcBorders>
              <w:top w:val="nil"/>
              <w:left w:val="nil"/>
              <w:bottom w:val="single" w:color="000000" w:sz="4" w:space="0"/>
              <w:right w:val="single" w:color="000000" w:sz="4" w:space="0"/>
            </w:tcBorders>
            <w:noWrap w:val="0"/>
            <w:vAlign w:val="center"/>
          </w:tcPr>
          <w:p w14:paraId="00987736">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10</w:t>
            </w:r>
          </w:p>
        </w:tc>
        <w:tc>
          <w:tcPr>
            <w:tcW w:w="618" w:type="pct"/>
            <w:tcBorders>
              <w:top w:val="nil"/>
              <w:left w:val="nil"/>
              <w:bottom w:val="single" w:color="000000" w:sz="4" w:space="0"/>
              <w:right w:val="single" w:color="000000" w:sz="4" w:space="0"/>
            </w:tcBorders>
            <w:noWrap w:val="0"/>
            <w:vAlign w:val="center"/>
          </w:tcPr>
          <w:p w14:paraId="0951EA8B">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878.77</w:t>
            </w:r>
          </w:p>
        </w:tc>
        <w:tc>
          <w:tcPr>
            <w:tcW w:w="488" w:type="pct"/>
            <w:tcBorders>
              <w:top w:val="nil"/>
              <w:left w:val="nil"/>
              <w:bottom w:val="single" w:color="000000" w:sz="4" w:space="0"/>
              <w:right w:val="single" w:color="000000" w:sz="4" w:space="0"/>
            </w:tcBorders>
            <w:noWrap w:val="0"/>
            <w:vAlign w:val="center"/>
          </w:tcPr>
          <w:p w14:paraId="37E4D02C">
            <w:pPr>
              <w:widowControl w:val="0"/>
              <w:jc w:val="center"/>
              <w:rPr>
                <w:rFonts w:hint="eastAsia" w:ascii="宋体" w:hAnsi="宋体" w:eastAsia="宋体" w:cs="宋体"/>
                <w:color w:val="auto"/>
                <w:kern w:val="0"/>
                <w:sz w:val="21"/>
                <w:szCs w:val="21"/>
              </w:rPr>
            </w:pPr>
          </w:p>
        </w:tc>
      </w:tr>
      <w:tr w14:paraId="53071709">
        <w:tblPrEx>
          <w:tblCellMar>
            <w:top w:w="0" w:type="dxa"/>
            <w:left w:w="108" w:type="dxa"/>
            <w:bottom w:w="0" w:type="dxa"/>
            <w:right w:w="108" w:type="dxa"/>
          </w:tblCellMar>
        </w:tblPrEx>
        <w:trPr>
          <w:trHeight w:val="1891" w:hRule="atLeast"/>
        </w:trPr>
        <w:tc>
          <w:tcPr>
            <w:tcW w:w="372" w:type="pct"/>
            <w:tcBorders>
              <w:top w:val="nil"/>
              <w:left w:val="single" w:color="000000" w:sz="4" w:space="0"/>
              <w:bottom w:val="single" w:color="000000" w:sz="4" w:space="0"/>
              <w:right w:val="single" w:color="000000" w:sz="4" w:space="0"/>
            </w:tcBorders>
            <w:noWrap w:val="0"/>
            <w:vAlign w:val="center"/>
          </w:tcPr>
          <w:p w14:paraId="5960A661">
            <w:pPr>
              <w:widowControl w:val="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28</w:t>
            </w:r>
          </w:p>
        </w:tc>
        <w:tc>
          <w:tcPr>
            <w:tcW w:w="804" w:type="pct"/>
            <w:tcBorders>
              <w:top w:val="nil"/>
              <w:left w:val="nil"/>
              <w:bottom w:val="single" w:color="000000" w:sz="4" w:space="0"/>
              <w:right w:val="single" w:color="000000" w:sz="4" w:space="0"/>
            </w:tcBorders>
            <w:noWrap w:val="0"/>
            <w:vAlign w:val="center"/>
          </w:tcPr>
          <w:p w14:paraId="0D966ADD">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防坠装置</w:t>
            </w:r>
          </w:p>
        </w:tc>
        <w:tc>
          <w:tcPr>
            <w:tcW w:w="1600" w:type="pct"/>
            <w:tcBorders>
              <w:top w:val="nil"/>
              <w:left w:val="nil"/>
              <w:bottom w:val="single" w:color="000000" w:sz="4" w:space="0"/>
              <w:right w:val="single" w:color="000000" w:sz="4" w:space="0"/>
            </w:tcBorders>
            <w:noWrap w:val="0"/>
            <w:vAlign w:val="center"/>
          </w:tcPr>
          <w:p w14:paraId="175D395D">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1.井内设置成品防坠装置,防护网直径700毫米，承重不低于150KG，挂钩采用304不锈钢膨胀防脱落挂钩，每座井设置6个，螺杆直径8mm，长度110mm。</w:t>
            </w:r>
          </w:p>
          <w:p w14:paraId="0BFF8058">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2.含采购、安装等所有费用</w:t>
            </w:r>
          </w:p>
          <w:p w14:paraId="46EFC74D">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3、用于市政道路上新增、提升井等非绿化检查井内安装</w:t>
            </w:r>
          </w:p>
        </w:tc>
        <w:tc>
          <w:tcPr>
            <w:tcW w:w="496" w:type="pct"/>
            <w:tcBorders>
              <w:top w:val="nil"/>
              <w:left w:val="nil"/>
              <w:bottom w:val="single" w:color="000000" w:sz="4" w:space="0"/>
              <w:right w:val="single" w:color="000000" w:sz="4" w:space="0"/>
            </w:tcBorders>
            <w:noWrap w:val="0"/>
            <w:vAlign w:val="center"/>
          </w:tcPr>
          <w:p w14:paraId="08D2A9F8">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套</w:t>
            </w:r>
          </w:p>
        </w:tc>
        <w:tc>
          <w:tcPr>
            <w:tcW w:w="619" w:type="pct"/>
            <w:tcBorders>
              <w:top w:val="nil"/>
              <w:left w:val="nil"/>
              <w:bottom w:val="single" w:color="000000" w:sz="4" w:space="0"/>
              <w:right w:val="single" w:color="000000" w:sz="4" w:space="0"/>
            </w:tcBorders>
            <w:noWrap w:val="0"/>
            <w:vAlign w:val="center"/>
          </w:tcPr>
          <w:p w14:paraId="1F6D643B">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10</w:t>
            </w:r>
          </w:p>
        </w:tc>
        <w:tc>
          <w:tcPr>
            <w:tcW w:w="618" w:type="pct"/>
            <w:tcBorders>
              <w:top w:val="nil"/>
              <w:left w:val="nil"/>
              <w:bottom w:val="single" w:color="000000" w:sz="4" w:space="0"/>
              <w:right w:val="single" w:color="000000" w:sz="4" w:space="0"/>
            </w:tcBorders>
            <w:noWrap w:val="0"/>
            <w:vAlign w:val="center"/>
          </w:tcPr>
          <w:p w14:paraId="1E5C8BD9">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186.37</w:t>
            </w:r>
          </w:p>
        </w:tc>
        <w:tc>
          <w:tcPr>
            <w:tcW w:w="488" w:type="pct"/>
            <w:tcBorders>
              <w:top w:val="nil"/>
              <w:left w:val="nil"/>
              <w:bottom w:val="single" w:color="000000" w:sz="4" w:space="0"/>
              <w:right w:val="single" w:color="000000" w:sz="4" w:space="0"/>
            </w:tcBorders>
            <w:noWrap w:val="0"/>
            <w:vAlign w:val="center"/>
          </w:tcPr>
          <w:p w14:paraId="46908ED2">
            <w:pPr>
              <w:widowControl w:val="0"/>
              <w:jc w:val="center"/>
              <w:rPr>
                <w:rFonts w:hint="eastAsia" w:ascii="宋体" w:hAnsi="宋体" w:eastAsia="宋体" w:cs="宋体"/>
                <w:color w:val="auto"/>
                <w:kern w:val="0"/>
                <w:sz w:val="21"/>
                <w:szCs w:val="21"/>
              </w:rPr>
            </w:pPr>
          </w:p>
        </w:tc>
      </w:tr>
      <w:tr w14:paraId="7EC5EE0B">
        <w:tblPrEx>
          <w:tblCellMar>
            <w:top w:w="0" w:type="dxa"/>
            <w:left w:w="108" w:type="dxa"/>
            <w:bottom w:w="0" w:type="dxa"/>
            <w:right w:w="108" w:type="dxa"/>
          </w:tblCellMar>
        </w:tblPrEx>
        <w:trPr>
          <w:trHeight w:val="3407" w:hRule="atLeast"/>
        </w:trPr>
        <w:tc>
          <w:tcPr>
            <w:tcW w:w="372" w:type="pct"/>
            <w:tcBorders>
              <w:top w:val="nil"/>
              <w:left w:val="single" w:color="000000" w:sz="4" w:space="0"/>
              <w:bottom w:val="single" w:color="000000" w:sz="4" w:space="0"/>
              <w:right w:val="single" w:color="000000" w:sz="4" w:space="0"/>
            </w:tcBorders>
            <w:noWrap w:val="0"/>
            <w:vAlign w:val="center"/>
          </w:tcPr>
          <w:p w14:paraId="7170EE32">
            <w:pPr>
              <w:widowControl w:val="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29</w:t>
            </w:r>
          </w:p>
        </w:tc>
        <w:tc>
          <w:tcPr>
            <w:tcW w:w="804" w:type="pct"/>
            <w:tcBorders>
              <w:top w:val="nil"/>
              <w:left w:val="nil"/>
              <w:bottom w:val="single" w:color="000000" w:sz="4" w:space="0"/>
              <w:right w:val="single" w:color="000000" w:sz="4" w:space="0"/>
            </w:tcBorders>
            <w:noWrap w:val="0"/>
            <w:vAlign w:val="center"/>
          </w:tcPr>
          <w:p w14:paraId="7C1B2E35">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新建盖板沟-球墨铸铁盖板</w:t>
            </w:r>
          </w:p>
        </w:tc>
        <w:tc>
          <w:tcPr>
            <w:tcW w:w="1600" w:type="pct"/>
            <w:tcBorders>
              <w:top w:val="nil"/>
              <w:left w:val="nil"/>
              <w:bottom w:val="single" w:color="000000" w:sz="4" w:space="0"/>
              <w:right w:val="single" w:color="000000" w:sz="4" w:space="0"/>
            </w:tcBorders>
            <w:noWrap w:val="0"/>
            <w:vAlign w:val="center"/>
          </w:tcPr>
          <w:p w14:paraId="23B6DEC7">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1、砖砌盖板沟，宽度25cm，深度1.0m以内，采用50mm厚球墨铸铁盖板</w:t>
            </w:r>
          </w:p>
          <w:p w14:paraId="56FB659A">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2、含开挖、回填、外弃、与管道搭接处理等综合考虑在综合单价中</w:t>
            </w:r>
          </w:p>
          <w:p w14:paraId="6418B412">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3、弃置运距 投标人自行勘察选择规定的弃置场所并自报运距,所有费用要求在综合单价中充分考虑（包含场地倒置费等）</w:t>
            </w:r>
          </w:p>
          <w:p w14:paraId="76F90E64">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4、保洁费、消纳费等所有费用须投标单位自行考虑，渣土费不予计取</w:t>
            </w:r>
          </w:p>
          <w:p w14:paraId="012AE9D1">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5、投标人自行报价，结算不予调整</w:t>
            </w:r>
          </w:p>
        </w:tc>
        <w:tc>
          <w:tcPr>
            <w:tcW w:w="496" w:type="pct"/>
            <w:tcBorders>
              <w:top w:val="nil"/>
              <w:left w:val="nil"/>
              <w:bottom w:val="single" w:color="000000" w:sz="4" w:space="0"/>
              <w:right w:val="single" w:color="000000" w:sz="4" w:space="0"/>
            </w:tcBorders>
            <w:noWrap w:val="0"/>
            <w:vAlign w:val="center"/>
          </w:tcPr>
          <w:p w14:paraId="67118477">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m</w:t>
            </w:r>
          </w:p>
        </w:tc>
        <w:tc>
          <w:tcPr>
            <w:tcW w:w="619" w:type="pct"/>
            <w:tcBorders>
              <w:top w:val="nil"/>
              <w:left w:val="nil"/>
              <w:bottom w:val="single" w:color="000000" w:sz="4" w:space="0"/>
              <w:right w:val="single" w:color="000000" w:sz="4" w:space="0"/>
            </w:tcBorders>
            <w:noWrap w:val="0"/>
            <w:vAlign w:val="center"/>
          </w:tcPr>
          <w:p w14:paraId="00F97E47">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12</w:t>
            </w:r>
          </w:p>
        </w:tc>
        <w:tc>
          <w:tcPr>
            <w:tcW w:w="618" w:type="pct"/>
            <w:tcBorders>
              <w:top w:val="nil"/>
              <w:left w:val="nil"/>
              <w:bottom w:val="single" w:color="000000" w:sz="4" w:space="0"/>
              <w:right w:val="single" w:color="000000" w:sz="4" w:space="0"/>
            </w:tcBorders>
            <w:noWrap w:val="0"/>
            <w:vAlign w:val="center"/>
          </w:tcPr>
          <w:p w14:paraId="74C32F7E">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656.52</w:t>
            </w:r>
          </w:p>
        </w:tc>
        <w:tc>
          <w:tcPr>
            <w:tcW w:w="488" w:type="pct"/>
            <w:tcBorders>
              <w:top w:val="nil"/>
              <w:left w:val="nil"/>
              <w:bottom w:val="single" w:color="000000" w:sz="4" w:space="0"/>
              <w:right w:val="single" w:color="000000" w:sz="4" w:space="0"/>
            </w:tcBorders>
            <w:noWrap w:val="0"/>
            <w:vAlign w:val="center"/>
          </w:tcPr>
          <w:p w14:paraId="7AFF9BEE">
            <w:pPr>
              <w:widowControl w:val="0"/>
              <w:jc w:val="center"/>
              <w:rPr>
                <w:rFonts w:hint="eastAsia" w:ascii="宋体" w:hAnsi="宋体" w:eastAsia="宋体" w:cs="宋体"/>
                <w:color w:val="auto"/>
                <w:kern w:val="0"/>
                <w:sz w:val="21"/>
                <w:szCs w:val="21"/>
              </w:rPr>
            </w:pPr>
          </w:p>
        </w:tc>
      </w:tr>
      <w:tr w14:paraId="03BE02D3">
        <w:tblPrEx>
          <w:tblCellMar>
            <w:top w:w="0" w:type="dxa"/>
            <w:left w:w="108" w:type="dxa"/>
            <w:bottom w:w="0" w:type="dxa"/>
            <w:right w:w="108" w:type="dxa"/>
          </w:tblCellMar>
        </w:tblPrEx>
        <w:trPr>
          <w:trHeight w:val="4192" w:hRule="atLeast"/>
        </w:trPr>
        <w:tc>
          <w:tcPr>
            <w:tcW w:w="372" w:type="pct"/>
            <w:tcBorders>
              <w:top w:val="nil"/>
              <w:left w:val="single" w:color="000000" w:sz="4" w:space="0"/>
              <w:bottom w:val="single" w:color="000000" w:sz="4" w:space="0"/>
              <w:right w:val="single" w:color="000000" w:sz="4" w:space="0"/>
            </w:tcBorders>
            <w:noWrap w:val="0"/>
            <w:vAlign w:val="center"/>
          </w:tcPr>
          <w:p w14:paraId="742E8655">
            <w:pPr>
              <w:widowControl w:val="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30</w:t>
            </w:r>
          </w:p>
        </w:tc>
        <w:tc>
          <w:tcPr>
            <w:tcW w:w="804" w:type="pct"/>
            <w:tcBorders>
              <w:top w:val="nil"/>
              <w:left w:val="nil"/>
              <w:bottom w:val="single" w:color="000000" w:sz="4" w:space="0"/>
              <w:right w:val="single" w:color="000000" w:sz="4" w:space="0"/>
            </w:tcBorders>
            <w:noWrap w:val="0"/>
            <w:vAlign w:val="center"/>
          </w:tcPr>
          <w:p w14:paraId="0703649C">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新建盖板沟-钢纤维混凝土盖板</w:t>
            </w:r>
          </w:p>
        </w:tc>
        <w:tc>
          <w:tcPr>
            <w:tcW w:w="1600" w:type="pct"/>
            <w:tcBorders>
              <w:top w:val="nil"/>
              <w:left w:val="nil"/>
              <w:bottom w:val="single" w:color="000000" w:sz="4" w:space="0"/>
              <w:right w:val="single" w:color="000000" w:sz="4" w:space="0"/>
            </w:tcBorders>
            <w:noWrap w:val="0"/>
            <w:vAlign w:val="center"/>
          </w:tcPr>
          <w:p w14:paraId="7716F16F">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1、砖砌盖板沟，宽度25cm，深度1.0m以内，采用50mm厚钢纤维混凝土盖板</w:t>
            </w:r>
          </w:p>
          <w:p w14:paraId="0376088B">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2、含开挖、回填、外弃、与管道搭接处理等综合考虑在综合单价中</w:t>
            </w:r>
          </w:p>
          <w:p w14:paraId="641C1F28">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3、弃置运距 投标人自行勘察选择规定的弃置场所并自报运距,所有费用要求在综合单价中充分考虑（包含场地倒置费等）</w:t>
            </w:r>
          </w:p>
          <w:p w14:paraId="0B1556F7">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4、保洁费、消纳费等所有费用须投标单位自行考虑，渣土费不予计取</w:t>
            </w:r>
          </w:p>
          <w:p w14:paraId="10B16B73">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5、投标人自行报价，结算不予调整</w:t>
            </w:r>
          </w:p>
        </w:tc>
        <w:tc>
          <w:tcPr>
            <w:tcW w:w="496" w:type="pct"/>
            <w:tcBorders>
              <w:top w:val="nil"/>
              <w:left w:val="nil"/>
              <w:bottom w:val="single" w:color="000000" w:sz="4" w:space="0"/>
              <w:right w:val="single" w:color="000000" w:sz="4" w:space="0"/>
            </w:tcBorders>
            <w:noWrap w:val="0"/>
            <w:vAlign w:val="center"/>
          </w:tcPr>
          <w:p w14:paraId="7D6B2376">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m</w:t>
            </w:r>
          </w:p>
        </w:tc>
        <w:tc>
          <w:tcPr>
            <w:tcW w:w="619" w:type="pct"/>
            <w:tcBorders>
              <w:top w:val="nil"/>
              <w:left w:val="nil"/>
              <w:bottom w:val="single" w:color="000000" w:sz="4" w:space="0"/>
              <w:right w:val="single" w:color="000000" w:sz="4" w:space="0"/>
            </w:tcBorders>
            <w:noWrap w:val="0"/>
            <w:vAlign w:val="center"/>
          </w:tcPr>
          <w:p w14:paraId="22530378">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12</w:t>
            </w:r>
          </w:p>
        </w:tc>
        <w:tc>
          <w:tcPr>
            <w:tcW w:w="618" w:type="pct"/>
            <w:tcBorders>
              <w:top w:val="nil"/>
              <w:left w:val="nil"/>
              <w:bottom w:val="single" w:color="000000" w:sz="4" w:space="0"/>
              <w:right w:val="single" w:color="000000" w:sz="4" w:space="0"/>
            </w:tcBorders>
            <w:noWrap w:val="0"/>
            <w:vAlign w:val="center"/>
          </w:tcPr>
          <w:p w14:paraId="447A92C0">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552.14</w:t>
            </w:r>
          </w:p>
        </w:tc>
        <w:tc>
          <w:tcPr>
            <w:tcW w:w="488" w:type="pct"/>
            <w:tcBorders>
              <w:top w:val="nil"/>
              <w:left w:val="nil"/>
              <w:bottom w:val="single" w:color="000000" w:sz="4" w:space="0"/>
              <w:right w:val="single" w:color="000000" w:sz="4" w:space="0"/>
            </w:tcBorders>
            <w:noWrap w:val="0"/>
            <w:vAlign w:val="center"/>
          </w:tcPr>
          <w:p w14:paraId="5F13F493">
            <w:pPr>
              <w:widowControl w:val="0"/>
              <w:jc w:val="center"/>
              <w:rPr>
                <w:rFonts w:hint="eastAsia" w:ascii="宋体" w:hAnsi="宋体" w:eastAsia="宋体" w:cs="宋体"/>
                <w:color w:val="auto"/>
                <w:kern w:val="0"/>
                <w:sz w:val="21"/>
                <w:szCs w:val="21"/>
              </w:rPr>
            </w:pPr>
          </w:p>
        </w:tc>
      </w:tr>
      <w:tr w14:paraId="463E7199">
        <w:tblPrEx>
          <w:tblCellMar>
            <w:top w:w="0" w:type="dxa"/>
            <w:left w:w="108" w:type="dxa"/>
            <w:bottom w:w="0" w:type="dxa"/>
            <w:right w:w="108" w:type="dxa"/>
          </w:tblCellMar>
        </w:tblPrEx>
        <w:trPr>
          <w:trHeight w:val="3790" w:hRule="atLeast"/>
        </w:trPr>
        <w:tc>
          <w:tcPr>
            <w:tcW w:w="372" w:type="pct"/>
            <w:tcBorders>
              <w:top w:val="nil"/>
              <w:left w:val="single" w:color="000000" w:sz="4" w:space="0"/>
              <w:bottom w:val="single" w:color="000000" w:sz="4" w:space="0"/>
              <w:right w:val="single" w:color="000000" w:sz="4" w:space="0"/>
            </w:tcBorders>
            <w:noWrap w:val="0"/>
            <w:vAlign w:val="center"/>
          </w:tcPr>
          <w:p w14:paraId="5D4BA98E">
            <w:pPr>
              <w:widowControl w:val="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31</w:t>
            </w:r>
          </w:p>
        </w:tc>
        <w:tc>
          <w:tcPr>
            <w:tcW w:w="804" w:type="pct"/>
            <w:tcBorders>
              <w:top w:val="nil"/>
              <w:left w:val="nil"/>
              <w:bottom w:val="single" w:color="000000" w:sz="8" w:space="0"/>
              <w:right w:val="single" w:color="000000" w:sz="4" w:space="0"/>
            </w:tcBorders>
            <w:noWrap w:val="0"/>
            <w:vAlign w:val="center"/>
          </w:tcPr>
          <w:p w14:paraId="55193CAD">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更换及新建管道（HDPE200）</w:t>
            </w:r>
          </w:p>
        </w:tc>
        <w:tc>
          <w:tcPr>
            <w:tcW w:w="1600" w:type="pct"/>
            <w:tcBorders>
              <w:top w:val="nil"/>
              <w:left w:val="nil"/>
              <w:bottom w:val="single" w:color="000000" w:sz="8" w:space="0"/>
              <w:right w:val="single" w:color="000000" w:sz="4" w:space="0"/>
            </w:tcBorders>
            <w:noWrap w:val="0"/>
            <w:vAlign w:val="center"/>
          </w:tcPr>
          <w:p w14:paraId="1BF00485">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1、更换仙林大道等收水口损坏管道及零星雨水支管新建（塑料管）管径200HDPE SN-8双壁缠绕波纹管（含10cm砂垫层），深度1.0米以内</w:t>
            </w:r>
          </w:p>
          <w:p w14:paraId="50E282B7">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2、含开挖、回填、外弃、原管道及附属拆除、新旧管搭接处理等，其中管道交叉包封处理综合考虑在综合单价中</w:t>
            </w:r>
          </w:p>
          <w:p w14:paraId="359E0B71">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3、管道两侧及管顶以上10cm范围内采用混凝土包封，按原道路基础结构层恢复。</w:t>
            </w:r>
          </w:p>
          <w:p w14:paraId="13BAA984">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4、弃置运距 投标人自行勘察选择规定的弃置场所并自报运距,所有费用要求在综合单价中充分考虑（包含场地倒置费等）</w:t>
            </w:r>
          </w:p>
          <w:p w14:paraId="1FB8A303">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5、保洁费、消纳费等所有费用须投标单位自行考虑，渣土费不予计取</w:t>
            </w:r>
          </w:p>
          <w:p w14:paraId="3B63FF00">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6、投标人自行报价，结算不予调整</w:t>
            </w:r>
          </w:p>
        </w:tc>
        <w:tc>
          <w:tcPr>
            <w:tcW w:w="496" w:type="pct"/>
            <w:tcBorders>
              <w:top w:val="nil"/>
              <w:left w:val="nil"/>
              <w:bottom w:val="single" w:color="000000" w:sz="8" w:space="0"/>
              <w:right w:val="single" w:color="000000" w:sz="4" w:space="0"/>
            </w:tcBorders>
            <w:noWrap w:val="0"/>
            <w:vAlign w:val="center"/>
          </w:tcPr>
          <w:p w14:paraId="0CFCF341">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m</w:t>
            </w:r>
          </w:p>
        </w:tc>
        <w:tc>
          <w:tcPr>
            <w:tcW w:w="619" w:type="pct"/>
            <w:tcBorders>
              <w:top w:val="nil"/>
              <w:left w:val="nil"/>
              <w:bottom w:val="single" w:color="000000" w:sz="8" w:space="0"/>
              <w:right w:val="single" w:color="000000" w:sz="4" w:space="0"/>
            </w:tcBorders>
            <w:noWrap w:val="0"/>
            <w:vAlign w:val="center"/>
          </w:tcPr>
          <w:p w14:paraId="387690EB">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330.98</w:t>
            </w:r>
          </w:p>
        </w:tc>
        <w:tc>
          <w:tcPr>
            <w:tcW w:w="618" w:type="pct"/>
            <w:tcBorders>
              <w:top w:val="nil"/>
              <w:left w:val="nil"/>
              <w:bottom w:val="single" w:color="000000" w:sz="8" w:space="0"/>
              <w:right w:val="single" w:color="000000" w:sz="4" w:space="0"/>
            </w:tcBorders>
            <w:noWrap w:val="0"/>
            <w:vAlign w:val="center"/>
          </w:tcPr>
          <w:p w14:paraId="667F5FBF">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312.16</w:t>
            </w:r>
          </w:p>
        </w:tc>
        <w:tc>
          <w:tcPr>
            <w:tcW w:w="488" w:type="pct"/>
            <w:tcBorders>
              <w:top w:val="nil"/>
              <w:left w:val="nil"/>
              <w:bottom w:val="single" w:color="000000" w:sz="4" w:space="0"/>
              <w:right w:val="single" w:color="000000" w:sz="4" w:space="0"/>
            </w:tcBorders>
            <w:noWrap w:val="0"/>
            <w:vAlign w:val="center"/>
          </w:tcPr>
          <w:p w14:paraId="32C8BB92">
            <w:pPr>
              <w:widowControl w:val="0"/>
              <w:jc w:val="center"/>
              <w:rPr>
                <w:rFonts w:hint="eastAsia" w:ascii="宋体" w:hAnsi="宋体" w:eastAsia="宋体" w:cs="宋体"/>
                <w:color w:val="auto"/>
                <w:kern w:val="0"/>
                <w:sz w:val="21"/>
                <w:szCs w:val="21"/>
              </w:rPr>
            </w:pPr>
          </w:p>
        </w:tc>
      </w:tr>
      <w:tr w14:paraId="128D1ED3">
        <w:tblPrEx>
          <w:tblCellMar>
            <w:top w:w="0" w:type="dxa"/>
            <w:left w:w="108" w:type="dxa"/>
            <w:bottom w:w="0" w:type="dxa"/>
            <w:right w:w="108" w:type="dxa"/>
          </w:tblCellMar>
        </w:tblPrEx>
        <w:trPr>
          <w:trHeight w:val="4398" w:hRule="atLeast"/>
        </w:trPr>
        <w:tc>
          <w:tcPr>
            <w:tcW w:w="372" w:type="pct"/>
            <w:tcBorders>
              <w:top w:val="nil"/>
              <w:left w:val="single" w:color="000000" w:sz="4" w:space="0"/>
              <w:bottom w:val="single" w:color="000000" w:sz="4" w:space="0"/>
              <w:right w:val="single" w:color="000000" w:sz="4" w:space="0"/>
            </w:tcBorders>
            <w:noWrap w:val="0"/>
            <w:vAlign w:val="center"/>
          </w:tcPr>
          <w:p w14:paraId="69201178">
            <w:pPr>
              <w:widowControl w:val="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32</w:t>
            </w:r>
          </w:p>
        </w:tc>
        <w:tc>
          <w:tcPr>
            <w:tcW w:w="804" w:type="pct"/>
            <w:tcBorders>
              <w:top w:val="single" w:color="000000" w:sz="4" w:space="0"/>
              <w:left w:val="nil"/>
              <w:bottom w:val="single" w:color="000000" w:sz="8" w:space="0"/>
              <w:right w:val="single" w:color="000000" w:sz="4" w:space="0"/>
            </w:tcBorders>
            <w:noWrap w:val="0"/>
            <w:vAlign w:val="center"/>
          </w:tcPr>
          <w:p w14:paraId="4A5C4457">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更换及新建管道（HDPE300）</w:t>
            </w:r>
          </w:p>
        </w:tc>
        <w:tc>
          <w:tcPr>
            <w:tcW w:w="1600" w:type="pct"/>
            <w:tcBorders>
              <w:top w:val="single" w:color="000000" w:sz="4" w:space="0"/>
              <w:left w:val="nil"/>
              <w:bottom w:val="single" w:color="000000" w:sz="8" w:space="0"/>
              <w:right w:val="single" w:color="000000" w:sz="4" w:space="0"/>
            </w:tcBorders>
            <w:noWrap w:val="0"/>
            <w:vAlign w:val="center"/>
          </w:tcPr>
          <w:p w14:paraId="7C5D6D2B">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1、更换仙林大道等损坏管道及零星雨水支管新建（塑料管）管径300HDPE SN-8双壁缠绕波纹管（含基础），深度1.5米以内</w:t>
            </w:r>
          </w:p>
          <w:p w14:paraId="5BEAE4CB">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2、含开挖、回填、外弃、原管道及附属拆除、新旧管搭接处理等，其中管道交叉包封处理综合考虑在综合单价中</w:t>
            </w:r>
          </w:p>
          <w:p w14:paraId="0C5A3263">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3、管道两侧及管顶以上10cm范围内采用混凝土包封，按原道路基础结构层恢复。</w:t>
            </w:r>
          </w:p>
          <w:p w14:paraId="3A7C5C78">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4、弃置运距 投标人自行勘察选择规定的弃置场所并自报运距,所有费用要求在综合单价中充分考虑（包含场地倒置费等）</w:t>
            </w:r>
          </w:p>
          <w:p w14:paraId="690053C8">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5、保洁费、消纳费等所有费用须投标单位自行考虑，渣土费不予计取</w:t>
            </w:r>
          </w:p>
          <w:p w14:paraId="58CF75D6">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6、投标人自行报价，结算不予调整</w:t>
            </w:r>
          </w:p>
        </w:tc>
        <w:tc>
          <w:tcPr>
            <w:tcW w:w="496" w:type="pct"/>
            <w:tcBorders>
              <w:top w:val="single" w:color="000000" w:sz="4" w:space="0"/>
              <w:left w:val="nil"/>
              <w:bottom w:val="single" w:color="000000" w:sz="8" w:space="0"/>
              <w:right w:val="single" w:color="000000" w:sz="4" w:space="0"/>
            </w:tcBorders>
            <w:noWrap w:val="0"/>
            <w:vAlign w:val="center"/>
          </w:tcPr>
          <w:p w14:paraId="5C109A1E">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m</w:t>
            </w:r>
          </w:p>
        </w:tc>
        <w:tc>
          <w:tcPr>
            <w:tcW w:w="619" w:type="pct"/>
            <w:tcBorders>
              <w:top w:val="single" w:color="000000" w:sz="4" w:space="0"/>
              <w:left w:val="nil"/>
              <w:bottom w:val="single" w:color="000000" w:sz="8" w:space="0"/>
              <w:right w:val="single" w:color="000000" w:sz="4" w:space="0"/>
            </w:tcBorders>
            <w:noWrap w:val="0"/>
            <w:vAlign w:val="center"/>
          </w:tcPr>
          <w:p w14:paraId="0F4240DE">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100.5</w:t>
            </w:r>
          </w:p>
        </w:tc>
        <w:tc>
          <w:tcPr>
            <w:tcW w:w="618" w:type="pct"/>
            <w:tcBorders>
              <w:top w:val="single" w:color="000000" w:sz="4" w:space="0"/>
              <w:left w:val="nil"/>
              <w:bottom w:val="single" w:color="000000" w:sz="8" w:space="0"/>
              <w:right w:val="single" w:color="000000" w:sz="4" w:space="0"/>
            </w:tcBorders>
            <w:noWrap w:val="0"/>
            <w:vAlign w:val="center"/>
          </w:tcPr>
          <w:p w14:paraId="2AF77590">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602.6</w:t>
            </w:r>
          </w:p>
        </w:tc>
        <w:tc>
          <w:tcPr>
            <w:tcW w:w="488" w:type="pct"/>
            <w:tcBorders>
              <w:top w:val="nil"/>
              <w:left w:val="nil"/>
              <w:bottom w:val="single" w:color="000000" w:sz="4" w:space="0"/>
              <w:right w:val="single" w:color="000000" w:sz="4" w:space="0"/>
            </w:tcBorders>
            <w:noWrap w:val="0"/>
            <w:vAlign w:val="center"/>
          </w:tcPr>
          <w:p w14:paraId="3F56353D">
            <w:pPr>
              <w:widowControl w:val="0"/>
              <w:jc w:val="center"/>
              <w:rPr>
                <w:rFonts w:hint="eastAsia" w:ascii="宋体" w:hAnsi="宋体" w:eastAsia="宋体" w:cs="宋体"/>
                <w:color w:val="auto"/>
                <w:kern w:val="0"/>
                <w:sz w:val="21"/>
                <w:szCs w:val="21"/>
              </w:rPr>
            </w:pPr>
          </w:p>
        </w:tc>
      </w:tr>
      <w:tr w14:paraId="202DBA1C">
        <w:tblPrEx>
          <w:tblCellMar>
            <w:top w:w="0" w:type="dxa"/>
            <w:left w:w="108" w:type="dxa"/>
            <w:bottom w:w="0" w:type="dxa"/>
            <w:right w:w="108" w:type="dxa"/>
          </w:tblCellMar>
        </w:tblPrEx>
        <w:trPr>
          <w:trHeight w:val="4398" w:hRule="atLeast"/>
        </w:trPr>
        <w:tc>
          <w:tcPr>
            <w:tcW w:w="372" w:type="pct"/>
            <w:tcBorders>
              <w:top w:val="nil"/>
              <w:left w:val="single" w:color="000000" w:sz="4" w:space="0"/>
              <w:bottom w:val="single" w:color="000000" w:sz="4" w:space="0"/>
              <w:right w:val="single" w:color="000000" w:sz="4" w:space="0"/>
            </w:tcBorders>
            <w:noWrap w:val="0"/>
            <w:vAlign w:val="center"/>
          </w:tcPr>
          <w:p w14:paraId="726A5CCF">
            <w:pPr>
              <w:widowControl w:val="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33</w:t>
            </w:r>
          </w:p>
        </w:tc>
        <w:tc>
          <w:tcPr>
            <w:tcW w:w="804" w:type="pct"/>
            <w:tcBorders>
              <w:top w:val="single" w:color="000000" w:sz="4" w:space="0"/>
              <w:left w:val="nil"/>
              <w:bottom w:val="single" w:color="000000" w:sz="8" w:space="0"/>
              <w:right w:val="single" w:color="000000" w:sz="4" w:space="0"/>
            </w:tcBorders>
            <w:noWrap w:val="0"/>
            <w:vAlign w:val="center"/>
          </w:tcPr>
          <w:p w14:paraId="01FAB7F0">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更换及新建管道（HDPE400）</w:t>
            </w:r>
          </w:p>
        </w:tc>
        <w:tc>
          <w:tcPr>
            <w:tcW w:w="1600" w:type="pct"/>
            <w:tcBorders>
              <w:top w:val="single" w:color="000000" w:sz="4" w:space="0"/>
              <w:left w:val="nil"/>
              <w:bottom w:val="single" w:color="000000" w:sz="8" w:space="0"/>
              <w:right w:val="single" w:color="000000" w:sz="4" w:space="0"/>
            </w:tcBorders>
            <w:noWrap w:val="0"/>
            <w:vAlign w:val="center"/>
          </w:tcPr>
          <w:p w14:paraId="2B01B066">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1、更换及新建管道（塑料管）管径400HDPE SN-8双壁缠绕波纹管（含基础），深度2.0米以内</w:t>
            </w:r>
          </w:p>
          <w:p w14:paraId="5EEC2B26">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2、含开挖、回填、外弃、原管道及附属拆除、新旧管搭接处理等，其中调排水、管道封堵、管道交叉包封处理综合考虑在综合单价中，道路基层回填40cm厚级配碎石，再进行面层恢复</w:t>
            </w:r>
          </w:p>
          <w:p w14:paraId="5A72CB41">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3、弃置运距 投标人自行勘察选择规定的弃置场所并自报运距,所有费用要求在综合单价中充分考虑（包含场地倒置费等）</w:t>
            </w:r>
          </w:p>
          <w:p w14:paraId="7BF168CE">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4、保洁费、消纳费等所有费用须投标单位自行考虑，渣土费不予计取</w:t>
            </w:r>
          </w:p>
          <w:p w14:paraId="323B7E71">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5、投标人自行报价，结算不予调整</w:t>
            </w:r>
          </w:p>
        </w:tc>
        <w:tc>
          <w:tcPr>
            <w:tcW w:w="496" w:type="pct"/>
            <w:tcBorders>
              <w:top w:val="single" w:color="000000" w:sz="4" w:space="0"/>
              <w:left w:val="nil"/>
              <w:bottom w:val="single" w:color="000000" w:sz="8" w:space="0"/>
              <w:right w:val="single" w:color="000000" w:sz="4" w:space="0"/>
            </w:tcBorders>
            <w:noWrap w:val="0"/>
            <w:vAlign w:val="center"/>
          </w:tcPr>
          <w:p w14:paraId="16B258FC">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m</w:t>
            </w:r>
          </w:p>
        </w:tc>
        <w:tc>
          <w:tcPr>
            <w:tcW w:w="619" w:type="pct"/>
            <w:tcBorders>
              <w:top w:val="single" w:color="000000" w:sz="4" w:space="0"/>
              <w:left w:val="nil"/>
              <w:bottom w:val="single" w:color="000000" w:sz="8" w:space="0"/>
              <w:right w:val="single" w:color="000000" w:sz="4" w:space="0"/>
            </w:tcBorders>
            <w:noWrap w:val="0"/>
            <w:vAlign w:val="center"/>
          </w:tcPr>
          <w:p w14:paraId="4333EC05">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10.05</w:t>
            </w:r>
          </w:p>
        </w:tc>
        <w:tc>
          <w:tcPr>
            <w:tcW w:w="618" w:type="pct"/>
            <w:tcBorders>
              <w:top w:val="single" w:color="000000" w:sz="4" w:space="0"/>
              <w:left w:val="nil"/>
              <w:bottom w:val="single" w:color="000000" w:sz="8" w:space="0"/>
              <w:right w:val="single" w:color="000000" w:sz="4" w:space="0"/>
            </w:tcBorders>
            <w:noWrap w:val="0"/>
            <w:vAlign w:val="center"/>
          </w:tcPr>
          <w:p w14:paraId="79895D42">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845.31</w:t>
            </w:r>
          </w:p>
        </w:tc>
        <w:tc>
          <w:tcPr>
            <w:tcW w:w="488" w:type="pct"/>
            <w:tcBorders>
              <w:top w:val="nil"/>
              <w:left w:val="nil"/>
              <w:bottom w:val="single" w:color="000000" w:sz="4" w:space="0"/>
              <w:right w:val="single" w:color="000000" w:sz="4" w:space="0"/>
            </w:tcBorders>
            <w:noWrap w:val="0"/>
            <w:vAlign w:val="center"/>
          </w:tcPr>
          <w:p w14:paraId="56641A68">
            <w:pPr>
              <w:widowControl w:val="0"/>
              <w:jc w:val="center"/>
              <w:rPr>
                <w:rFonts w:hint="eastAsia" w:ascii="宋体" w:hAnsi="宋体" w:eastAsia="宋体" w:cs="宋体"/>
                <w:color w:val="auto"/>
                <w:kern w:val="0"/>
                <w:sz w:val="21"/>
                <w:szCs w:val="21"/>
              </w:rPr>
            </w:pPr>
          </w:p>
        </w:tc>
      </w:tr>
      <w:tr w14:paraId="47467711">
        <w:tblPrEx>
          <w:tblCellMar>
            <w:top w:w="0" w:type="dxa"/>
            <w:left w:w="108" w:type="dxa"/>
            <w:bottom w:w="0" w:type="dxa"/>
            <w:right w:w="108" w:type="dxa"/>
          </w:tblCellMar>
        </w:tblPrEx>
        <w:trPr>
          <w:trHeight w:val="1408" w:hRule="atLeast"/>
        </w:trPr>
        <w:tc>
          <w:tcPr>
            <w:tcW w:w="372" w:type="pct"/>
            <w:tcBorders>
              <w:top w:val="nil"/>
              <w:left w:val="single" w:color="000000" w:sz="4" w:space="0"/>
              <w:bottom w:val="single" w:color="000000" w:sz="4" w:space="0"/>
              <w:right w:val="single" w:color="000000" w:sz="4" w:space="0"/>
            </w:tcBorders>
            <w:noWrap w:val="0"/>
            <w:vAlign w:val="center"/>
          </w:tcPr>
          <w:p w14:paraId="3EA00EFA">
            <w:pPr>
              <w:widowControl w:val="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34</w:t>
            </w:r>
          </w:p>
        </w:tc>
        <w:tc>
          <w:tcPr>
            <w:tcW w:w="804" w:type="pct"/>
            <w:tcBorders>
              <w:top w:val="single" w:color="000000" w:sz="4" w:space="0"/>
              <w:left w:val="nil"/>
              <w:bottom w:val="single" w:color="000000" w:sz="8" w:space="0"/>
              <w:right w:val="single" w:color="000000" w:sz="4" w:space="0"/>
            </w:tcBorders>
            <w:noWrap w:val="0"/>
            <w:vAlign w:val="center"/>
          </w:tcPr>
          <w:p w14:paraId="65891598">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更换管道（HDPE500）</w:t>
            </w:r>
          </w:p>
        </w:tc>
        <w:tc>
          <w:tcPr>
            <w:tcW w:w="1600" w:type="pct"/>
            <w:tcBorders>
              <w:top w:val="single" w:color="000000" w:sz="4" w:space="0"/>
              <w:left w:val="nil"/>
              <w:bottom w:val="single" w:color="000000" w:sz="8" w:space="0"/>
              <w:right w:val="single" w:color="000000" w:sz="4" w:space="0"/>
            </w:tcBorders>
            <w:noWrap w:val="0"/>
            <w:vAlign w:val="center"/>
          </w:tcPr>
          <w:p w14:paraId="71DA75CE">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更换损坏管道，管道埋深2.0米以内(主要更换九乡河东路、仙林中心站东侧等塌陷塑料管道）</w:t>
            </w:r>
          </w:p>
          <w:p w14:paraId="2704895F">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1、更换管道（塑料管）管径500HDPE SN-12双壁缠绕波纹管（含基础）</w:t>
            </w:r>
          </w:p>
          <w:p w14:paraId="6737B538">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2、含开挖、回填、渣土外弃、原管道及附属拆除、新旧管搭接处理等，其中调排水、管道封堵、管道交叉包封处理综合考虑在综合单价中，道路基层回填60cm厚级配碎石，再进行面层恢复</w:t>
            </w:r>
          </w:p>
          <w:p w14:paraId="26419D97">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3、弃置运距 投标人自行勘察选择规定的弃置场所并自报运距,所有费用要求在综合单价中充分考虑（包含场地倒置费等）</w:t>
            </w:r>
          </w:p>
          <w:p w14:paraId="1027DEDA">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4、保洁费、消纳费等所有费用须投标单位自行考虑，渣土费不予计取</w:t>
            </w:r>
          </w:p>
          <w:p w14:paraId="45FC5A15">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5、投标人自行报价，结算不予调整</w:t>
            </w:r>
          </w:p>
        </w:tc>
        <w:tc>
          <w:tcPr>
            <w:tcW w:w="496" w:type="pct"/>
            <w:tcBorders>
              <w:top w:val="single" w:color="000000" w:sz="4" w:space="0"/>
              <w:left w:val="nil"/>
              <w:bottom w:val="single" w:color="000000" w:sz="8" w:space="0"/>
              <w:right w:val="single" w:color="000000" w:sz="4" w:space="0"/>
            </w:tcBorders>
            <w:noWrap w:val="0"/>
            <w:vAlign w:val="center"/>
          </w:tcPr>
          <w:p w14:paraId="4FEFA899">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m</w:t>
            </w:r>
          </w:p>
        </w:tc>
        <w:tc>
          <w:tcPr>
            <w:tcW w:w="619" w:type="pct"/>
            <w:tcBorders>
              <w:top w:val="single" w:color="000000" w:sz="4" w:space="0"/>
              <w:left w:val="nil"/>
              <w:bottom w:val="single" w:color="000000" w:sz="8" w:space="0"/>
              <w:right w:val="single" w:color="000000" w:sz="4" w:space="0"/>
            </w:tcBorders>
            <w:noWrap w:val="0"/>
            <w:vAlign w:val="center"/>
          </w:tcPr>
          <w:p w14:paraId="1355E4DC">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12.06</w:t>
            </w:r>
          </w:p>
        </w:tc>
        <w:tc>
          <w:tcPr>
            <w:tcW w:w="618" w:type="pct"/>
            <w:tcBorders>
              <w:top w:val="single" w:color="000000" w:sz="4" w:space="0"/>
              <w:left w:val="nil"/>
              <w:bottom w:val="single" w:color="000000" w:sz="8" w:space="0"/>
              <w:right w:val="single" w:color="000000" w:sz="4" w:space="0"/>
            </w:tcBorders>
            <w:noWrap w:val="0"/>
            <w:vAlign w:val="center"/>
          </w:tcPr>
          <w:p w14:paraId="02F717D0">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1310.75</w:t>
            </w:r>
          </w:p>
        </w:tc>
        <w:tc>
          <w:tcPr>
            <w:tcW w:w="488" w:type="pct"/>
            <w:tcBorders>
              <w:top w:val="nil"/>
              <w:left w:val="nil"/>
              <w:bottom w:val="single" w:color="000000" w:sz="4" w:space="0"/>
              <w:right w:val="single" w:color="000000" w:sz="4" w:space="0"/>
            </w:tcBorders>
            <w:noWrap w:val="0"/>
            <w:vAlign w:val="center"/>
          </w:tcPr>
          <w:p w14:paraId="3238E9EA">
            <w:pPr>
              <w:widowControl w:val="0"/>
              <w:jc w:val="center"/>
              <w:rPr>
                <w:rFonts w:hint="eastAsia" w:ascii="宋体" w:hAnsi="宋体" w:eastAsia="宋体" w:cs="宋体"/>
                <w:color w:val="auto"/>
                <w:kern w:val="0"/>
                <w:sz w:val="21"/>
                <w:szCs w:val="21"/>
              </w:rPr>
            </w:pPr>
          </w:p>
        </w:tc>
      </w:tr>
      <w:tr w14:paraId="7B8326DA">
        <w:tblPrEx>
          <w:tblCellMar>
            <w:top w:w="0" w:type="dxa"/>
            <w:left w:w="108" w:type="dxa"/>
            <w:bottom w:w="0" w:type="dxa"/>
            <w:right w:w="108" w:type="dxa"/>
          </w:tblCellMar>
        </w:tblPrEx>
        <w:trPr>
          <w:trHeight w:val="1317" w:hRule="atLeast"/>
        </w:trPr>
        <w:tc>
          <w:tcPr>
            <w:tcW w:w="372" w:type="pct"/>
            <w:tcBorders>
              <w:top w:val="nil"/>
              <w:left w:val="single" w:color="000000" w:sz="4" w:space="0"/>
              <w:bottom w:val="single" w:color="000000" w:sz="4" w:space="0"/>
              <w:right w:val="single" w:color="000000" w:sz="4" w:space="0"/>
            </w:tcBorders>
            <w:noWrap w:val="0"/>
            <w:vAlign w:val="center"/>
          </w:tcPr>
          <w:p w14:paraId="589F7DEC">
            <w:pPr>
              <w:widowControl w:val="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35</w:t>
            </w:r>
          </w:p>
        </w:tc>
        <w:tc>
          <w:tcPr>
            <w:tcW w:w="804" w:type="pct"/>
            <w:tcBorders>
              <w:top w:val="single" w:color="000000" w:sz="4" w:space="0"/>
              <w:left w:val="nil"/>
              <w:bottom w:val="single" w:color="000000" w:sz="4" w:space="0"/>
              <w:right w:val="single" w:color="000000" w:sz="4" w:space="0"/>
            </w:tcBorders>
            <w:noWrap w:val="0"/>
            <w:vAlign w:val="center"/>
          </w:tcPr>
          <w:p w14:paraId="2CDCD880">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DN300-DN400管道局部树脂固化修复、不锈钢双胀环修复、不锈钢快速锁修复</w:t>
            </w:r>
          </w:p>
        </w:tc>
        <w:tc>
          <w:tcPr>
            <w:tcW w:w="1600" w:type="pct"/>
            <w:tcBorders>
              <w:top w:val="single" w:color="000000" w:sz="4" w:space="0"/>
              <w:left w:val="nil"/>
              <w:bottom w:val="single" w:color="000000" w:sz="4" w:space="0"/>
              <w:right w:val="single" w:color="000000" w:sz="4" w:space="0"/>
            </w:tcBorders>
            <w:noWrap w:val="0"/>
            <w:vAlign w:val="center"/>
          </w:tcPr>
          <w:p w14:paraId="0E35E99B">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1.主要用于九乡河西路、九乡河东路及仙林大道等原局部变形、破裂损坏塑料管道局部修复，（排水、封堵费用另计）</w:t>
            </w:r>
          </w:p>
          <w:p w14:paraId="1D24E726">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2、含有毒气体测试、防护措施等费用，结算时不调整</w:t>
            </w:r>
          </w:p>
        </w:tc>
        <w:tc>
          <w:tcPr>
            <w:tcW w:w="496" w:type="pct"/>
            <w:tcBorders>
              <w:top w:val="single" w:color="000000" w:sz="4" w:space="0"/>
              <w:left w:val="nil"/>
              <w:bottom w:val="single" w:color="000000" w:sz="4" w:space="0"/>
              <w:right w:val="single" w:color="000000" w:sz="4" w:space="0"/>
            </w:tcBorders>
            <w:noWrap w:val="0"/>
            <w:vAlign w:val="center"/>
          </w:tcPr>
          <w:p w14:paraId="065CEE4B">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点</w:t>
            </w:r>
          </w:p>
        </w:tc>
        <w:tc>
          <w:tcPr>
            <w:tcW w:w="619" w:type="pct"/>
            <w:tcBorders>
              <w:top w:val="single" w:color="000000" w:sz="4" w:space="0"/>
              <w:left w:val="nil"/>
              <w:bottom w:val="single" w:color="000000" w:sz="4" w:space="0"/>
              <w:right w:val="single" w:color="000000" w:sz="4" w:space="0"/>
            </w:tcBorders>
            <w:noWrap w:val="0"/>
            <w:vAlign w:val="center"/>
          </w:tcPr>
          <w:p w14:paraId="5FE68BBA">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7</w:t>
            </w:r>
          </w:p>
        </w:tc>
        <w:tc>
          <w:tcPr>
            <w:tcW w:w="618" w:type="pct"/>
            <w:tcBorders>
              <w:top w:val="single" w:color="000000" w:sz="4" w:space="0"/>
              <w:left w:val="nil"/>
              <w:bottom w:val="single" w:color="000000" w:sz="4" w:space="0"/>
              <w:right w:val="single" w:color="000000" w:sz="4" w:space="0"/>
            </w:tcBorders>
            <w:noWrap w:val="0"/>
            <w:vAlign w:val="center"/>
          </w:tcPr>
          <w:p w14:paraId="63EDFC15">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2278.66</w:t>
            </w:r>
          </w:p>
        </w:tc>
        <w:tc>
          <w:tcPr>
            <w:tcW w:w="488" w:type="pct"/>
            <w:tcBorders>
              <w:top w:val="nil"/>
              <w:left w:val="nil"/>
              <w:bottom w:val="single" w:color="000000" w:sz="4" w:space="0"/>
              <w:right w:val="single" w:color="000000" w:sz="4" w:space="0"/>
            </w:tcBorders>
            <w:noWrap w:val="0"/>
            <w:vAlign w:val="center"/>
          </w:tcPr>
          <w:p w14:paraId="24F14E38">
            <w:pPr>
              <w:widowControl w:val="0"/>
              <w:jc w:val="center"/>
              <w:rPr>
                <w:rFonts w:hint="eastAsia" w:ascii="宋体" w:hAnsi="宋体" w:eastAsia="宋体" w:cs="宋体"/>
                <w:color w:val="auto"/>
                <w:kern w:val="0"/>
                <w:sz w:val="21"/>
                <w:szCs w:val="21"/>
              </w:rPr>
            </w:pPr>
          </w:p>
        </w:tc>
      </w:tr>
      <w:tr w14:paraId="0BB2F1E3">
        <w:tblPrEx>
          <w:tblCellMar>
            <w:top w:w="0" w:type="dxa"/>
            <w:left w:w="108" w:type="dxa"/>
            <w:bottom w:w="0" w:type="dxa"/>
            <w:right w:w="108" w:type="dxa"/>
          </w:tblCellMar>
        </w:tblPrEx>
        <w:trPr>
          <w:trHeight w:val="1317" w:hRule="atLeast"/>
        </w:trPr>
        <w:tc>
          <w:tcPr>
            <w:tcW w:w="372" w:type="pct"/>
            <w:tcBorders>
              <w:top w:val="nil"/>
              <w:left w:val="single" w:color="000000" w:sz="4" w:space="0"/>
              <w:bottom w:val="single" w:color="000000" w:sz="4" w:space="0"/>
              <w:right w:val="single" w:color="000000" w:sz="4" w:space="0"/>
            </w:tcBorders>
            <w:noWrap w:val="0"/>
            <w:vAlign w:val="center"/>
          </w:tcPr>
          <w:p w14:paraId="32A4C7B9">
            <w:pPr>
              <w:widowControl w:val="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36</w:t>
            </w:r>
          </w:p>
        </w:tc>
        <w:tc>
          <w:tcPr>
            <w:tcW w:w="804" w:type="pct"/>
            <w:tcBorders>
              <w:top w:val="nil"/>
              <w:left w:val="nil"/>
              <w:bottom w:val="single" w:color="000000" w:sz="4" w:space="0"/>
              <w:right w:val="single" w:color="000000" w:sz="4" w:space="0"/>
            </w:tcBorders>
            <w:noWrap w:val="0"/>
            <w:vAlign w:val="center"/>
          </w:tcPr>
          <w:p w14:paraId="4B1D9262">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DN500-DN600管道局部树脂固化修复</w:t>
            </w:r>
          </w:p>
        </w:tc>
        <w:tc>
          <w:tcPr>
            <w:tcW w:w="1600" w:type="pct"/>
            <w:tcBorders>
              <w:top w:val="nil"/>
              <w:left w:val="nil"/>
              <w:bottom w:val="single" w:color="000000" w:sz="4" w:space="0"/>
              <w:right w:val="single" w:color="000000" w:sz="4" w:space="0"/>
            </w:tcBorders>
            <w:noWrap w:val="0"/>
            <w:vAlign w:val="center"/>
          </w:tcPr>
          <w:p w14:paraId="4368EAE3">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1.主要用于九乡河西路、九乡河东路、学海路及仙林大道等原局部变形、破裂损坏塑料管道局部修复，（排水、封堵费用另计）</w:t>
            </w:r>
          </w:p>
          <w:p w14:paraId="4EC700CE">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2、含有毒气体测试、防护措施等费用，结算时不调整</w:t>
            </w:r>
          </w:p>
        </w:tc>
        <w:tc>
          <w:tcPr>
            <w:tcW w:w="496" w:type="pct"/>
            <w:tcBorders>
              <w:top w:val="nil"/>
              <w:left w:val="nil"/>
              <w:bottom w:val="single" w:color="000000" w:sz="4" w:space="0"/>
              <w:right w:val="single" w:color="000000" w:sz="4" w:space="0"/>
            </w:tcBorders>
            <w:noWrap w:val="0"/>
            <w:vAlign w:val="center"/>
          </w:tcPr>
          <w:p w14:paraId="407841DD">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点</w:t>
            </w:r>
          </w:p>
        </w:tc>
        <w:tc>
          <w:tcPr>
            <w:tcW w:w="619" w:type="pct"/>
            <w:tcBorders>
              <w:top w:val="nil"/>
              <w:left w:val="nil"/>
              <w:bottom w:val="single" w:color="000000" w:sz="4" w:space="0"/>
              <w:right w:val="single" w:color="000000" w:sz="4" w:space="0"/>
            </w:tcBorders>
            <w:noWrap w:val="0"/>
            <w:vAlign w:val="center"/>
          </w:tcPr>
          <w:p w14:paraId="04CE2204">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7</w:t>
            </w:r>
          </w:p>
        </w:tc>
        <w:tc>
          <w:tcPr>
            <w:tcW w:w="618" w:type="pct"/>
            <w:tcBorders>
              <w:top w:val="nil"/>
              <w:left w:val="nil"/>
              <w:bottom w:val="single" w:color="000000" w:sz="4" w:space="0"/>
              <w:right w:val="single" w:color="000000" w:sz="4" w:space="0"/>
            </w:tcBorders>
            <w:noWrap w:val="0"/>
            <w:vAlign w:val="center"/>
          </w:tcPr>
          <w:p w14:paraId="4F438776">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3266.3</w:t>
            </w:r>
          </w:p>
        </w:tc>
        <w:tc>
          <w:tcPr>
            <w:tcW w:w="488" w:type="pct"/>
            <w:tcBorders>
              <w:top w:val="nil"/>
              <w:left w:val="nil"/>
              <w:bottom w:val="single" w:color="000000" w:sz="4" w:space="0"/>
              <w:right w:val="single" w:color="000000" w:sz="4" w:space="0"/>
            </w:tcBorders>
            <w:noWrap w:val="0"/>
            <w:vAlign w:val="center"/>
          </w:tcPr>
          <w:p w14:paraId="153C9C96">
            <w:pPr>
              <w:widowControl w:val="0"/>
              <w:jc w:val="center"/>
              <w:rPr>
                <w:rFonts w:hint="eastAsia" w:ascii="宋体" w:hAnsi="宋体" w:eastAsia="宋体" w:cs="宋体"/>
                <w:color w:val="auto"/>
                <w:kern w:val="0"/>
                <w:sz w:val="21"/>
                <w:szCs w:val="21"/>
              </w:rPr>
            </w:pPr>
          </w:p>
        </w:tc>
      </w:tr>
      <w:tr w14:paraId="5026D1E3">
        <w:tblPrEx>
          <w:tblCellMar>
            <w:top w:w="0" w:type="dxa"/>
            <w:left w:w="108" w:type="dxa"/>
            <w:bottom w:w="0" w:type="dxa"/>
            <w:right w:w="108" w:type="dxa"/>
          </w:tblCellMar>
        </w:tblPrEx>
        <w:trPr>
          <w:trHeight w:val="1125" w:hRule="atLeast"/>
        </w:trPr>
        <w:tc>
          <w:tcPr>
            <w:tcW w:w="372" w:type="pct"/>
            <w:tcBorders>
              <w:top w:val="nil"/>
              <w:left w:val="single" w:color="000000" w:sz="4" w:space="0"/>
              <w:bottom w:val="single" w:color="000000" w:sz="4" w:space="0"/>
              <w:right w:val="single" w:color="000000" w:sz="4" w:space="0"/>
            </w:tcBorders>
            <w:noWrap w:val="0"/>
            <w:vAlign w:val="center"/>
          </w:tcPr>
          <w:p w14:paraId="3F96F0F6">
            <w:pPr>
              <w:widowControl w:val="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37</w:t>
            </w:r>
          </w:p>
        </w:tc>
        <w:tc>
          <w:tcPr>
            <w:tcW w:w="804" w:type="pct"/>
            <w:tcBorders>
              <w:top w:val="nil"/>
              <w:left w:val="nil"/>
              <w:bottom w:val="single" w:color="000000" w:sz="4" w:space="0"/>
              <w:right w:val="single" w:color="000000" w:sz="4" w:space="0"/>
            </w:tcBorders>
            <w:noWrap w:val="0"/>
            <w:vAlign w:val="center"/>
          </w:tcPr>
          <w:p w14:paraId="7263FAF2">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φ800-φ1200砼管内钢套环内衬修复</w:t>
            </w:r>
          </w:p>
        </w:tc>
        <w:tc>
          <w:tcPr>
            <w:tcW w:w="1600" w:type="pct"/>
            <w:tcBorders>
              <w:top w:val="nil"/>
              <w:left w:val="nil"/>
              <w:bottom w:val="single" w:color="000000" w:sz="4" w:space="0"/>
              <w:right w:val="single" w:color="000000" w:sz="4" w:space="0"/>
            </w:tcBorders>
            <w:noWrap w:val="0"/>
            <w:vAlign w:val="center"/>
          </w:tcPr>
          <w:p w14:paraId="61703CB3">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1.主要用于九乡河西路羊山公园桥下等局部塌陷管道维修，采用人工掏挖，φ1000钢管焊接，每环宽度40cm以内</w:t>
            </w:r>
          </w:p>
          <w:p w14:paraId="22F37AAD">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2、含有毒气体测试、防护措施等费用，结算时不调整</w:t>
            </w:r>
          </w:p>
        </w:tc>
        <w:tc>
          <w:tcPr>
            <w:tcW w:w="496" w:type="pct"/>
            <w:tcBorders>
              <w:top w:val="nil"/>
              <w:left w:val="nil"/>
              <w:bottom w:val="single" w:color="000000" w:sz="4" w:space="0"/>
              <w:right w:val="single" w:color="000000" w:sz="4" w:space="0"/>
            </w:tcBorders>
            <w:noWrap w:val="0"/>
            <w:vAlign w:val="center"/>
          </w:tcPr>
          <w:p w14:paraId="00BEF60D">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环</w:t>
            </w:r>
          </w:p>
        </w:tc>
        <w:tc>
          <w:tcPr>
            <w:tcW w:w="619" w:type="pct"/>
            <w:tcBorders>
              <w:top w:val="nil"/>
              <w:left w:val="nil"/>
              <w:bottom w:val="single" w:color="000000" w:sz="4" w:space="0"/>
              <w:right w:val="single" w:color="000000" w:sz="4" w:space="0"/>
            </w:tcBorders>
            <w:noWrap w:val="0"/>
            <w:vAlign w:val="center"/>
          </w:tcPr>
          <w:p w14:paraId="431AB050">
            <w:pPr>
              <w:widowControl w:val="0"/>
              <w:jc w:val="left"/>
              <w:rPr>
                <w:rFonts w:hint="eastAsia" w:ascii="宋体" w:hAnsi="宋体" w:eastAsia="宋体" w:cs="宋体"/>
                <w:color w:val="auto"/>
                <w:kern w:val="0"/>
                <w:sz w:val="21"/>
                <w:szCs w:val="21"/>
                <w:lang w:eastAsia="zh-CN"/>
              </w:rPr>
            </w:pPr>
            <w:r>
              <w:rPr>
                <w:rFonts w:hint="eastAsia" w:ascii="宋体" w:hAnsi="宋体" w:cs="宋体"/>
                <w:color w:val="auto"/>
                <w:kern w:val="0"/>
                <w:sz w:val="21"/>
                <w:szCs w:val="21"/>
                <w:lang w:val="en-US" w:eastAsia="zh-CN"/>
              </w:rPr>
              <w:t>3</w:t>
            </w:r>
          </w:p>
        </w:tc>
        <w:tc>
          <w:tcPr>
            <w:tcW w:w="618" w:type="pct"/>
            <w:tcBorders>
              <w:top w:val="nil"/>
              <w:left w:val="nil"/>
              <w:bottom w:val="single" w:color="000000" w:sz="4" w:space="0"/>
              <w:right w:val="single" w:color="000000" w:sz="4" w:space="0"/>
            </w:tcBorders>
            <w:noWrap w:val="0"/>
            <w:vAlign w:val="center"/>
          </w:tcPr>
          <w:p w14:paraId="075AA9F6">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8844.91</w:t>
            </w:r>
          </w:p>
        </w:tc>
        <w:tc>
          <w:tcPr>
            <w:tcW w:w="488" w:type="pct"/>
            <w:tcBorders>
              <w:top w:val="nil"/>
              <w:left w:val="nil"/>
              <w:bottom w:val="single" w:color="000000" w:sz="4" w:space="0"/>
              <w:right w:val="single" w:color="000000" w:sz="4" w:space="0"/>
            </w:tcBorders>
            <w:noWrap w:val="0"/>
            <w:vAlign w:val="center"/>
          </w:tcPr>
          <w:p w14:paraId="185A6DD7">
            <w:pPr>
              <w:widowControl w:val="0"/>
              <w:jc w:val="center"/>
              <w:rPr>
                <w:rFonts w:hint="eastAsia" w:ascii="宋体" w:hAnsi="宋体" w:eastAsia="宋体" w:cs="宋体"/>
                <w:color w:val="auto"/>
                <w:kern w:val="0"/>
                <w:sz w:val="21"/>
                <w:szCs w:val="21"/>
              </w:rPr>
            </w:pPr>
          </w:p>
        </w:tc>
      </w:tr>
      <w:tr w14:paraId="74734108">
        <w:tblPrEx>
          <w:tblCellMar>
            <w:top w:w="0" w:type="dxa"/>
            <w:left w:w="108" w:type="dxa"/>
            <w:bottom w:w="0" w:type="dxa"/>
            <w:right w:w="108" w:type="dxa"/>
          </w:tblCellMar>
        </w:tblPrEx>
        <w:trPr>
          <w:trHeight w:val="533" w:hRule="atLeast"/>
        </w:trPr>
        <w:tc>
          <w:tcPr>
            <w:tcW w:w="372" w:type="pct"/>
            <w:tcBorders>
              <w:top w:val="nil"/>
              <w:left w:val="single" w:color="000000" w:sz="4" w:space="0"/>
              <w:bottom w:val="single" w:color="000000" w:sz="4" w:space="0"/>
              <w:right w:val="single" w:color="000000" w:sz="4" w:space="0"/>
            </w:tcBorders>
            <w:noWrap w:val="0"/>
            <w:vAlign w:val="center"/>
          </w:tcPr>
          <w:p w14:paraId="5D5F076E">
            <w:pPr>
              <w:widowControl w:val="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38</w:t>
            </w:r>
          </w:p>
        </w:tc>
        <w:tc>
          <w:tcPr>
            <w:tcW w:w="804" w:type="pct"/>
            <w:tcBorders>
              <w:top w:val="nil"/>
              <w:left w:val="nil"/>
              <w:bottom w:val="single" w:color="000000" w:sz="4" w:space="0"/>
              <w:right w:val="single" w:color="000000" w:sz="4" w:space="0"/>
            </w:tcBorders>
            <w:noWrap w:val="0"/>
            <w:vAlign w:val="center"/>
          </w:tcPr>
          <w:p w14:paraId="0C23F5C3">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φ200-φ300PE短管内衬修复</w:t>
            </w:r>
          </w:p>
        </w:tc>
        <w:tc>
          <w:tcPr>
            <w:tcW w:w="1600" w:type="pct"/>
            <w:tcBorders>
              <w:top w:val="nil"/>
              <w:left w:val="nil"/>
              <w:bottom w:val="single" w:color="000000" w:sz="4" w:space="0"/>
              <w:right w:val="single" w:color="000000" w:sz="4" w:space="0"/>
            </w:tcBorders>
            <w:noWrap w:val="0"/>
            <w:vAlign w:val="center"/>
          </w:tcPr>
          <w:p w14:paraId="604D67DF">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1.主要用于九乡河东路及仙林大道等原局部变形、破裂损坏塑料管道整段修复</w:t>
            </w:r>
          </w:p>
          <w:p w14:paraId="77191CD8">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2、含有毒气体测试、防护措施等费用，结算时不调整</w:t>
            </w:r>
          </w:p>
        </w:tc>
        <w:tc>
          <w:tcPr>
            <w:tcW w:w="496" w:type="pct"/>
            <w:tcBorders>
              <w:top w:val="nil"/>
              <w:left w:val="nil"/>
              <w:bottom w:val="single" w:color="000000" w:sz="4" w:space="0"/>
              <w:right w:val="single" w:color="000000" w:sz="4" w:space="0"/>
            </w:tcBorders>
            <w:noWrap w:val="0"/>
            <w:vAlign w:val="center"/>
          </w:tcPr>
          <w:p w14:paraId="5858431C">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米</w:t>
            </w:r>
          </w:p>
        </w:tc>
        <w:tc>
          <w:tcPr>
            <w:tcW w:w="619" w:type="pct"/>
            <w:tcBorders>
              <w:top w:val="nil"/>
              <w:left w:val="nil"/>
              <w:bottom w:val="single" w:color="000000" w:sz="4" w:space="0"/>
              <w:right w:val="single" w:color="000000" w:sz="4" w:space="0"/>
            </w:tcBorders>
            <w:noWrap w:val="0"/>
            <w:vAlign w:val="center"/>
          </w:tcPr>
          <w:p w14:paraId="6E9AFE5D">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10.05</w:t>
            </w:r>
          </w:p>
        </w:tc>
        <w:tc>
          <w:tcPr>
            <w:tcW w:w="618" w:type="pct"/>
            <w:tcBorders>
              <w:top w:val="nil"/>
              <w:left w:val="nil"/>
              <w:bottom w:val="single" w:color="000000" w:sz="4" w:space="0"/>
              <w:right w:val="single" w:color="000000" w:sz="4" w:space="0"/>
            </w:tcBorders>
            <w:noWrap w:val="0"/>
            <w:vAlign w:val="center"/>
          </w:tcPr>
          <w:p w14:paraId="63AA8C5B">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1304.82</w:t>
            </w:r>
          </w:p>
        </w:tc>
        <w:tc>
          <w:tcPr>
            <w:tcW w:w="488" w:type="pct"/>
            <w:tcBorders>
              <w:top w:val="nil"/>
              <w:left w:val="nil"/>
              <w:bottom w:val="single" w:color="000000" w:sz="4" w:space="0"/>
              <w:right w:val="single" w:color="000000" w:sz="4" w:space="0"/>
            </w:tcBorders>
            <w:noWrap w:val="0"/>
            <w:vAlign w:val="center"/>
          </w:tcPr>
          <w:p w14:paraId="059713B5">
            <w:pPr>
              <w:widowControl w:val="0"/>
              <w:jc w:val="center"/>
              <w:rPr>
                <w:rFonts w:hint="eastAsia" w:ascii="宋体" w:hAnsi="宋体" w:eastAsia="宋体" w:cs="宋体"/>
                <w:color w:val="auto"/>
                <w:kern w:val="0"/>
                <w:sz w:val="21"/>
                <w:szCs w:val="21"/>
              </w:rPr>
            </w:pPr>
          </w:p>
        </w:tc>
      </w:tr>
      <w:tr w14:paraId="6465EA3D">
        <w:tblPrEx>
          <w:tblCellMar>
            <w:top w:w="0" w:type="dxa"/>
            <w:left w:w="108" w:type="dxa"/>
            <w:bottom w:w="0" w:type="dxa"/>
            <w:right w:w="108" w:type="dxa"/>
          </w:tblCellMar>
        </w:tblPrEx>
        <w:trPr>
          <w:trHeight w:val="533" w:hRule="atLeast"/>
        </w:trPr>
        <w:tc>
          <w:tcPr>
            <w:tcW w:w="372" w:type="pct"/>
            <w:tcBorders>
              <w:top w:val="nil"/>
              <w:left w:val="single" w:color="000000" w:sz="4" w:space="0"/>
              <w:bottom w:val="single" w:color="000000" w:sz="4" w:space="0"/>
              <w:right w:val="single" w:color="000000" w:sz="4" w:space="0"/>
            </w:tcBorders>
            <w:noWrap w:val="0"/>
            <w:vAlign w:val="center"/>
          </w:tcPr>
          <w:p w14:paraId="7FBD248C">
            <w:pPr>
              <w:widowControl w:val="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39</w:t>
            </w:r>
          </w:p>
        </w:tc>
        <w:tc>
          <w:tcPr>
            <w:tcW w:w="804" w:type="pct"/>
            <w:tcBorders>
              <w:top w:val="nil"/>
              <w:left w:val="nil"/>
              <w:bottom w:val="single" w:color="000000" w:sz="4" w:space="0"/>
              <w:right w:val="single" w:color="000000" w:sz="4" w:space="0"/>
            </w:tcBorders>
            <w:noWrap w:val="0"/>
            <w:vAlign w:val="center"/>
          </w:tcPr>
          <w:p w14:paraId="681F5F48">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φ350-φ450PE短管内衬修复</w:t>
            </w:r>
          </w:p>
        </w:tc>
        <w:tc>
          <w:tcPr>
            <w:tcW w:w="1600" w:type="pct"/>
            <w:tcBorders>
              <w:top w:val="nil"/>
              <w:left w:val="nil"/>
              <w:bottom w:val="single" w:color="000000" w:sz="4" w:space="0"/>
              <w:right w:val="single" w:color="000000" w:sz="4" w:space="0"/>
            </w:tcBorders>
            <w:noWrap w:val="0"/>
            <w:vAlign w:val="center"/>
          </w:tcPr>
          <w:p w14:paraId="613D6067">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1.主要用于九乡河东路及仙林大道等原局部变形、破裂损坏塑料管道整段修复</w:t>
            </w:r>
          </w:p>
          <w:p w14:paraId="6EFBB7A9">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2、含有毒气体测试、防护措施等费用，结算时不调整</w:t>
            </w:r>
          </w:p>
        </w:tc>
        <w:tc>
          <w:tcPr>
            <w:tcW w:w="496" w:type="pct"/>
            <w:tcBorders>
              <w:top w:val="nil"/>
              <w:left w:val="nil"/>
              <w:bottom w:val="single" w:color="000000" w:sz="4" w:space="0"/>
              <w:right w:val="single" w:color="000000" w:sz="4" w:space="0"/>
            </w:tcBorders>
            <w:noWrap w:val="0"/>
            <w:vAlign w:val="center"/>
          </w:tcPr>
          <w:p w14:paraId="7BF0F95B">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米</w:t>
            </w:r>
          </w:p>
        </w:tc>
        <w:tc>
          <w:tcPr>
            <w:tcW w:w="619" w:type="pct"/>
            <w:tcBorders>
              <w:top w:val="nil"/>
              <w:left w:val="nil"/>
              <w:bottom w:val="single" w:color="000000" w:sz="4" w:space="0"/>
              <w:right w:val="single" w:color="000000" w:sz="4" w:space="0"/>
            </w:tcBorders>
            <w:noWrap w:val="0"/>
            <w:vAlign w:val="center"/>
          </w:tcPr>
          <w:p w14:paraId="198B7B4E">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10.05</w:t>
            </w:r>
          </w:p>
        </w:tc>
        <w:tc>
          <w:tcPr>
            <w:tcW w:w="618" w:type="pct"/>
            <w:tcBorders>
              <w:top w:val="nil"/>
              <w:left w:val="nil"/>
              <w:bottom w:val="single" w:color="000000" w:sz="4" w:space="0"/>
              <w:right w:val="single" w:color="000000" w:sz="4" w:space="0"/>
            </w:tcBorders>
            <w:noWrap w:val="0"/>
            <w:vAlign w:val="center"/>
          </w:tcPr>
          <w:p w14:paraId="064CB21F">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1860.55</w:t>
            </w:r>
          </w:p>
        </w:tc>
        <w:tc>
          <w:tcPr>
            <w:tcW w:w="488" w:type="pct"/>
            <w:tcBorders>
              <w:top w:val="nil"/>
              <w:left w:val="nil"/>
              <w:bottom w:val="single" w:color="000000" w:sz="4" w:space="0"/>
              <w:right w:val="single" w:color="000000" w:sz="4" w:space="0"/>
            </w:tcBorders>
            <w:noWrap w:val="0"/>
            <w:vAlign w:val="center"/>
          </w:tcPr>
          <w:p w14:paraId="6D8222B3">
            <w:pPr>
              <w:widowControl w:val="0"/>
              <w:jc w:val="center"/>
              <w:rPr>
                <w:rFonts w:hint="eastAsia" w:ascii="宋体" w:hAnsi="宋体" w:eastAsia="宋体" w:cs="宋体"/>
                <w:color w:val="auto"/>
                <w:kern w:val="0"/>
                <w:sz w:val="21"/>
                <w:szCs w:val="21"/>
              </w:rPr>
            </w:pPr>
          </w:p>
        </w:tc>
      </w:tr>
      <w:tr w14:paraId="127DBF0B">
        <w:tblPrEx>
          <w:tblCellMar>
            <w:top w:w="0" w:type="dxa"/>
            <w:left w:w="108" w:type="dxa"/>
            <w:bottom w:w="0" w:type="dxa"/>
            <w:right w:w="108" w:type="dxa"/>
          </w:tblCellMar>
        </w:tblPrEx>
        <w:trPr>
          <w:trHeight w:val="2131" w:hRule="atLeast"/>
        </w:trPr>
        <w:tc>
          <w:tcPr>
            <w:tcW w:w="372" w:type="pct"/>
            <w:tcBorders>
              <w:top w:val="nil"/>
              <w:left w:val="single" w:color="000000" w:sz="4" w:space="0"/>
              <w:bottom w:val="single" w:color="000000" w:sz="4" w:space="0"/>
              <w:right w:val="single" w:color="000000" w:sz="4" w:space="0"/>
            </w:tcBorders>
            <w:noWrap w:val="0"/>
            <w:vAlign w:val="center"/>
          </w:tcPr>
          <w:p w14:paraId="16F4A20E">
            <w:pPr>
              <w:widowControl w:val="0"/>
              <w:jc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40</w:t>
            </w:r>
          </w:p>
        </w:tc>
        <w:tc>
          <w:tcPr>
            <w:tcW w:w="804" w:type="pct"/>
            <w:tcBorders>
              <w:top w:val="nil"/>
              <w:left w:val="nil"/>
              <w:bottom w:val="single" w:color="000000" w:sz="4" w:space="0"/>
              <w:right w:val="single" w:color="000000" w:sz="4" w:space="0"/>
            </w:tcBorders>
            <w:noWrap w:val="0"/>
            <w:vAlign w:val="center"/>
          </w:tcPr>
          <w:p w14:paraId="7BEFEF8B">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雨水箅子更换（400*1000铸铁雨水篦子，双拼）</w:t>
            </w:r>
          </w:p>
        </w:tc>
        <w:tc>
          <w:tcPr>
            <w:tcW w:w="1600" w:type="pct"/>
            <w:tcBorders>
              <w:top w:val="nil"/>
              <w:left w:val="nil"/>
              <w:bottom w:val="single" w:color="000000" w:sz="4" w:space="0"/>
              <w:right w:val="single" w:color="000000" w:sz="4" w:space="0"/>
            </w:tcBorders>
            <w:noWrap w:val="0"/>
            <w:vAlign w:val="center"/>
          </w:tcPr>
          <w:p w14:paraId="7BC3C55C">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主要更换九乡河西路、九乡河东路及损坏原混凝土雨水篦约300座</w:t>
            </w:r>
          </w:p>
          <w:p w14:paraId="18512173">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1、雨水箅子更换，采用400*1000重型铸铁雨水篦（双拼）</w:t>
            </w:r>
          </w:p>
          <w:p w14:paraId="46B29B33">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2、结合CCTV检测报告，根据现场实际情况自行报价，结算时不予调整</w:t>
            </w:r>
          </w:p>
        </w:tc>
        <w:tc>
          <w:tcPr>
            <w:tcW w:w="496" w:type="pct"/>
            <w:tcBorders>
              <w:top w:val="nil"/>
              <w:left w:val="nil"/>
              <w:bottom w:val="single" w:color="000000" w:sz="4" w:space="0"/>
              <w:right w:val="single" w:color="000000" w:sz="4" w:space="0"/>
            </w:tcBorders>
            <w:noWrap w:val="0"/>
            <w:vAlign w:val="center"/>
          </w:tcPr>
          <w:p w14:paraId="34B233C5">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座</w:t>
            </w:r>
          </w:p>
        </w:tc>
        <w:tc>
          <w:tcPr>
            <w:tcW w:w="619" w:type="pct"/>
            <w:tcBorders>
              <w:top w:val="nil"/>
              <w:left w:val="nil"/>
              <w:bottom w:val="single" w:color="000000" w:sz="4" w:space="0"/>
              <w:right w:val="single" w:color="000000" w:sz="4" w:space="0"/>
            </w:tcBorders>
            <w:noWrap w:val="0"/>
            <w:vAlign w:val="center"/>
          </w:tcPr>
          <w:p w14:paraId="0CE04EE8">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108</w:t>
            </w:r>
          </w:p>
        </w:tc>
        <w:tc>
          <w:tcPr>
            <w:tcW w:w="618" w:type="pct"/>
            <w:tcBorders>
              <w:top w:val="nil"/>
              <w:left w:val="nil"/>
              <w:bottom w:val="single" w:color="000000" w:sz="4" w:space="0"/>
              <w:right w:val="single" w:color="000000" w:sz="4" w:space="0"/>
            </w:tcBorders>
            <w:noWrap w:val="0"/>
            <w:vAlign w:val="center"/>
          </w:tcPr>
          <w:p w14:paraId="02F0F85E">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412.05</w:t>
            </w:r>
          </w:p>
        </w:tc>
        <w:tc>
          <w:tcPr>
            <w:tcW w:w="488" w:type="pct"/>
            <w:tcBorders>
              <w:top w:val="nil"/>
              <w:left w:val="nil"/>
              <w:bottom w:val="single" w:color="000000" w:sz="4" w:space="0"/>
              <w:right w:val="single" w:color="000000" w:sz="4" w:space="0"/>
            </w:tcBorders>
            <w:noWrap w:val="0"/>
            <w:vAlign w:val="center"/>
          </w:tcPr>
          <w:p w14:paraId="6C30F961">
            <w:pPr>
              <w:widowControl w:val="0"/>
              <w:jc w:val="center"/>
              <w:rPr>
                <w:rFonts w:hint="eastAsia" w:ascii="宋体" w:hAnsi="宋体" w:eastAsia="宋体" w:cs="宋体"/>
                <w:color w:val="auto"/>
                <w:kern w:val="0"/>
                <w:sz w:val="21"/>
                <w:szCs w:val="21"/>
              </w:rPr>
            </w:pPr>
          </w:p>
        </w:tc>
      </w:tr>
      <w:tr w14:paraId="04533BB3">
        <w:tblPrEx>
          <w:tblCellMar>
            <w:top w:w="0" w:type="dxa"/>
            <w:left w:w="108" w:type="dxa"/>
            <w:bottom w:w="0" w:type="dxa"/>
            <w:right w:w="108" w:type="dxa"/>
          </w:tblCellMar>
        </w:tblPrEx>
        <w:trPr>
          <w:trHeight w:val="2146" w:hRule="atLeast"/>
        </w:trPr>
        <w:tc>
          <w:tcPr>
            <w:tcW w:w="372" w:type="pct"/>
            <w:tcBorders>
              <w:top w:val="nil"/>
              <w:left w:val="single" w:color="000000" w:sz="4" w:space="0"/>
              <w:bottom w:val="single" w:color="000000" w:sz="4" w:space="0"/>
              <w:right w:val="single" w:color="000000" w:sz="4" w:space="0"/>
            </w:tcBorders>
            <w:noWrap w:val="0"/>
            <w:vAlign w:val="center"/>
          </w:tcPr>
          <w:p w14:paraId="6637EA5A">
            <w:pPr>
              <w:widowControl w:val="0"/>
              <w:jc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41</w:t>
            </w:r>
          </w:p>
        </w:tc>
        <w:tc>
          <w:tcPr>
            <w:tcW w:w="804" w:type="pct"/>
            <w:tcBorders>
              <w:top w:val="nil"/>
              <w:left w:val="nil"/>
              <w:bottom w:val="single" w:color="000000" w:sz="4" w:space="0"/>
              <w:right w:val="single" w:color="000000" w:sz="4" w:space="0"/>
            </w:tcBorders>
            <w:noWrap w:val="0"/>
            <w:vAlign w:val="center"/>
          </w:tcPr>
          <w:p w14:paraId="6B2B344A">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拆除路面</w:t>
            </w:r>
          </w:p>
        </w:tc>
        <w:tc>
          <w:tcPr>
            <w:tcW w:w="1600" w:type="pct"/>
            <w:tcBorders>
              <w:top w:val="nil"/>
              <w:left w:val="nil"/>
              <w:bottom w:val="single" w:color="000000" w:sz="4" w:space="0"/>
              <w:right w:val="single" w:color="000000" w:sz="4" w:space="0"/>
            </w:tcBorders>
            <w:noWrap w:val="0"/>
            <w:vAlign w:val="center"/>
          </w:tcPr>
          <w:p w14:paraId="06A15261">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1、拆除路面（含基层），用于管道维修更换处路面拆除</w:t>
            </w:r>
          </w:p>
          <w:p w14:paraId="319C0475">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2、含切缝、拆除、打堆、清理、外运等所有内容</w:t>
            </w:r>
          </w:p>
          <w:p w14:paraId="0D452018">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3.弃置运距 投标人自行勘察选择规定的弃置场所并自报运距,所有费用要求在综合单价中充分考虑</w:t>
            </w:r>
          </w:p>
          <w:p w14:paraId="12236E0E">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4.保洁费、消纳费等所有费用须投标单位自行考虑，渣土费不予计取</w:t>
            </w:r>
          </w:p>
          <w:p w14:paraId="5F0B4D42">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5.投标人自行报价，结算不予调整</w:t>
            </w:r>
          </w:p>
        </w:tc>
        <w:tc>
          <w:tcPr>
            <w:tcW w:w="496" w:type="pct"/>
            <w:tcBorders>
              <w:top w:val="nil"/>
              <w:left w:val="nil"/>
              <w:bottom w:val="single" w:color="000000" w:sz="4" w:space="0"/>
              <w:right w:val="single" w:color="000000" w:sz="4" w:space="0"/>
            </w:tcBorders>
            <w:noWrap w:val="0"/>
            <w:vAlign w:val="center"/>
          </w:tcPr>
          <w:p w14:paraId="0A236992">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m2</w:t>
            </w:r>
          </w:p>
        </w:tc>
        <w:tc>
          <w:tcPr>
            <w:tcW w:w="619" w:type="pct"/>
            <w:tcBorders>
              <w:top w:val="nil"/>
              <w:left w:val="nil"/>
              <w:bottom w:val="single" w:color="000000" w:sz="4" w:space="0"/>
              <w:right w:val="single" w:color="000000" w:sz="4" w:space="0"/>
            </w:tcBorders>
            <w:noWrap w:val="0"/>
            <w:vAlign w:val="center"/>
          </w:tcPr>
          <w:p w14:paraId="1C924DF8">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67</w:t>
            </w:r>
          </w:p>
        </w:tc>
        <w:tc>
          <w:tcPr>
            <w:tcW w:w="618" w:type="pct"/>
            <w:tcBorders>
              <w:top w:val="nil"/>
              <w:left w:val="nil"/>
              <w:bottom w:val="single" w:color="000000" w:sz="4" w:space="0"/>
              <w:right w:val="single" w:color="000000" w:sz="4" w:space="0"/>
            </w:tcBorders>
            <w:noWrap w:val="0"/>
            <w:vAlign w:val="center"/>
          </w:tcPr>
          <w:p w14:paraId="46950E4D">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43.02</w:t>
            </w:r>
          </w:p>
        </w:tc>
        <w:tc>
          <w:tcPr>
            <w:tcW w:w="488" w:type="pct"/>
            <w:tcBorders>
              <w:top w:val="nil"/>
              <w:left w:val="nil"/>
              <w:bottom w:val="single" w:color="000000" w:sz="4" w:space="0"/>
              <w:right w:val="single" w:color="000000" w:sz="4" w:space="0"/>
            </w:tcBorders>
            <w:noWrap w:val="0"/>
            <w:vAlign w:val="center"/>
          </w:tcPr>
          <w:p w14:paraId="19FC13CA">
            <w:pPr>
              <w:widowControl w:val="0"/>
              <w:jc w:val="center"/>
              <w:rPr>
                <w:rFonts w:hint="eastAsia" w:ascii="宋体" w:hAnsi="宋体" w:eastAsia="宋体" w:cs="宋体"/>
                <w:color w:val="auto"/>
                <w:kern w:val="0"/>
                <w:sz w:val="21"/>
                <w:szCs w:val="21"/>
              </w:rPr>
            </w:pPr>
          </w:p>
        </w:tc>
      </w:tr>
      <w:tr w14:paraId="30E5D0A9">
        <w:tblPrEx>
          <w:tblCellMar>
            <w:top w:w="0" w:type="dxa"/>
            <w:left w:w="108" w:type="dxa"/>
            <w:bottom w:w="0" w:type="dxa"/>
            <w:right w:w="108" w:type="dxa"/>
          </w:tblCellMar>
        </w:tblPrEx>
        <w:trPr>
          <w:trHeight w:val="2563" w:hRule="atLeast"/>
        </w:trPr>
        <w:tc>
          <w:tcPr>
            <w:tcW w:w="372" w:type="pct"/>
            <w:tcBorders>
              <w:top w:val="nil"/>
              <w:left w:val="single" w:color="000000" w:sz="4" w:space="0"/>
              <w:bottom w:val="single" w:color="000000" w:sz="4" w:space="0"/>
              <w:right w:val="single" w:color="000000" w:sz="4" w:space="0"/>
            </w:tcBorders>
            <w:noWrap w:val="0"/>
            <w:vAlign w:val="center"/>
          </w:tcPr>
          <w:p w14:paraId="62C30223">
            <w:pPr>
              <w:widowControl w:val="0"/>
              <w:jc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42</w:t>
            </w:r>
          </w:p>
        </w:tc>
        <w:tc>
          <w:tcPr>
            <w:tcW w:w="804" w:type="pct"/>
            <w:tcBorders>
              <w:top w:val="nil"/>
              <w:left w:val="nil"/>
              <w:bottom w:val="single" w:color="000000" w:sz="4" w:space="0"/>
              <w:right w:val="single" w:color="000000" w:sz="4" w:space="0"/>
            </w:tcBorders>
            <w:noWrap w:val="0"/>
            <w:vAlign w:val="center"/>
          </w:tcPr>
          <w:p w14:paraId="2EDA245D">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拆除人行道</w:t>
            </w:r>
          </w:p>
        </w:tc>
        <w:tc>
          <w:tcPr>
            <w:tcW w:w="1600" w:type="pct"/>
            <w:tcBorders>
              <w:top w:val="nil"/>
              <w:left w:val="nil"/>
              <w:bottom w:val="single" w:color="000000" w:sz="4" w:space="0"/>
              <w:right w:val="single" w:color="000000" w:sz="4" w:space="0"/>
            </w:tcBorders>
            <w:noWrap w:val="0"/>
            <w:vAlign w:val="center"/>
          </w:tcPr>
          <w:p w14:paraId="43B5CA8C">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1、拆除原人行道（含基层），用于管道维修更换处人行道拆除。</w:t>
            </w:r>
          </w:p>
          <w:p w14:paraId="1BA37F18">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2、含切缝、拆除、打堆、清理、外运等所有内容</w:t>
            </w:r>
          </w:p>
          <w:p w14:paraId="512EA8E3">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3.弃置运距 投标人自行勘察选择规定的弃置场所并自报运距,所有费用要求在综合单价中充分考虑</w:t>
            </w:r>
          </w:p>
          <w:p w14:paraId="1953A1F0">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4.保洁费、消纳费等所有费用须投标单位自行考虑，渣土费不予计取</w:t>
            </w:r>
          </w:p>
          <w:p w14:paraId="1FE4D795">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5.投标人自行报价，结算不予调整</w:t>
            </w:r>
          </w:p>
        </w:tc>
        <w:tc>
          <w:tcPr>
            <w:tcW w:w="496" w:type="pct"/>
            <w:tcBorders>
              <w:top w:val="nil"/>
              <w:left w:val="nil"/>
              <w:bottom w:val="single" w:color="000000" w:sz="4" w:space="0"/>
              <w:right w:val="single" w:color="000000" w:sz="4" w:space="0"/>
            </w:tcBorders>
            <w:noWrap w:val="0"/>
            <w:vAlign w:val="center"/>
          </w:tcPr>
          <w:p w14:paraId="60CFD16E">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m2</w:t>
            </w:r>
          </w:p>
        </w:tc>
        <w:tc>
          <w:tcPr>
            <w:tcW w:w="619" w:type="pct"/>
            <w:tcBorders>
              <w:top w:val="nil"/>
              <w:left w:val="nil"/>
              <w:bottom w:val="single" w:color="000000" w:sz="4" w:space="0"/>
              <w:right w:val="single" w:color="000000" w:sz="4" w:space="0"/>
            </w:tcBorders>
            <w:noWrap w:val="0"/>
            <w:vAlign w:val="center"/>
          </w:tcPr>
          <w:p w14:paraId="0DBE7015">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33.5</w:t>
            </w:r>
          </w:p>
        </w:tc>
        <w:tc>
          <w:tcPr>
            <w:tcW w:w="618" w:type="pct"/>
            <w:tcBorders>
              <w:top w:val="nil"/>
              <w:left w:val="nil"/>
              <w:bottom w:val="single" w:color="000000" w:sz="4" w:space="0"/>
              <w:right w:val="single" w:color="000000" w:sz="4" w:space="0"/>
            </w:tcBorders>
            <w:noWrap w:val="0"/>
            <w:vAlign w:val="center"/>
          </w:tcPr>
          <w:p w14:paraId="1508EC18">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19.66</w:t>
            </w:r>
          </w:p>
        </w:tc>
        <w:tc>
          <w:tcPr>
            <w:tcW w:w="488" w:type="pct"/>
            <w:tcBorders>
              <w:top w:val="nil"/>
              <w:left w:val="nil"/>
              <w:bottom w:val="single" w:color="000000" w:sz="4" w:space="0"/>
              <w:right w:val="single" w:color="000000" w:sz="4" w:space="0"/>
            </w:tcBorders>
            <w:noWrap w:val="0"/>
            <w:vAlign w:val="center"/>
          </w:tcPr>
          <w:p w14:paraId="3655B2F4">
            <w:pPr>
              <w:widowControl w:val="0"/>
              <w:jc w:val="center"/>
              <w:rPr>
                <w:rFonts w:hint="eastAsia" w:ascii="宋体" w:hAnsi="宋体" w:eastAsia="宋体" w:cs="宋体"/>
                <w:color w:val="auto"/>
                <w:kern w:val="0"/>
                <w:sz w:val="21"/>
                <w:szCs w:val="21"/>
              </w:rPr>
            </w:pPr>
          </w:p>
        </w:tc>
      </w:tr>
      <w:tr w14:paraId="1DEC0BDD">
        <w:tblPrEx>
          <w:tblCellMar>
            <w:top w:w="0" w:type="dxa"/>
            <w:left w:w="108" w:type="dxa"/>
            <w:bottom w:w="0" w:type="dxa"/>
            <w:right w:w="108" w:type="dxa"/>
          </w:tblCellMar>
        </w:tblPrEx>
        <w:trPr>
          <w:trHeight w:val="919" w:hRule="atLeast"/>
        </w:trPr>
        <w:tc>
          <w:tcPr>
            <w:tcW w:w="372" w:type="pct"/>
            <w:tcBorders>
              <w:top w:val="nil"/>
              <w:left w:val="single" w:color="000000" w:sz="4" w:space="0"/>
              <w:bottom w:val="single" w:color="000000" w:sz="4" w:space="0"/>
              <w:right w:val="single" w:color="000000" w:sz="4" w:space="0"/>
            </w:tcBorders>
            <w:noWrap w:val="0"/>
            <w:vAlign w:val="center"/>
          </w:tcPr>
          <w:p w14:paraId="18260FD7">
            <w:pPr>
              <w:widowControl w:val="0"/>
              <w:jc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43</w:t>
            </w:r>
          </w:p>
        </w:tc>
        <w:tc>
          <w:tcPr>
            <w:tcW w:w="804" w:type="pct"/>
            <w:tcBorders>
              <w:top w:val="nil"/>
              <w:left w:val="nil"/>
              <w:bottom w:val="single" w:color="000000" w:sz="4" w:space="0"/>
              <w:right w:val="single" w:color="000000" w:sz="4" w:space="0"/>
            </w:tcBorders>
            <w:noWrap w:val="0"/>
            <w:vAlign w:val="center"/>
          </w:tcPr>
          <w:p w14:paraId="33FED7DC">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拆除及恢复侧、平（缘）石</w:t>
            </w:r>
          </w:p>
        </w:tc>
        <w:tc>
          <w:tcPr>
            <w:tcW w:w="1600" w:type="pct"/>
            <w:tcBorders>
              <w:top w:val="nil"/>
              <w:left w:val="nil"/>
              <w:bottom w:val="single" w:color="000000" w:sz="4" w:space="0"/>
              <w:right w:val="single" w:color="000000" w:sz="4" w:space="0"/>
            </w:tcBorders>
            <w:noWrap w:val="0"/>
            <w:vAlign w:val="center"/>
          </w:tcPr>
          <w:p w14:paraId="6EFA2EBE">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1、保护性拆除侧、平（缘）石，主要用于收水口支管维修改造处路牙沿拆除及恢复</w:t>
            </w:r>
          </w:p>
          <w:p w14:paraId="7AD4A3E6">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2、拆除后的材料整齐码放</w:t>
            </w:r>
          </w:p>
          <w:p w14:paraId="2CC3B866">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3、弃置运距 投标人自行勘察选择规定的弃置场所并自报运距,所有费用要求在综合单价中充分考虑</w:t>
            </w:r>
          </w:p>
          <w:p w14:paraId="2EFA1B0E">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4、保洁费、消纳费等所有费用须投标单位自行考虑，渣土费不予计取</w:t>
            </w:r>
          </w:p>
          <w:p w14:paraId="3C1ABA76">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5、投标人自行报价，结算不予调整</w:t>
            </w:r>
          </w:p>
        </w:tc>
        <w:tc>
          <w:tcPr>
            <w:tcW w:w="496" w:type="pct"/>
            <w:tcBorders>
              <w:top w:val="nil"/>
              <w:left w:val="nil"/>
              <w:bottom w:val="single" w:color="000000" w:sz="4" w:space="0"/>
              <w:right w:val="single" w:color="000000" w:sz="4" w:space="0"/>
            </w:tcBorders>
            <w:noWrap w:val="0"/>
            <w:vAlign w:val="center"/>
          </w:tcPr>
          <w:p w14:paraId="74CE1FA9">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m</w:t>
            </w:r>
          </w:p>
        </w:tc>
        <w:tc>
          <w:tcPr>
            <w:tcW w:w="619" w:type="pct"/>
            <w:tcBorders>
              <w:top w:val="nil"/>
              <w:left w:val="nil"/>
              <w:bottom w:val="single" w:color="000000" w:sz="4" w:space="0"/>
              <w:right w:val="single" w:color="000000" w:sz="4" w:space="0"/>
            </w:tcBorders>
            <w:noWrap w:val="0"/>
            <w:vAlign w:val="center"/>
          </w:tcPr>
          <w:p w14:paraId="705B289C">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268</w:t>
            </w:r>
          </w:p>
        </w:tc>
        <w:tc>
          <w:tcPr>
            <w:tcW w:w="618" w:type="pct"/>
            <w:tcBorders>
              <w:top w:val="nil"/>
              <w:left w:val="nil"/>
              <w:bottom w:val="single" w:color="000000" w:sz="4" w:space="0"/>
              <w:right w:val="single" w:color="000000" w:sz="4" w:space="0"/>
            </w:tcBorders>
            <w:noWrap w:val="0"/>
            <w:vAlign w:val="center"/>
          </w:tcPr>
          <w:p w14:paraId="2FA83BEB">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55.03</w:t>
            </w:r>
          </w:p>
        </w:tc>
        <w:tc>
          <w:tcPr>
            <w:tcW w:w="488" w:type="pct"/>
            <w:tcBorders>
              <w:top w:val="nil"/>
              <w:left w:val="nil"/>
              <w:bottom w:val="single" w:color="000000" w:sz="4" w:space="0"/>
              <w:right w:val="single" w:color="000000" w:sz="4" w:space="0"/>
            </w:tcBorders>
            <w:noWrap w:val="0"/>
            <w:vAlign w:val="center"/>
          </w:tcPr>
          <w:p w14:paraId="4BDE6088">
            <w:pPr>
              <w:widowControl w:val="0"/>
              <w:jc w:val="center"/>
              <w:rPr>
                <w:rFonts w:hint="eastAsia" w:ascii="宋体" w:hAnsi="宋体" w:eastAsia="宋体" w:cs="宋体"/>
                <w:color w:val="auto"/>
                <w:kern w:val="0"/>
                <w:sz w:val="21"/>
                <w:szCs w:val="21"/>
              </w:rPr>
            </w:pPr>
          </w:p>
        </w:tc>
      </w:tr>
      <w:tr w14:paraId="069FB6C1">
        <w:tblPrEx>
          <w:tblCellMar>
            <w:top w:w="0" w:type="dxa"/>
            <w:left w:w="108" w:type="dxa"/>
            <w:bottom w:w="0" w:type="dxa"/>
            <w:right w:w="108" w:type="dxa"/>
          </w:tblCellMar>
        </w:tblPrEx>
        <w:trPr>
          <w:trHeight w:val="709" w:hRule="atLeast"/>
        </w:trPr>
        <w:tc>
          <w:tcPr>
            <w:tcW w:w="372" w:type="pct"/>
            <w:tcBorders>
              <w:top w:val="nil"/>
              <w:left w:val="single" w:color="000000" w:sz="4" w:space="0"/>
              <w:bottom w:val="single" w:color="000000" w:sz="4" w:space="0"/>
              <w:right w:val="single" w:color="000000" w:sz="4" w:space="0"/>
            </w:tcBorders>
            <w:noWrap w:val="0"/>
            <w:vAlign w:val="center"/>
          </w:tcPr>
          <w:p w14:paraId="752D9676">
            <w:pPr>
              <w:widowControl w:val="0"/>
              <w:jc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44</w:t>
            </w:r>
          </w:p>
        </w:tc>
        <w:tc>
          <w:tcPr>
            <w:tcW w:w="804" w:type="pct"/>
            <w:tcBorders>
              <w:top w:val="nil"/>
              <w:left w:val="nil"/>
              <w:bottom w:val="single" w:color="000000" w:sz="4" w:space="0"/>
              <w:right w:val="single" w:color="000000" w:sz="4" w:space="0"/>
            </w:tcBorders>
            <w:noWrap w:val="0"/>
            <w:vAlign w:val="center"/>
          </w:tcPr>
          <w:p w14:paraId="3ACE55B5">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防汛用工</w:t>
            </w:r>
          </w:p>
        </w:tc>
        <w:tc>
          <w:tcPr>
            <w:tcW w:w="1600" w:type="pct"/>
            <w:tcBorders>
              <w:top w:val="nil"/>
              <w:left w:val="nil"/>
              <w:bottom w:val="single" w:color="000000" w:sz="4" w:space="0"/>
              <w:right w:val="single" w:color="000000" w:sz="4" w:space="0"/>
            </w:tcBorders>
            <w:noWrap w:val="0"/>
            <w:vAlign w:val="center"/>
          </w:tcPr>
          <w:p w14:paraId="5A1AF546">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1、用于防汛期间、降雨期间巡查、开关雨水篦助排、应急抢修、排水、值班的用工，点工数量最终以指令单及计量单为准</w:t>
            </w:r>
          </w:p>
        </w:tc>
        <w:tc>
          <w:tcPr>
            <w:tcW w:w="496" w:type="pct"/>
            <w:tcBorders>
              <w:top w:val="nil"/>
              <w:left w:val="nil"/>
              <w:bottom w:val="single" w:color="000000" w:sz="4" w:space="0"/>
              <w:right w:val="single" w:color="000000" w:sz="4" w:space="0"/>
            </w:tcBorders>
            <w:noWrap w:val="0"/>
            <w:vAlign w:val="center"/>
          </w:tcPr>
          <w:p w14:paraId="1C3F4CAA">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工日</w:t>
            </w:r>
          </w:p>
        </w:tc>
        <w:tc>
          <w:tcPr>
            <w:tcW w:w="619" w:type="pct"/>
            <w:tcBorders>
              <w:top w:val="nil"/>
              <w:left w:val="nil"/>
              <w:bottom w:val="single" w:color="000000" w:sz="4" w:space="0"/>
              <w:right w:val="single" w:color="000000" w:sz="4" w:space="0"/>
            </w:tcBorders>
            <w:noWrap w:val="0"/>
            <w:vAlign w:val="center"/>
          </w:tcPr>
          <w:p w14:paraId="79AAB78F">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503</w:t>
            </w:r>
          </w:p>
        </w:tc>
        <w:tc>
          <w:tcPr>
            <w:tcW w:w="618" w:type="pct"/>
            <w:tcBorders>
              <w:top w:val="nil"/>
              <w:left w:val="nil"/>
              <w:bottom w:val="single" w:color="000000" w:sz="4" w:space="0"/>
              <w:right w:val="single" w:color="000000" w:sz="4" w:space="0"/>
            </w:tcBorders>
            <w:noWrap w:val="0"/>
            <w:vAlign w:val="center"/>
          </w:tcPr>
          <w:p w14:paraId="095A9CB7">
            <w:pPr>
              <w:keepNext w:val="0"/>
              <w:keepLines w:val="0"/>
              <w:widowControl/>
              <w:suppressLineNumbers w:val="0"/>
              <w:jc w:val="center"/>
              <w:textAlignment w:val="center"/>
              <w:rPr>
                <w:rFonts w:hint="default"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157.72</w:t>
            </w:r>
          </w:p>
        </w:tc>
        <w:tc>
          <w:tcPr>
            <w:tcW w:w="488" w:type="pct"/>
            <w:tcBorders>
              <w:top w:val="nil"/>
              <w:left w:val="nil"/>
              <w:bottom w:val="single" w:color="000000" w:sz="4" w:space="0"/>
              <w:right w:val="single" w:color="000000" w:sz="4" w:space="0"/>
            </w:tcBorders>
            <w:noWrap w:val="0"/>
            <w:vAlign w:val="center"/>
          </w:tcPr>
          <w:p w14:paraId="3BDFB12C">
            <w:pPr>
              <w:widowControl w:val="0"/>
              <w:jc w:val="center"/>
              <w:rPr>
                <w:rFonts w:hint="eastAsia" w:ascii="宋体" w:hAnsi="宋体" w:eastAsia="宋体" w:cs="宋体"/>
                <w:color w:val="auto"/>
                <w:kern w:val="0"/>
                <w:sz w:val="21"/>
                <w:szCs w:val="21"/>
              </w:rPr>
            </w:pPr>
          </w:p>
        </w:tc>
      </w:tr>
      <w:tr w14:paraId="3F048BAC">
        <w:tblPrEx>
          <w:tblCellMar>
            <w:top w:w="0" w:type="dxa"/>
            <w:left w:w="108" w:type="dxa"/>
            <w:bottom w:w="0" w:type="dxa"/>
            <w:right w:w="108" w:type="dxa"/>
          </w:tblCellMar>
        </w:tblPrEx>
        <w:trPr>
          <w:trHeight w:val="709" w:hRule="atLeast"/>
        </w:trPr>
        <w:tc>
          <w:tcPr>
            <w:tcW w:w="372" w:type="pct"/>
            <w:tcBorders>
              <w:top w:val="nil"/>
              <w:left w:val="single" w:color="000000" w:sz="4" w:space="0"/>
              <w:bottom w:val="single" w:color="000000" w:sz="4" w:space="0"/>
              <w:right w:val="single" w:color="000000" w:sz="4" w:space="0"/>
            </w:tcBorders>
            <w:noWrap w:val="0"/>
            <w:vAlign w:val="center"/>
          </w:tcPr>
          <w:p w14:paraId="758E6AFC">
            <w:pPr>
              <w:widowControl w:val="0"/>
              <w:jc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45</w:t>
            </w:r>
          </w:p>
        </w:tc>
        <w:tc>
          <w:tcPr>
            <w:tcW w:w="804" w:type="pct"/>
            <w:tcBorders>
              <w:top w:val="nil"/>
              <w:left w:val="nil"/>
              <w:bottom w:val="single" w:color="000000" w:sz="4" w:space="0"/>
              <w:right w:val="single" w:color="000000" w:sz="4" w:space="0"/>
            </w:tcBorders>
            <w:noWrap w:val="0"/>
            <w:vAlign w:val="center"/>
          </w:tcPr>
          <w:p w14:paraId="563D7149">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防汛工程车</w:t>
            </w:r>
          </w:p>
        </w:tc>
        <w:tc>
          <w:tcPr>
            <w:tcW w:w="1600" w:type="pct"/>
            <w:tcBorders>
              <w:top w:val="nil"/>
              <w:left w:val="nil"/>
              <w:bottom w:val="single" w:color="000000" w:sz="4" w:space="0"/>
              <w:right w:val="single" w:color="000000" w:sz="4" w:space="0"/>
            </w:tcBorders>
            <w:noWrap w:val="0"/>
            <w:vAlign w:val="center"/>
          </w:tcPr>
          <w:p w14:paraId="4BCCC00F">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仅用于防汛期间、降雨期间上路巡查等，工程量最终以指令单及计量单为准</w:t>
            </w:r>
          </w:p>
        </w:tc>
        <w:tc>
          <w:tcPr>
            <w:tcW w:w="496" w:type="pct"/>
            <w:tcBorders>
              <w:top w:val="nil"/>
              <w:left w:val="nil"/>
              <w:bottom w:val="single" w:color="000000" w:sz="4" w:space="0"/>
              <w:right w:val="single" w:color="000000" w:sz="4" w:space="0"/>
            </w:tcBorders>
            <w:noWrap w:val="0"/>
            <w:vAlign w:val="center"/>
          </w:tcPr>
          <w:p w14:paraId="43A649F1">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台班</w:t>
            </w:r>
          </w:p>
        </w:tc>
        <w:tc>
          <w:tcPr>
            <w:tcW w:w="619" w:type="pct"/>
            <w:tcBorders>
              <w:top w:val="nil"/>
              <w:left w:val="nil"/>
              <w:bottom w:val="single" w:color="000000" w:sz="4" w:space="0"/>
              <w:right w:val="single" w:color="000000" w:sz="4" w:space="0"/>
            </w:tcBorders>
            <w:noWrap w:val="0"/>
            <w:vAlign w:val="center"/>
          </w:tcPr>
          <w:p w14:paraId="46D80FF0">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101</w:t>
            </w:r>
          </w:p>
        </w:tc>
        <w:tc>
          <w:tcPr>
            <w:tcW w:w="618" w:type="pct"/>
            <w:tcBorders>
              <w:top w:val="nil"/>
              <w:left w:val="nil"/>
              <w:bottom w:val="single" w:color="000000" w:sz="4" w:space="0"/>
              <w:right w:val="single" w:color="000000" w:sz="4" w:space="0"/>
            </w:tcBorders>
            <w:noWrap w:val="0"/>
            <w:vAlign w:val="center"/>
          </w:tcPr>
          <w:p w14:paraId="26848F44">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515.01</w:t>
            </w:r>
          </w:p>
        </w:tc>
        <w:tc>
          <w:tcPr>
            <w:tcW w:w="488" w:type="pct"/>
            <w:tcBorders>
              <w:top w:val="nil"/>
              <w:left w:val="nil"/>
              <w:bottom w:val="single" w:color="000000" w:sz="4" w:space="0"/>
              <w:right w:val="single" w:color="000000" w:sz="4" w:space="0"/>
            </w:tcBorders>
            <w:noWrap w:val="0"/>
            <w:vAlign w:val="center"/>
          </w:tcPr>
          <w:p w14:paraId="60C5EFF8">
            <w:pPr>
              <w:widowControl w:val="0"/>
              <w:jc w:val="center"/>
              <w:rPr>
                <w:rFonts w:hint="eastAsia" w:ascii="宋体" w:hAnsi="宋体" w:eastAsia="宋体" w:cs="宋体"/>
                <w:color w:val="auto"/>
                <w:kern w:val="0"/>
                <w:sz w:val="21"/>
                <w:szCs w:val="21"/>
              </w:rPr>
            </w:pPr>
          </w:p>
        </w:tc>
      </w:tr>
      <w:tr w14:paraId="4B0DFB91">
        <w:tblPrEx>
          <w:tblCellMar>
            <w:top w:w="0" w:type="dxa"/>
            <w:left w:w="108" w:type="dxa"/>
            <w:bottom w:w="0" w:type="dxa"/>
            <w:right w:w="108" w:type="dxa"/>
          </w:tblCellMar>
        </w:tblPrEx>
        <w:trPr>
          <w:trHeight w:val="919" w:hRule="atLeast"/>
        </w:trPr>
        <w:tc>
          <w:tcPr>
            <w:tcW w:w="372" w:type="pct"/>
            <w:tcBorders>
              <w:top w:val="nil"/>
              <w:left w:val="single" w:color="000000" w:sz="4" w:space="0"/>
              <w:bottom w:val="single" w:color="000000" w:sz="4" w:space="0"/>
              <w:right w:val="single" w:color="000000" w:sz="4" w:space="0"/>
            </w:tcBorders>
            <w:noWrap w:val="0"/>
            <w:vAlign w:val="center"/>
          </w:tcPr>
          <w:p w14:paraId="6DCC342A">
            <w:pPr>
              <w:widowControl w:val="0"/>
              <w:jc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46</w:t>
            </w:r>
          </w:p>
        </w:tc>
        <w:tc>
          <w:tcPr>
            <w:tcW w:w="804" w:type="pct"/>
            <w:tcBorders>
              <w:top w:val="nil"/>
              <w:left w:val="nil"/>
              <w:bottom w:val="single" w:color="000000" w:sz="4" w:space="0"/>
              <w:right w:val="single" w:color="000000" w:sz="4" w:space="0"/>
            </w:tcBorders>
            <w:noWrap w:val="0"/>
            <w:vAlign w:val="center"/>
          </w:tcPr>
          <w:p w14:paraId="08F94325">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高压疏通车</w:t>
            </w:r>
          </w:p>
        </w:tc>
        <w:tc>
          <w:tcPr>
            <w:tcW w:w="1600" w:type="pct"/>
            <w:tcBorders>
              <w:top w:val="nil"/>
              <w:left w:val="nil"/>
              <w:bottom w:val="single" w:color="000000" w:sz="4" w:space="0"/>
              <w:right w:val="single" w:color="000000" w:sz="4" w:space="0"/>
            </w:tcBorders>
            <w:noWrap w:val="0"/>
            <w:vAlign w:val="center"/>
          </w:tcPr>
          <w:p w14:paraId="2694C1E6">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防汛高压冲洗车容积为4-9m³，含司机、两名配合人工等所有费用，结算时不调整</w:t>
            </w:r>
          </w:p>
        </w:tc>
        <w:tc>
          <w:tcPr>
            <w:tcW w:w="496" w:type="pct"/>
            <w:tcBorders>
              <w:top w:val="nil"/>
              <w:left w:val="nil"/>
              <w:bottom w:val="single" w:color="000000" w:sz="4" w:space="0"/>
              <w:right w:val="single" w:color="000000" w:sz="4" w:space="0"/>
            </w:tcBorders>
            <w:noWrap w:val="0"/>
            <w:vAlign w:val="center"/>
          </w:tcPr>
          <w:p w14:paraId="3B18298D">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台班</w:t>
            </w:r>
          </w:p>
        </w:tc>
        <w:tc>
          <w:tcPr>
            <w:tcW w:w="619" w:type="pct"/>
            <w:tcBorders>
              <w:top w:val="nil"/>
              <w:left w:val="nil"/>
              <w:bottom w:val="single" w:color="000000" w:sz="4" w:space="0"/>
              <w:right w:val="single" w:color="000000" w:sz="4" w:space="0"/>
            </w:tcBorders>
            <w:noWrap w:val="0"/>
            <w:vAlign w:val="center"/>
          </w:tcPr>
          <w:p w14:paraId="3258AC65">
            <w:pPr>
              <w:widowControl w:val="0"/>
              <w:jc w:val="left"/>
              <w:rPr>
                <w:rFonts w:hint="eastAsia" w:ascii="宋体" w:hAnsi="宋体" w:eastAsia="宋体" w:cs="宋体"/>
                <w:color w:val="auto"/>
                <w:kern w:val="0"/>
                <w:sz w:val="21"/>
                <w:szCs w:val="21"/>
                <w:lang w:eastAsia="zh-CN"/>
              </w:rPr>
            </w:pPr>
            <w:r>
              <w:rPr>
                <w:rFonts w:hint="eastAsia" w:ascii="宋体" w:hAnsi="宋体" w:cs="宋体"/>
                <w:color w:val="auto"/>
                <w:kern w:val="0"/>
                <w:sz w:val="21"/>
                <w:szCs w:val="21"/>
                <w:lang w:val="en-US" w:eastAsia="zh-CN"/>
              </w:rPr>
              <w:t>5</w:t>
            </w:r>
          </w:p>
        </w:tc>
        <w:tc>
          <w:tcPr>
            <w:tcW w:w="618" w:type="pct"/>
            <w:tcBorders>
              <w:top w:val="nil"/>
              <w:left w:val="nil"/>
              <w:bottom w:val="single" w:color="000000" w:sz="4" w:space="0"/>
              <w:right w:val="single" w:color="000000" w:sz="4" w:space="0"/>
            </w:tcBorders>
            <w:noWrap w:val="0"/>
            <w:vAlign w:val="center"/>
          </w:tcPr>
          <w:p w14:paraId="716E20E1">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1072.91</w:t>
            </w:r>
          </w:p>
        </w:tc>
        <w:tc>
          <w:tcPr>
            <w:tcW w:w="488" w:type="pct"/>
            <w:tcBorders>
              <w:top w:val="nil"/>
              <w:left w:val="nil"/>
              <w:bottom w:val="single" w:color="000000" w:sz="4" w:space="0"/>
              <w:right w:val="single" w:color="000000" w:sz="4" w:space="0"/>
            </w:tcBorders>
            <w:noWrap w:val="0"/>
            <w:vAlign w:val="center"/>
          </w:tcPr>
          <w:p w14:paraId="089F7B9A">
            <w:pPr>
              <w:widowControl w:val="0"/>
              <w:jc w:val="center"/>
              <w:rPr>
                <w:rFonts w:hint="eastAsia" w:ascii="宋体" w:hAnsi="宋体" w:eastAsia="宋体" w:cs="宋体"/>
                <w:color w:val="auto"/>
                <w:kern w:val="0"/>
                <w:sz w:val="21"/>
                <w:szCs w:val="21"/>
              </w:rPr>
            </w:pPr>
          </w:p>
        </w:tc>
      </w:tr>
      <w:tr w14:paraId="1ACAC759">
        <w:tblPrEx>
          <w:tblCellMar>
            <w:top w:w="0" w:type="dxa"/>
            <w:left w:w="108" w:type="dxa"/>
            <w:bottom w:w="0" w:type="dxa"/>
            <w:right w:w="108" w:type="dxa"/>
          </w:tblCellMar>
        </w:tblPrEx>
        <w:trPr>
          <w:trHeight w:val="342" w:hRule="atLeast"/>
        </w:trPr>
        <w:tc>
          <w:tcPr>
            <w:tcW w:w="372" w:type="pct"/>
            <w:tcBorders>
              <w:top w:val="nil"/>
              <w:left w:val="single" w:color="000000" w:sz="4" w:space="0"/>
              <w:bottom w:val="single" w:color="000000" w:sz="4" w:space="0"/>
              <w:right w:val="single" w:color="000000" w:sz="4" w:space="0"/>
            </w:tcBorders>
            <w:noWrap w:val="0"/>
            <w:vAlign w:val="center"/>
          </w:tcPr>
          <w:p w14:paraId="5D9BC0C3">
            <w:pPr>
              <w:widowControl w:val="0"/>
              <w:jc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47</w:t>
            </w:r>
          </w:p>
        </w:tc>
        <w:tc>
          <w:tcPr>
            <w:tcW w:w="804" w:type="pct"/>
            <w:tcBorders>
              <w:top w:val="nil"/>
              <w:left w:val="nil"/>
              <w:bottom w:val="single" w:color="000000" w:sz="4" w:space="0"/>
              <w:right w:val="single" w:color="000000" w:sz="4" w:space="0"/>
            </w:tcBorders>
            <w:noWrap w:val="0"/>
            <w:vAlign w:val="center"/>
          </w:tcPr>
          <w:p w14:paraId="01DA02C4">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防汛沙袋</w:t>
            </w:r>
          </w:p>
        </w:tc>
        <w:tc>
          <w:tcPr>
            <w:tcW w:w="1600" w:type="pct"/>
            <w:tcBorders>
              <w:top w:val="nil"/>
              <w:left w:val="nil"/>
              <w:bottom w:val="single" w:color="000000" w:sz="4" w:space="0"/>
              <w:right w:val="single" w:color="000000" w:sz="4" w:space="0"/>
            </w:tcBorders>
            <w:noWrap w:val="0"/>
            <w:vAlign w:val="center"/>
          </w:tcPr>
          <w:p w14:paraId="1259AE5C">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1.防汛期间使用砂袋，含材料运输、堆放至指定位置等所有费用，结算时不调整</w:t>
            </w:r>
          </w:p>
          <w:p w14:paraId="29524DE6">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2每袋不小于10公斤，塑料编织袋</w:t>
            </w:r>
          </w:p>
        </w:tc>
        <w:tc>
          <w:tcPr>
            <w:tcW w:w="496" w:type="pct"/>
            <w:tcBorders>
              <w:top w:val="nil"/>
              <w:left w:val="nil"/>
              <w:bottom w:val="single" w:color="000000" w:sz="4" w:space="0"/>
              <w:right w:val="single" w:color="000000" w:sz="4" w:space="0"/>
            </w:tcBorders>
            <w:noWrap w:val="0"/>
            <w:vAlign w:val="center"/>
          </w:tcPr>
          <w:p w14:paraId="37B16ED2">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个</w:t>
            </w:r>
          </w:p>
        </w:tc>
        <w:tc>
          <w:tcPr>
            <w:tcW w:w="619" w:type="pct"/>
            <w:tcBorders>
              <w:top w:val="nil"/>
              <w:left w:val="nil"/>
              <w:bottom w:val="single" w:color="000000" w:sz="4" w:space="0"/>
              <w:right w:val="single" w:color="000000" w:sz="4" w:space="0"/>
            </w:tcBorders>
            <w:noWrap w:val="0"/>
            <w:vAlign w:val="center"/>
          </w:tcPr>
          <w:p w14:paraId="0F2753F1">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3015</w:t>
            </w:r>
          </w:p>
        </w:tc>
        <w:tc>
          <w:tcPr>
            <w:tcW w:w="618" w:type="pct"/>
            <w:tcBorders>
              <w:top w:val="nil"/>
              <w:left w:val="nil"/>
              <w:bottom w:val="single" w:color="000000" w:sz="4" w:space="0"/>
              <w:right w:val="single" w:color="000000" w:sz="4" w:space="0"/>
            </w:tcBorders>
            <w:noWrap w:val="0"/>
            <w:vAlign w:val="center"/>
          </w:tcPr>
          <w:p w14:paraId="756617EA">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4.27</w:t>
            </w:r>
          </w:p>
        </w:tc>
        <w:tc>
          <w:tcPr>
            <w:tcW w:w="488" w:type="pct"/>
            <w:tcBorders>
              <w:top w:val="nil"/>
              <w:left w:val="nil"/>
              <w:bottom w:val="single" w:color="000000" w:sz="4" w:space="0"/>
              <w:right w:val="single" w:color="000000" w:sz="4" w:space="0"/>
            </w:tcBorders>
            <w:noWrap w:val="0"/>
            <w:vAlign w:val="center"/>
          </w:tcPr>
          <w:p w14:paraId="72493EC6">
            <w:pPr>
              <w:widowControl w:val="0"/>
              <w:jc w:val="center"/>
              <w:rPr>
                <w:rFonts w:hint="eastAsia" w:ascii="宋体" w:hAnsi="宋体" w:eastAsia="宋体" w:cs="宋体"/>
                <w:color w:val="auto"/>
                <w:kern w:val="0"/>
                <w:sz w:val="21"/>
                <w:szCs w:val="21"/>
              </w:rPr>
            </w:pPr>
          </w:p>
        </w:tc>
      </w:tr>
      <w:tr w14:paraId="40953976">
        <w:tblPrEx>
          <w:tblCellMar>
            <w:top w:w="0" w:type="dxa"/>
            <w:left w:w="108" w:type="dxa"/>
            <w:bottom w:w="0" w:type="dxa"/>
            <w:right w:w="108" w:type="dxa"/>
          </w:tblCellMar>
        </w:tblPrEx>
        <w:trPr>
          <w:trHeight w:val="919" w:hRule="atLeast"/>
        </w:trPr>
        <w:tc>
          <w:tcPr>
            <w:tcW w:w="372" w:type="pct"/>
            <w:tcBorders>
              <w:top w:val="nil"/>
              <w:left w:val="single" w:color="000000" w:sz="4" w:space="0"/>
              <w:bottom w:val="single" w:color="000000" w:sz="4" w:space="0"/>
              <w:right w:val="single" w:color="000000" w:sz="4" w:space="0"/>
            </w:tcBorders>
            <w:noWrap w:val="0"/>
            <w:vAlign w:val="center"/>
          </w:tcPr>
          <w:p w14:paraId="60C88A3F">
            <w:pPr>
              <w:widowControl w:val="0"/>
              <w:jc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48</w:t>
            </w:r>
          </w:p>
        </w:tc>
        <w:tc>
          <w:tcPr>
            <w:tcW w:w="804" w:type="pct"/>
            <w:tcBorders>
              <w:top w:val="nil"/>
              <w:left w:val="nil"/>
              <w:bottom w:val="single" w:color="000000" w:sz="4" w:space="0"/>
              <w:right w:val="single" w:color="000000" w:sz="4" w:space="0"/>
            </w:tcBorders>
            <w:noWrap w:val="0"/>
            <w:vAlign w:val="center"/>
          </w:tcPr>
          <w:p w14:paraId="118AC01F">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防水油布</w:t>
            </w:r>
          </w:p>
        </w:tc>
        <w:tc>
          <w:tcPr>
            <w:tcW w:w="1600" w:type="pct"/>
            <w:tcBorders>
              <w:top w:val="nil"/>
              <w:left w:val="nil"/>
              <w:bottom w:val="single" w:color="000000" w:sz="4" w:space="0"/>
              <w:right w:val="single" w:color="000000" w:sz="4" w:space="0"/>
            </w:tcBorders>
            <w:noWrap w:val="0"/>
            <w:vAlign w:val="center"/>
          </w:tcPr>
          <w:p w14:paraId="75E7CFC0">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用于材料、护坡等覆盖防冲刷等；</w:t>
            </w:r>
          </w:p>
        </w:tc>
        <w:tc>
          <w:tcPr>
            <w:tcW w:w="496" w:type="pct"/>
            <w:tcBorders>
              <w:top w:val="nil"/>
              <w:left w:val="nil"/>
              <w:bottom w:val="single" w:color="000000" w:sz="4" w:space="0"/>
              <w:right w:val="single" w:color="000000" w:sz="4" w:space="0"/>
            </w:tcBorders>
            <w:noWrap w:val="0"/>
            <w:vAlign w:val="center"/>
          </w:tcPr>
          <w:p w14:paraId="74BC7CB1">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m2</w:t>
            </w:r>
          </w:p>
        </w:tc>
        <w:tc>
          <w:tcPr>
            <w:tcW w:w="619" w:type="pct"/>
            <w:tcBorders>
              <w:top w:val="nil"/>
              <w:left w:val="nil"/>
              <w:bottom w:val="single" w:color="000000" w:sz="4" w:space="0"/>
              <w:right w:val="single" w:color="000000" w:sz="4" w:space="0"/>
            </w:tcBorders>
            <w:noWrap w:val="0"/>
            <w:vAlign w:val="center"/>
          </w:tcPr>
          <w:p w14:paraId="328314FC">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100.5</w:t>
            </w:r>
          </w:p>
        </w:tc>
        <w:tc>
          <w:tcPr>
            <w:tcW w:w="618" w:type="pct"/>
            <w:tcBorders>
              <w:top w:val="nil"/>
              <w:left w:val="nil"/>
              <w:bottom w:val="single" w:color="000000" w:sz="4" w:space="0"/>
              <w:right w:val="single" w:color="000000" w:sz="4" w:space="0"/>
            </w:tcBorders>
            <w:noWrap w:val="0"/>
            <w:vAlign w:val="center"/>
          </w:tcPr>
          <w:p w14:paraId="06DE64B5">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1.74</w:t>
            </w:r>
          </w:p>
        </w:tc>
        <w:tc>
          <w:tcPr>
            <w:tcW w:w="488" w:type="pct"/>
            <w:tcBorders>
              <w:top w:val="nil"/>
              <w:left w:val="nil"/>
              <w:bottom w:val="single" w:color="000000" w:sz="4" w:space="0"/>
              <w:right w:val="single" w:color="000000" w:sz="4" w:space="0"/>
            </w:tcBorders>
            <w:noWrap w:val="0"/>
            <w:vAlign w:val="center"/>
          </w:tcPr>
          <w:p w14:paraId="540B9827">
            <w:pPr>
              <w:widowControl w:val="0"/>
              <w:jc w:val="center"/>
              <w:rPr>
                <w:rFonts w:hint="eastAsia" w:ascii="宋体" w:hAnsi="宋体" w:eastAsia="宋体" w:cs="宋体"/>
                <w:color w:val="auto"/>
                <w:kern w:val="0"/>
                <w:sz w:val="21"/>
                <w:szCs w:val="21"/>
              </w:rPr>
            </w:pPr>
          </w:p>
        </w:tc>
      </w:tr>
      <w:tr w14:paraId="55FD3896">
        <w:tblPrEx>
          <w:tblCellMar>
            <w:top w:w="0" w:type="dxa"/>
            <w:left w:w="108" w:type="dxa"/>
            <w:bottom w:w="0" w:type="dxa"/>
            <w:right w:w="108" w:type="dxa"/>
          </w:tblCellMar>
        </w:tblPrEx>
        <w:trPr>
          <w:trHeight w:val="1125" w:hRule="atLeast"/>
        </w:trPr>
        <w:tc>
          <w:tcPr>
            <w:tcW w:w="372" w:type="pct"/>
            <w:tcBorders>
              <w:top w:val="nil"/>
              <w:left w:val="single" w:color="000000" w:sz="4" w:space="0"/>
              <w:bottom w:val="single" w:color="000000" w:sz="4" w:space="0"/>
              <w:right w:val="single" w:color="000000" w:sz="4" w:space="0"/>
            </w:tcBorders>
            <w:noWrap w:val="0"/>
            <w:vAlign w:val="center"/>
          </w:tcPr>
          <w:p w14:paraId="395DE077">
            <w:pPr>
              <w:widowControl w:val="0"/>
              <w:jc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49</w:t>
            </w:r>
          </w:p>
        </w:tc>
        <w:tc>
          <w:tcPr>
            <w:tcW w:w="804" w:type="pct"/>
            <w:tcBorders>
              <w:top w:val="nil"/>
              <w:left w:val="nil"/>
              <w:bottom w:val="single" w:color="000000" w:sz="4" w:space="0"/>
              <w:right w:val="single" w:color="000000" w:sz="4" w:space="0"/>
            </w:tcBorders>
            <w:noWrap w:val="0"/>
            <w:vAlign w:val="center"/>
          </w:tcPr>
          <w:p w14:paraId="04C20785">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防汛泵车排水</w:t>
            </w:r>
          </w:p>
        </w:tc>
        <w:tc>
          <w:tcPr>
            <w:tcW w:w="1600" w:type="pct"/>
            <w:tcBorders>
              <w:top w:val="nil"/>
              <w:left w:val="nil"/>
              <w:bottom w:val="single" w:color="000000" w:sz="4" w:space="0"/>
              <w:right w:val="single" w:color="000000" w:sz="4" w:space="0"/>
            </w:tcBorders>
            <w:noWrap w:val="0"/>
            <w:vAlign w:val="center"/>
          </w:tcPr>
          <w:p w14:paraId="1B30A071">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1、用于防汛等调排水（工程车配备30-50KW柴油发电机及7.5KW-18.5KW水泵）</w:t>
            </w:r>
          </w:p>
          <w:p w14:paraId="21E04489">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2、维护用工另计</w:t>
            </w:r>
          </w:p>
        </w:tc>
        <w:tc>
          <w:tcPr>
            <w:tcW w:w="496" w:type="pct"/>
            <w:tcBorders>
              <w:top w:val="nil"/>
              <w:left w:val="nil"/>
              <w:bottom w:val="single" w:color="000000" w:sz="4" w:space="0"/>
              <w:right w:val="single" w:color="000000" w:sz="4" w:space="0"/>
            </w:tcBorders>
            <w:noWrap w:val="0"/>
            <w:vAlign w:val="center"/>
          </w:tcPr>
          <w:p w14:paraId="71851A91">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台班</w:t>
            </w:r>
          </w:p>
        </w:tc>
        <w:tc>
          <w:tcPr>
            <w:tcW w:w="619" w:type="pct"/>
            <w:tcBorders>
              <w:top w:val="nil"/>
              <w:left w:val="nil"/>
              <w:bottom w:val="single" w:color="000000" w:sz="4" w:space="0"/>
              <w:right w:val="single" w:color="000000" w:sz="4" w:space="0"/>
            </w:tcBorders>
            <w:noWrap w:val="0"/>
            <w:vAlign w:val="center"/>
          </w:tcPr>
          <w:p w14:paraId="696D3B74">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20</w:t>
            </w:r>
          </w:p>
        </w:tc>
        <w:tc>
          <w:tcPr>
            <w:tcW w:w="618" w:type="pct"/>
            <w:tcBorders>
              <w:top w:val="nil"/>
              <w:left w:val="nil"/>
              <w:bottom w:val="single" w:color="000000" w:sz="4" w:space="0"/>
              <w:right w:val="single" w:color="000000" w:sz="4" w:space="0"/>
            </w:tcBorders>
            <w:noWrap w:val="0"/>
            <w:vAlign w:val="center"/>
          </w:tcPr>
          <w:p w14:paraId="1DD5AA5B">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1717.46</w:t>
            </w:r>
          </w:p>
        </w:tc>
        <w:tc>
          <w:tcPr>
            <w:tcW w:w="488" w:type="pct"/>
            <w:tcBorders>
              <w:top w:val="nil"/>
              <w:left w:val="nil"/>
              <w:bottom w:val="single" w:color="000000" w:sz="4" w:space="0"/>
              <w:right w:val="single" w:color="000000" w:sz="4" w:space="0"/>
            </w:tcBorders>
            <w:noWrap w:val="0"/>
            <w:vAlign w:val="center"/>
          </w:tcPr>
          <w:p w14:paraId="5834CD92">
            <w:pPr>
              <w:widowControl w:val="0"/>
              <w:jc w:val="center"/>
              <w:rPr>
                <w:rFonts w:hint="eastAsia" w:ascii="宋体" w:hAnsi="宋体" w:eastAsia="宋体" w:cs="宋体"/>
                <w:color w:val="auto"/>
                <w:kern w:val="0"/>
                <w:sz w:val="21"/>
                <w:szCs w:val="21"/>
              </w:rPr>
            </w:pPr>
          </w:p>
        </w:tc>
      </w:tr>
      <w:tr w14:paraId="0BC3FB1A">
        <w:tblPrEx>
          <w:tblCellMar>
            <w:top w:w="0" w:type="dxa"/>
            <w:left w:w="108" w:type="dxa"/>
            <w:bottom w:w="0" w:type="dxa"/>
            <w:right w:w="108" w:type="dxa"/>
          </w:tblCellMar>
        </w:tblPrEx>
        <w:trPr>
          <w:trHeight w:val="503" w:hRule="atLeast"/>
        </w:trPr>
        <w:tc>
          <w:tcPr>
            <w:tcW w:w="372" w:type="pct"/>
            <w:tcBorders>
              <w:top w:val="nil"/>
              <w:left w:val="single" w:color="000000" w:sz="4" w:space="0"/>
              <w:bottom w:val="single" w:color="000000" w:sz="4" w:space="0"/>
              <w:right w:val="single" w:color="000000" w:sz="4" w:space="0"/>
            </w:tcBorders>
            <w:noWrap w:val="0"/>
            <w:vAlign w:val="center"/>
          </w:tcPr>
          <w:p w14:paraId="6F0DA0C1">
            <w:pPr>
              <w:widowControl w:val="0"/>
              <w:jc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50</w:t>
            </w:r>
          </w:p>
        </w:tc>
        <w:tc>
          <w:tcPr>
            <w:tcW w:w="804" w:type="pct"/>
            <w:tcBorders>
              <w:top w:val="nil"/>
              <w:left w:val="nil"/>
              <w:bottom w:val="single" w:color="000000" w:sz="4" w:space="0"/>
              <w:right w:val="single" w:color="000000" w:sz="4" w:space="0"/>
            </w:tcBorders>
            <w:noWrap w:val="0"/>
            <w:vAlign w:val="center"/>
          </w:tcPr>
          <w:p w14:paraId="34BFF010">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零星排水</w:t>
            </w:r>
          </w:p>
        </w:tc>
        <w:tc>
          <w:tcPr>
            <w:tcW w:w="1600" w:type="pct"/>
            <w:tcBorders>
              <w:top w:val="nil"/>
              <w:left w:val="nil"/>
              <w:bottom w:val="single" w:color="000000" w:sz="4" w:space="0"/>
              <w:right w:val="single" w:color="000000" w:sz="4" w:space="0"/>
            </w:tcBorders>
            <w:noWrap w:val="0"/>
            <w:vAlign w:val="center"/>
          </w:tcPr>
          <w:p w14:paraId="3EB9BCC9">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1.用于防汛期间零星积水点应急排水</w:t>
            </w:r>
          </w:p>
          <w:p w14:paraId="628A97EA">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2.清水离心泵直径100mm</w:t>
            </w:r>
          </w:p>
          <w:p w14:paraId="49AA643C">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3.柴油发电机10-30KW</w:t>
            </w:r>
          </w:p>
          <w:p w14:paraId="7B64F066">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4.维护人工另计，结算时不调整</w:t>
            </w:r>
          </w:p>
        </w:tc>
        <w:tc>
          <w:tcPr>
            <w:tcW w:w="496" w:type="pct"/>
            <w:tcBorders>
              <w:top w:val="nil"/>
              <w:left w:val="nil"/>
              <w:bottom w:val="single" w:color="000000" w:sz="4" w:space="0"/>
              <w:right w:val="single" w:color="000000" w:sz="4" w:space="0"/>
            </w:tcBorders>
            <w:noWrap w:val="0"/>
            <w:vAlign w:val="center"/>
          </w:tcPr>
          <w:p w14:paraId="1E0E8CF6">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台班</w:t>
            </w:r>
          </w:p>
        </w:tc>
        <w:tc>
          <w:tcPr>
            <w:tcW w:w="619" w:type="pct"/>
            <w:tcBorders>
              <w:top w:val="nil"/>
              <w:left w:val="nil"/>
              <w:bottom w:val="single" w:color="000000" w:sz="4" w:space="0"/>
              <w:right w:val="single" w:color="000000" w:sz="4" w:space="0"/>
            </w:tcBorders>
            <w:noWrap w:val="0"/>
            <w:vAlign w:val="center"/>
          </w:tcPr>
          <w:p w14:paraId="29E88E59">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30</w:t>
            </w:r>
          </w:p>
        </w:tc>
        <w:tc>
          <w:tcPr>
            <w:tcW w:w="618" w:type="pct"/>
            <w:tcBorders>
              <w:top w:val="nil"/>
              <w:left w:val="nil"/>
              <w:bottom w:val="single" w:color="000000" w:sz="4" w:space="0"/>
              <w:right w:val="single" w:color="000000" w:sz="4" w:space="0"/>
            </w:tcBorders>
            <w:noWrap w:val="0"/>
            <w:vAlign w:val="center"/>
          </w:tcPr>
          <w:p w14:paraId="2FD03013">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236.5</w:t>
            </w:r>
          </w:p>
        </w:tc>
        <w:tc>
          <w:tcPr>
            <w:tcW w:w="488" w:type="pct"/>
            <w:tcBorders>
              <w:top w:val="nil"/>
              <w:left w:val="nil"/>
              <w:bottom w:val="single" w:color="000000" w:sz="4" w:space="0"/>
              <w:right w:val="single" w:color="000000" w:sz="4" w:space="0"/>
            </w:tcBorders>
            <w:noWrap w:val="0"/>
            <w:vAlign w:val="center"/>
          </w:tcPr>
          <w:p w14:paraId="1E155E0E">
            <w:pPr>
              <w:widowControl w:val="0"/>
              <w:jc w:val="center"/>
              <w:rPr>
                <w:rFonts w:hint="eastAsia" w:ascii="宋体" w:hAnsi="宋体" w:eastAsia="宋体" w:cs="宋体"/>
                <w:color w:val="auto"/>
                <w:kern w:val="0"/>
                <w:sz w:val="21"/>
                <w:szCs w:val="21"/>
              </w:rPr>
            </w:pPr>
          </w:p>
        </w:tc>
      </w:tr>
      <w:tr w14:paraId="1CCFCAFA">
        <w:tblPrEx>
          <w:tblCellMar>
            <w:top w:w="0" w:type="dxa"/>
            <w:left w:w="108" w:type="dxa"/>
            <w:bottom w:w="0" w:type="dxa"/>
            <w:right w:w="108" w:type="dxa"/>
          </w:tblCellMar>
        </w:tblPrEx>
        <w:trPr>
          <w:trHeight w:val="904" w:hRule="atLeast"/>
        </w:trPr>
        <w:tc>
          <w:tcPr>
            <w:tcW w:w="372" w:type="pct"/>
            <w:tcBorders>
              <w:top w:val="nil"/>
              <w:left w:val="single" w:color="000000" w:sz="4" w:space="0"/>
              <w:bottom w:val="single" w:color="000000" w:sz="4" w:space="0"/>
              <w:right w:val="single" w:color="000000" w:sz="4" w:space="0"/>
            </w:tcBorders>
            <w:noWrap w:val="0"/>
            <w:vAlign w:val="center"/>
          </w:tcPr>
          <w:p w14:paraId="2162F30C">
            <w:pPr>
              <w:widowControl w:val="0"/>
              <w:jc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51</w:t>
            </w:r>
          </w:p>
        </w:tc>
        <w:tc>
          <w:tcPr>
            <w:tcW w:w="804" w:type="pct"/>
            <w:tcBorders>
              <w:top w:val="nil"/>
              <w:left w:val="nil"/>
              <w:bottom w:val="single" w:color="000000" w:sz="4" w:space="0"/>
              <w:right w:val="single" w:color="000000" w:sz="4" w:space="0"/>
            </w:tcBorders>
            <w:noWrap w:val="0"/>
            <w:vAlign w:val="center"/>
          </w:tcPr>
          <w:p w14:paraId="415BB5D4">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150轮挖使用</w:t>
            </w:r>
          </w:p>
        </w:tc>
        <w:tc>
          <w:tcPr>
            <w:tcW w:w="1600" w:type="pct"/>
            <w:tcBorders>
              <w:top w:val="nil"/>
              <w:left w:val="nil"/>
              <w:bottom w:val="single" w:color="000000" w:sz="4" w:space="0"/>
              <w:right w:val="single" w:color="000000" w:sz="4" w:space="0"/>
            </w:tcBorders>
            <w:noWrap w:val="0"/>
            <w:vAlign w:val="center"/>
          </w:tcPr>
          <w:p w14:paraId="2024CA56">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1.用于防汛期间应急沟槽、基坑土方开挖等</w:t>
            </w:r>
          </w:p>
        </w:tc>
        <w:tc>
          <w:tcPr>
            <w:tcW w:w="496" w:type="pct"/>
            <w:tcBorders>
              <w:top w:val="nil"/>
              <w:left w:val="nil"/>
              <w:bottom w:val="single" w:color="000000" w:sz="4" w:space="0"/>
              <w:right w:val="single" w:color="000000" w:sz="4" w:space="0"/>
            </w:tcBorders>
            <w:noWrap w:val="0"/>
            <w:vAlign w:val="center"/>
          </w:tcPr>
          <w:p w14:paraId="0964E3DD">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台班</w:t>
            </w:r>
          </w:p>
        </w:tc>
        <w:tc>
          <w:tcPr>
            <w:tcW w:w="619" w:type="pct"/>
            <w:tcBorders>
              <w:top w:val="nil"/>
              <w:left w:val="nil"/>
              <w:bottom w:val="single" w:color="000000" w:sz="4" w:space="0"/>
              <w:right w:val="single" w:color="000000" w:sz="4" w:space="0"/>
            </w:tcBorders>
            <w:noWrap w:val="0"/>
            <w:vAlign w:val="center"/>
          </w:tcPr>
          <w:p w14:paraId="259B75D6">
            <w:pPr>
              <w:widowControl w:val="0"/>
              <w:jc w:val="left"/>
              <w:rPr>
                <w:rFonts w:hint="eastAsia" w:ascii="宋体" w:hAnsi="宋体" w:eastAsia="宋体" w:cs="宋体"/>
                <w:color w:val="auto"/>
                <w:kern w:val="0"/>
                <w:sz w:val="21"/>
                <w:szCs w:val="21"/>
                <w:lang w:eastAsia="zh-CN"/>
              </w:rPr>
            </w:pPr>
            <w:r>
              <w:rPr>
                <w:rFonts w:hint="eastAsia" w:ascii="宋体" w:hAnsi="宋体" w:cs="宋体"/>
                <w:color w:val="auto"/>
                <w:kern w:val="0"/>
                <w:sz w:val="21"/>
                <w:szCs w:val="21"/>
                <w:lang w:val="en-US" w:eastAsia="zh-CN"/>
              </w:rPr>
              <w:t>4</w:t>
            </w:r>
          </w:p>
        </w:tc>
        <w:tc>
          <w:tcPr>
            <w:tcW w:w="618" w:type="pct"/>
            <w:tcBorders>
              <w:top w:val="nil"/>
              <w:left w:val="nil"/>
              <w:bottom w:val="single" w:color="000000" w:sz="4" w:space="0"/>
              <w:right w:val="single" w:color="000000" w:sz="4" w:space="0"/>
            </w:tcBorders>
            <w:noWrap w:val="0"/>
            <w:vAlign w:val="center"/>
          </w:tcPr>
          <w:p w14:paraId="75793340">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799.01</w:t>
            </w:r>
          </w:p>
        </w:tc>
        <w:tc>
          <w:tcPr>
            <w:tcW w:w="488" w:type="pct"/>
            <w:tcBorders>
              <w:top w:val="nil"/>
              <w:left w:val="nil"/>
              <w:bottom w:val="single" w:color="000000" w:sz="4" w:space="0"/>
              <w:right w:val="single" w:color="000000" w:sz="4" w:space="0"/>
            </w:tcBorders>
            <w:noWrap w:val="0"/>
            <w:vAlign w:val="center"/>
          </w:tcPr>
          <w:p w14:paraId="5AF266C0">
            <w:pPr>
              <w:widowControl w:val="0"/>
              <w:jc w:val="center"/>
              <w:rPr>
                <w:rFonts w:hint="eastAsia" w:ascii="宋体" w:hAnsi="宋体" w:eastAsia="宋体" w:cs="宋体"/>
                <w:color w:val="auto"/>
                <w:kern w:val="0"/>
                <w:sz w:val="21"/>
                <w:szCs w:val="21"/>
              </w:rPr>
            </w:pPr>
          </w:p>
        </w:tc>
      </w:tr>
      <w:tr w14:paraId="5FD728A0">
        <w:tblPrEx>
          <w:tblCellMar>
            <w:top w:w="0" w:type="dxa"/>
            <w:left w:w="108" w:type="dxa"/>
            <w:bottom w:w="0" w:type="dxa"/>
            <w:right w:w="108" w:type="dxa"/>
          </w:tblCellMar>
        </w:tblPrEx>
        <w:trPr>
          <w:trHeight w:val="1125" w:hRule="atLeast"/>
        </w:trPr>
        <w:tc>
          <w:tcPr>
            <w:tcW w:w="372" w:type="pct"/>
            <w:tcBorders>
              <w:top w:val="nil"/>
              <w:left w:val="single" w:color="000000" w:sz="4" w:space="0"/>
              <w:bottom w:val="single" w:color="000000" w:sz="4" w:space="0"/>
              <w:right w:val="single" w:color="000000" w:sz="4" w:space="0"/>
            </w:tcBorders>
            <w:noWrap w:val="0"/>
            <w:vAlign w:val="center"/>
          </w:tcPr>
          <w:p w14:paraId="6B7F3BA6">
            <w:pPr>
              <w:widowControl w:val="0"/>
              <w:jc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52</w:t>
            </w:r>
          </w:p>
        </w:tc>
        <w:tc>
          <w:tcPr>
            <w:tcW w:w="804" w:type="pct"/>
            <w:tcBorders>
              <w:top w:val="nil"/>
              <w:left w:val="nil"/>
              <w:bottom w:val="single" w:color="000000" w:sz="4" w:space="0"/>
              <w:right w:val="single" w:color="000000" w:sz="4" w:space="0"/>
            </w:tcBorders>
            <w:noWrap w:val="0"/>
            <w:vAlign w:val="center"/>
          </w:tcPr>
          <w:p w14:paraId="5467A130">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带形基础</w:t>
            </w:r>
          </w:p>
        </w:tc>
        <w:tc>
          <w:tcPr>
            <w:tcW w:w="1600" w:type="pct"/>
            <w:tcBorders>
              <w:top w:val="nil"/>
              <w:left w:val="nil"/>
              <w:bottom w:val="single" w:color="000000" w:sz="4" w:space="0"/>
              <w:right w:val="single" w:color="000000" w:sz="4" w:space="0"/>
            </w:tcBorders>
            <w:noWrap w:val="0"/>
            <w:vAlign w:val="center"/>
          </w:tcPr>
          <w:p w14:paraId="34D02169">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1.混凝土强度等级：C30</w:t>
            </w:r>
          </w:p>
          <w:p w14:paraId="6F809A9E">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3.含模板安拆</w:t>
            </w:r>
          </w:p>
          <w:p w14:paraId="352B8BCA">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3.材料、机械运至施工现场及施工等所有费用</w:t>
            </w:r>
          </w:p>
        </w:tc>
        <w:tc>
          <w:tcPr>
            <w:tcW w:w="496" w:type="pct"/>
            <w:tcBorders>
              <w:top w:val="nil"/>
              <w:left w:val="nil"/>
              <w:bottom w:val="single" w:color="000000" w:sz="4" w:space="0"/>
              <w:right w:val="single" w:color="000000" w:sz="4" w:space="0"/>
            </w:tcBorders>
            <w:noWrap w:val="0"/>
            <w:vAlign w:val="center"/>
          </w:tcPr>
          <w:p w14:paraId="42EA22C2">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m3</w:t>
            </w:r>
          </w:p>
        </w:tc>
        <w:tc>
          <w:tcPr>
            <w:tcW w:w="619" w:type="pct"/>
            <w:tcBorders>
              <w:top w:val="nil"/>
              <w:left w:val="nil"/>
              <w:bottom w:val="single" w:color="000000" w:sz="4" w:space="0"/>
              <w:right w:val="single" w:color="000000" w:sz="4" w:space="0"/>
            </w:tcBorders>
            <w:noWrap w:val="0"/>
            <w:vAlign w:val="center"/>
          </w:tcPr>
          <w:p w14:paraId="0EADAFDD">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10.05</w:t>
            </w:r>
          </w:p>
        </w:tc>
        <w:tc>
          <w:tcPr>
            <w:tcW w:w="618" w:type="pct"/>
            <w:tcBorders>
              <w:top w:val="nil"/>
              <w:left w:val="nil"/>
              <w:bottom w:val="single" w:color="000000" w:sz="4" w:space="0"/>
              <w:right w:val="single" w:color="000000" w:sz="4" w:space="0"/>
            </w:tcBorders>
            <w:noWrap w:val="0"/>
            <w:vAlign w:val="center"/>
          </w:tcPr>
          <w:p w14:paraId="122A314F">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681.09</w:t>
            </w:r>
          </w:p>
        </w:tc>
        <w:tc>
          <w:tcPr>
            <w:tcW w:w="488" w:type="pct"/>
            <w:tcBorders>
              <w:top w:val="nil"/>
              <w:left w:val="nil"/>
              <w:bottom w:val="single" w:color="000000" w:sz="4" w:space="0"/>
              <w:right w:val="single" w:color="000000" w:sz="4" w:space="0"/>
            </w:tcBorders>
            <w:noWrap w:val="0"/>
            <w:vAlign w:val="center"/>
          </w:tcPr>
          <w:p w14:paraId="7B4C551F">
            <w:pPr>
              <w:widowControl w:val="0"/>
              <w:jc w:val="center"/>
              <w:rPr>
                <w:rFonts w:hint="eastAsia" w:ascii="宋体" w:hAnsi="宋体" w:eastAsia="宋体" w:cs="宋体"/>
                <w:color w:val="auto"/>
                <w:kern w:val="0"/>
                <w:sz w:val="21"/>
                <w:szCs w:val="21"/>
              </w:rPr>
            </w:pPr>
          </w:p>
        </w:tc>
      </w:tr>
      <w:tr w14:paraId="0E6F60CB">
        <w:tblPrEx>
          <w:tblCellMar>
            <w:top w:w="0" w:type="dxa"/>
            <w:left w:w="108" w:type="dxa"/>
            <w:bottom w:w="0" w:type="dxa"/>
            <w:right w:w="108" w:type="dxa"/>
          </w:tblCellMar>
        </w:tblPrEx>
        <w:trPr>
          <w:trHeight w:val="503" w:hRule="atLeast"/>
        </w:trPr>
        <w:tc>
          <w:tcPr>
            <w:tcW w:w="372" w:type="pct"/>
            <w:tcBorders>
              <w:top w:val="nil"/>
              <w:left w:val="single" w:color="000000" w:sz="4" w:space="0"/>
              <w:bottom w:val="single" w:color="000000" w:sz="4" w:space="0"/>
              <w:right w:val="single" w:color="000000" w:sz="4" w:space="0"/>
            </w:tcBorders>
            <w:noWrap w:val="0"/>
            <w:vAlign w:val="center"/>
          </w:tcPr>
          <w:p w14:paraId="1E2CCEE0">
            <w:pPr>
              <w:widowControl w:val="0"/>
              <w:jc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53</w:t>
            </w:r>
          </w:p>
        </w:tc>
        <w:tc>
          <w:tcPr>
            <w:tcW w:w="804" w:type="pct"/>
            <w:tcBorders>
              <w:top w:val="nil"/>
              <w:left w:val="nil"/>
              <w:bottom w:val="single" w:color="000000" w:sz="4" w:space="0"/>
              <w:right w:val="single" w:color="000000" w:sz="4" w:space="0"/>
            </w:tcBorders>
            <w:noWrap w:val="0"/>
            <w:vAlign w:val="center"/>
          </w:tcPr>
          <w:p w14:paraId="1C2D0685">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直形墙</w:t>
            </w:r>
          </w:p>
        </w:tc>
        <w:tc>
          <w:tcPr>
            <w:tcW w:w="1600" w:type="pct"/>
            <w:tcBorders>
              <w:top w:val="nil"/>
              <w:left w:val="nil"/>
              <w:bottom w:val="single" w:color="000000" w:sz="4" w:space="0"/>
              <w:right w:val="single" w:color="000000" w:sz="4" w:space="0"/>
            </w:tcBorders>
            <w:noWrap w:val="0"/>
            <w:vAlign w:val="center"/>
          </w:tcPr>
          <w:p w14:paraId="4C6875B7">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1.混凝土强度等级：C30</w:t>
            </w:r>
          </w:p>
          <w:p w14:paraId="184D65E5">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2.墙厚综合考虑</w:t>
            </w:r>
          </w:p>
          <w:p w14:paraId="2ADAD89F">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3.含模板安拆</w:t>
            </w:r>
          </w:p>
          <w:p w14:paraId="1FF1CE3C">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4.材料、机械运至施工现场及施工等所有费用</w:t>
            </w:r>
          </w:p>
        </w:tc>
        <w:tc>
          <w:tcPr>
            <w:tcW w:w="496" w:type="pct"/>
            <w:tcBorders>
              <w:top w:val="nil"/>
              <w:left w:val="nil"/>
              <w:bottom w:val="single" w:color="000000" w:sz="4" w:space="0"/>
              <w:right w:val="single" w:color="000000" w:sz="4" w:space="0"/>
            </w:tcBorders>
            <w:noWrap w:val="0"/>
            <w:vAlign w:val="center"/>
          </w:tcPr>
          <w:p w14:paraId="44A9D854">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m3</w:t>
            </w:r>
          </w:p>
        </w:tc>
        <w:tc>
          <w:tcPr>
            <w:tcW w:w="619" w:type="pct"/>
            <w:tcBorders>
              <w:top w:val="nil"/>
              <w:left w:val="nil"/>
              <w:bottom w:val="single" w:color="000000" w:sz="4" w:space="0"/>
              <w:right w:val="single" w:color="000000" w:sz="4" w:space="0"/>
            </w:tcBorders>
            <w:noWrap w:val="0"/>
            <w:vAlign w:val="center"/>
          </w:tcPr>
          <w:p w14:paraId="74253EF5">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6.7</w:t>
            </w:r>
          </w:p>
        </w:tc>
        <w:tc>
          <w:tcPr>
            <w:tcW w:w="618" w:type="pct"/>
            <w:tcBorders>
              <w:top w:val="nil"/>
              <w:left w:val="nil"/>
              <w:bottom w:val="single" w:color="000000" w:sz="4" w:space="0"/>
              <w:right w:val="single" w:color="000000" w:sz="4" w:space="0"/>
            </w:tcBorders>
            <w:noWrap w:val="0"/>
            <w:vAlign w:val="center"/>
          </w:tcPr>
          <w:p w14:paraId="151DC682">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921.51</w:t>
            </w:r>
          </w:p>
        </w:tc>
        <w:tc>
          <w:tcPr>
            <w:tcW w:w="488" w:type="pct"/>
            <w:tcBorders>
              <w:top w:val="nil"/>
              <w:left w:val="nil"/>
              <w:bottom w:val="single" w:color="000000" w:sz="4" w:space="0"/>
              <w:right w:val="single" w:color="000000" w:sz="4" w:space="0"/>
            </w:tcBorders>
            <w:noWrap w:val="0"/>
            <w:vAlign w:val="center"/>
          </w:tcPr>
          <w:p w14:paraId="4C6CBF76">
            <w:pPr>
              <w:widowControl w:val="0"/>
              <w:jc w:val="center"/>
              <w:rPr>
                <w:rFonts w:hint="eastAsia" w:ascii="宋体" w:hAnsi="宋体" w:eastAsia="宋体" w:cs="宋体"/>
                <w:color w:val="auto"/>
                <w:kern w:val="0"/>
                <w:sz w:val="21"/>
                <w:szCs w:val="21"/>
              </w:rPr>
            </w:pPr>
          </w:p>
        </w:tc>
      </w:tr>
      <w:tr w14:paraId="118AC42D">
        <w:tblPrEx>
          <w:tblCellMar>
            <w:top w:w="0" w:type="dxa"/>
            <w:left w:w="108" w:type="dxa"/>
            <w:bottom w:w="0" w:type="dxa"/>
            <w:right w:w="108" w:type="dxa"/>
          </w:tblCellMar>
        </w:tblPrEx>
        <w:trPr>
          <w:trHeight w:val="518" w:hRule="atLeast"/>
        </w:trPr>
        <w:tc>
          <w:tcPr>
            <w:tcW w:w="372" w:type="pct"/>
            <w:tcBorders>
              <w:top w:val="nil"/>
              <w:left w:val="single" w:color="000000" w:sz="4" w:space="0"/>
              <w:bottom w:val="single" w:color="000000" w:sz="4" w:space="0"/>
              <w:right w:val="single" w:color="000000" w:sz="4" w:space="0"/>
            </w:tcBorders>
            <w:noWrap w:val="0"/>
            <w:vAlign w:val="center"/>
          </w:tcPr>
          <w:p w14:paraId="2D48C482">
            <w:pPr>
              <w:widowControl w:val="0"/>
              <w:jc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54</w:t>
            </w:r>
          </w:p>
        </w:tc>
        <w:tc>
          <w:tcPr>
            <w:tcW w:w="804" w:type="pct"/>
            <w:tcBorders>
              <w:top w:val="nil"/>
              <w:left w:val="nil"/>
              <w:bottom w:val="single" w:color="000000" w:sz="4" w:space="0"/>
              <w:right w:val="single" w:color="000000" w:sz="4" w:space="0"/>
            </w:tcBorders>
            <w:noWrap w:val="0"/>
            <w:vAlign w:val="center"/>
          </w:tcPr>
          <w:p w14:paraId="075ED0D9">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现浇构件钢筋</w:t>
            </w:r>
          </w:p>
        </w:tc>
        <w:tc>
          <w:tcPr>
            <w:tcW w:w="1600" w:type="pct"/>
            <w:tcBorders>
              <w:top w:val="nil"/>
              <w:left w:val="nil"/>
              <w:bottom w:val="single" w:color="000000" w:sz="4" w:space="0"/>
              <w:right w:val="single" w:color="000000" w:sz="4" w:space="0"/>
            </w:tcBorders>
            <w:noWrap w:val="0"/>
            <w:vAlign w:val="center"/>
          </w:tcPr>
          <w:p w14:paraId="09FE377A">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现浇砼构件钢筋Φ≤12，含搭接、锚固、接头等</w:t>
            </w:r>
          </w:p>
        </w:tc>
        <w:tc>
          <w:tcPr>
            <w:tcW w:w="496" w:type="pct"/>
            <w:tcBorders>
              <w:top w:val="nil"/>
              <w:left w:val="nil"/>
              <w:bottom w:val="single" w:color="000000" w:sz="4" w:space="0"/>
              <w:right w:val="single" w:color="000000" w:sz="4" w:space="0"/>
            </w:tcBorders>
            <w:noWrap w:val="0"/>
            <w:vAlign w:val="center"/>
          </w:tcPr>
          <w:p w14:paraId="2C45EA25">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t</w:t>
            </w:r>
          </w:p>
        </w:tc>
        <w:tc>
          <w:tcPr>
            <w:tcW w:w="619" w:type="pct"/>
            <w:tcBorders>
              <w:top w:val="nil"/>
              <w:left w:val="nil"/>
              <w:bottom w:val="single" w:color="000000" w:sz="4" w:space="0"/>
              <w:right w:val="single" w:color="000000" w:sz="4" w:space="0"/>
            </w:tcBorders>
            <w:noWrap w:val="0"/>
            <w:vAlign w:val="center"/>
          </w:tcPr>
          <w:p w14:paraId="5A1C0FB1">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2.01</w:t>
            </w:r>
          </w:p>
        </w:tc>
        <w:tc>
          <w:tcPr>
            <w:tcW w:w="618" w:type="pct"/>
            <w:tcBorders>
              <w:top w:val="nil"/>
              <w:left w:val="nil"/>
              <w:bottom w:val="single" w:color="000000" w:sz="4" w:space="0"/>
              <w:right w:val="single" w:color="000000" w:sz="4" w:space="0"/>
            </w:tcBorders>
            <w:noWrap w:val="0"/>
            <w:vAlign w:val="center"/>
          </w:tcPr>
          <w:p w14:paraId="5B761468">
            <w:pPr>
              <w:keepNext w:val="0"/>
              <w:keepLines w:val="0"/>
              <w:widowControl/>
              <w:suppressLineNumbers w:val="0"/>
              <w:jc w:val="center"/>
              <w:textAlignment w:val="center"/>
              <w:rPr>
                <w:rFonts w:hint="eastAsia" w:ascii="宋体" w:hAnsi="宋体" w:eastAsia="宋体" w:cs="宋体"/>
                <w:color w:val="auto"/>
                <w:kern w:val="0"/>
                <w:sz w:val="21"/>
                <w:szCs w:val="21"/>
              </w:rPr>
            </w:pPr>
            <w:r>
              <w:rPr>
                <w:rFonts w:hint="eastAsia" w:ascii="宋体" w:hAnsi="宋体" w:cs="宋体"/>
                <w:i w:val="0"/>
                <w:iCs w:val="0"/>
                <w:color w:val="auto"/>
                <w:kern w:val="0"/>
                <w:sz w:val="18"/>
                <w:szCs w:val="18"/>
                <w:u w:val="none"/>
                <w:lang w:val="en-US" w:eastAsia="zh-CN" w:bidi="ar"/>
              </w:rPr>
              <w:t>6587.68</w:t>
            </w:r>
            <w:r>
              <w:rPr>
                <w:rFonts w:hint="eastAsia" w:ascii="宋体" w:hAnsi="宋体" w:eastAsia="宋体" w:cs="宋体"/>
                <w:i w:val="0"/>
                <w:iCs w:val="0"/>
                <w:color w:val="auto"/>
                <w:kern w:val="0"/>
                <w:sz w:val="18"/>
                <w:szCs w:val="18"/>
                <w:u w:val="none"/>
                <w:lang w:val="en-US" w:eastAsia="zh-CN" w:bidi="ar"/>
              </w:rPr>
              <w:t xml:space="preserve"> </w:t>
            </w:r>
          </w:p>
        </w:tc>
        <w:tc>
          <w:tcPr>
            <w:tcW w:w="488" w:type="pct"/>
            <w:tcBorders>
              <w:top w:val="nil"/>
              <w:left w:val="nil"/>
              <w:bottom w:val="single" w:color="000000" w:sz="4" w:space="0"/>
              <w:right w:val="single" w:color="000000" w:sz="4" w:space="0"/>
            </w:tcBorders>
            <w:noWrap w:val="0"/>
            <w:vAlign w:val="center"/>
          </w:tcPr>
          <w:p w14:paraId="586DBAF8">
            <w:pPr>
              <w:widowControl w:val="0"/>
              <w:jc w:val="center"/>
              <w:rPr>
                <w:rFonts w:hint="eastAsia" w:ascii="宋体" w:hAnsi="宋体" w:eastAsia="宋体" w:cs="宋体"/>
                <w:color w:val="auto"/>
                <w:kern w:val="0"/>
                <w:sz w:val="21"/>
                <w:szCs w:val="21"/>
              </w:rPr>
            </w:pPr>
          </w:p>
        </w:tc>
      </w:tr>
      <w:tr w14:paraId="4097A2E4">
        <w:tblPrEx>
          <w:tblCellMar>
            <w:top w:w="0" w:type="dxa"/>
            <w:left w:w="108" w:type="dxa"/>
            <w:bottom w:w="0" w:type="dxa"/>
            <w:right w:w="108" w:type="dxa"/>
          </w:tblCellMar>
        </w:tblPrEx>
        <w:trPr>
          <w:trHeight w:val="1110" w:hRule="atLeast"/>
        </w:trPr>
        <w:tc>
          <w:tcPr>
            <w:tcW w:w="372" w:type="pct"/>
            <w:tcBorders>
              <w:top w:val="nil"/>
              <w:left w:val="single" w:color="000000" w:sz="4" w:space="0"/>
              <w:bottom w:val="single" w:color="000000" w:sz="4" w:space="0"/>
              <w:right w:val="single" w:color="000000" w:sz="4" w:space="0"/>
            </w:tcBorders>
            <w:noWrap w:val="0"/>
            <w:vAlign w:val="center"/>
          </w:tcPr>
          <w:p w14:paraId="5864571B">
            <w:pPr>
              <w:widowControl w:val="0"/>
              <w:jc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55</w:t>
            </w:r>
          </w:p>
        </w:tc>
        <w:tc>
          <w:tcPr>
            <w:tcW w:w="804" w:type="pct"/>
            <w:tcBorders>
              <w:top w:val="nil"/>
              <w:left w:val="nil"/>
              <w:bottom w:val="single" w:color="000000" w:sz="4" w:space="0"/>
              <w:right w:val="single" w:color="000000" w:sz="4" w:space="0"/>
            </w:tcBorders>
            <w:noWrap w:val="0"/>
            <w:vAlign w:val="center"/>
          </w:tcPr>
          <w:p w14:paraId="1DEA2341">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现浇构件钢筋</w:t>
            </w:r>
          </w:p>
        </w:tc>
        <w:tc>
          <w:tcPr>
            <w:tcW w:w="1600" w:type="pct"/>
            <w:tcBorders>
              <w:top w:val="nil"/>
              <w:left w:val="nil"/>
              <w:bottom w:val="single" w:color="000000" w:sz="4" w:space="0"/>
              <w:right w:val="single" w:color="000000" w:sz="4" w:space="0"/>
            </w:tcBorders>
            <w:noWrap w:val="0"/>
            <w:vAlign w:val="center"/>
          </w:tcPr>
          <w:p w14:paraId="669B6714">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现浇砼构件钢筋Φ≤25，含搭接、锚固、接头等</w:t>
            </w:r>
          </w:p>
        </w:tc>
        <w:tc>
          <w:tcPr>
            <w:tcW w:w="496" w:type="pct"/>
            <w:tcBorders>
              <w:top w:val="nil"/>
              <w:left w:val="nil"/>
              <w:bottom w:val="single" w:color="000000" w:sz="4" w:space="0"/>
              <w:right w:val="single" w:color="000000" w:sz="4" w:space="0"/>
            </w:tcBorders>
            <w:noWrap w:val="0"/>
            <w:vAlign w:val="center"/>
          </w:tcPr>
          <w:p w14:paraId="6546DCB8">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t</w:t>
            </w:r>
          </w:p>
        </w:tc>
        <w:tc>
          <w:tcPr>
            <w:tcW w:w="619" w:type="pct"/>
            <w:tcBorders>
              <w:top w:val="nil"/>
              <w:left w:val="nil"/>
              <w:bottom w:val="single" w:color="000000" w:sz="4" w:space="0"/>
              <w:right w:val="single" w:color="000000" w:sz="4" w:space="0"/>
            </w:tcBorders>
            <w:noWrap w:val="0"/>
            <w:vAlign w:val="center"/>
          </w:tcPr>
          <w:p w14:paraId="7E4F21A5">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1.01</w:t>
            </w:r>
          </w:p>
        </w:tc>
        <w:tc>
          <w:tcPr>
            <w:tcW w:w="618" w:type="pct"/>
            <w:tcBorders>
              <w:top w:val="nil"/>
              <w:left w:val="nil"/>
              <w:bottom w:val="single" w:color="000000" w:sz="4" w:space="0"/>
              <w:right w:val="single" w:color="000000" w:sz="4" w:space="0"/>
            </w:tcBorders>
            <w:noWrap w:val="0"/>
            <w:vAlign w:val="center"/>
          </w:tcPr>
          <w:p w14:paraId="45C3C2C7">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5773.75</w:t>
            </w:r>
          </w:p>
        </w:tc>
        <w:tc>
          <w:tcPr>
            <w:tcW w:w="488" w:type="pct"/>
            <w:tcBorders>
              <w:top w:val="nil"/>
              <w:left w:val="nil"/>
              <w:bottom w:val="single" w:color="000000" w:sz="4" w:space="0"/>
              <w:right w:val="single" w:color="000000" w:sz="4" w:space="0"/>
            </w:tcBorders>
            <w:noWrap w:val="0"/>
            <w:vAlign w:val="center"/>
          </w:tcPr>
          <w:p w14:paraId="4DE49804">
            <w:pPr>
              <w:widowControl w:val="0"/>
              <w:jc w:val="center"/>
              <w:rPr>
                <w:rFonts w:hint="eastAsia" w:ascii="宋体" w:hAnsi="宋体" w:eastAsia="宋体" w:cs="宋体"/>
                <w:color w:val="auto"/>
                <w:kern w:val="0"/>
                <w:sz w:val="21"/>
                <w:szCs w:val="21"/>
              </w:rPr>
            </w:pPr>
          </w:p>
        </w:tc>
      </w:tr>
      <w:tr w14:paraId="341B8734">
        <w:tblPrEx>
          <w:tblCellMar>
            <w:top w:w="0" w:type="dxa"/>
            <w:left w:w="108" w:type="dxa"/>
            <w:bottom w:w="0" w:type="dxa"/>
            <w:right w:w="108" w:type="dxa"/>
          </w:tblCellMar>
        </w:tblPrEx>
        <w:trPr>
          <w:trHeight w:val="1125" w:hRule="atLeast"/>
        </w:trPr>
        <w:tc>
          <w:tcPr>
            <w:tcW w:w="372" w:type="pct"/>
            <w:tcBorders>
              <w:top w:val="nil"/>
              <w:left w:val="single" w:color="000000" w:sz="4" w:space="0"/>
              <w:bottom w:val="single" w:color="000000" w:sz="4" w:space="0"/>
              <w:right w:val="single" w:color="000000" w:sz="4" w:space="0"/>
            </w:tcBorders>
            <w:noWrap w:val="0"/>
            <w:vAlign w:val="center"/>
          </w:tcPr>
          <w:p w14:paraId="78ABD644">
            <w:pPr>
              <w:widowControl w:val="0"/>
              <w:jc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56</w:t>
            </w:r>
          </w:p>
        </w:tc>
        <w:tc>
          <w:tcPr>
            <w:tcW w:w="804" w:type="pct"/>
            <w:tcBorders>
              <w:top w:val="nil"/>
              <w:left w:val="nil"/>
              <w:bottom w:val="single" w:color="000000" w:sz="4" w:space="0"/>
              <w:right w:val="single" w:color="000000" w:sz="4" w:space="0"/>
            </w:tcBorders>
            <w:noWrap w:val="0"/>
            <w:vAlign w:val="center"/>
          </w:tcPr>
          <w:p w14:paraId="7B2E06A9">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挖沟槽土方</w:t>
            </w:r>
          </w:p>
        </w:tc>
        <w:tc>
          <w:tcPr>
            <w:tcW w:w="1600" w:type="pct"/>
            <w:tcBorders>
              <w:top w:val="nil"/>
              <w:left w:val="nil"/>
              <w:bottom w:val="single" w:color="000000" w:sz="4" w:space="0"/>
              <w:right w:val="single" w:color="000000" w:sz="4" w:space="0"/>
            </w:tcBorders>
            <w:noWrap w:val="0"/>
            <w:vAlign w:val="center"/>
          </w:tcPr>
          <w:p w14:paraId="2E3D8AF0">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挖沟槽土方</w:t>
            </w:r>
          </w:p>
          <w:p w14:paraId="57E59723">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1.土壤类别:投标人自行踏勘现场，报价综合考虑</w:t>
            </w:r>
          </w:p>
          <w:p w14:paraId="12927E88">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2.挖土深度:根据项目情况，报价综合考虑</w:t>
            </w:r>
          </w:p>
        </w:tc>
        <w:tc>
          <w:tcPr>
            <w:tcW w:w="496" w:type="pct"/>
            <w:tcBorders>
              <w:top w:val="nil"/>
              <w:left w:val="nil"/>
              <w:bottom w:val="single" w:color="000000" w:sz="4" w:space="0"/>
              <w:right w:val="single" w:color="000000" w:sz="4" w:space="0"/>
            </w:tcBorders>
            <w:noWrap w:val="0"/>
            <w:vAlign w:val="center"/>
          </w:tcPr>
          <w:p w14:paraId="401F01D4">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m3</w:t>
            </w:r>
          </w:p>
        </w:tc>
        <w:tc>
          <w:tcPr>
            <w:tcW w:w="619" w:type="pct"/>
            <w:tcBorders>
              <w:top w:val="nil"/>
              <w:left w:val="nil"/>
              <w:bottom w:val="single" w:color="000000" w:sz="4" w:space="0"/>
              <w:right w:val="single" w:color="000000" w:sz="4" w:space="0"/>
            </w:tcBorders>
            <w:noWrap w:val="0"/>
            <w:vAlign w:val="center"/>
          </w:tcPr>
          <w:p w14:paraId="00F9D167">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67</w:t>
            </w:r>
          </w:p>
        </w:tc>
        <w:tc>
          <w:tcPr>
            <w:tcW w:w="618" w:type="pct"/>
            <w:tcBorders>
              <w:top w:val="nil"/>
              <w:left w:val="nil"/>
              <w:bottom w:val="single" w:color="000000" w:sz="4" w:space="0"/>
              <w:right w:val="single" w:color="000000" w:sz="4" w:space="0"/>
            </w:tcBorders>
            <w:noWrap w:val="0"/>
            <w:vAlign w:val="center"/>
          </w:tcPr>
          <w:p w14:paraId="25B81C0B">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21.59</w:t>
            </w:r>
          </w:p>
        </w:tc>
        <w:tc>
          <w:tcPr>
            <w:tcW w:w="488" w:type="pct"/>
            <w:tcBorders>
              <w:top w:val="nil"/>
              <w:left w:val="nil"/>
              <w:bottom w:val="single" w:color="000000" w:sz="4" w:space="0"/>
              <w:right w:val="single" w:color="000000" w:sz="4" w:space="0"/>
            </w:tcBorders>
            <w:noWrap w:val="0"/>
            <w:vAlign w:val="center"/>
          </w:tcPr>
          <w:p w14:paraId="7D1EBA06">
            <w:pPr>
              <w:widowControl w:val="0"/>
              <w:jc w:val="center"/>
              <w:rPr>
                <w:rFonts w:hint="eastAsia" w:ascii="宋体" w:hAnsi="宋体" w:eastAsia="宋体" w:cs="宋体"/>
                <w:color w:val="auto"/>
                <w:kern w:val="0"/>
                <w:sz w:val="21"/>
                <w:szCs w:val="21"/>
              </w:rPr>
            </w:pPr>
          </w:p>
        </w:tc>
      </w:tr>
      <w:tr w14:paraId="77F10208">
        <w:tblPrEx>
          <w:tblCellMar>
            <w:top w:w="0" w:type="dxa"/>
            <w:left w:w="108" w:type="dxa"/>
            <w:bottom w:w="0" w:type="dxa"/>
            <w:right w:w="108" w:type="dxa"/>
          </w:tblCellMar>
        </w:tblPrEx>
        <w:trPr>
          <w:trHeight w:val="1110" w:hRule="atLeast"/>
        </w:trPr>
        <w:tc>
          <w:tcPr>
            <w:tcW w:w="372" w:type="pct"/>
            <w:tcBorders>
              <w:top w:val="nil"/>
              <w:left w:val="single" w:color="000000" w:sz="4" w:space="0"/>
              <w:bottom w:val="single" w:color="000000" w:sz="4" w:space="0"/>
              <w:right w:val="single" w:color="000000" w:sz="4" w:space="0"/>
            </w:tcBorders>
            <w:noWrap w:val="0"/>
            <w:vAlign w:val="center"/>
          </w:tcPr>
          <w:p w14:paraId="31B84E38">
            <w:pPr>
              <w:widowControl w:val="0"/>
              <w:jc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57</w:t>
            </w:r>
          </w:p>
        </w:tc>
        <w:tc>
          <w:tcPr>
            <w:tcW w:w="804" w:type="pct"/>
            <w:tcBorders>
              <w:top w:val="nil"/>
              <w:left w:val="nil"/>
              <w:bottom w:val="single" w:color="000000" w:sz="4" w:space="0"/>
              <w:right w:val="single" w:color="000000" w:sz="4" w:space="0"/>
            </w:tcBorders>
            <w:noWrap w:val="0"/>
            <w:vAlign w:val="center"/>
          </w:tcPr>
          <w:p w14:paraId="3E120F38">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挖基坑土方</w:t>
            </w:r>
          </w:p>
        </w:tc>
        <w:tc>
          <w:tcPr>
            <w:tcW w:w="1600" w:type="pct"/>
            <w:tcBorders>
              <w:top w:val="nil"/>
              <w:left w:val="nil"/>
              <w:bottom w:val="single" w:color="000000" w:sz="4" w:space="0"/>
              <w:right w:val="single" w:color="000000" w:sz="4" w:space="0"/>
            </w:tcBorders>
            <w:noWrap w:val="0"/>
            <w:vAlign w:val="center"/>
          </w:tcPr>
          <w:p w14:paraId="21D99671">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挖基坑土方</w:t>
            </w:r>
          </w:p>
          <w:p w14:paraId="05F7BA0C">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1.土壤类别:投标人自行踏勘现场，报价综合考虑</w:t>
            </w:r>
          </w:p>
          <w:p w14:paraId="6A87071C">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2.挖土深度:根据项目情况，报价综合考虑</w:t>
            </w:r>
          </w:p>
        </w:tc>
        <w:tc>
          <w:tcPr>
            <w:tcW w:w="496" w:type="pct"/>
            <w:tcBorders>
              <w:top w:val="nil"/>
              <w:left w:val="nil"/>
              <w:bottom w:val="single" w:color="000000" w:sz="4" w:space="0"/>
              <w:right w:val="single" w:color="000000" w:sz="4" w:space="0"/>
            </w:tcBorders>
            <w:noWrap w:val="0"/>
            <w:vAlign w:val="center"/>
          </w:tcPr>
          <w:p w14:paraId="59E4D999">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m3</w:t>
            </w:r>
          </w:p>
        </w:tc>
        <w:tc>
          <w:tcPr>
            <w:tcW w:w="619" w:type="pct"/>
            <w:tcBorders>
              <w:top w:val="nil"/>
              <w:left w:val="nil"/>
              <w:bottom w:val="single" w:color="000000" w:sz="4" w:space="0"/>
              <w:right w:val="single" w:color="000000" w:sz="4" w:space="0"/>
            </w:tcBorders>
            <w:noWrap w:val="0"/>
            <w:vAlign w:val="center"/>
          </w:tcPr>
          <w:p w14:paraId="7740C2EA">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67</w:t>
            </w:r>
          </w:p>
        </w:tc>
        <w:tc>
          <w:tcPr>
            <w:tcW w:w="618" w:type="pct"/>
            <w:tcBorders>
              <w:top w:val="nil"/>
              <w:left w:val="nil"/>
              <w:bottom w:val="single" w:color="000000" w:sz="4" w:space="0"/>
              <w:right w:val="single" w:color="000000" w:sz="4" w:space="0"/>
            </w:tcBorders>
            <w:noWrap w:val="0"/>
            <w:vAlign w:val="center"/>
          </w:tcPr>
          <w:p w14:paraId="170CF9FB">
            <w:pPr>
              <w:keepNext w:val="0"/>
              <w:keepLines w:val="0"/>
              <w:widowControl/>
              <w:suppressLineNumbers w:val="0"/>
              <w:jc w:val="center"/>
              <w:textAlignment w:val="center"/>
              <w:rPr>
                <w:rFonts w:hint="eastAsia" w:ascii="宋体" w:hAnsi="宋体" w:eastAsia="宋体" w:cs="宋体"/>
                <w:color w:val="auto"/>
                <w:kern w:val="0"/>
                <w:sz w:val="21"/>
                <w:szCs w:val="21"/>
              </w:rPr>
            </w:pPr>
            <w:r>
              <w:rPr>
                <w:rFonts w:hint="eastAsia" w:ascii="宋体" w:hAnsi="宋体" w:cs="宋体"/>
                <w:i w:val="0"/>
                <w:iCs w:val="0"/>
                <w:color w:val="auto"/>
                <w:kern w:val="0"/>
                <w:sz w:val="18"/>
                <w:szCs w:val="18"/>
                <w:u w:val="none"/>
                <w:lang w:val="en-US" w:eastAsia="zh-CN" w:bidi="ar"/>
              </w:rPr>
              <w:t>26.23</w:t>
            </w:r>
            <w:r>
              <w:rPr>
                <w:rFonts w:hint="eastAsia" w:ascii="宋体" w:hAnsi="宋体" w:eastAsia="宋体" w:cs="宋体"/>
                <w:i w:val="0"/>
                <w:iCs w:val="0"/>
                <w:color w:val="auto"/>
                <w:kern w:val="0"/>
                <w:sz w:val="18"/>
                <w:szCs w:val="18"/>
                <w:u w:val="none"/>
                <w:lang w:val="en-US" w:eastAsia="zh-CN" w:bidi="ar"/>
              </w:rPr>
              <w:t xml:space="preserve"> </w:t>
            </w:r>
          </w:p>
        </w:tc>
        <w:tc>
          <w:tcPr>
            <w:tcW w:w="488" w:type="pct"/>
            <w:tcBorders>
              <w:top w:val="nil"/>
              <w:left w:val="nil"/>
              <w:bottom w:val="single" w:color="000000" w:sz="4" w:space="0"/>
              <w:right w:val="single" w:color="000000" w:sz="4" w:space="0"/>
            </w:tcBorders>
            <w:noWrap w:val="0"/>
            <w:vAlign w:val="center"/>
          </w:tcPr>
          <w:p w14:paraId="443B89A1">
            <w:pPr>
              <w:widowControl w:val="0"/>
              <w:jc w:val="center"/>
              <w:rPr>
                <w:rFonts w:hint="eastAsia" w:ascii="宋体" w:hAnsi="宋体" w:eastAsia="宋体" w:cs="宋体"/>
                <w:color w:val="auto"/>
                <w:kern w:val="0"/>
                <w:sz w:val="21"/>
                <w:szCs w:val="21"/>
              </w:rPr>
            </w:pPr>
          </w:p>
        </w:tc>
      </w:tr>
      <w:tr w14:paraId="421A10C3">
        <w:tblPrEx>
          <w:tblCellMar>
            <w:top w:w="0" w:type="dxa"/>
            <w:left w:w="108" w:type="dxa"/>
            <w:bottom w:w="0" w:type="dxa"/>
            <w:right w:w="108" w:type="dxa"/>
          </w:tblCellMar>
        </w:tblPrEx>
        <w:trPr>
          <w:trHeight w:val="1125" w:hRule="atLeast"/>
        </w:trPr>
        <w:tc>
          <w:tcPr>
            <w:tcW w:w="372" w:type="pct"/>
            <w:tcBorders>
              <w:top w:val="nil"/>
              <w:left w:val="single" w:color="000000" w:sz="4" w:space="0"/>
              <w:bottom w:val="single" w:color="000000" w:sz="4" w:space="0"/>
              <w:right w:val="single" w:color="000000" w:sz="4" w:space="0"/>
            </w:tcBorders>
            <w:noWrap w:val="0"/>
            <w:vAlign w:val="center"/>
          </w:tcPr>
          <w:p w14:paraId="2998609F">
            <w:pPr>
              <w:widowControl w:val="0"/>
              <w:jc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58</w:t>
            </w:r>
          </w:p>
        </w:tc>
        <w:tc>
          <w:tcPr>
            <w:tcW w:w="804" w:type="pct"/>
            <w:tcBorders>
              <w:top w:val="nil"/>
              <w:left w:val="nil"/>
              <w:bottom w:val="single" w:color="000000" w:sz="4" w:space="0"/>
              <w:right w:val="single" w:color="000000" w:sz="4" w:space="0"/>
            </w:tcBorders>
            <w:noWrap w:val="0"/>
            <w:vAlign w:val="center"/>
          </w:tcPr>
          <w:p w14:paraId="0742CA85">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回填土</w:t>
            </w:r>
          </w:p>
        </w:tc>
        <w:tc>
          <w:tcPr>
            <w:tcW w:w="1600" w:type="pct"/>
            <w:tcBorders>
              <w:top w:val="nil"/>
              <w:left w:val="nil"/>
              <w:bottom w:val="single" w:color="000000" w:sz="4" w:space="0"/>
              <w:right w:val="single" w:color="000000" w:sz="4" w:space="0"/>
            </w:tcBorders>
            <w:noWrap w:val="0"/>
            <w:vAlign w:val="center"/>
          </w:tcPr>
          <w:p w14:paraId="4CEFB344">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1.回填土、密实度要求：满足规范要求</w:t>
            </w:r>
          </w:p>
          <w:p w14:paraId="553BF864">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2.填方来源、</w:t>
            </w:r>
            <w:r>
              <w:rPr>
                <w:rFonts w:hint="eastAsia" w:ascii="宋体" w:hAnsi="宋体" w:eastAsia="宋体" w:cs="宋体"/>
                <w:color w:val="auto"/>
                <w:kern w:val="0"/>
                <w:sz w:val="21"/>
                <w:szCs w:val="21"/>
                <w:lang w:val="en-US" w:eastAsia="zh-CN"/>
              </w:rPr>
              <w:t>4</w:t>
            </w:r>
            <w:r>
              <w:rPr>
                <w:rFonts w:hint="eastAsia" w:ascii="宋体" w:hAnsi="宋体" w:eastAsia="宋体" w:cs="宋体"/>
                <w:color w:val="auto"/>
                <w:kern w:val="0"/>
                <w:sz w:val="21"/>
                <w:szCs w:val="21"/>
              </w:rPr>
              <w:t>运距：投标人自行考虑，结算时不调整</w:t>
            </w:r>
          </w:p>
          <w:p w14:paraId="4D2E6112">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3.其他:分层压实，满足规范要求</w:t>
            </w:r>
          </w:p>
        </w:tc>
        <w:tc>
          <w:tcPr>
            <w:tcW w:w="496" w:type="pct"/>
            <w:tcBorders>
              <w:top w:val="nil"/>
              <w:left w:val="nil"/>
              <w:bottom w:val="single" w:color="000000" w:sz="4" w:space="0"/>
              <w:right w:val="single" w:color="000000" w:sz="4" w:space="0"/>
            </w:tcBorders>
            <w:noWrap w:val="0"/>
            <w:vAlign w:val="center"/>
          </w:tcPr>
          <w:p w14:paraId="717183F7">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m3</w:t>
            </w:r>
          </w:p>
        </w:tc>
        <w:tc>
          <w:tcPr>
            <w:tcW w:w="619" w:type="pct"/>
            <w:tcBorders>
              <w:top w:val="nil"/>
              <w:left w:val="nil"/>
              <w:bottom w:val="single" w:color="000000" w:sz="4" w:space="0"/>
              <w:right w:val="single" w:color="000000" w:sz="4" w:space="0"/>
            </w:tcBorders>
            <w:noWrap w:val="0"/>
            <w:vAlign w:val="center"/>
          </w:tcPr>
          <w:p w14:paraId="61095840">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16.75</w:t>
            </w:r>
          </w:p>
        </w:tc>
        <w:tc>
          <w:tcPr>
            <w:tcW w:w="618" w:type="pct"/>
            <w:tcBorders>
              <w:top w:val="nil"/>
              <w:left w:val="nil"/>
              <w:bottom w:val="single" w:color="000000" w:sz="4" w:space="0"/>
              <w:right w:val="single" w:color="000000" w:sz="4" w:space="0"/>
            </w:tcBorders>
            <w:noWrap w:val="0"/>
            <w:vAlign w:val="center"/>
          </w:tcPr>
          <w:p w14:paraId="7BF10137">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41.62</w:t>
            </w:r>
          </w:p>
        </w:tc>
        <w:tc>
          <w:tcPr>
            <w:tcW w:w="488" w:type="pct"/>
            <w:tcBorders>
              <w:top w:val="nil"/>
              <w:left w:val="nil"/>
              <w:bottom w:val="single" w:color="000000" w:sz="4" w:space="0"/>
              <w:right w:val="single" w:color="000000" w:sz="4" w:space="0"/>
            </w:tcBorders>
            <w:noWrap w:val="0"/>
            <w:vAlign w:val="center"/>
          </w:tcPr>
          <w:p w14:paraId="7996C03D">
            <w:pPr>
              <w:widowControl w:val="0"/>
              <w:jc w:val="center"/>
              <w:rPr>
                <w:rFonts w:hint="eastAsia" w:ascii="宋体" w:hAnsi="宋体" w:eastAsia="宋体" w:cs="宋体"/>
                <w:color w:val="auto"/>
                <w:kern w:val="0"/>
                <w:sz w:val="21"/>
                <w:szCs w:val="21"/>
              </w:rPr>
            </w:pPr>
          </w:p>
        </w:tc>
      </w:tr>
      <w:tr w14:paraId="5F12951E">
        <w:tblPrEx>
          <w:tblCellMar>
            <w:top w:w="0" w:type="dxa"/>
            <w:left w:w="108" w:type="dxa"/>
            <w:bottom w:w="0" w:type="dxa"/>
            <w:right w:w="108" w:type="dxa"/>
          </w:tblCellMar>
        </w:tblPrEx>
        <w:trPr>
          <w:trHeight w:val="533" w:hRule="atLeast"/>
        </w:trPr>
        <w:tc>
          <w:tcPr>
            <w:tcW w:w="372" w:type="pct"/>
            <w:tcBorders>
              <w:top w:val="nil"/>
              <w:left w:val="single" w:color="000000" w:sz="4" w:space="0"/>
              <w:bottom w:val="single" w:color="000000" w:sz="4" w:space="0"/>
              <w:right w:val="single" w:color="000000" w:sz="4" w:space="0"/>
            </w:tcBorders>
            <w:noWrap w:val="0"/>
            <w:vAlign w:val="center"/>
          </w:tcPr>
          <w:p w14:paraId="7647A100">
            <w:pPr>
              <w:widowControl w:val="0"/>
              <w:jc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59</w:t>
            </w:r>
          </w:p>
        </w:tc>
        <w:tc>
          <w:tcPr>
            <w:tcW w:w="804" w:type="pct"/>
            <w:tcBorders>
              <w:top w:val="nil"/>
              <w:left w:val="nil"/>
              <w:bottom w:val="single" w:color="000000" w:sz="4" w:space="0"/>
              <w:right w:val="single" w:color="000000" w:sz="4" w:space="0"/>
            </w:tcBorders>
            <w:noWrap w:val="0"/>
            <w:vAlign w:val="center"/>
          </w:tcPr>
          <w:p w14:paraId="3B0AF27B">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回填砂</w:t>
            </w:r>
          </w:p>
        </w:tc>
        <w:tc>
          <w:tcPr>
            <w:tcW w:w="1600" w:type="pct"/>
            <w:tcBorders>
              <w:top w:val="nil"/>
              <w:left w:val="nil"/>
              <w:bottom w:val="single" w:color="000000" w:sz="4" w:space="0"/>
              <w:right w:val="single" w:color="000000" w:sz="4" w:space="0"/>
            </w:tcBorders>
            <w:noWrap w:val="0"/>
            <w:vAlign w:val="center"/>
          </w:tcPr>
          <w:p w14:paraId="3BAD2066">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1.密实度要求：满足规范要求</w:t>
            </w:r>
          </w:p>
          <w:p w14:paraId="669E0872">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2.填方材料品种：中粗砂回填</w:t>
            </w:r>
          </w:p>
          <w:p w14:paraId="6D6C7CF5">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3.填方来源、运距:投标人自行考虑，结算时不调整</w:t>
            </w:r>
          </w:p>
          <w:p w14:paraId="064FD728">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4.其他:分层压实，满足规范要求</w:t>
            </w:r>
          </w:p>
        </w:tc>
        <w:tc>
          <w:tcPr>
            <w:tcW w:w="496" w:type="pct"/>
            <w:tcBorders>
              <w:top w:val="nil"/>
              <w:left w:val="nil"/>
              <w:bottom w:val="single" w:color="000000" w:sz="4" w:space="0"/>
              <w:right w:val="single" w:color="000000" w:sz="4" w:space="0"/>
            </w:tcBorders>
            <w:noWrap w:val="0"/>
            <w:vAlign w:val="center"/>
          </w:tcPr>
          <w:p w14:paraId="7673EF6D">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m3</w:t>
            </w:r>
          </w:p>
        </w:tc>
        <w:tc>
          <w:tcPr>
            <w:tcW w:w="619" w:type="pct"/>
            <w:tcBorders>
              <w:top w:val="nil"/>
              <w:left w:val="nil"/>
              <w:bottom w:val="single" w:color="000000" w:sz="4" w:space="0"/>
              <w:right w:val="single" w:color="000000" w:sz="4" w:space="0"/>
            </w:tcBorders>
            <w:noWrap w:val="0"/>
            <w:vAlign w:val="center"/>
          </w:tcPr>
          <w:p w14:paraId="12B06A23">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10.05</w:t>
            </w:r>
          </w:p>
        </w:tc>
        <w:tc>
          <w:tcPr>
            <w:tcW w:w="618" w:type="pct"/>
            <w:tcBorders>
              <w:top w:val="nil"/>
              <w:left w:val="nil"/>
              <w:bottom w:val="single" w:color="000000" w:sz="4" w:space="0"/>
              <w:right w:val="single" w:color="000000" w:sz="4" w:space="0"/>
            </w:tcBorders>
            <w:noWrap w:val="0"/>
            <w:vAlign w:val="center"/>
          </w:tcPr>
          <w:p w14:paraId="41632BAA">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517.24</w:t>
            </w:r>
          </w:p>
        </w:tc>
        <w:tc>
          <w:tcPr>
            <w:tcW w:w="488" w:type="pct"/>
            <w:tcBorders>
              <w:top w:val="nil"/>
              <w:left w:val="nil"/>
              <w:bottom w:val="single" w:color="000000" w:sz="4" w:space="0"/>
              <w:right w:val="single" w:color="000000" w:sz="4" w:space="0"/>
            </w:tcBorders>
            <w:noWrap w:val="0"/>
            <w:vAlign w:val="center"/>
          </w:tcPr>
          <w:p w14:paraId="1D95858A">
            <w:pPr>
              <w:widowControl w:val="0"/>
              <w:jc w:val="center"/>
              <w:rPr>
                <w:rFonts w:hint="eastAsia" w:ascii="宋体" w:hAnsi="宋体" w:eastAsia="宋体" w:cs="宋体"/>
                <w:color w:val="auto"/>
                <w:kern w:val="0"/>
                <w:sz w:val="21"/>
                <w:szCs w:val="21"/>
              </w:rPr>
            </w:pPr>
          </w:p>
        </w:tc>
      </w:tr>
      <w:tr w14:paraId="145351F2">
        <w:tblPrEx>
          <w:tblCellMar>
            <w:top w:w="0" w:type="dxa"/>
            <w:left w:w="108" w:type="dxa"/>
            <w:bottom w:w="0" w:type="dxa"/>
            <w:right w:w="108" w:type="dxa"/>
          </w:tblCellMar>
        </w:tblPrEx>
        <w:trPr>
          <w:trHeight w:val="342" w:hRule="atLeast"/>
        </w:trPr>
        <w:tc>
          <w:tcPr>
            <w:tcW w:w="372" w:type="pct"/>
            <w:tcBorders>
              <w:top w:val="nil"/>
              <w:left w:val="single" w:color="000000" w:sz="4" w:space="0"/>
              <w:bottom w:val="single" w:color="000000" w:sz="4" w:space="0"/>
              <w:right w:val="single" w:color="000000" w:sz="4" w:space="0"/>
            </w:tcBorders>
            <w:noWrap w:val="0"/>
            <w:vAlign w:val="center"/>
          </w:tcPr>
          <w:p w14:paraId="52353C48">
            <w:pPr>
              <w:widowControl w:val="0"/>
              <w:jc w:val="center"/>
              <w:rPr>
                <w:rFonts w:hint="eastAsia" w:ascii="宋体" w:hAnsi="宋体" w:eastAsia="宋体" w:cs="宋体"/>
                <w:color w:val="auto"/>
                <w:kern w:val="0"/>
                <w:sz w:val="21"/>
                <w:szCs w:val="21"/>
                <w:lang w:eastAsia="zh-CN"/>
              </w:rPr>
            </w:pPr>
            <w:r>
              <w:rPr>
                <w:rFonts w:hint="eastAsia" w:ascii="宋体" w:hAnsi="宋体" w:eastAsia="宋体" w:cs="宋体"/>
                <w:color w:val="auto"/>
                <w:kern w:val="0"/>
                <w:sz w:val="21"/>
                <w:szCs w:val="21"/>
              </w:rPr>
              <w:t>6</w:t>
            </w:r>
            <w:r>
              <w:rPr>
                <w:rFonts w:hint="eastAsia" w:ascii="宋体" w:hAnsi="宋体" w:cs="宋体"/>
                <w:color w:val="auto"/>
                <w:kern w:val="0"/>
                <w:sz w:val="21"/>
                <w:szCs w:val="21"/>
                <w:lang w:val="en-US" w:eastAsia="zh-CN"/>
              </w:rPr>
              <w:t>0</w:t>
            </w:r>
          </w:p>
        </w:tc>
        <w:tc>
          <w:tcPr>
            <w:tcW w:w="804" w:type="pct"/>
            <w:tcBorders>
              <w:top w:val="nil"/>
              <w:left w:val="nil"/>
              <w:bottom w:val="single" w:color="000000" w:sz="4" w:space="0"/>
              <w:right w:val="single" w:color="000000" w:sz="4" w:space="0"/>
            </w:tcBorders>
            <w:noWrap w:val="0"/>
            <w:vAlign w:val="center"/>
          </w:tcPr>
          <w:p w14:paraId="6CDD2036">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墙后土工布反滤层</w:t>
            </w:r>
          </w:p>
        </w:tc>
        <w:tc>
          <w:tcPr>
            <w:tcW w:w="1600" w:type="pct"/>
            <w:tcBorders>
              <w:top w:val="nil"/>
              <w:left w:val="nil"/>
              <w:bottom w:val="single" w:color="000000" w:sz="4" w:space="0"/>
              <w:right w:val="single" w:color="000000" w:sz="4" w:space="0"/>
            </w:tcBorders>
            <w:noWrap w:val="0"/>
            <w:vAlign w:val="center"/>
          </w:tcPr>
          <w:p w14:paraId="19EA14E7">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1.用于挡墙后反滤层，双层土工布包裹</w:t>
            </w:r>
          </w:p>
        </w:tc>
        <w:tc>
          <w:tcPr>
            <w:tcW w:w="496" w:type="pct"/>
            <w:tcBorders>
              <w:top w:val="nil"/>
              <w:left w:val="nil"/>
              <w:bottom w:val="single" w:color="000000" w:sz="4" w:space="0"/>
              <w:right w:val="single" w:color="000000" w:sz="4" w:space="0"/>
            </w:tcBorders>
            <w:noWrap w:val="0"/>
            <w:vAlign w:val="center"/>
          </w:tcPr>
          <w:p w14:paraId="58CF4F84">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m2</w:t>
            </w:r>
          </w:p>
        </w:tc>
        <w:tc>
          <w:tcPr>
            <w:tcW w:w="619" w:type="pct"/>
            <w:tcBorders>
              <w:top w:val="nil"/>
              <w:left w:val="nil"/>
              <w:bottom w:val="single" w:color="000000" w:sz="4" w:space="0"/>
              <w:right w:val="single" w:color="000000" w:sz="4" w:space="0"/>
            </w:tcBorders>
            <w:noWrap w:val="0"/>
            <w:vAlign w:val="center"/>
          </w:tcPr>
          <w:p w14:paraId="77AE1FD0">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10.05</w:t>
            </w:r>
          </w:p>
        </w:tc>
        <w:tc>
          <w:tcPr>
            <w:tcW w:w="618" w:type="pct"/>
            <w:tcBorders>
              <w:top w:val="nil"/>
              <w:left w:val="nil"/>
              <w:bottom w:val="single" w:color="000000" w:sz="4" w:space="0"/>
              <w:right w:val="single" w:color="000000" w:sz="4" w:space="0"/>
            </w:tcBorders>
            <w:noWrap w:val="0"/>
            <w:vAlign w:val="center"/>
          </w:tcPr>
          <w:p w14:paraId="219B2A62">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7.83</w:t>
            </w:r>
          </w:p>
        </w:tc>
        <w:tc>
          <w:tcPr>
            <w:tcW w:w="488" w:type="pct"/>
            <w:tcBorders>
              <w:top w:val="nil"/>
              <w:left w:val="nil"/>
              <w:bottom w:val="single" w:color="000000" w:sz="4" w:space="0"/>
              <w:right w:val="single" w:color="000000" w:sz="4" w:space="0"/>
            </w:tcBorders>
            <w:noWrap w:val="0"/>
            <w:vAlign w:val="center"/>
          </w:tcPr>
          <w:p w14:paraId="27C244DE">
            <w:pPr>
              <w:widowControl w:val="0"/>
              <w:jc w:val="center"/>
              <w:rPr>
                <w:rFonts w:hint="eastAsia" w:ascii="宋体" w:hAnsi="宋体" w:eastAsia="宋体" w:cs="宋体"/>
                <w:color w:val="auto"/>
                <w:kern w:val="0"/>
                <w:sz w:val="21"/>
                <w:szCs w:val="21"/>
              </w:rPr>
            </w:pPr>
          </w:p>
        </w:tc>
      </w:tr>
      <w:tr w14:paraId="2EBE9294">
        <w:tblPrEx>
          <w:tblCellMar>
            <w:top w:w="0" w:type="dxa"/>
            <w:left w:w="108" w:type="dxa"/>
            <w:bottom w:w="0" w:type="dxa"/>
            <w:right w:w="108" w:type="dxa"/>
          </w:tblCellMar>
        </w:tblPrEx>
        <w:trPr>
          <w:trHeight w:val="2353" w:hRule="atLeast"/>
        </w:trPr>
        <w:tc>
          <w:tcPr>
            <w:tcW w:w="372" w:type="pct"/>
            <w:tcBorders>
              <w:top w:val="nil"/>
              <w:left w:val="single" w:color="000000" w:sz="4" w:space="0"/>
              <w:bottom w:val="single" w:color="000000" w:sz="4" w:space="0"/>
              <w:right w:val="single" w:color="000000" w:sz="4" w:space="0"/>
            </w:tcBorders>
            <w:noWrap w:val="0"/>
            <w:vAlign w:val="center"/>
          </w:tcPr>
          <w:p w14:paraId="0FC6091D">
            <w:pPr>
              <w:widowControl w:val="0"/>
              <w:jc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61</w:t>
            </w:r>
          </w:p>
        </w:tc>
        <w:tc>
          <w:tcPr>
            <w:tcW w:w="804" w:type="pct"/>
            <w:tcBorders>
              <w:top w:val="nil"/>
              <w:left w:val="nil"/>
              <w:bottom w:val="single" w:color="000000" w:sz="4" w:space="0"/>
              <w:right w:val="single" w:color="000000" w:sz="4" w:space="0"/>
            </w:tcBorders>
            <w:noWrap w:val="0"/>
            <w:vAlign w:val="center"/>
          </w:tcPr>
          <w:p w14:paraId="40F92A2A">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PVC泄水管</w:t>
            </w:r>
          </w:p>
        </w:tc>
        <w:tc>
          <w:tcPr>
            <w:tcW w:w="1600" w:type="pct"/>
            <w:tcBorders>
              <w:top w:val="nil"/>
              <w:left w:val="nil"/>
              <w:bottom w:val="single" w:color="000000" w:sz="4" w:space="0"/>
              <w:right w:val="single" w:color="000000" w:sz="4" w:space="0"/>
            </w:tcBorders>
            <w:noWrap w:val="0"/>
            <w:vAlign w:val="center"/>
          </w:tcPr>
          <w:p w14:paraId="5EB3542F">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1.PVC泄水孔，直径≤150mm</w:t>
            </w:r>
          </w:p>
        </w:tc>
        <w:tc>
          <w:tcPr>
            <w:tcW w:w="496" w:type="pct"/>
            <w:tcBorders>
              <w:top w:val="nil"/>
              <w:left w:val="nil"/>
              <w:bottom w:val="single" w:color="000000" w:sz="4" w:space="0"/>
              <w:right w:val="single" w:color="000000" w:sz="4" w:space="0"/>
            </w:tcBorders>
            <w:noWrap w:val="0"/>
            <w:vAlign w:val="center"/>
          </w:tcPr>
          <w:p w14:paraId="4467F030">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m</w:t>
            </w:r>
          </w:p>
        </w:tc>
        <w:tc>
          <w:tcPr>
            <w:tcW w:w="619" w:type="pct"/>
            <w:tcBorders>
              <w:top w:val="nil"/>
              <w:left w:val="nil"/>
              <w:bottom w:val="single" w:color="000000" w:sz="4" w:space="0"/>
              <w:right w:val="single" w:color="000000" w:sz="4" w:space="0"/>
            </w:tcBorders>
            <w:noWrap w:val="0"/>
            <w:vAlign w:val="center"/>
          </w:tcPr>
          <w:p w14:paraId="6BD7C701">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6.7</w:t>
            </w:r>
          </w:p>
        </w:tc>
        <w:tc>
          <w:tcPr>
            <w:tcW w:w="618" w:type="pct"/>
            <w:tcBorders>
              <w:top w:val="nil"/>
              <w:left w:val="nil"/>
              <w:bottom w:val="single" w:color="000000" w:sz="4" w:space="0"/>
              <w:right w:val="single" w:color="000000" w:sz="4" w:space="0"/>
            </w:tcBorders>
            <w:noWrap w:val="0"/>
            <w:vAlign w:val="center"/>
          </w:tcPr>
          <w:p w14:paraId="678ABB95">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16.99</w:t>
            </w:r>
          </w:p>
        </w:tc>
        <w:tc>
          <w:tcPr>
            <w:tcW w:w="488" w:type="pct"/>
            <w:tcBorders>
              <w:top w:val="nil"/>
              <w:left w:val="nil"/>
              <w:bottom w:val="single" w:color="000000" w:sz="4" w:space="0"/>
              <w:right w:val="single" w:color="000000" w:sz="4" w:space="0"/>
            </w:tcBorders>
            <w:noWrap w:val="0"/>
            <w:vAlign w:val="center"/>
          </w:tcPr>
          <w:p w14:paraId="28E24AA1">
            <w:pPr>
              <w:widowControl w:val="0"/>
              <w:jc w:val="center"/>
              <w:rPr>
                <w:rFonts w:hint="eastAsia" w:ascii="宋体" w:hAnsi="宋体" w:eastAsia="宋体" w:cs="宋体"/>
                <w:color w:val="auto"/>
                <w:kern w:val="0"/>
                <w:sz w:val="21"/>
                <w:szCs w:val="21"/>
              </w:rPr>
            </w:pPr>
          </w:p>
        </w:tc>
      </w:tr>
      <w:tr w14:paraId="37A354BA">
        <w:tblPrEx>
          <w:tblCellMar>
            <w:top w:w="0" w:type="dxa"/>
            <w:left w:w="108" w:type="dxa"/>
            <w:bottom w:w="0" w:type="dxa"/>
            <w:right w:w="108" w:type="dxa"/>
          </w:tblCellMar>
        </w:tblPrEx>
        <w:trPr>
          <w:trHeight w:val="1125" w:hRule="atLeast"/>
        </w:trPr>
        <w:tc>
          <w:tcPr>
            <w:tcW w:w="372" w:type="pct"/>
            <w:tcBorders>
              <w:top w:val="nil"/>
              <w:left w:val="single" w:color="000000" w:sz="4" w:space="0"/>
              <w:bottom w:val="single" w:color="000000" w:sz="4" w:space="0"/>
              <w:right w:val="single" w:color="000000" w:sz="4" w:space="0"/>
            </w:tcBorders>
            <w:noWrap w:val="0"/>
            <w:vAlign w:val="center"/>
          </w:tcPr>
          <w:p w14:paraId="7AAF3EAF">
            <w:pPr>
              <w:widowControl w:val="0"/>
              <w:jc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62</w:t>
            </w:r>
          </w:p>
        </w:tc>
        <w:tc>
          <w:tcPr>
            <w:tcW w:w="804" w:type="pct"/>
            <w:tcBorders>
              <w:top w:val="nil"/>
              <w:left w:val="nil"/>
              <w:bottom w:val="single" w:color="000000" w:sz="4" w:space="0"/>
              <w:right w:val="single" w:color="000000" w:sz="4" w:space="0"/>
            </w:tcBorders>
            <w:noWrap w:val="0"/>
            <w:vAlign w:val="center"/>
          </w:tcPr>
          <w:p w14:paraId="070A7A0B">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余方弃置</w:t>
            </w:r>
          </w:p>
        </w:tc>
        <w:tc>
          <w:tcPr>
            <w:tcW w:w="1600" w:type="pct"/>
            <w:tcBorders>
              <w:top w:val="nil"/>
              <w:left w:val="nil"/>
              <w:bottom w:val="single" w:color="000000" w:sz="4" w:space="0"/>
              <w:right w:val="single" w:color="000000" w:sz="4" w:space="0"/>
            </w:tcBorders>
            <w:noWrap w:val="0"/>
            <w:vAlign w:val="center"/>
          </w:tcPr>
          <w:p w14:paraId="268C22AF">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1.废弃料品种：土方、局部石方、拆除路面沥青、混凝土、人行道板砖、破损管道等所有垃圾</w:t>
            </w:r>
          </w:p>
          <w:p w14:paraId="4FA4D8EB">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2.弃土运距： 投标人自行勘察选择规定的土石方弃置场所并自报运距,所有费用要求在综合单价中充分考虑，结算时不得调整（包含场地倒置费等）</w:t>
            </w:r>
          </w:p>
          <w:p w14:paraId="2B52B89F">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3.保洁费、消纳费等所有费用 须投标单位自行考虑 ，渣土费不予计取</w:t>
            </w:r>
          </w:p>
        </w:tc>
        <w:tc>
          <w:tcPr>
            <w:tcW w:w="496" w:type="pct"/>
            <w:tcBorders>
              <w:top w:val="nil"/>
              <w:left w:val="nil"/>
              <w:bottom w:val="single" w:color="000000" w:sz="4" w:space="0"/>
              <w:right w:val="single" w:color="000000" w:sz="4" w:space="0"/>
            </w:tcBorders>
            <w:noWrap w:val="0"/>
            <w:vAlign w:val="center"/>
          </w:tcPr>
          <w:p w14:paraId="24FE3066">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m3</w:t>
            </w:r>
          </w:p>
        </w:tc>
        <w:tc>
          <w:tcPr>
            <w:tcW w:w="619" w:type="pct"/>
            <w:tcBorders>
              <w:top w:val="nil"/>
              <w:left w:val="nil"/>
              <w:bottom w:val="single" w:color="000000" w:sz="4" w:space="0"/>
              <w:right w:val="single" w:color="000000" w:sz="4" w:space="0"/>
            </w:tcBorders>
            <w:noWrap w:val="0"/>
            <w:vAlign w:val="center"/>
          </w:tcPr>
          <w:p w14:paraId="433B193D">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28.81</w:t>
            </w:r>
          </w:p>
        </w:tc>
        <w:tc>
          <w:tcPr>
            <w:tcW w:w="618" w:type="pct"/>
            <w:tcBorders>
              <w:top w:val="nil"/>
              <w:left w:val="nil"/>
              <w:bottom w:val="single" w:color="000000" w:sz="4" w:space="0"/>
              <w:right w:val="single" w:color="000000" w:sz="4" w:space="0"/>
            </w:tcBorders>
            <w:noWrap w:val="0"/>
            <w:vAlign w:val="center"/>
          </w:tcPr>
          <w:p w14:paraId="19E05763">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84.42</w:t>
            </w:r>
          </w:p>
        </w:tc>
        <w:tc>
          <w:tcPr>
            <w:tcW w:w="488" w:type="pct"/>
            <w:tcBorders>
              <w:top w:val="nil"/>
              <w:left w:val="nil"/>
              <w:bottom w:val="single" w:color="000000" w:sz="4" w:space="0"/>
              <w:right w:val="single" w:color="000000" w:sz="4" w:space="0"/>
            </w:tcBorders>
            <w:noWrap w:val="0"/>
            <w:vAlign w:val="center"/>
          </w:tcPr>
          <w:p w14:paraId="1B591319">
            <w:pPr>
              <w:widowControl w:val="0"/>
              <w:jc w:val="center"/>
              <w:rPr>
                <w:rFonts w:hint="eastAsia" w:ascii="宋体" w:hAnsi="宋体" w:eastAsia="宋体" w:cs="宋体"/>
                <w:color w:val="auto"/>
                <w:kern w:val="0"/>
                <w:sz w:val="21"/>
                <w:szCs w:val="21"/>
              </w:rPr>
            </w:pPr>
          </w:p>
        </w:tc>
      </w:tr>
      <w:tr w14:paraId="3118204E">
        <w:tblPrEx>
          <w:tblCellMar>
            <w:top w:w="0" w:type="dxa"/>
            <w:left w:w="108" w:type="dxa"/>
            <w:bottom w:w="0" w:type="dxa"/>
            <w:right w:w="108" w:type="dxa"/>
          </w:tblCellMar>
        </w:tblPrEx>
        <w:trPr>
          <w:trHeight w:val="919" w:hRule="atLeast"/>
        </w:trPr>
        <w:tc>
          <w:tcPr>
            <w:tcW w:w="372" w:type="pct"/>
            <w:tcBorders>
              <w:top w:val="nil"/>
              <w:left w:val="single" w:color="000000" w:sz="4" w:space="0"/>
              <w:bottom w:val="single" w:color="000000" w:sz="4" w:space="0"/>
              <w:right w:val="single" w:color="000000" w:sz="4" w:space="0"/>
            </w:tcBorders>
            <w:noWrap w:val="0"/>
            <w:vAlign w:val="center"/>
          </w:tcPr>
          <w:p w14:paraId="74EB2768">
            <w:pPr>
              <w:widowControl w:val="0"/>
              <w:jc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63</w:t>
            </w:r>
          </w:p>
        </w:tc>
        <w:tc>
          <w:tcPr>
            <w:tcW w:w="804" w:type="pct"/>
            <w:tcBorders>
              <w:top w:val="nil"/>
              <w:left w:val="nil"/>
              <w:bottom w:val="single" w:color="000000" w:sz="4" w:space="0"/>
              <w:right w:val="single" w:color="000000" w:sz="4" w:space="0"/>
            </w:tcBorders>
            <w:noWrap w:val="0"/>
            <w:vAlign w:val="center"/>
          </w:tcPr>
          <w:p w14:paraId="0EE7EB74">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挡墙混凝土压顶</w:t>
            </w:r>
          </w:p>
        </w:tc>
        <w:tc>
          <w:tcPr>
            <w:tcW w:w="1600" w:type="pct"/>
            <w:tcBorders>
              <w:top w:val="nil"/>
              <w:left w:val="nil"/>
              <w:bottom w:val="single" w:color="000000" w:sz="4" w:space="0"/>
              <w:right w:val="single" w:color="000000" w:sz="4" w:space="0"/>
            </w:tcBorders>
            <w:noWrap w:val="0"/>
            <w:vAlign w:val="center"/>
          </w:tcPr>
          <w:p w14:paraId="25B82451">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1、主要用于老十里长沟（学津路-学海路南侧）等损坏岸坡行人段压顶浇筑</w:t>
            </w:r>
          </w:p>
          <w:p w14:paraId="52377C24">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2、块石挡墙C20素混凝土压顶，厚度15cm，宽度40cm</w:t>
            </w:r>
          </w:p>
        </w:tc>
        <w:tc>
          <w:tcPr>
            <w:tcW w:w="496" w:type="pct"/>
            <w:tcBorders>
              <w:top w:val="nil"/>
              <w:left w:val="nil"/>
              <w:bottom w:val="single" w:color="000000" w:sz="4" w:space="0"/>
              <w:right w:val="single" w:color="000000" w:sz="4" w:space="0"/>
            </w:tcBorders>
            <w:noWrap w:val="0"/>
            <w:vAlign w:val="center"/>
          </w:tcPr>
          <w:p w14:paraId="501D059D">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m3</w:t>
            </w:r>
          </w:p>
        </w:tc>
        <w:tc>
          <w:tcPr>
            <w:tcW w:w="619" w:type="pct"/>
            <w:tcBorders>
              <w:top w:val="nil"/>
              <w:left w:val="nil"/>
              <w:bottom w:val="single" w:color="000000" w:sz="4" w:space="0"/>
              <w:right w:val="single" w:color="000000" w:sz="4" w:space="0"/>
            </w:tcBorders>
            <w:noWrap w:val="0"/>
            <w:vAlign w:val="center"/>
          </w:tcPr>
          <w:p w14:paraId="7A0A0461">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16.08</w:t>
            </w:r>
          </w:p>
        </w:tc>
        <w:tc>
          <w:tcPr>
            <w:tcW w:w="618" w:type="pct"/>
            <w:tcBorders>
              <w:top w:val="nil"/>
              <w:left w:val="nil"/>
              <w:bottom w:val="single" w:color="000000" w:sz="4" w:space="0"/>
              <w:right w:val="single" w:color="000000" w:sz="4" w:space="0"/>
            </w:tcBorders>
            <w:noWrap w:val="0"/>
            <w:vAlign w:val="center"/>
          </w:tcPr>
          <w:p w14:paraId="3A011347">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1024.15</w:t>
            </w:r>
          </w:p>
        </w:tc>
        <w:tc>
          <w:tcPr>
            <w:tcW w:w="488" w:type="pct"/>
            <w:tcBorders>
              <w:top w:val="nil"/>
              <w:left w:val="nil"/>
              <w:bottom w:val="single" w:color="000000" w:sz="4" w:space="0"/>
              <w:right w:val="single" w:color="000000" w:sz="4" w:space="0"/>
            </w:tcBorders>
            <w:noWrap w:val="0"/>
            <w:vAlign w:val="center"/>
          </w:tcPr>
          <w:p w14:paraId="679846DA">
            <w:pPr>
              <w:widowControl w:val="0"/>
              <w:jc w:val="center"/>
              <w:rPr>
                <w:rFonts w:hint="eastAsia" w:ascii="宋体" w:hAnsi="宋体" w:eastAsia="宋体" w:cs="宋体"/>
                <w:color w:val="auto"/>
                <w:kern w:val="0"/>
                <w:sz w:val="21"/>
                <w:szCs w:val="21"/>
              </w:rPr>
            </w:pPr>
          </w:p>
        </w:tc>
      </w:tr>
      <w:tr w14:paraId="3E9BE177">
        <w:tblPrEx>
          <w:tblCellMar>
            <w:top w:w="0" w:type="dxa"/>
            <w:left w:w="108" w:type="dxa"/>
            <w:bottom w:w="0" w:type="dxa"/>
            <w:right w:w="108" w:type="dxa"/>
          </w:tblCellMar>
        </w:tblPrEx>
        <w:trPr>
          <w:trHeight w:val="904" w:hRule="atLeast"/>
        </w:trPr>
        <w:tc>
          <w:tcPr>
            <w:tcW w:w="372" w:type="pct"/>
            <w:tcBorders>
              <w:top w:val="nil"/>
              <w:left w:val="single" w:color="000000" w:sz="4" w:space="0"/>
              <w:bottom w:val="single" w:color="000000" w:sz="4" w:space="0"/>
              <w:right w:val="single" w:color="000000" w:sz="4" w:space="0"/>
            </w:tcBorders>
            <w:noWrap w:val="0"/>
            <w:vAlign w:val="center"/>
          </w:tcPr>
          <w:p w14:paraId="146D61CE">
            <w:pPr>
              <w:widowControl w:val="0"/>
              <w:jc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64</w:t>
            </w:r>
          </w:p>
        </w:tc>
        <w:tc>
          <w:tcPr>
            <w:tcW w:w="804" w:type="pct"/>
            <w:tcBorders>
              <w:top w:val="nil"/>
              <w:left w:val="nil"/>
              <w:bottom w:val="single" w:color="000000" w:sz="4" w:space="0"/>
              <w:right w:val="single" w:color="000000" w:sz="4" w:space="0"/>
            </w:tcBorders>
            <w:noWrap w:val="0"/>
            <w:vAlign w:val="center"/>
          </w:tcPr>
          <w:p w14:paraId="1A6604A7">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混凝土垫层</w:t>
            </w:r>
          </w:p>
        </w:tc>
        <w:tc>
          <w:tcPr>
            <w:tcW w:w="1600" w:type="pct"/>
            <w:tcBorders>
              <w:top w:val="nil"/>
              <w:left w:val="nil"/>
              <w:bottom w:val="single" w:color="000000" w:sz="4" w:space="0"/>
              <w:right w:val="single" w:color="000000" w:sz="4" w:space="0"/>
            </w:tcBorders>
            <w:noWrap w:val="0"/>
            <w:vAlign w:val="center"/>
          </w:tcPr>
          <w:p w14:paraId="5D51830C">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1.混凝土强度等级：C20</w:t>
            </w:r>
          </w:p>
          <w:p w14:paraId="35B2A2FF">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3.含模板安拆</w:t>
            </w:r>
          </w:p>
          <w:p w14:paraId="2EE70622">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3.材料、机械运至施工现场及施工等所有费用</w:t>
            </w:r>
          </w:p>
        </w:tc>
        <w:tc>
          <w:tcPr>
            <w:tcW w:w="496" w:type="pct"/>
            <w:tcBorders>
              <w:top w:val="nil"/>
              <w:left w:val="nil"/>
              <w:bottom w:val="single" w:color="000000" w:sz="4" w:space="0"/>
              <w:right w:val="single" w:color="000000" w:sz="4" w:space="0"/>
            </w:tcBorders>
            <w:noWrap w:val="0"/>
            <w:vAlign w:val="center"/>
          </w:tcPr>
          <w:p w14:paraId="2B37208A">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m3</w:t>
            </w:r>
          </w:p>
        </w:tc>
        <w:tc>
          <w:tcPr>
            <w:tcW w:w="619" w:type="pct"/>
            <w:tcBorders>
              <w:top w:val="nil"/>
              <w:left w:val="nil"/>
              <w:bottom w:val="single" w:color="000000" w:sz="4" w:space="0"/>
              <w:right w:val="single" w:color="000000" w:sz="4" w:space="0"/>
            </w:tcBorders>
            <w:noWrap w:val="0"/>
            <w:vAlign w:val="center"/>
          </w:tcPr>
          <w:p w14:paraId="6DCBF6EA">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9.38</w:t>
            </w:r>
          </w:p>
        </w:tc>
        <w:tc>
          <w:tcPr>
            <w:tcW w:w="618" w:type="pct"/>
            <w:tcBorders>
              <w:top w:val="nil"/>
              <w:left w:val="nil"/>
              <w:bottom w:val="single" w:color="000000" w:sz="4" w:space="0"/>
              <w:right w:val="single" w:color="000000" w:sz="4" w:space="0"/>
            </w:tcBorders>
            <w:noWrap w:val="0"/>
            <w:vAlign w:val="center"/>
          </w:tcPr>
          <w:p w14:paraId="2DAC80D3">
            <w:pPr>
              <w:keepNext w:val="0"/>
              <w:keepLines w:val="0"/>
              <w:widowControl/>
              <w:suppressLineNumbers w:val="0"/>
              <w:jc w:val="center"/>
              <w:textAlignment w:val="center"/>
              <w:rPr>
                <w:rFonts w:hint="default" w:ascii="宋体" w:hAnsi="宋体" w:eastAsia="宋体" w:cs="宋体"/>
                <w:color w:val="auto"/>
                <w:kern w:val="0"/>
                <w:sz w:val="21"/>
                <w:szCs w:val="21"/>
                <w:lang w:val="en-US"/>
              </w:rPr>
            </w:pPr>
            <w:r>
              <w:rPr>
                <w:rFonts w:hint="eastAsia" w:ascii="宋体" w:hAnsi="宋体" w:eastAsia="宋体" w:cs="宋体"/>
                <w:i w:val="0"/>
                <w:iCs w:val="0"/>
                <w:color w:val="auto"/>
                <w:kern w:val="0"/>
                <w:sz w:val="18"/>
                <w:szCs w:val="18"/>
                <w:u w:val="none"/>
                <w:lang w:val="en-US" w:eastAsia="zh-CN" w:bidi="ar"/>
              </w:rPr>
              <w:t xml:space="preserve"> </w:t>
            </w:r>
            <w:r>
              <w:rPr>
                <w:rFonts w:hint="eastAsia" w:ascii="宋体" w:hAnsi="宋体" w:cs="宋体"/>
                <w:i w:val="0"/>
                <w:iCs w:val="0"/>
                <w:color w:val="auto"/>
                <w:kern w:val="0"/>
                <w:sz w:val="18"/>
                <w:szCs w:val="18"/>
                <w:u w:val="none"/>
                <w:lang w:val="en-US" w:eastAsia="zh-CN" w:bidi="ar"/>
              </w:rPr>
              <w:t>717.3</w:t>
            </w:r>
          </w:p>
        </w:tc>
        <w:tc>
          <w:tcPr>
            <w:tcW w:w="488" w:type="pct"/>
            <w:tcBorders>
              <w:top w:val="nil"/>
              <w:left w:val="nil"/>
              <w:bottom w:val="single" w:color="000000" w:sz="4" w:space="0"/>
              <w:right w:val="single" w:color="000000" w:sz="4" w:space="0"/>
            </w:tcBorders>
            <w:noWrap w:val="0"/>
            <w:vAlign w:val="center"/>
          </w:tcPr>
          <w:p w14:paraId="607DF8A4">
            <w:pPr>
              <w:widowControl w:val="0"/>
              <w:jc w:val="center"/>
              <w:rPr>
                <w:rFonts w:hint="eastAsia" w:ascii="宋体" w:hAnsi="宋体" w:eastAsia="宋体" w:cs="宋体"/>
                <w:color w:val="auto"/>
                <w:kern w:val="0"/>
                <w:sz w:val="21"/>
                <w:szCs w:val="21"/>
              </w:rPr>
            </w:pPr>
          </w:p>
        </w:tc>
      </w:tr>
      <w:tr w14:paraId="7220EC3E">
        <w:tblPrEx>
          <w:tblCellMar>
            <w:top w:w="0" w:type="dxa"/>
            <w:left w:w="108" w:type="dxa"/>
            <w:bottom w:w="0" w:type="dxa"/>
            <w:right w:w="108" w:type="dxa"/>
          </w:tblCellMar>
        </w:tblPrEx>
        <w:trPr>
          <w:trHeight w:val="919" w:hRule="atLeast"/>
        </w:trPr>
        <w:tc>
          <w:tcPr>
            <w:tcW w:w="372" w:type="pct"/>
            <w:tcBorders>
              <w:top w:val="nil"/>
              <w:left w:val="single" w:color="000000" w:sz="4" w:space="0"/>
              <w:bottom w:val="single" w:color="000000" w:sz="4" w:space="0"/>
              <w:right w:val="single" w:color="000000" w:sz="4" w:space="0"/>
            </w:tcBorders>
            <w:noWrap w:val="0"/>
            <w:vAlign w:val="center"/>
          </w:tcPr>
          <w:p w14:paraId="0FB069C8">
            <w:pPr>
              <w:widowControl w:val="0"/>
              <w:jc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65</w:t>
            </w:r>
          </w:p>
        </w:tc>
        <w:tc>
          <w:tcPr>
            <w:tcW w:w="804" w:type="pct"/>
            <w:tcBorders>
              <w:top w:val="nil"/>
              <w:left w:val="nil"/>
              <w:bottom w:val="single" w:color="000000" w:sz="4" w:space="0"/>
              <w:right w:val="single" w:color="000000" w:sz="4" w:space="0"/>
            </w:tcBorders>
            <w:noWrap w:val="0"/>
            <w:vAlign w:val="center"/>
          </w:tcPr>
          <w:p w14:paraId="7E501DB5">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浆砌块料（挡墙）</w:t>
            </w:r>
          </w:p>
        </w:tc>
        <w:tc>
          <w:tcPr>
            <w:tcW w:w="1600" w:type="pct"/>
            <w:tcBorders>
              <w:top w:val="nil"/>
              <w:left w:val="nil"/>
              <w:bottom w:val="single" w:color="000000" w:sz="4" w:space="0"/>
              <w:right w:val="single" w:color="000000" w:sz="4" w:space="0"/>
            </w:tcBorders>
            <w:noWrap w:val="0"/>
            <w:vAlign w:val="center"/>
          </w:tcPr>
          <w:p w14:paraId="0306D778">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1.材料品种、规格:块石</w:t>
            </w:r>
          </w:p>
          <w:p w14:paraId="50874785">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2.砂浆强度等级:M10</w:t>
            </w:r>
          </w:p>
          <w:p w14:paraId="590BA8FC">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3.材料、机械运至施工现场及施工等所有费用，结算时不调整</w:t>
            </w:r>
          </w:p>
        </w:tc>
        <w:tc>
          <w:tcPr>
            <w:tcW w:w="496" w:type="pct"/>
            <w:tcBorders>
              <w:top w:val="nil"/>
              <w:left w:val="nil"/>
              <w:bottom w:val="single" w:color="000000" w:sz="4" w:space="0"/>
              <w:right w:val="single" w:color="000000" w:sz="4" w:space="0"/>
            </w:tcBorders>
            <w:noWrap w:val="0"/>
            <w:vAlign w:val="center"/>
          </w:tcPr>
          <w:p w14:paraId="506FAD92">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m3</w:t>
            </w:r>
          </w:p>
        </w:tc>
        <w:tc>
          <w:tcPr>
            <w:tcW w:w="619" w:type="pct"/>
            <w:tcBorders>
              <w:top w:val="nil"/>
              <w:left w:val="nil"/>
              <w:bottom w:val="single" w:color="000000" w:sz="4" w:space="0"/>
              <w:right w:val="single" w:color="000000" w:sz="4" w:space="0"/>
            </w:tcBorders>
            <w:noWrap w:val="0"/>
            <w:vAlign w:val="center"/>
          </w:tcPr>
          <w:p w14:paraId="7972703F">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10.05</w:t>
            </w:r>
          </w:p>
        </w:tc>
        <w:tc>
          <w:tcPr>
            <w:tcW w:w="618" w:type="pct"/>
            <w:tcBorders>
              <w:top w:val="nil"/>
              <w:left w:val="nil"/>
              <w:bottom w:val="single" w:color="000000" w:sz="4" w:space="0"/>
              <w:right w:val="single" w:color="000000" w:sz="4" w:space="0"/>
            </w:tcBorders>
            <w:noWrap w:val="0"/>
            <w:vAlign w:val="center"/>
          </w:tcPr>
          <w:p w14:paraId="62CAAF00">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795.95</w:t>
            </w:r>
          </w:p>
        </w:tc>
        <w:tc>
          <w:tcPr>
            <w:tcW w:w="488" w:type="pct"/>
            <w:tcBorders>
              <w:top w:val="nil"/>
              <w:left w:val="nil"/>
              <w:bottom w:val="single" w:color="000000" w:sz="4" w:space="0"/>
              <w:right w:val="single" w:color="000000" w:sz="4" w:space="0"/>
            </w:tcBorders>
            <w:noWrap w:val="0"/>
            <w:vAlign w:val="center"/>
          </w:tcPr>
          <w:p w14:paraId="5D5BBFAF">
            <w:pPr>
              <w:widowControl w:val="0"/>
              <w:jc w:val="center"/>
              <w:rPr>
                <w:rFonts w:hint="eastAsia" w:ascii="宋体" w:hAnsi="宋体" w:eastAsia="宋体" w:cs="宋体"/>
                <w:color w:val="auto"/>
                <w:kern w:val="0"/>
                <w:sz w:val="21"/>
                <w:szCs w:val="21"/>
              </w:rPr>
            </w:pPr>
          </w:p>
        </w:tc>
      </w:tr>
      <w:tr w14:paraId="023D8E95">
        <w:tblPrEx>
          <w:tblCellMar>
            <w:top w:w="0" w:type="dxa"/>
            <w:left w:w="108" w:type="dxa"/>
            <w:bottom w:w="0" w:type="dxa"/>
            <w:right w:w="108" w:type="dxa"/>
          </w:tblCellMar>
        </w:tblPrEx>
        <w:trPr>
          <w:trHeight w:val="919" w:hRule="atLeast"/>
        </w:trPr>
        <w:tc>
          <w:tcPr>
            <w:tcW w:w="372" w:type="pct"/>
            <w:tcBorders>
              <w:top w:val="nil"/>
              <w:left w:val="single" w:color="000000" w:sz="4" w:space="0"/>
              <w:bottom w:val="single" w:color="000000" w:sz="4" w:space="0"/>
              <w:right w:val="single" w:color="000000" w:sz="4" w:space="0"/>
            </w:tcBorders>
            <w:noWrap w:val="0"/>
            <w:vAlign w:val="center"/>
          </w:tcPr>
          <w:p w14:paraId="3316183E">
            <w:pPr>
              <w:widowControl w:val="0"/>
              <w:jc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66</w:t>
            </w:r>
          </w:p>
        </w:tc>
        <w:tc>
          <w:tcPr>
            <w:tcW w:w="804" w:type="pct"/>
            <w:tcBorders>
              <w:top w:val="nil"/>
              <w:left w:val="nil"/>
              <w:bottom w:val="single" w:color="000000" w:sz="4" w:space="0"/>
              <w:right w:val="single" w:color="000000" w:sz="4" w:space="0"/>
            </w:tcBorders>
            <w:noWrap w:val="0"/>
            <w:vAlign w:val="center"/>
          </w:tcPr>
          <w:p w14:paraId="5EE71539">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浆砌块料（护坡）</w:t>
            </w:r>
          </w:p>
        </w:tc>
        <w:tc>
          <w:tcPr>
            <w:tcW w:w="1600" w:type="pct"/>
            <w:tcBorders>
              <w:top w:val="nil"/>
              <w:left w:val="nil"/>
              <w:bottom w:val="single" w:color="000000" w:sz="4" w:space="0"/>
              <w:right w:val="single" w:color="000000" w:sz="4" w:space="0"/>
            </w:tcBorders>
            <w:noWrap w:val="0"/>
            <w:vAlign w:val="center"/>
          </w:tcPr>
          <w:p w14:paraId="71438695">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1.材料品种、规格:块石</w:t>
            </w:r>
          </w:p>
          <w:p w14:paraId="4B317E38">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2.砂浆强度等级:M10</w:t>
            </w:r>
          </w:p>
          <w:p w14:paraId="1B9407AA">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3.材料、机械运至施工现场及施工等所有费用，结算时不调整</w:t>
            </w:r>
          </w:p>
        </w:tc>
        <w:tc>
          <w:tcPr>
            <w:tcW w:w="496" w:type="pct"/>
            <w:tcBorders>
              <w:top w:val="nil"/>
              <w:left w:val="nil"/>
              <w:bottom w:val="single" w:color="000000" w:sz="4" w:space="0"/>
              <w:right w:val="single" w:color="000000" w:sz="4" w:space="0"/>
            </w:tcBorders>
            <w:noWrap w:val="0"/>
            <w:vAlign w:val="center"/>
          </w:tcPr>
          <w:p w14:paraId="51B5DEFA">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m3</w:t>
            </w:r>
          </w:p>
        </w:tc>
        <w:tc>
          <w:tcPr>
            <w:tcW w:w="619" w:type="pct"/>
            <w:tcBorders>
              <w:top w:val="nil"/>
              <w:left w:val="nil"/>
              <w:bottom w:val="single" w:color="000000" w:sz="4" w:space="0"/>
              <w:right w:val="single" w:color="000000" w:sz="4" w:space="0"/>
            </w:tcBorders>
            <w:noWrap w:val="0"/>
            <w:vAlign w:val="center"/>
          </w:tcPr>
          <w:p w14:paraId="418BB2E0">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20.1</w:t>
            </w:r>
          </w:p>
        </w:tc>
        <w:tc>
          <w:tcPr>
            <w:tcW w:w="618" w:type="pct"/>
            <w:tcBorders>
              <w:top w:val="nil"/>
              <w:left w:val="nil"/>
              <w:bottom w:val="single" w:color="000000" w:sz="4" w:space="0"/>
              <w:right w:val="single" w:color="000000" w:sz="4" w:space="0"/>
            </w:tcBorders>
            <w:noWrap w:val="0"/>
            <w:vAlign w:val="center"/>
          </w:tcPr>
          <w:p w14:paraId="12300698">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774.29</w:t>
            </w:r>
          </w:p>
        </w:tc>
        <w:tc>
          <w:tcPr>
            <w:tcW w:w="488" w:type="pct"/>
            <w:tcBorders>
              <w:top w:val="nil"/>
              <w:left w:val="nil"/>
              <w:bottom w:val="single" w:color="000000" w:sz="4" w:space="0"/>
              <w:right w:val="single" w:color="000000" w:sz="4" w:space="0"/>
            </w:tcBorders>
            <w:noWrap w:val="0"/>
            <w:vAlign w:val="center"/>
          </w:tcPr>
          <w:p w14:paraId="66C0ADAE">
            <w:pPr>
              <w:widowControl w:val="0"/>
              <w:jc w:val="center"/>
              <w:rPr>
                <w:rFonts w:hint="eastAsia" w:ascii="宋体" w:hAnsi="宋体" w:eastAsia="宋体" w:cs="宋体"/>
                <w:color w:val="auto"/>
                <w:kern w:val="0"/>
                <w:sz w:val="21"/>
                <w:szCs w:val="21"/>
              </w:rPr>
            </w:pPr>
          </w:p>
        </w:tc>
      </w:tr>
      <w:tr w14:paraId="2D858CCD">
        <w:tblPrEx>
          <w:tblCellMar>
            <w:top w:w="0" w:type="dxa"/>
            <w:left w:w="108" w:type="dxa"/>
            <w:bottom w:w="0" w:type="dxa"/>
            <w:right w:w="108" w:type="dxa"/>
          </w:tblCellMar>
        </w:tblPrEx>
        <w:trPr>
          <w:trHeight w:val="739" w:hRule="atLeast"/>
        </w:trPr>
        <w:tc>
          <w:tcPr>
            <w:tcW w:w="372" w:type="pct"/>
            <w:tcBorders>
              <w:top w:val="nil"/>
              <w:left w:val="single" w:color="000000" w:sz="4" w:space="0"/>
              <w:bottom w:val="single" w:color="000000" w:sz="4" w:space="0"/>
              <w:right w:val="single" w:color="000000" w:sz="4" w:space="0"/>
            </w:tcBorders>
            <w:noWrap w:val="0"/>
            <w:vAlign w:val="center"/>
          </w:tcPr>
          <w:p w14:paraId="3AA89FA2">
            <w:pPr>
              <w:widowControl w:val="0"/>
              <w:jc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67</w:t>
            </w:r>
          </w:p>
        </w:tc>
        <w:tc>
          <w:tcPr>
            <w:tcW w:w="804" w:type="pct"/>
            <w:tcBorders>
              <w:top w:val="nil"/>
              <w:left w:val="nil"/>
              <w:bottom w:val="single" w:color="000000" w:sz="4" w:space="0"/>
              <w:right w:val="single" w:color="000000" w:sz="4" w:space="0"/>
            </w:tcBorders>
            <w:noWrap w:val="0"/>
            <w:vAlign w:val="center"/>
          </w:tcPr>
          <w:p w14:paraId="684F6E2A">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挡墙修补、勾缝</w:t>
            </w:r>
          </w:p>
        </w:tc>
        <w:tc>
          <w:tcPr>
            <w:tcW w:w="1600" w:type="pct"/>
            <w:tcBorders>
              <w:top w:val="nil"/>
              <w:left w:val="nil"/>
              <w:bottom w:val="single" w:color="000000" w:sz="4" w:space="0"/>
              <w:right w:val="single" w:color="000000" w:sz="4" w:space="0"/>
            </w:tcBorders>
            <w:noWrap w:val="0"/>
            <w:vAlign w:val="center"/>
          </w:tcPr>
          <w:p w14:paraId="6667E6CD">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1.材料品种、规格:块石</w:t>
            </w:r>
          </w:p>
          <w:p w14:paraId="7F115CBF">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2.砂浆强度等级:M10</w:t>
            </w:r>
          </w:p>
          <w:p w14:paraId="2A1856A8">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3.材料、机械运至施工现场及施工等所有费用，结算时不调整</w:t>
            </w:r>
          </w:p>
        </w:tc>
        <w:tc>
          <w:tcPr>
            <w:tcW w:w="496" w:type="pct"/>
            <w:tcBorders>
              <w:top w:val="nil"/>
              <w:left w:val="nil"/>
              <w:bottom w:val="single" w:color="000000" w:sz="4" w:space="0"/>
              <w:right w:val="single" w:color="000000" w:sz="4" w:space="0"/>
            </w:tcBorders>
            <w:noWrap w:val="0"/>
            <w:vAlign w:val="center"/>
          </w:tcPr>
          <w:p w14:paraId="5DFD5FE5">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m2</w:t>
            </w:r>
          </w:p>
        </w:tc>
        <w:tc>
          <w:tcPr>
            <w:tcW w:w="619" w:type="pct"/>
            <w:tcBorders>
              <w:top w:val="nil"/>
              <w:left w:val="nil"/>
              <w:bottom w:val="single" w:color="000000" w:sz="4" w:space="0"/>
              <w:right w:val="single" w:color="000000" w:sz="4" w:space="0"/>
            </w:tcBorders>
            <w:noWrap w:val="0"/>
            <w:vAlign w:val="center"/>
          </w:tcPr>
          <w:p w14:paraId="75AAC2C7">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149.75</w:t>
            </w:r>
          </w:p>
        </w:tc>
        <w:tc>
          <w:tcPr>
            <w:tcW w:w="618" w:type="pct"/>
            <w:tcBorders>
              <w:top w:val="nil"/>
              <w:left w:val="nil"/>
              <w:bottom w:val="single" w:color="000000" w:sz="4" w:space="0"/>
              <w:right w:val="single" w:color="000000" w:sz="4" w:space="0"/>
            </w:tcBorders>
            <w:noWrap w:val="0"/>
            <w:vAlign w:val="center"/>
          </w:tcPr>
          <w:p w14:paraId="75231316">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24.12</w:t>
            </w:r>
          </w:p>
        </w:tc>
        <w:tc>
          <w:tcPr>
            <w:tcW w:w="488" w:type="pct"/>
            <w:tcBorders>
              <w:top w:val="nil"/>
              <w:left w:val="nil"/>
              <w:bottom w:val="single" w:color="000000" w:sz="4" w:space="0"/>
              <w:right w:val="single" w:color="000000" w:sz="4" w:space="0"/>
            </w:tcBorders>
            <w:noWrap w:val="0"/>
            <w:vAlign w:val="center"/>
          </w:tcPr>
          <w:p w14:paraId="32480149">
            <w:pPr>
              <w:widowControl w:val="0"/>
              <w:jc w:val="center"/>
              <w:rPr>
                <w:rFonts w:hint="eastAsia" w:ascii="宋体" w:hAnsi="宋体" w:eastAsia="宋体" w:cs="宋体"/>
                <w:color w:val="auto"/>
                <w:kern w:val="0"/>
                <w:sz w:val="21"/>
                <w:szCs w:val="21"/>
              </w:rPr>
            </w:pPr>
          </w:p>
        </w:tc>
      </w:tr>
      <w:tr w14:paraId="0D961897">
        <w:tblPrEx>
          <w:tblCellMar>
            <w:top w:w="0" w:type="dxa"/>
            <w:left w:w="108" w:type="dxa"/>
            <w:bottom w:w="0" w:type="dxa"/>
            <w:right w:w="108" w:type="dxa"/>
          </w:tblCellMar>
        </w:tblPrEx>
        <w:trPr>
          <w:trHeight w:val="709" w:hRule="atLeast"/>
        </w:trPr>
        <w:tc>
          <w:tcPr>
            <w:tcW w:w="372" w:type="pct"/>
            <w:tcBorders>
              <w:top w:val="nil"/>
              <w:left w:val="single" w:color="000000" w:sz="4" w:space="0"/>
              <w:bottom w:val="single" w:color="000000" w:sz="4" w:space="0"/>
              <w:right w:val="single" w:color="000000" w:sz="4" w:space="0"/>
            </w:tcBorders>
            <w:noWrap w:val="0"/>
            <w:vAlign w:val="center"/>
          </w:tcPr>
          <w:p w14:paraId="49563793">
            <w:pPr>
              <w:widowControl w:val="0"/>
              <w:jc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68</w:t>
            </w:r>
          </w:p>
        </w:tc>
        <w:tc>
          <w:tcPr>
            <w:tcW w:w="804" w:type="pct"/>
            <w:tcBorders>
              <w:top w:val="nil"/>
              <w:left w:val="nil"/>
              <w:bottom w:val="single" w:color="000000" w:sz="4" w:space="0"/>
              <w:right w:val="single" w:color="000000" w:sz="4" w:space="0"/>
            </w:tcBorders>
            <w:noWrap w:val="0"/>
            <w:vAlign w:val="center"/>
          </w:tcPr>
          <w:p w14:paraId="75E65C31">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拆除零星块石挡墙等砖石结构</w:t>
            </w:r>
          </w:p>
        </w:tc>
        <w:tc>
          <w:tcPr>
            <w:tcW w:w="1600" w:type="pct"/>
            <w:tcBorders>
              <w:top w:val="nil"/>
              <w:left w:val="nil"/>
              <w:bottom w:val="single" w:color="000000" w:sz="4" w:space="0"/>
              <w:right w:val="single" w:color="000000" w:sz="4" w:space="0"/>
            </w:tcBorders>
            <w:noWrap w:val="0"/>
            <w:vAlign w:val="center"/>
          </w:tcPr>
          <w:p w14:paraId="7CD54AF0">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1.综合考虑人工拆除损坏挡墙、护坡等砖石构筑物，含人工、机械、辅材、场内倒运等全部费用</w:t>
            </w:r>
          </w:p>
        </w:tc>
        <w:tc>
          <w:tcPr>
            <w:tcW w:w="496" w:type="pct"/>
            <w:tcBorders>
              <w:top w:val="nil"/>
              <w:left w:val="nil"/>
              <w:bottom w:val="single" w:color="000000" w:sz="4" w:space="0"/>
              <w:right w:val="single" w:color="000000" w:sz="4" w:space="0"/>
            </w:tcBorders>
            <w:noWrap w:val="0"/>
            <w:vAlign w:val="center"/>
          </w:tcPr>
          <w:p w14:paraId="3DCFF417">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m3</w:t>
            </w:r>
          </w:p>
        </w:tc>
        <w:tc>
          <w:tcPr>
            <w:tcW w:w="619" w:type="pct"/>
            <w:tcBorders>
              <w:top w:val="nil"/>
              <w:left w:val="nil"/>
              <w:bottom w:val="single" w:color="000000" w:sz="4" w:space="0"/>
              <w:right w:val="single" w:color="000000" w:sz="4" w:space="0"/>
            </w:tcBorders>
            <w:noWrap w:val="0"/>
            <w:vAlign w:val="center"/>
          </w:tcPr>
          <w:p w14:paraId="2518D9FC">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24.79</w:t>
            </w:r>
          </w:p>
        </w:tc>
        <w:tc>
          <w:tcPr>
            <w:tcW w:w="618" w:type="pct"/>
            <w:tcBorders>
              <w:top w:val="nil"/>
              <w:left w:val="nil"/>
              <w:bottom w:val="single" w:color="000000" w:sz="4" w:space="0"/>
              <w:right w:val="single" w:color="000000" w:sz="4" w:space="0"/>
            </w:tcBorders>
            <w:noWrap w:val="0"/>
            <w:vAlign w:val="center"/>
          </w:tcPr>
          <w:p w14:paraId="39FFE55F">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140.6</w:t>
            </w:r>
          </w:p>
        </w:tc>
        <w:tc>
          <w:tcPr>
            <w:tcW w:w="488" w:type="pct"/>
            <w:tcBorders>
              <w:top w:val="nil"/>
              <w:left w:val="nil"/>
              <w:bottom w:val="single" w:color="000000" w:sz="4" w:space="0"/>
              <w:right w:val="single" w:color="000000" w:sz="4" w:space="0"/>
            </w:tcBorders>
            <w:noWrap w:val="0"/>
            <w:vAlign w:val="center"/>
          </w:tcPr>
          <w:p w14:paraId="4F541885">
            <w:pPr>
              <w:widowControl w:val="0"/>
              <w:jc w:val="center"/>
              <w:rPr>
                <w:rFonts w:hint="eastAsia" w:ascii="宋体" w:hAnsi="宋体" w:eastAsia="宋体" w:cs="宋体"/>
                <w:color w:val="auto"/>
                <w:kern w:val="0"/>
                <w:sz w:val="21"/>
                <w:szCs w:val="21"/>
              </w:rPr>
            </w:pPr>
          </w:p>
        </w:tc>
      </w:tr>
      <w:tr w14:paraId="66864428">
        <w:tblPrEx>
          <w:tblCellMar>
            <w:top w:w="0" w:type="dxa"/>
            <w:left w:w="108" w:type="dxa"/>
            <w:bottom w:w="0" w:type="dxa"/>
            <w:right w:w="108" w:type="dxa"/>
          </w:tblCellMar>
        </w:tblPrEx>
        <w:trPr>
          <w:trHeight w:val="709" w:hRule="atLeast"/>
        </w:trPr>
        <w:tc>
          <w:tcPr>
            <w:tcW w:w="372" w:type="pct"/>
            <w:tcBorders>
              <w:top w:val="nil"/>
              <w:left w:val="single" w:color="000000" w:sz="4" w:space="0"/>
              <w:bottom w:val="single" w:color="000000" w:sz="4" w:space="0"/>
              <w:right w:val="single" w:color="000000" w:sz="4" w:space="0"/>
            </w:tcBorders>
            <w:noWrap w:val="0"/>
            <w:vAlign w:val="center"/>
          </w:tcPr>
          <w:p w14:paraId="0AEE9351">
            <w:pPr>
              <w:widowControl w:val="0"/>
              <w:jc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69</w:t>
            </w:r>
          </w:p>
        </w:tc>
        <w:tc>
          <w:tcPr>
            <w:tcW w:w="804" w:type="pct"/>
            <w:tcBorders>
              <w:top w:val="nil"/>
              <w:left w:val="nil"/>
              <w:bottom w:val="single" w:color="000000" w:sz="4" w:space="0"/>
              <w:right w:val="single" w:color="000000" w:sz="4" w:space="0"/>
            </w:tcBorders>
            <w:noWrap w:val="0"/>
            <w:vAlign w:val="center"/>
          </w:tcPr>
          <w:p w14:paraId="38F05063">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大型机械设备进出场及安拆</w:t>
            </w:r>
          </w:p>
        </w:tc>
        <w:tc>
          <w:tcPr>
            <w:tcW w:w="1600" w:type="pct"/>
            <w:tcBorders>
              <w:top w:val="nil"/>
              <w:left w:val="nil"/>
              <w:bottom w:val="single" w:color="000000" w:sz="4" w:space="0"/>
              <w:right w:val="single" w:color="000000" w:sz="4" w:space="0"/>
            </w:tcBorders>
            <w:noWrap w:val="0"/>
            <w:vAlign w:val="center"/>
          </w:tcPr>
          <w:p w14:paraId="18C7CF20">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1.机械设备名称及规格型号：符合施工要求，自行考虑报价，按项计量，结算不调整</w:t>
            </w:r>
          </w:p>
        </w:tc>
        <w:tc>
          <w:tcPr>
            <w:tcW w:w="496" w:type="pct"/>
            <w:tcBorders>
              <w:top w:val="nil"/>
              <w:left w:val="nil"/>
              <w:bottom w:val="single" w:color="000000" w:sz="4" w:space="0"/>
              <w:right w:val="single" w:color="000000" w:sz="4" w:space="0"/>
            </w:tcBorders>
            <w:noWrap w:val="0"/>
            <w:vAlign w:val="center"/>
          </w:tcPr>
          <w:p w14:paraId="70C54133">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项</w:t>
            </w:r>
          </w:p>
        </w:tc>
        <w:tc>
          <w:tcPr>
            <w:tcW w:w="619" w:type="pct"/>
            <w:tcBorders>
              <w:top w:val="nil"/>
              <w:left w:val="nil"/>
              <w:bottom w:val="single" w:color="000000" w:sz="4" w:space="0"/>
              <w:right w:val="single" w:color="000000" w:sz="4" w:space="0"/>
            </w:tcBorders>
            <w:noWrap w:val="0"/>
            <w:vAlign w:val="center"/>
          </w:tcPr>
          <w:p w14:paraId="28778AE1">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w:t>
            </w:r>
          </w:p>
        </w:tc>
        <w:tc>
          <w:tcPr>
            <w:tcW w:w="618" w:type="pct"/>
            <w:tcBorders>
              <w:top w:val="nil"/>
              <w:left w:val="nil"/>
              <w:bottom w:val="single" w:color="000000" w:sz="4" w:space="0"/>
              <w:right w:val="single" w:color="000000" w:sz="4" w:space="0"/>
            </w:tcBorders>
            <w:noWrap w:val="0"/>
            <w:vAlign w:val="center"/>
          </w:tcPr>
          <w:p w14:paraId="03B08287">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8024.46</w:t>
            </w:r>
          </w:p>
        </w:tc>
        <w:tc>
          <w:tcPr>
            <w:tcW w:w="488" w:type="pct"/>
            <w:tcBorders>
              <w:top w:val="nil"/>
              <w:left w:val="nil"/>
              <w:bottom w:val="single" w:color="000000" w:sz="4" w:space="0"/>
              <w:right w:val="single" w:color="000000" w:sz="4" w:space="0"/>
            </w:tcBorders>
            <w:noWrap w:val="0"/>
            <w:vAlign w:val="center"/>
          </w:tcPr>
          <w:p w14:paraId="34CB14AD">
            <w:pPr>
              <w:widowControl w:val="0"/>
              <w:jc w:val="center"/>
              <w:rPr>
                <w:rFonts w:hint="eastAsia" w:ascii="宋体" w:hAnsi="宋体" w:eastAsia="宋体" w:cs="宋体"/>
                <w:color w:val="auto"/>
                <w:kern w:val="0"/>
                <w:sz w:val="21"/>
                <w:szCs w:val="21"/>
              </w:rPr>
            </w:pPr>
          </w:p>
        </w:tc>
      </w:tr>
      <w:tr w14:paraId="586AE579">
        <w:tblPrEx>
          <w:tblCellMar>
            <w:top w:w="0" w:type="dxa"/>
            <w:left w:w="108" w:type="dxa"/>
            <w:bottom w:w="0" w:type="dxa"/>
            <w:right w:w="108" w:type="dxa"/>
          </w:tblCellMar>
        </w:tblPrEx>
        <w:trPr>
          <w:trHeight w:val="919" w:hRule="atLeast"/>
        </w:trPr>
        <w:tc>
          <w:tcPr>
            <w:tcW w:w="372" w:type="pct"/>
            <w:tcBorders>
              <w:top w:val="nil"/>
              <w:left w:val="single" w:color="000000" w:sz="4" w:space="0"/>
              <w:bottom w:val="single" w:color="000000" w:sz="4" w:space="0"/>
              <w:right w:val="single" w:color="000000" w:sz="4" w:space="0"/>
            </w:tcBorders>
            <w:noWrap w:val="0"/>
            <w:vAlign w:val="center"/>
          </w:tcPr>
          <w:p w14:paraId="2F992D57">
            <w:pPr>
              <w:widowControl w:val="0"/>
              <w:jc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70</w:t>
            </w:r>
          </w:p>
        </w:tc>
        <w:tc>
          <w:tcPr>
            <w:tcW w:w="804" w:type="pct"/>
            <w:tcBorders>
              <w:top w:val="nil"/>
              <w:left w:val="nil"/>
              <w:bottom w:val="single" w:color="000000" w:sz="4" w:space="0"/>
              <w:right w:val="single" w:color="000000" w:sz="4" w:space="0"/>
            </w:tcBorders>
            <w:noWrap w:val="0"/>
            <w:vAlign w:val="center"/>
          </w:tcPr>
          <w:p w14:paraId="047CBA7C">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施工围挡</w:t>
            </w:r>
          </w:p>
        </w:tc>
        <w:tc>
          <w:tcPr>
            <w:tcW w:w="1600" w:type="pct"/>
            <w:tcBorders>
              <w:top w:val="nil"/>
              <w:left w:val="nil"/>
              <w:bottom w:val="single" w:color="000000" w:sz="4" w:space="0"/>
              <w:right w:val="single" w:color="000000" w:sz="4" w:space="0"/>
            </w:tcBorders>
            <w:noWrap w:val="0"/>
            <w:vAlign w:val="center"/>
          </w:tcPr>
          <w:p w14:paraId="3D05AD16">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1.施工围挡由投标人根据施工组织设计自行考虑自主报价，结算时不予调整</w:t>
            </w:r>
          </w:p>
        </w:tc>
        <w:tc>
          <w:tcPr>
            <w:tcW w:w="496" w:type="pct"/>
            <w:tcBorders>
              <w:top w:val="nil"/>
              <w:left w:val="nil"/>
              <w:bottom w:val="single" w:color="000000" w:sz="4" w:space="0"/>
              <w:right w:val="single" w:color="000000" w:sz="4" w:space="0"/>
            </w:tcBorders>
            <w:noWrap w:val="0"/>
            <w:vAlign w:val="center"/>
          </w:tcPr>
          <w:p w14:paraId="53C458DF">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项</w:t>
            </w:r>
          </w:p>
        </w:tc>
        <w:tc>
          <w:tcPr>
            <w:tcW w:w="619" w:type="pct"/>
            <w:tcBorders>
              <w:top w:val="nil"/>
              <w:left w:val="nil"/>
              <w:bottom w:val="single" w:color="000000" w:sz="4" w:space="0"/>
              <w:right w:val="single" w:color="000000" w:sz="4" w:space="0"/>
            </w:tcBorders>
            <w:noWrap w:val="0"/>
            <w:vAlign w:val="center"/>
          </w:tcPr>
          <w:p w14:paraId="098CE30F">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w:t>
            </w:r>
          </w:p>
        </w:tc>
        <w:tc>
          <w:tcPr>
            <w:tcW w:w="618" w:type="pct"/>
            <w:tcBorders>
              <w:top w:val="nil"/>
              <w:left w:val="nil"/>
              <w:bottom w:val="single" w:color="000000" w:sz="4" w:space="0"/>
              <w:right w:val="single" w:color="000000" w:sz="4" w:space="0"/>
            </w:tcBorders>
            <w:noWrap w:val="0"/>
            <w:vAlign w:val="center"/>
          </w:tcPr>
          <w:p w14:paraId="00431232">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57984</w:t>
            </w:r>
          </w:p>
        </w:tc>
        <w:tc>
          <w:tcPr>
            <w:tcW w:w="488" w:type="pct"/>
            <w:tcBorders>
              <w:top w:val="nil"/>
              <w:left w:val="nil"/>
              <w:bottom w:val="single" w:color="000000" w:sz="4" w:space="0"/>
              <w:right w:val="single" w:color="000000" w:sz="4" w:space="0"/>
            </w:tcBorders>
            <w:noWrap w:val="0"/>
            <w:vAlign w:val="center"/>
          </w:tcPr>
          <w:p w14:paraId="3D8626B5">
            <w:pPr>
              <w:widowControl w:val="0"/>
              <w:jc w:val="center"/>
              <w:rPr>
                <w:rFonts w:hint="eastAsia" w:ascii="宋体" w:hAnsi="宋体" w:eastAsia="宋体" w:cs="宋体"/>
                <w:color w:val="auto"/>
                <w:kern w:val="0"/>
                <w:sz w:val="21"/>
                <w:szCs w:val="21"/>
              </w:rPr>
            </w:pPr>
          </w:p>
        </w:tc>
      </w:tr>
      <w:tr w14:paraId="21F72671">
        <w:tblPrEx>
          <w:tblCellMar>
            <w:top w:w="0" w:type="dxa"/>
            <w:left w:w="108" w:type="dxa"/>
            <w:bottom w:w="0" w:type="dxa"/>
            <w:right w:w="108" w:type="dxa"/>
          </w:tblCellMar>
        </w:tblPrEx>
        <w:trPr>
          <w:trHeight w:val="2338" w:hRule="atLeast"/>
        </w:trPr>
        <w:tc>
          <w:tcPr>
            <w:tcW w:w="372" w:type="pct"/>
            <w:tcBorders>
              <w:top w:val="nil"/>
              <w:left w:val="single" w:color="000000" w:sz="4" w:space="0"/>
              <w:bottom w:val="single" w:color="000000" w:sz="4" w:space="0"/>
              <w:right w:val="single" w:color="000000" w:sz="4" w:space="0"/>
            </w:tcBorders>
            <w:noWrap w:val="0"/>
            <w:vAlign w:val="center"/>
          </w:tcPr>
          <w:p w14:paraId="33403B41">
            <w:pPr>
              <w:widowControl w:val="0"/>
              <w:jc w:val="center"/>
              <w:rPr>
                <w:rFonts w:hint="eastAsia" w:ascii="宋体" w:hAnsi="宋体" w:eastAsia="宋体" w:cs="宋体"/>
                <w:color w:val="auto"/>
                <w:kern w:val="0"/>
                <w:sz w:val="21"/>
                <w:szCs w:val="21"/>
                <w:lang w:eastAsia="zh-CN"/>
              </w:rPr>
            </w:pPr>
            <w:r>
              <w:rPr>
                <w:rFonts w:hint="eastAsia" w:ascii="宋体" w:hAnsi="宋体" w:eastAsia="宋体" w:cs="宋体"/>
                <w:color w:val="auto"/>
                <w:kern w:val="0"/>
                <w:sz w:val="21"/>
                <w:szCs w:val="21"/>
              </w:rPr>
              <w:t>7</w:t>
            </w:r>
            <w:r>
              <w:rPr>
                <w:rFonts w:hint="eastAsia" w:ascii="宋体" w:hAnsi="宋体" w:cs="宋体"/>
                <w:color w:val="auto"/>
                <w:kern w:val="0"/>
                <w:sz w:val="21"/>
                <w:szCs w:val="21"/>
                <w:lang w:val="en-US" w:eastAsia="zh-CN"/>
              </w:rPr>
              <w:t>1</w:t>
            </w:r>
          </w:p>
        </w:tc>
        <w:tc>
          <w:tcPr>
            <w:tcW w:w="804" w:type="pct"/>
            <w:tcBorders>
              <w:top w:val="nil"/>
              <w:left w:val="nil"/>
              <w:bottom w:val="single" w:color="000000" w:sz="4" w:space="0"/>
              <w:right w:val="single" w:color="000000" w:sz="4" w:space="0"/>
            </w:tcBorders>
            <w:noWrap w:val="0"/>
            <w:vAlign w:val="center"/>
          </w:tcPr>
          <w:p w14:paraId="14C1E2D1">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围堰</w:t>
            </w:r>
          </w:p>
        </w:tc>
        <w:tc>
          <w:tcPr>
            <w:tcW w:w="1600" w:type="pct"/>
            <w:tcBorders>
              <w:top w:val="nil"/>
              <w:left w:val="nil"/>
              <w:bottom w:val="single" w:color="000000" w:sz="4" w:space="0"/>
              <w:right w:val="single" w:color="000000" w:sz="4" w:space="0"/>
            </w:tcBorders>
            <w:noWrap w:val="0"/>
            <w:vAlign w:val="center"/>
          </w:tcPr>
          <w:p w14:paraId="1046B9C9">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河道或者沟渠中筑堰所用砂袋及配套钢骨架等所有材料，含人工、拆除清理等所有费用，围堰高度1.5米以内，结算时不调整</w:t>
            </w:r>
          </w:p>
        </w:tc>
        <w:tc>
          <w:tcPr>
            <w:tcW w:w="496" w:type="pct"/>
            <w:tcBorders>
              <w:top w:val="nil"/>
              <w:left w:val="nil"/>
              <w:bottom w:val="single" w:color="000000" w:sz="4" w:space="0"/>
              <w:right w:val="single" w:color="000000" w:sz="4" w:space="0"/>
            </w:tcBorders>
            <w:noWrap w:val="0"/>
            <w:vAlign w:val="center"/>
          </w:tcPr>
          <w:p w14:paraId="1CF469A7">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m</w:t>
            </w:r>
          </w:p>
        </w:tc>
        <w:tc>
          <w:tcPr>
            <w:tcW w:w="619" w:type="pct"/>
            <w:tcBorders>
              <w:top w:val="nil"/>
              <w:left w:val="nil"/>
              <w:bottom w:val="single" w:color="000000" w:sz="4" w:space="0"/>
              <w:right w:val="single" w:color="000000" w:sz="4" w:space="0"/>
            </w:tcBorders>
            <w:noWrap w:val="0"/>
            <w:vAlign w:val="center"/>
          </w:tcPr>
          <w:p w14:paraId="65766B2E">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7</w:t>
            </w:r>
          </w:p>
        </w:tc>
        <w:tc>
          <w:tcPr>
            <w:tcW w:w="618" w:type="pct"/>
            <w:tcBorders>
              <w:top w:val="nil"/>
              <w:left w:val="nil"/>
              <w:bottom w:val="single" w:color="000000" w:sz="4" w:space="0"/>
              <w:right w:val="single" w:color="000000" w:sz="4" w:space="0"/>
            </w:tcBorders>
            <w:noWrap w:val="0"/>
            <w:vAlign w:val="center"/>
          </w:tcPr>
          <w:p w14:paraId="1ED29713">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289.82</w:t>
            </w:r>
          </w:p>
        </w:tc>
        <w:tc>
          <w:tcPr>
            <w:tcW w:w="488" w:type="pct"/>
            <w:tcBorders>
              <w:top w:val="nil"/>
              <w:left w:val="nil"/>
              <w:bottom w:val="single" w:color="000000" w:sz="4" w:space="0"/>
              <w:right w:val="single" w:color="000000" w:sz="4" w:space="0"/>
            </w:tcBorders>
            <w:noWrap w:val="0"/>
            <w:vAlign w:val="center"/>
          </w:tcPr>
          <w:p w14:paraId="1685FD1C">
            <w:pPr>
              <w:widowControl w:val="0"/>
              <w:jc w:val="center"/>
              <w:rPr>
                <w:rFonts w:hint="eastAsia" w:ascii="宋体" w:hAnsi="宋体" w:eastAsia="宋体" w:cs="宋体"/>
                <w:color w:val="auto"/>
                <w:kern w:val="0"/>
                <w:sz w:val="21"/>
                <w:szCs w:val="21"/>
              </w:rPr>
            </w:pPr>
          </w:p>
        </w:tc>
      </w:tr>
      <w:tr w14:paraId="15F228D7">
        <w:tblPrEx>
          <w:tblCellMar>
            <w:top w:w="0" w:type="dxa"/>
            <w:left w:w="108" w:type="dxa"/>
            <w:bottom w:w="0" w:type="dxa"/>
            <w:right w:w="108" w:type="dxa"/>
          </w:tblCellMar>
        </w:tblPrEx>
        <w:trPr>
          <w:trHeight w:val="2702" w:hRule="atLeast"/>
        </w:trPr>
        <w:tc>
          <w:tcPr>
            <w:tcW w:w="372" w:type="pct"/>
            <w:tcBorders>
              <w:top w:val="nil"/>
              <w:left w:val="single" w:color="000000" w:sz="4" w:space="0"/>
              <w:bottom w:val="nil"/>
              <w:right w:val="single" w:color="000000" w:sz="4" w:space="0"/>
            </w:tcBorders>
            <w:noWrap w:val="0"/>
            <w:vAlign w:val="center"/>
          </w:tcPr>
          <w:p w14:paraId="474037D3">
            <w:pPr>
              <w:widowControl w:val="0"/>
              <w:jc w:val="center"/>
              <w:rPr>
                <w:rFonts w:hint="eastAsia" w:ascii="宋体" w:hAnsi="宋体" w:eastAsia="宋体" w:cs="宋体"/>
                <w:color w:val="auto"/>
                <w:kern w:val="0"/>
                <w:sz w:val="21"/>
                <w:szCs w:val="21"/>
                <w:lang w:eastAsia="zh-CN"/>
              </w:rPr>
            </w:pPr>
            <w:r>
              <w:rPr>
                <w:rFonts w:hint="eastAsia" w:ascii="宋体" w:hAnsi="宋体" w:eastAsia="宋体" w:cs="宋体"/>
                <w:color w:val="auto"/>
                <w:kern w:val="0"/>
                <w:sz w:val="21"/>
                <w:szCs w:val="21"/>
              </w:rPr>
              <w:t>7</w:t>
            </w:r>
            <w:r>
              <w:rPr>
                <w:rFonts w:hint="eastAsia" w:ascii="宋体" w:hAnsi="宋体" w:cs="宋体"/>
                <w:color w:val="auto"/>
                <w:kern w:val="0"/>
                <w:sz w:val="21"/>
                <w:szCs w:val="21"/>
                <w:lang w:val="en-US" w:eastAsia="zh-CN"/>
              </w:rPr>
              <w:t>2</w:t>
            </w:r>
          </w:p>
        </w:tc>
        <w:tc>
          <w:tcPr>
            <w:tcW w:w="804" w:type="pct"/>
            <w:tcBorders>
              <w:top w:val="nil"/>
              <w:left w:val="nil"/>
              <w:bottom w:val="nil"/>
              <w:right w:val="single" w:color="000000" w:sz="4" w:space="0"/>
            </w:tcBorders>
            <w:noWrap w:val="0"/>
            <w:vAlign w:val="center"/>
          </w:tcPr>
          <w:p w14:paraId="36E90E8A">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钢板桩</w:t>
            </w:r>
          </w:p>
        </w:tc>
        <w:tc>
          <w:tcPr>
            <w:tcW w:w="1600" w:type="pct"/>
            <w:tcBorders>
              <w:top w:val="nil"/>
              <w:left w:val="nil"/>
              <w:bottom w:val="nil"/>
              <w:right w:val="single" w:color="000000" w:sz="4" w:space="0"/>
            </w:tcBorders>
            <w:noWrap w:val="0"/>
            <w:vAlign w:val="center"/>
          </w:tcPr>
          <w:p w14:paraId="517AE011">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1.40#a槽钢（6米长）沟槽边间距400,布置，打下后静力拔出</w:t>
            </w:r>
          </w:p>
          <w:p w14:paraId="603BC096">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2.含打拔、运输、使用、损耗、监测等全部费用。</w:t>
            </w:r>
          </w:p>
          <w:p w14:paraId="2CF7EA34">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3.综合单价中槽钢材料费、打拔费用、桩孔的处理费用。</w:t>
            </w:r>
          </w:p>
          <w:p w14:paraId="364CF8EC">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4.且施打施工过程中就满足规范及周边建筑物、构筑物等重要设施保护，费用包含在综合单价中。</w:t>
            </w:r>
          </w:p>
          <w:p w14:paraId="6C6AE80F">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5.含拔桩时注浆费用，注浆做法及要求详见设计图纸</w:t>
            </w:r>
          </w:p>
        </w:tc>
        <w:tc>
          <w:tcPr>
            <w:tcW w:w="496" w:type="pct"/>
            <w:tcBorders>
              <w:top w:val="nil"/>
              <w:left w:val="nil"/>
              <w:bottom w:val="nil"/>
              <w:right w:val="single" w:color="000000" w:sz="4" w:space="0"/>
            </w:tcBorders>
            <w:noWrap w:val="0"/>
            <w:vAlign w:val="center"/>
          </w:tcPr>
          <w:p w14:paraId="4A7CEDE8">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t</w:t>
            </w:r>
          </w:p>
        </w:tc>
        <w:tc>
          <w:tcPr>
            <w:tcW w:w="619" w:type="pct"/>
            <w:tcBorders>
              <w:top w:val="nil"/>
              <w:left w:val="nil"/>
              <w:bottom w:val="nil"/>
              <w:right w:val="single" w:color="000000" w:sz="4" w:space="0"/>
            </w:tcBorders>
            <w:noWrap w:val="0"/>
            <w:vAlign w:val="center"/>
          </w:tcPr>
          <w:p w14:paraId="3CA07C14">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3.35</w:t>
            </w:r>
          </w:p>
        </w:tc>
        <w:tc>
          <w:tcPr>
            <w:tcW w:w="618" w:type="pct"/>
            <w:tcBorders>
              <w:top w:val="nil"/>
              <w:left w:val="nil"/>
              <w:bottom w:val="nil"/>
              <w:right w:val="single" w:color="000000" w:sz="4" w:space="0"/>
            </w:tcBorders>
            <w:noWrap w:val="0"/>
            <w:vAlign w:val="center"/>
          </w:tcPr>
          <w:p w14:paraId="500CD581">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1003.21</w:t>
            </w:r>
          </w:p>
        </w:tc>
        <w:tc>
          <w:tcPr>
            <w:tcW w:w="488" w:type="pct"/>
            <w:tcBorders>
              <w:top w:val="nil"/>
              <w:left w:val="nil"/>
              <w:bottom w:val="nil"/>
              <w:right w:val="single" w:color="000000" w:sz="4" w:space="0"/>
            </w:tcBorders>
            <w:noWrap w:val="0"/>
            <w:vAlign w:val="center"/>
          </w:tcPr>
          <w:p w14:paraId="6483BCA8">
            <w:pPr>
              <w:widowControl w:val="0"/>
              <w:jc w:val="center"/>
              <w:rPr>
                <w:rFonts w:hint="eastAsia" w:ascii="宋体" w:hAnsi="宋体" w:eastAsia="宋体" w:cs="宋体"/>
                <w:color w:val="auto"/>
                <w:kern w:val="0"/>
                <w:sz w:val="21"/>
                <w:szCs w:val="21"/>
              </w:rPr>
            </w:pPr>
          </w:p>
        </w:tc>
      </w:tr>
      <w:tr w14:paraId="01F25B1B">
        <w:tblPrEx>
          <w:tblCellMar>
            <w:top w:w="0" w:type="dxa"/>
            <w:left w:w="108" w:type="dxa"/>
            <w:bottom w:w="0" w:type="dxa"/>
            <w:right w:w="108" w:type="dxa"/>
          </w:tblCellMar>
        </w:tblPrEx>
        <w:trPr>
          <w:trHeight w:val="2702" w:hRule="atLeast"/>
        </w:trPr>
        <w:tc>
          <w:tcPr>
            <w:tcW w:w="372" w:type="pct"/>
            <w:tcBorders>
              <w:top w:val="nil"/>
              <w:left w:val="single" w:color="000000" w:sz="4" w:space="0"/>
              <w:bottom w:val="nil"/>
              <w:right w:val="single" w:color="000000" w:sz="4" w:space="0"/>
            </w:tcBorders>
            <w:noWrap w:val="0"/>
            <w:vAlign w:val="center"/>
          </w:tcPr>
          <w:p w14:paraId="567280BE">
            <w:pPr>
              <w:widowControl w:val="0"/>
              <w:jc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73</w:t>
            </w:r>
          </w:p>
        </w:tc>
        <w:tc>
          <w:tcPr>
            <w:tcW w:w="804" w:type="pct"/>
            <w:tcBorders>
              <w:top w:val="nil"/>
              <w:left w:val="nil"/>
              <w:bottom w:val="nil"/>
              <w:right w:val="single" w:color="000000" w:sz="4" w:space="0"/>
            </w:tcBorders>
            <w:noWrap w:val="0"/>
            <w:vAlign w:val="center"/>
          </w:tcPr>
          <w:p w14:paraId="2F33E2A0">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碎管置换</w:t>
            </w:r>
          </w:p>
        </w:tc>
        <w:tc>
          <w:tcPr>
            <w:tcW w:w="1600" w:type="pct"/>
            <w:tcBorders>
              <w:top w:val="nil"/>
              <w:left w:val="nil"/>
              <w:bottom w:val="nil"/>
              <w:right w:val="single" w:color="000000" w:sz="4" w:space="0"/>
            </w:tcBorders>
            <w:noWrap w:val="0"/>
            <w:vAlign w:val="center"/>
          </w:tcPr>
          <w:p w14:paraId="3EB722F4">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1.规格:Φ</w:t>
            </w:r>
            <w:r>
              <w:rPr>
                <w:rFonts w:hint="eastAsia" w:ascii="宋体" w:hAnsi="宋体" w:cs="宋体"/>
                <w:color w:val="auto"/>
                <w:kern w:val="0"/>
                <w:sz w:val="21"/>
                <w:szCs w:val="21"/>
                <w:lang w:val="en-US" w:eastAsia="zh-CN"/>
              </w:rPr>
              <w:t>300-500</w:t>
            </w:r>
            <w:r>
              <w:rPr>
                <w:rFonts w:hint="eastAsia" w:ascii="宋体" w:hAnsi="宋体" w:eastAsia="宋体" w:cs="宋体"/>
                <w:color w:val="auto"/>
                <w:kern w:val="0"/>
                <w:sz w:val="21"/>
                <w:szCs w:val="21"/>
              </w:rPr>
              <w:t>裂管；</w:t>
            </w:r>
          </w:p>
          <w:p w14:paraId="5B60C7C8">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2.具体做法及要求详见设计图纸及规范，报价含工作井扩张等一切费用；</w:t>
            </w:r>
          </w:p>
          <w:p w14:paraId="69AD78FD">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3..报价包含管道清疏冲洗费用，CCTV检测费、综合考虑施工前的预处理及摸排、清疏所需的封堵、沉积物（包含树根等管道内所有杂物）清疏及外弃、施工后拆除及调排水的费用、通气毒气检测安全等。</w:t>
            </w:r>
          </w:p>
        </w:tc>
        <w:tc>
          <w:tcPr>
            <w:tcW w:w="496" w:type="pct"/>
            <w:tcBorders>
              <w:top w:val="nil"/>
              <w:left w:val="nil"/>
              <w:bottom w:val="nil"/>
              <w:right w:val="single" w:color="000000" w:sz="4" w:space="0"/>
            </w:tcBorders>
            <w:noWrap w:val="0"/>
            <w:vAlign w:val="center"/>
          </w:tcPr>
          <w:p w14:paraId="6BC52632">
            <w:pPr>
              <w:widowControl w:val="0"/>
              <w:jc w:val="left"/>
              <w:rPr>
                <w:rFonts w:hint="eastAsia"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m</w:t>
            </w:r>
          </w:p>
        </w:tc>
        <w:tc>
          <w:tcPr>
            <w:tcW w:w="619" w:type="pct"/>
            <w:tcBorders>
              <w:top w:val="nil"/>
              <w:left w:val="nil"/>
              <w:bottom w:val="nil"/>
              <w:right w:val="single" w:color="000000" w:sz="4" w:space="0"/>
            </w:tcBorders>
            <w:noWrap w:val="0"/>
            <w:vAlign w:val="center"/>
          </w:tcPr>
          <w:p w14:paraId="23839F49">
            <w:pPr>
              <w:widowControl w:val="0"/>
              <w:jc w:val="left"/>
              <w:rPr>
                <w:rFonts w:hint="default"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200</w:t>
            </w:r>
          </w:p>
        </w:tc>
        <w:tc>
          <w:tcPr>
            <w:tcW w:w="618" w:type="pct"/>
            <w:tcBorders>
              <w:top w:val="nil"/>
              <w:left w:val="nil"/>
              <w:bottom w:val="nil"/>
              <w:right w:val="single" w:color="000000" w:sz="4" w:space="0"/>
            </w:tcBorders>
            <w:noWrap w:val="0"/>
            <w:vAlign w:val="center"/>
          </w:tcPr>
          <w:p w14:paraId="07751107">
            <w:pPr>
              <w:keepNext w:val="0"/>
              <w:keepLines w:val="0"/>
              <w:widowControl/>
              <w:suppressLineNumbers w:val="0"/>
              <w:jc w:val="center"/>
              <w:textAlignment w:val="center"/>
              <w:rPr>
                <w:rFonts w:hint="default"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2000</w:t>
            </w:r>
          </w:p>
        </w:tc>
        <w:tc>
          <w:tcPr>
            <w:tcW w:w="488" w:type="pct"/>
            <w:tcBorders>
              <w:top w:val="nil"/>
              <w:left w:val="nil"/>
              <w:bottom w:val="nil"/>
              <w:right w:val="single" w:color="000000" w:sz="4" w:space="0"/>
            </w:tcBorders>
            <w:noWrap w:val="0"/>
            <w:vAlign w:val="center"/>
          </w:tcPr>
          <w:p w14:paraId="62106671">
            <w:pPr>
              <w:widowControl w:val="0"/>
              <w:jc w:val="center"/>
              <w:rPr>
                <w:rFonts w:hint="eastAsia" w:ascii="宋体" w:hAnsi="宋体" w:eastAsia="宋体" w:cs="宋体"/>
                <w:color w:val="auto"/>
                <w:kern w:val="0"/>
                <w:sz w:val="21"/>
                <w:szCs w:val="21"/>
              </w:rPr>
            </w:pPr>
          </w:p>
        </w:tc>
      </w:tr>
      <w:tr w14:paraId="0D8EE97C">
        <w:tblPrEx>
          <w:tblCellMar>
            <w:top w:w="0" w:type="dxa"/>
            <w:left w:w="108" w:type="dxa"/>
            <w:bottom w:w="0" w:type="dxa"/>
            <w:right w:w="108" w:type="dxa"/>
          </w:tblCellMar>
        </w:tblPrEx>
        <w:trPr>
          <w:trHeight w:val="2702" w:hRule="atLeast"/>
        </w:trPr>
        <w:tc>
          <w:tcPr>
            <w:tcW w:w="372" w:type="pct"/>
            <w:tcBorders>
              <w:top w:val="nil"/>
              <w:left w:val="single" w:color="000000" w:sz="4" w:space="0"/>
              <w:bottom w:val="single" w:color="000000" w:sz="4" w:space="0"/>
              <w:right w:val="single" w:color="000000" w:sz="4" w:space="0"/>
            </w:tcBorders>
            <w:noWrap w:val="0"/>
            <w:vAlign w:val="center"/>
          </w:tcPr>
          <w:p w14:paraId="10EAFB34">
            <w:pPr>
              <w:widowControl w:val="0"/>
              <w:jc w:val="center"/>
              <w:rPr>
                <w:rFonts w:hint="default"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74</w:t>
            </w:r>
          </w:p>
        </w:tc>
        <w:tc>
          <w:tcPr>
            <w:tcW w:w="804" w:type="pct"/>
            <w:tcBorders>
              <w:top w:val="nil"/>
              <w:left w:val="nil"/>
              <w:bottom w:val="nil"/>
              <w:right w:val="single" w:color="000000" w:sz="4" w:space="0"/>
            </w:tcBorders>
            <w:noWrap w:val="0"/>
            <w:vAlign w:val="center"/>
          </w:tcPr>
          <w:p w14:paraId="0D465E27">
            <w:pPr>
              <w:widowControl w:val="0"/>
              <w:jc w:val="left"/>
              <w:rPr>
                <w:rFonts w:hint="default"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管道修测</w:t>
            </w:r>
          </w:p>
        </w:tc>
        <w:tc>
          <w:tcPr>
            <w:tcW w:w="1600" w:type="pct"/>
            <w:tcBorders>
              <w:top w:val="nil"/>
              <w:left w:val="nil"/>
              <w:bottom w:val="nil"/>
              <w:right w:val="single" w:color="000000" w:sz="4" w:space="0"/>
            </w:tcBorders>
            <w:noWrap w:val="0"/>
            <w:vAlign w:val="center"/>
          </w:tcPr>
          <w:p w14:paraId="2D30E2E7">
            <w:pPr>
              <w:widowControl w:val="0"/>
              <w:jc w:val="left"/>
              <w:rPr>
                <w:rFonts w:hint="eastAsia"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w:t>
            </w:r>
            <w:r>
              <w:rPr>
                <w:rFonts w:hint="eastAsia" w:ascii="宋体" w:hAnsi="宋体" w:eastAsia="宋体" w:cs="宋体"/>
                <w:color w:val="auto"/>
                <w:kern w:val="0"/>
                <w:sz w:val="21"/>
                <w:szCs w:val="21"/>
                <w:lang w:val="en-US" w:eastAsia="zh-CN"/>
              </w:rPr>
              <w:t>管道修补，</w:t>
            </w:r>
            <w:r>
              <w:rPr>
                <w:rFonts w:hint="eastAsia" w:ascii="宋体" w:hAnsi="宋体" w:cs="宋体"/>
                <w:color w:val="auto"/>
                <w:kern w:val="0"/>
                <w:sz w:val="21"/>
                <w:szCs w:val="21"/>
                <w:lang w:val="en-US" w:eastAsia="zh-CN"/>
              </w:rPr>
              <w:t>测绘</w:t>
            </w:r>
            <w:r>
              <w:rPr>
                <w:rFonts w:hint="eastAsia" w:ascii="宋体" w:hAnsi="宋体" w:eastAsia="宋体" w:cs="宋体"/>
                <w:color w:val="auto"/>
                <w:kern w:val="0"/>
                <w:sz w:val="21"/>
                <w:szCs w:val="21"/>
                <w:lang w:val="en-US" w:eastAsia="zh-CN"/>
              </w:rPr>
              <w:t>。</w:t>
            </w:r>
          </w:p>
          <w:p w14:paraId="4C5095EA">
            <w:pPr>
              <w:widowControl w:val="0"/>
              <w:numPr>
                <w:ilvl w:val="0"/>
                <w:numId w:val="0"/>
              </w:numPr>
              <w:jc w:val="lef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2.成果文件满足招标人要求。</w:t>
            </w:r>
          </w:p>
          <w:p w14:paraId="34D49926">
            <w:pPr>
              <w:widowControl w:val="0"/>
              <w:numPr>
                <w:ilvl w:val="0"/>
                <w:numId w:val="0"/>
              </w:numPr>
              <w:jc w:val="left"/>
              <w:rPr>
                <w:rFonts w:hint="default" w:ascii="宋体" w:hAnsi="宋体" w:cs="宋体"/>
                <w:color w:val="auto"/>
                <w:kern w:val="0"/>
                <w:sz w:val="21"/>
                <w:szCs w:val="21"/>
                <w:lang w:val="en-US" w:eastAsia="zh-CN"/>
              </w:rPr>
            </w:pPr>
          </w:p>
        </w:tc>
        <w:tc>
          <w:tcPr>
            <w:tcW w:w="496" w:type="pct"/>
            <w:tcBorders>
              <w:top w:val="nil"/>
              <w:left w:val="nil"/>
              <w:bottom w:val="nil"/>
              <w:right w:val="single" w:color="000000" w:sz="4" w:space="0"/>
            </w:tcBorders>
            <w:noWrap w:val="0"/>
            <w:vAlign w:val="center"/>
          </w:tcPr>
          <w:p w14:paraId="4CE2CD45">
            <w:pPr>
              <w:widowControl w:val="0"/>
              <w:jc w:val="left"/>
              <w:rPr>
                <w:rFonts w:hint="default"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m</w:t>
            </w:r>
          </w:p>
        </w:tc>
        <w:tc>
          <w:tcPr>
            <w:tcW w:w="619" w:type="pct"/>
            <w:tcBorders>
              <w:top w:val="nil"/>
              <w:left w:val="nil"/>
              <w:bottom w:val="nil"/>
              <w:right w:val="single" w:color="000000" w:sz="4" w:space="0"/>
            </w:tcBorders>
            <w:noWrap w:val="0"/>
            <w:vAlign w:val="center"/>
          </w:tcPr>
          <w:p w14:paraId="6A902E09">
            <w:pPr>
              <w:widowControl w:val="0"/>
              <w:jc w:val="left"/>
              <w:rPr>
                <w:rFonts w:hint="default"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80000</w:t>
            </w:r>
          </w:p>
        </w:tc>
        <w:tc>
          <w:tcPr>
            <w:tcW w:w="618" w:type="pct"/>
            <w:tcBorders>
              <w:top w:val="nil"/>
              <w:left w:val="nil"/>
              <w:bottom w:val="nil"/>
              <w:right w:val="single" w:color="000000" w:sz="4" w:space="0"/>
            </w:tcBorders>
            <w:noWrap w:val="0"/>
            <w:vAlign w:val="center"/>
          </w:tcPr>
          <w:p w14:paraId="099BE274">
            <w:pPr>
              <w:keepNext w:val="0"/>
              <w:keepLines w:val="0"/>
              <w:widowControl/>
              <w:suppressLineNumbers w:val="0"/>
              <w:jc w:val="center"/>
              <w:textAlignment w:val="center"/>
              <w:rPr>
                <w:rFonts w:hint="default"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3</w:t>
            </w:r>
          </w:p>
        </w:tc>
        <w:tc>
          <w:tcPr>
            <w:tcW w:w="488" w:type="pct"/>
            <w:tcBorders>
              <w:top w:val="nil"/>
              <w:left w:val="nil"/>
              <w:bottom w:val="single" w:color="000000" w:sz="4" w:space="0"/>
              <w:right w:val="single" w:color="000000" w:sz="4" w:space="0"/>
            </w:tcBorders>
            <w:noWrap w:val="0"/>
            <w:vAlign w:val="center"/>
          </w:tcPr>
          <w:p w14:paraId="41EAFC59">
            <w:pPr>
              <w:widowControl w:val="0"/>
              <w:jc w:val="center"/>
              <w:rPr>
                <w:rFonts w:hint="eastAsia" w:ascii="宋体" w:hAnsi="宋体" w:eastAsia="宋体" w:cs="宋体"/>
                <w:color w:val="auto"/>
                <w:kern w:val="0"/>
                <w:sz w:val="21"/>
                <w:szCs w:val="21"/>
              </w:rPr>
            </w:pPr>
          </w:p>
        </w:tc>
      </w:tr>
    </w:tbl>
    <w:p w14:paraId="268DF6BA">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20"/>
        <w:jc w:val="both"/>
        <w:rPr>
          <w:rFonts w:ascii="宋体" w:hAnsi="宋体" w:eastAsia="宋体" w:cs="宋体"/>
          <w:color w:val="auto"/>
          <w:sz w:val="21"/>
          <w:szCs w:val="24"/>
        </w:rPr>
      </w:pPr>
      <w:r>
        <w:rPr>
          <w:rFonts w:ascii="宋体" w:hAnsi="宋体" w:eastAsia="宋体" w:cs="宋体"/>
          <w:color w:val="auto"/>
          <w:sz w:val="21"/>
          <w:szCs w:val="24"/>
        </w:rPr>
        <w:t>备注：投标报价包括但不限于完成本项目的人工、机械、材料、维修技术、企业管理、税金、政策性文件规定及及合同包含内的所有风险、责任等各项应有费用以及供应商认为需要的其他费用等所有费用。</w:t>
      </w:r>
    </w:p>
    <w:p w14:paraId="4C027E9A">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20"/>
        <w:jc w:val="both"/>
        <w:rPr>
          <w:rFonts w:ascii="宋体" w:hAnsi="宋体" w:eastAsia="宋体" w:cs="宋体"/>
          <w:color w:val="auto"/>
          <w:sz w:val="21"/>
          <w:szCs w:val="24"/>
        </w:rPr>
      </w:pPr>
    </w:p>
    <w:p w14:paraId="7151309D">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20"/>
        <w:jc w:val="both"/>
        <w:rPr>
          <w:rFonts w:ascii="Times New Roman" w:hAnsi="Times New Roman" w:eastAsia="宋体" w:cs="Times New Roman"/>
          <w:color w:val="auto"/>
          <w:szCs w:val="24"/>
        </w:rPr>
      </w:pPr>
      <w:r>
        <w:rPr>
          <w:rFonts w:ascii="宋体" w:hAnsi="宋体" w:eastAsia="宋体" w:cs="宋体"/>
          <w:color w:val="auto"/>
          <w:sz w:val="21"/>
          <w:szCs w:val="24"/>
        </w:rPr>
        <w:t>三、</w:t>
      </w:r>
      <w:r>
        <w:rPr>
          <w:rFonts w:hint="eastAsia" w:ascii="宋体" w:hAnsi="宋体" w:eastAsia="宋体" w:cs="宋体"/>
          <w:color w:val="auto"/>
          <w:sz w:val="21"/>
          <w:szCs w:val="24"/>
          <w:lang w:val="en-US" w:eastAsia="zh-CN"/>
        </w:rPr>
        <w:t>实施要求</w:t>
      </w:r>
    </w:p>
    <w:tbl>
      <w:tblPr>
        <w:tblStyle w:val="29"/>
        <w:tblpPr w:leftFromText="180" w:rightFromText="180" w:vertAnchor="text" w:horzAnchor="page" w:tblpX="1064" w:tblpY="266"/>
        <w:tblOverlap w:val="neve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132"/>
        <w:gridCol w:w="2387"/>
        <w:gridCol w:w="6443"/>
      </w:tblGrid>
      <w:tr w14:paraId="07C48F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87" w:hRule="atLeast"/>
        </w:trPr>
        <w:tc>
          <w:tcPr>
            <w:tcW w:w="568" w:type="pct"/>
            <w:vAlign w:val="center"/>
          </w:tcPr>
          <w:p w14:paraId="671B7ABA">
            <w:pPr>
              <w:widowControl w:val="0"/>
              <w:spacing w:after="0" w:line="240" w:lineRule="auto"/>
              <w:jc w:val="center"/>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序号</w:t>
            </w:r>
          </w:p>
        </w:tc>
        <w:tc>
          <w:tcPr>
            <w:tcW w:w="1198" w:type="pct"/>
            <w:vAlign w:val="center"/>
          </w:tcPr>
          <w:p w14:paraId="73CE82BD">
            <w:pPr>
              <w:widowControl w:val="0"/>
              <w:spacing w:after="0" w:line="240" w:lineRule="auto"/>
              <w:jc w:val="center"/>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名称</w:t>
            </w:r>
          </w:p>
        </w:tc>
        <w:tc>
          <w:tcPr>
            <w:tcW w:w="3233" w:type="pct"/>
            <w:vAlign w:val="center"/>
          </w:tcPr>
          <w:p w14:paraId="7BFF6442">
            <w:pPr>
              <w:widowControl w:val="0"/>
              <w:spacing w:after="0" w:line="240" w:lineRule="auto"/>
              <w:jc w:val="center"/>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采购要求</w:t>
            </w:r>
          </w:p>
        </w:tc>
      </w:tr>
      <w:tr w14:paraId="022F66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3" w:hRule="atLeast"/>
        </w:trPr>
        <w:tc>
          <w:tcPr>
            <w:tcW w:w="568" w:type="pct"/>
            <w:vAlign w:val="center"/>
          </w:tcPr>
          <w:p w14:paraId="595059AD">
            <w:pPr>
              <w:widowControl w:val="0"/>
              <w:spacing w:after="0" w:line="240" w:lineRule="auto"/>
              <w:jc w:val="center"/>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1</w:t>
            </w:r>
          </w:p>
        </w:tc>
        <w:tc>
          <w:tcPr>
            <w:tcW w:w="1198" w:type="pct"/>
            <w:vAlign w:val="center"/>
          </w:tcPr>
          <w:p w14:paraId="4B67A819">
            <w:pPr>
              <w:widowControl w:val="0"/>
              <w:spacing w:after="0" w:line="240" w:lineRule="auto"/>
              <w:jc w:val="center"/>
              <w:rPr>
                <w:rFonts w:hint="eastAsia" w:ascii="宋体" w:hAnsi="宋体" w:eastAsia="宋体" w:cs="宋体"/>
                <w:color w:val="auto"/>
                <w:kern w:val="2"/>
                <w:sz w:val="21"/>
                <w:szCs w:val="21"/>
              </w:rPr>
            </w:pPr>
            <w:r>
              <w:rPr>
                <w:rFonts w:hint="eastAsia" w:ascii="宋体" w:hAnsi="宋体" w:eastAsia="宋体" w:cs="宋体"/>
                <w:color w:val="auto"/>
                <w:kern w:val="0"/>
                <w:sz w:val="21"/>
                <w:szCs w:val="21"/>
              </w:rPr>
              <w:t>★</w:t>
            </w:r>
            <w:r>
              <w:rPr>
                <w:rFonts w:hint="eastAsia" w:ascii="宋体" w:hAnsi="宋体" w:eastAsia="宋体" w:cs="宋体"/>
                <w:color w:val="auto"/>
                <w:kern w:val="2"/>
                <w:sz w:val="21"/>
                <w:szCs w:val="21"/>
              </w:rPr>
              <w:t>总体要求（完全响应）</w:t>
            </w:r>
          </w:p>
        </w:tc>
        <w:tc>
          <w:tcPr>
            <w:tcW w:w="3233" w:type="pct"/>
            <w:vAlign w:val="center"/>
          </w:tcPr>
          <w:p w14:paraId="1EDFBC13">
            <w:pPr>
              <w:widowControl w:val="0"/>
              <w:spacing w:after="0" w:line="240" w:lineRule="auto"/>
              <w:jc w:val="left"/>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一、本项目包含内容：</w:t>
            </w:r>
          </w:p>
          <w:p w14:paraId="53D490B3">
            <w:pPr>
              <w:widowControl w:val="0"/>
              <w:spacing w:after="0" w:line="240" w:lineRule="auto"/>
              <w:jc w:val="left"/>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雨水管道维护工作涵盖仙林地区77条市政道路下的雨水管道清疏，总长约240km，部分道路下破损雨水管道更换，雨水蓖改造等附属设施维护；应急抢修包括降雨期间巡查、开关雨水篦助排、应急抢修、架泵强排水等。</w:t>
            </w:r>
          </w:p>
          <w:p w14:paraId="5FB48B7A">
            <w:pPr>
              <w:widowControl w:val="0"/>
              <w:spacing w:after="0" w:line="240" w:lineRule="auto"/>
              <w:jc w:val="left"/>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二、中标供应商的一般义务</w:t>
            </w:r>
          </w:p>
          <w:p w14:paraId="7003B1DC">
            <w:pPr>
              <w:widowControl w:val="0"/>
              <w:spacing w:after="0" w:line="240" w:lineRule="auto"/>
              <w:jc w:val="left"/>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（1）中标供应商提交的完工资料的内容：完工后 60 天内，供应商完成并提交完整的完工资料，内容必须真实、准确，</w:t>
            </w:r>
          </w:p>
          <w:p w14:paraId="233F4814">
            <w:pPr>
              <w:widowControl w:val="0"/>
              <w:spacing w:after="0" w:line="240" w:lineRule="auto"/>
              <w:jc w:val="left"/>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与实际符合。其中 2 套原件、2 套复印件、一份电子件；结算文件 3 套，并报监理审核。</w:t>
            </w:r>
          </w:p>
          <w:p w14:paraId="01215B56">
            <w:pPr>
              <w:widowControl w:val="0"/>
              <w:spacing w:after="0" w:line="240" w:lineRule="auto"/>
              <w:jc w:val="left"/>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（2）中标供应商应履行的其他义务：</w:t>
            </w:r>
          </w:p>
          <w:p w14:paraId="788264EA">
            <w:pPr>
              <w:widowControl w:val="0"/>
              <w:spacing w:after="0" w:line="240" w:lineRule="auto"/>
              <w:jc w:val="left"/>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A、中标供应商必须按采购人和监理的要求完成开工前的申请报告以及所要求的各类报表、有针对性的组织设计及分项组织设计。开工前一周按采购人要求提供进度总计划、供应商自购材料清单、材料进场计划、劳动力及月度用款计划等资料；进场开工后每月二十五日前应分别向采购人、监理人提交详细的进度计划，已完工作量报表（含因设计变更引起的工作量及价款调整的申请）及下月计划表。</w:t>
            </w:r>
          </w:p>
          <w:p w14:paraId="21A70F9A">
            <w:pPr>
              <w:widowControl w:val="0"/>
              <w:spacing w:after="0" w:line="240" w:lineRule="auto"/>
              <w:jc w:val="left"/>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B、中标供应商承担安全保卫工作及非夜间工作照明的责任和要求：负责采购人的安全责任，禁止外单位车辆、人员出入工地。禁止非中标供应商员进入现场，并保证现场范围内的一切人员和财产的安全工作，费用在报价中已包含。承担中标供应商工作范围的安全保卫工作，中标供应商认真做好工作场地的安全防护工作（包括照明、安全设施等），中标供应商对安全防护工作负全责（包括但不限于责任和费用），并负责采购人供应的材料设备的保管。如中标供应商未履行上述约定及通用条款相关义务造成工作、财产和人身伤害，由中标供应商承担责任、支付违约金及支付发生的费用。</w:t>
            </w:r>
          </w:p>
          <w:p w14:paraId="5A9F7B4F">
            <w:pPr>
              <w:widowControl w:val="0"/>
              <w:spacing w:after="0" w:line="240" w:lineRule="auto"/>
              <w:jc w:val="left"/>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C、需中标供应商办理的有关现场场地交通、环卫和噪音管理等手续：涉及到的所有交通、环卫、市容、噪声及劳务用工管理等各项应办手续及费用，均由中标供应商自行办理和承担。中标供应商不得因此而影响工期，否则仍须承担违约责任。若因此而产生相应的行政处罚，概由中标供应商承担。</w:t>
            </w:r>
          </w:p>
          <w:p w14:paraId="3E6AAB4A">
            <w:pPr>
              <w:widowControl w:val="0"/>
              <w:spacing w:after="0" w:line="240" w:lineRule="auto"/>
              <w:jc w:val="left"/>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D、已完成品保护的特殊要求及费用承担：交付前由中标供应商负责人负责已完成品保护，采购人可以协助，费用由中标供应商负责。</w:t>
            </w:r>
          </w:p>
          <w:p w14:paraId="20119C8C">
            <w:pPr>
              <w:widowControl w:val="0"/>
              <w:spacing w:after="0" w:line="240" w:lineRule="auto"/>
              <w:jc w:val="left"/>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E、工作场地周围地下管线和邻近建筑物、构筑物（含文物保护建筑）、古树名木的保护要求及费用承担：如果在工作期间发现文物或其它有价值的物品时，中标供应商应采取防止损害的措施，并立即报告采购人、国家文物或其他管理部门和保护现场；如果在工作过程中意外发现电线、水管或其它公共设施，中标供应商应立即停止挖掘工作，并立即报告采购人或专业管理部门。中标供应商根据有关指示，负责修理被破坏的上述公共设施，并恢复原状，费用由责任方承担。如因中标供应商原因受到相关管理部门的行政处罚，概由中标供应商承担。</w:t>
            </w:r>
          </w:p>
          <w:p w14:paraId="3A573AA7">
            <w:pPr>
              <w:widowControl w:val="0"/>
              <w:spacing w:after="0" w:line="240" w:lineRule="auto"/>
              <w:jc w:val="left"/>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F、现场清洁卫生的要求：做到文明、规范，保持场地整洁卫生外，还应按照采购人关于安全生产和文明工作要求办理，并做到：①设置、维修和管理临时排污系统；②按照南京市及区有关对扬尘处理办法，对现场进行扬尘处理，并承担相关费用；③每天保持工作道路的畅通与清洁，负责保养及维修进入工作区域道路，费用由中标供应商承担；④收集和处理所有工作现场和生活区域内的所有垃圾，直到交付为止；⑤中标供应商应按采购人要求，按规定做好场内道路硬化、布置各项标识、标牌、便于检查、视察或参观；⑥若因中标供应商现场清洁卫生工作不好，导致投诉或新闻媒体曝光，中标供应商需承担由此产生的一切后果和费用；另采购人可要求中标供应商支付 5 万元/次的违约金，并计黄牌一次；⑦交付时应将其排污设施全部拆除并清理至采购人满意，供应商承担其相应的费用。</w:t>
            </w:r>
          </w:p>
          <w:p w14:paraId="0AEA943E">
            <w:pPr>
              <w:widowControl w:val="0"/>
              <w:spacing w:after="0" w:line="240" w:lineRule="auto"/>
              <w:jc w:val="left"/>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G、作为本项目的总承包管理单位，中标供应商对本项目产生的各类垃圾至整体验收交付日之前均由中标供应商外运，中标供应商对本项目产生的全部垃圾已有充分预见，并已在报价中充分考虑此项费用，合同执行过程中不予签证，结算不调整。如不进行外运，发生一切费用则从合同款中直接扣回。</w:t>
            </w:r>
          </w:p>
          <w:p w14:paraId="35FD72B2">
            <w:pPr>
              <w:widowControl w:val="0"/>
              <w:spacing w:after="0" w:line="240" w:lineRule="auto"/>
              <w:jc w:val="left"/>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H、采购人在签订本合同后及时提供用于申办本项目备案，手续报批等所需的必要资料，中标供应商应在采购人提供上述资料后14天内完成各类备案、手续的办理工作，因中标供应商原因逾期未办妥的而导致工期延误，工期不予顺延。</w:t>
            </w:r>
          </w:p>
          <w:p w14:paraId="324BFD47">
            <w:pPr>
              <w:widowControl w:val="0"/>
              <w:spacing w:after="0" w:line="240" w:lineRule="auto"/>
              <w:jc w:val="left"/>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I、承担采购人上级领导检查、视察工地所需的现场准备工作；配合质监、安监单位的现场检查，并承担由此引起的相关费用。</w:t>
            </w:r>
          </w:p>
          <w:p w14:paraId="00C0DCEA">
            <w:pPr>
              <w:widowControl w:val="0"/>
              <w:spacing w:after="0" w:line="240" w:lineRule="auto"/>
              <w:jc w:val="left"/>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J、中标供应商必须遵守江苏省、南京市及栖霞区的相关规定，服从行业主管部门的管理，凡涉及到中标供应商的安全监督、质量监督、备案、车辆准运等有关证、照，均由中标供应商自行办理，采购人给予配合，发生的费用全部由中标供应商承担，包括但不限于外地单位备案费用、排污管理费、噪声管理费、垃圾管理费、降尘措施费等。</w:t>
            </w:r>
          </w:p>
          <w:p w14:paraId="1A91993E">
            <w:pPr>
              <w:widowControl w:val="0"/>
              <w:spacing w:after="0" w:line="240" w:lineRule="auto"/>
              <w:jc w:val="left"/>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K、采购人需要时，可能做出某些限制和配合要求，中标供应商应按照要求做出必要的配合，并承担有可能因此而引起工效降低需增加的费用。</w:t>
            </w:r>
          </w:p>
          <w:p w14:paraId="1DAD7265">
            <w:pPr>
              <w:widowControl w:val="0"/>
              <w:spacing w:after="0" w:line="240" w:lineRule="auto"/>
              <w:jc w:val="left"/>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L、中标供应商应负责其承包范围内的深化设计、方案评审、修改并承担由此引起的各项增加的或额外的费用。</w:t>
            </w:r>
          </w:p>
          <w:p w14:paraId="636421EC">
            <w:pPr>
              <w:widowControl w:val="0"/>
              <w:spacing w:after="0" w:line="240" w:lineRule="auto"/>
              <w:jc w:val="left"/>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M、中标供应商应加强车辆的管理，不得无故堵塞道路交通，不得沿途抛洒弃土，并根据采购人的要求，安排人员在主要路口疏导车辆、行人交通，其费用由中标供应商负责。</w:t>
            </w:r>
          </w:p>
          <w:p w14:paraId="6859ADBA">
            <w:pPr>
              <w:widowControl w:val="0"/>
              <w:spacing w:after="0" w:line="240" w:lineRule="auto"/>
              <w:jc w:val="left"/>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N、中标供应商必须负责现场临时用水、用电工作，进行统一管理，包括但不限于以下内容：</w:t>
            </w:r>
          </w:p>
          <w:p w14:paraId="2EBCCE52">
            <w:pPr>
              <w:widowControl w:val="0"/>
              <w:spacing w:after="0" w:line="240" w:lineRule="auto"/>
              <w:jc w:val="left"/>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a.中标供应商应将用水、用电的额度提交给监理工程师，以便审查和批准。中标供应商承担整个工地的水电管理（含生活区）及维修（费用已含在报价中）任务。供水管路及用水设施、供电线路及供电设施等必须符合有关临时供水、供电设施的安装、使用标准或规范，中标供应商对所使用的供水、供电设施的设计、安装、维修和管理负责，并确保其安全可靠。</w:t>
            </w:r>
          </w:p>
          <w:p w14:paraId="4A351225">
            <w:pPr>
              <w:widowControl w:val="0"/>
              <w:spacing w:after="0" w:line="240" w:lineRule="auto"/>
              <w:jc w:val="left"/>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b.现场用水用电不足部分由中标供应商自行解决（如自备发电机、打井等措施），费用由中标供应商承担。</w:t>
            </w:r>
          </w:p>
          <w:p w14:paraId="12DCB259">
            <w:pPr>
              <w:widowControl w:val="0"/>
              <w:spacing w:after="0" w:line="240" w:lineRule="auto"/>
              <w:jc w:val="left"/>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c.中标供应商负责布设临时水、电设施并进行日常维护管理以保证满足整个项目期间的需要，所发生的布设、维护管理费用已包含在投标报价内。</w:t>
            </w:r>
          </w:p>
          <w:p w14:paraId="559E4A20">
            <w:pPr>
              <w:widowControl w:val="0"/>
              <w:spacing w:after="0" w:line="240" w:lineRule="auto"/>
              <w:jc w:val="left"/>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d.中标供应商应充分考虑用电负荷控制和漏电保护，否则承担一切损失。</w:t>
            </w:r>
          </w:p>
          <w:p w14:paraId="0368004B">
            <w:pPr>
              <w:widowControl w:val="0"/>
              <w:spacing w:after="0" w:line="240" w:lineRule="auto"/>
              <w:jc w:val="left"/>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e.如因城市供电、供水部门等非采购人原因导致的停电、停水，中标供应商不得向采购人提出违约。</w:t>
            </w:r>
          </w:p>
          <w:p w14:paraId="3382EAA6">
            <w:pPr>
              <w:widowControl w:val="0"/>
              <w:spacing w:after="0" w:line="240" w:lineRule="auto"/>
              <w:jc w:val="left"/>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f.临时水电设施的拆除必须征得监理工程师与采购人的书面批准，否则采购人有权要求中标供应商恢复，并承担恢复所发生的费用。</w:t>
            </w:r>
          </w:p>
          <w:p w14:paraId="0FB86213">
            <w:pPr>
              <w:widowControl w:val="0"/>
              <w:spacing w:after="0" w:line="240" w:lineRule="auto"/>
              <w:jc w:val="left"/>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O、中标供应商负责现场除由中标供应商自身产生的各类垃圾清运工作外，还需负责公共区域的卫生、清洁、垃圾清运等工作；以及本项目全区域的卫生管理与检查。</w:t>
            </w:r>
          </w:p>
          <w:p w14:paraId="4E1E5CD8">
            <w:pPr>
              <w:widowControl w:val="0"/>
              <w:spacing w:after="0" w:line="240" w:lineRule="auto"/>
              <w:jc w:val="left"/>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P、在现场工作中，中标供应商应负责自身工作区域与公共区域的安全设施的搭设与维修管理工作，以及为安全检查所进行的管理、协调、配合工作等。中标供应商应允许其他专业承包商使用由供应商修建的道路、提供临时设施（库房等）及搭设的安全设施。</w:t>
            </w:r>
          </w:p>
          <w:p w14:paraId="703EB53F">
            <w:pPr>
              <w:widowControl w:val="0"/>
              <w:spacing w:after="0" w:line="240" w:lineRule="auto"/>
              <w:jc w:val="left"/>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Q、中标供应商负责管理工作现场内先期建成的设施，工作期间如先期建成的设施被盗窃或损坏，均由中标供应商负责，整修被盗或损坏设施的费用由中标供应商支付。负责采购人供应的材料设备的保管，同时还应负责由采购人转交给中标供应商的设备、材料等的安全保卫工作，任何遗失、被盗、损坏均由中标供应商承担违约责任。</w:t>
            </w:r>
          </w:p>
          <w:p w14:paraId="57693258">
            <w:pPr>
              <w:widowControl w:val="0"/>
              <w:spacing w:after="0" w:line="240" w:lineRule="auto"/>
              <w:jc w:val="left"/>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R、中标供应商应当服从监理工程师及采购人的现场管理和协调工作，合理调动资源，保障工期、质量目标的实现。</w:t>
            </w:r>
          </w:p>
          <w:p w14:paraId="6DFC67EF">
            <w:pPr>
              <w:widowControl w:val="0"/>
              <w:spacing w:after="0" w:line="240" w:lineRule="auto"/>
              <w:jc w:val="left"/>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S、中标供应商的临时用水用电、临时用房等拆除，必须在拆除前一个月向监理工程师和采购人提出书面申请且经书面批准后方可拆除，否则采购人有权要求供应商恢复，并承担恢复所发生的费用。中标供应商的临时用水用电、临时用房等应供所有采购人另行分包的分包单位无偿使用至整个项目完工。</w:t>
            </w:r>
          </w:p>
          <w:p w14:paraId="378509C5">
            <w:pPr>
              <w:widowControl w:val="0"/>
              <w:spacing w:after="0" w:line="240" w:lineRule="auto"/>
              <w:jc w:val="left"/>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T、中标供应商必须立刻执行采购人派驻的工程师获本合同授权而发出的书面指令。若中标供应商没有在规定时间之内执行指令，而在收到采购人催促执行的书面通知后 3 日之内，中标供应商仍未执行，采购人可另聘和指派他人执行该指示所要求的工作。其他供应商完成此项工作的相关费用从本合同应付或将会付给中标供应商的款项中扣除而无须供应商认可，由此造成采购人额外损失或间接损失的，作为债务向中标供应商追讨。</w:t>
            </w:r>
          </w:p>
          <w:p w14:paraId="0584CCCF">
            <w:pPr>
              <w:widowControl w:val="0"/>
              <w:spacing w:after="0" w:line="240" w:lineRule="auto"/>
              <w:jc w:val="left"/>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U、中标供应商必须签收监理工程师发出的书面资料，如有异议必须在收文之日起3日内书面回复，否则视同认可。</w:t>
            </w:r>
          </w:p>
          <w:p w14:paraId="43712B32">
            <w:pPr>
              <w:widowControl w:val="0"/>
              <w:spacing w:after="0" w:line="240" w:lineRule="auto"/>
              <w:jc w:val="left"/>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V、中标供应商报给监理部的计划、报表、方案等资料，须同步报采购人，但采购人不会越过监理直接给中标供应商回</w:t>
            </w:r>
          </w:p>
          <w:p w14:paraId="56050DB2">
            <w:pPr>
              <w:widowControl w:val="0"/>
              <w:spacing w:after="0" w:line="240" w:lineRule="auto"/>
              <w:jc w:val="left"/>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复。</w:t>
            </w:r>
          </w:p>
          <w:p w14:paraId="2A3E925F">
            <w:pPr>
              <w:widowControl w:val="0"/>
              <w:spacing w:after="0" w:line="240" w:lineRule="auto"/>
              <w:jc w:val="left"/>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W、中标供应商未能履行本合同供应商的各项义务，造成采购人及其他供应商损失的，中标供应商还应当承担损失费用。</w:t>
            </w:r>
          </w:p>
          <w:p w14:paraId="3A479ACB">
            <w:pPr>
              <w:widowControl w:val="0"/>
              <w:spacing w:after="0" w:line="240" w:lineRule="auto"/>
              <w:jc w:val="left"/>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X、中标供应商需充分调查，并考虑现场周边环境，并有责任承担因中标供应商的过失而承担保护和修复周边设施的义务，费用自行考虑。如：包括但不限于重载车辆对道路的破坏等。</w:t>
            </w:r>
          </w:p>
          <w:p w14:paraId="11D1D9F4">
            <w:pPr>
              <w:widowControl w:val="0"/>
              <w:spacing w:after="0" w:line="240" w:lineRule="auto"/>
              <w:jc w:val="left"/>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Y、中标供应商要勤勉对仙林地区所有道路和市政设施的巡查和管理义务，常态化安排固定巡查人员对责任范围市政道路及市政设施开展全范围日常巡查；在重要检查、重大活动期间，中标供应商需按照采购人和管理方要求，增加巡查人员和巡查频次开展强化巡查。</w:t>
            </w:r>
          </w:p>
          <w:p w14:paraId="1DB0B492">
            <w:pPr>
              <w:widowControl w:val="0"/>
              <w:spacing w:after="0" w:line="240" w:lineRule="auto"/>
              <w:jc w:val="left"/>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Z、中标供应商须严格按照工作指令或工作方案审批意见开展工作，工作过程中服从采购人、管理方和监理方的管理，确保安全、文明和进度、质量达到要求。</w:t>
            </w:r>
          </w:p>
          <w:p w14:paraId="19233D31">
            <w:pPr>
              <w:widowControl w:val="0"/>
              <w:spacing w:after="0" w:line="240" w:lineRule="auto"/>
              <w:jc w:val="left"/>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三、 项目负责人：</w:t>
            </w:r>
          </w:p>
          <w:p w14:paraId="48FACBBF">
            <w:pPr>
              <w:widowControl w:val="0"/>
              <w:spacing w:after="0" w:line="240" w:lineRule="auto"/>
              <w:jc w:val="left"/>
              <w:rPr>
                <w:rFonts w:hint="eastAsia" w:ascii="宋体" w:hAnsi="宋体" w:eastAsia="宋体" w:cs="宋体"/>
                <w:color w:val="auto"/>
                <w:kern w:val="2"/>
                <w:sz w:val="21"/>
                <w:szCs w:val="21"/>
              </w:rPr>
            </w:pPr>
            <w:r>
              <w:rPr>
                <w:rFonts w:hint="eastAsia" w:ascii="宋体" w:hAnsi="宋体" w:eastAsia="宋体" w:cs="宋体"/>
                <w:b/>
                <w:color w:val="auto"/>
                <w:kern w:val="2"/>
                <w:sz w:val="21"/>
                <w:szCs w:val="21"/>
              </w:rPr>
              <w:t>（1）关于项目负责人每月在现场的时间要求：</w:t>
            </w:r>
            <w:r>
              <w:rPr>
                <w:rFonts w:hint="eastAsia" w:ascii="宋体" w:hAnsi="宋体" w:eastAsia="宋体" w:cs="宋体"/>
                <w:color w:val="auto"/>
                <w:kern w:val="2"/>
                <w:sz w:val="21"/>
                <w:szCs w:val="21"/>
              </w:rPr>
              <w:t>项目负责人每月不少于二十五天，每周不少于 6 天，每天不少于八小时在岗处理事务，如项目负责人有特殊原因不能保证上述在岗时间的，需以书面形式报监理审核后，再报采购人批准。项目负责人必须采取有效措施保证在整个工作期间现场有足够的劳力、材料、设备，保证项目顺利实施，并不受节假日的影响。中标供应商无法满足上述管理要求的，按监理总监、采购人现场代表考勤，中标供应商按 2000元/天向采购人支付违约金，违约金在下次支付进度款时扣除；项目负责人在现场时间每月累计少于 20 天（含）的，采购人有权解除合同。</w:t>
            </w:r>
          </w:p>
          <w:p w14:paraId="396D3A46">
            <w:pPr>
              <w:widowControl w:val="0"/>
              <w:numPr>
                <w:ilvl w:val="0"/>
                <w:numId w:val="7"/>
              </w:numPr>
              <w:spacing w:after="0" w:line="240" w:lineRule="auto"/>
              <w:ind w:firstLine="420"/>
              <w:jc w:val="left"/>
              <w:rPr>
                <w:rFonts w:hint="eastAsia" w:ascii="宋体" w:hAnsi="宋体" w:eastAsia="宋体" w:cs="宋体"/>
                <w:color w:val="auto"/>
                <w:kern w:val="2"/>
                <w:sz w:val="21"/>
                <w:szCs w:val="21"/>
              </w:rPr>
            </w:pPr>
            <w:r>
              <w:rPr>
                <w:rFonts w:hint="eastAsia" w:ascii="宋体" w:hAnsi="宋体" w:eastAsia="宋体" w:cs="宋体"/>
                <w:b/>
                <w:color w:val="auto"/>
                <w:kern w:val="2"/>
                <w:sz w:val="21"/>
                <w:szCs w:val="21"/>
              </w:rPr>
              <w:t>项目负责人未经批准，擅自离开现场的违约责任：</w:t>
            </w:r>
            <w:r>
              <w:rPr>
                <w:rFonts w:hint="eastAsia" w:ascii="宋体" w:hAnsi="宋体" w:eastAsia="宋体" w:cs="宋体"/>
                <w:color w:val="auto"/>
                <w:kern w:val="2"/>
                <w:sz w:val="21"/>
                <w:szCs w:val="21"/>
              </w:rPr>
              <w:t>如项目负责人长期、连续不在岗，在现场时间每月累计少于20 天（含）的，或耽误实际工作的，视为擅自变更项目负责人，采购人有权自查或要求供应商提供符合招标文件条件的项目负责人名单，任意挑选无</w:t>
            </w:r>
          </w:p>
          <w:p w14:paraId="4C682EBE">
            <w:pPr>
              <w:widowControl w:val="0"/>
              <w:numPr>
                <w:ilvl w:val="0"/>
                <w:numId w:val="7"/>
              </w:numPr>
              <w:spacing w:after="0" w:line="240" w:lineRule="auto"/>
              <w:ind w:firstLine="420"/>
              <w:jc w:val="left"/>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项目且业绩高于原中标项目负责人的项目负责人，此项更换中标供应商不得拒绝，如更换后的项目负责人仍不能满足上述工作时间的要求，采购人有权解除与中标供应商签署的合同，合同解除，应由中标供应商承担违约责任。在本合同规定的工作时间内，如采购人发现项目负责人人机分离的，供应商按 2000 元/天向采购人支付违约金。</w:t>
            </w:r>
          </w:p>
          <w:p w14:paraId="4478DC59">
            <w:pPr>
              <w:widowControl w:val="0"/>
              <w:spacing w:after="0" w:line="240" w:lineRule="auto"/>
              <w:jc w:val="left"/>
              <w:rPr>
                <w:rFonts w:hint="eastAsia" w:ascii="宋体" w:hAnsi="宋体" w:eastAsia="宋体" w:cs="宋体"/>
                <w:b/>
                <w:color w:val="auto"/>
                <w:kern w:val="2"/>
                <w:sz w:val="21"/>
                <w:szCs w:val="21"/>
              </w:rPr>
            </w:pPr>
            <w:r>
              <w:rPr>
                <w:rFonts w:hint="eastAsia" w:ascii="宋体" w:hAnsi="宋体" w:eastAsia="宋体" w:cs="宋体"/>
                <w:b/>
                <w:color w:val="auto"/>
                <w:kern w:val="2"/>
                <w:sz w:val="21"/>
                <w:szCs w:val="21"/>
              </w:rPr>
              <w:t>四、中标供应商擅自更换项目负责人的违约责任：</w:t>
            </w:r>
          </w:p>
          <w:p w14:paraId="5CFC7E60">
            <w:pPr>
              <w:widowControl w:val="0"/>
              <w:spacing w:after="0" w:line="240" w:lineRule="auto"/>
              <w:jc w:val="left"/>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(1)合同签订时，中标的项目负责人证书原件交采购人保管，完工后方可归还中标供应商；如不能提供，中标供应商须按照项目负责人不在岗支付违约金，如 3 次催告后仍未提供，采购人有权解除合同。(2)投标文件中明确的项目负责人，未经采购人许可不得擅自变更。中标供应商未取得变更备案手续，而允许他人擅代项目负责人的，视为项目负责人不在场。否则，采购人有权解除合同，追回已经支付的款项，中标供应商向采购人支付违约金10万元，并报相关管理机构备案。自备案之日起至原合同工期期满之日止，原中标项目负责人不得作为项目负责人承接其他项目，如备案之日至原合同工期期满之日不足六个月，则限制其承接项目的期限为六个月。采购人有权按照规定监督原中标项目负责人的行业行为并向建设行政主管部门报告。(3)如果因相关文件规定的客观原因更换项目负责人，必须得到采购人的批准。更换的项目负责人必须是本企业正式员工（需提供劳动合同原件），并且满足本项目招标文件对于投标项目负责人要求的如资质、业绩等同等条件，否则不予更换。</w:t>
            </w:r>
          </w:p>
          <w:p w14:paraId="6E2ED474">
            <w:pPr>
              <w:widowControl w:val="0"/>
              <w:spacing w:after="0" w:line="240" w:lineRule="auto"/>
              <w:jc w:val="left"/>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如因特殊原因相关人员不能履行职责而确需更换项目负责人，须提前一周通知采购人。经采购人同意供应商更换项目负责人，更换的项目负责人必须是中标供应商正式员工（出具半年以上中标供应商为其缴纳的劳保统筹交费证明原件），并且与投标项目负责人有同等条件。同时中标供应商须报相关管理机构备案；更换手续办理期间，拟更换的项目负责人须坚守岗位，履行职能，直至备案完成方可离开。投标项目负责人更换不免除中标供应商的违约责任，中标供应商需向采购人支付违约金5万元。</w:t>
            </w:r>
          </w:p>
          <w:p w14:paraId="3EFDF583">
            <w:pPr>
              <w:widowControl w:val="0"/>
              <w:spacing w:after="0" w:line="240" w:lineRule="auto"/>
              <w:jc w:val="left"/>
              <w:rPr>
                <w:rFonts w:hint="eastAsia" w:ascii="宋体" w:hAnsi="宋体" w:eastAsia="宋体" w:cs="宋体"/>
                <w:color w:val="auto"/>
                <w:kern w:val="2"/>
                <w:sz w:val="21"/>
                <w:szCs w:val="21"/>
              </w:rPr>
            </w:pPr>
            <w:r>
              <w:rPr>
                <w:rFonts w:hint="eastAsia" w:ascii="宋体" w:hAnsi="宋体" w:eastAsia="宋体" w:cs="宋体"/>
                <w:b/>
                <w:color w:val="auto"/>
                <w:kern w:val="2"/>
                <w:sz w:val="21"/>
                <w:szCs w:val="21"/>
              </w:rPr>
              <w:t>五、中标供应商无正当理由拒绝更换项目负责人的违约责任：</w:t>
            </w:r>
            <w:r>
              <w:rPr>
                <w:rFonts w:hint="eastAsia" w:ascii="宋体" w:hAnsi="宋体" w:eastAsia="宋体" w:cs="宋体"/>
                <w:color w:val="auto"/>
                <w:kern w:val="2"/>
                <w:sz w:val="21"/>
                <w:szCs w:val="21"/>
              </w:rPr>
              <w:t>采购人有权解除合同，追回已经支付的款项，中标供应商向采购人支付违约金10万元，并报相关管理机构备案。</w:t>
            </w:r>
          </w:p>
          <w:p w14:paraId="5F133F1C">
            <w:pPr>
              <w:widowControl w:val="0"/>
              <w:spacing w:after="0" w:line="240" w:lineRule="auto"/>
              <w:jc w:val="left"/>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六、供应商人员</w:t>
            </w:r>
          </w:p>
          <w:p w14:paraId="13A381A0">
            <w:pPr>
              <w:widowControl w:val="0"/>
              <w:spacing w:after="0" w:line="240" w:lineRule="auto"/>
              <w:jc w:val="left"/>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1、中标供应商提交项目管理机构及现场管理人员安排报告的期限：开工前7天；</w:t>
            </w:r>
          </w:p>
          <w:p w14:paraId="58514F8D">
            <w:pPr>
              <w:widowControl w:val="0"/>
              <w:spacing w:after="0" w:line="240" w:lineRule="auto"/>
              <w:jc w:val="left"/>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(1) 除项目负责人外，投标文件明确的项目管理机构组成至少还须包括技术负责人、质检员、施工员、专职安全员、测量员、造价员（造价师）等，上述人员不得兼任并且除技术负责人外必须具有相应岗位证书，必须是本企业的正式员工，签订合同时必须出具与企业签订的劳动合同原件。</w:t>
            </w:r>
          </w:p>
          <w:p w14:paraId="664391D9">
            <w:pPr>
              <w:widowControl w:val="0"/>
              <w:spacing w:after="0" w:line="240" w:lineRule="auto"/>
              <w:jc w:val="left"/>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 xml:space="preserve"> (2)投标文件中明确的项目管理机构人员，未经采购人许可不得擅自变更。如有违反，每人次支付违约金5000元整。 </w:t>
            </w:r>
          </w:p>
          <w:p w14:paraId="4F61B71B">
            <w:pPr>
              <w:widowControl w:val="0"/>
              <w:spacing w:after="0" w:line="240" w:lineRule="auto"/>
              <w:jc w:val="left"/>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(3)如果因客观原因更换上述项目管理机构人员，必须得到采购人的批准。更换的管理人员必须是本企业正式员工（劳动合同原件），并且与原岗位的管理人员具有同等条件，如资质、业绩等。采购人有权反对及要求供应商及任何分包人调离不称职或采购人认为其雇用是不恰当的人员，未经采购人书面准许，不可再用此人。如有违反，每人次支付违约金5000元整。</w:t>
            </w:r>
          </w:p>
          <w:p w14:paraId="58CF556F">
            <w:pPr>
              <w:widowControl w:val="0"/>
              <w:spacing w:after="0" w:line="240" w:lineRule="auto"/>
              <w:jc w:val="left"/>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4）现场管理人员为技术负责人、质检员、施工员、专职安全员。现场管理人员必须常驻现场：每月不少于二十五天，每周不少于6天，每天不少于八小时在岗处理事务，否则供应商按500元/人•次向采购人支付违约金，违约金在支付进度款时扣除。</w:t>
            </w:r>
          </w:p>
          <w:p w14:paraId="212C36C6">
            <w:pPr>
              <w:widowControl w:val="0"/>
              <w:spacing w:after="0" w:line="240" w:lineRule="auto"/>
              <w:jc w:val="left"/>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2、</w:t>
            </w:r>
            <w:r>
              <w:rPr>
                <w:rFonts w:hint="eastAsia" w:ascii="宋体" w:hAnsi="宋体" w:eastAsia="宋体" w:cs="宋体"/>
                <w:b/>
                <w:color w:val="auto"/>
                <w:kern w:val="2"/>
                <w:sz w:val="21"/>
                <w:szCs w:val="21"/>
              </w:rPr>
              <w:t>中标供应商无正当理由拒绝撤换主要管理人员的违约责任：</w:t>
            </w:r>
            <w:r>
              <w:rPr>
                <w:rFonts w:hint="eastAsia" w:ascii="宋体" w:hAnsi="宋体" w:eastAsia="宋体" w:cs="宋体"/>
                <w:color w:val="auto"/>
                <w:kern w:val="2"/>
                <w:sz w:val="21"/>
                <w:szCs w:val="21"/>
              </w:rPr>
              <w:t>中标供应商以下人员，经采购人提出后，必须在 24 小时内调离本项目范围，否则向采购人每天每人次支付人民币 500 元违约金；同时，中标供应商应在 3 天内用采购人批准的合格的人员代替上述调离的任何人员。</w:t>
            </w:r>
          </w:p>
          <w:p w14:paraId="258BA5EC">
            <w:pPr>
              <w:widowControl w:val="0"/>
              <w:spacing w:after="0" w:line="240" w:lineRule="auto"/>
              <w:jc w:val="left"/>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A.采购人有证据确认无法胜任工作者，包括：对项目进度及质量达不到合同要求负有责任的人员、不熟悉本专业工作的人员等；B.不能积极配合监理及采购人正常工作者；C.违反采购人或中标供应商工地现场管理规定者；D.无证上岗者（适用于按规定必须有上岗证）；E.与本项目规定名册不符者；F.与本项目无关的人员；3、中标供应商主要管理人员离开现场的批准要求：如中标供应商主要管理人员有特殊原因不能保证上述在岗时间的或正常在岗时间离开项目现场的，必须以书面请假条形式报监理审核后，报采购人批准。</w:t>
            </w:r>
          </w:p>
          <w:p w14:paraId="49893956">
            <w:pPr>
              <w:widowControl w:val="0"/>
              <w:spacing w:after="0" w:line="240" w:lineRule="auto"/>
              <w:jc w:val="left"/>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否则中标供应商按 1000 元/人．次向采购人支付违约金，违约金在支付进度款时扣除。</w:t>
            </w:r>
          </w:p>
          <w:p w14:paraId="3EE0018F">
            <w:pPr>
              <w:widowControl w:val="0"/>
              <w:spacing w:after="0" w:line="240" w:lineRule="auto"/>
              <w:jc w:val="left"/>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4、</w:t>
            </w:r>
            <w:r>
              <w:rPr>
                <w:rFonts w:hint="eastAsia" w:ascii="宋体" w:hAnsi="宋体" w:eastAsia="宋体" w:cs="宋体"/>
                <w:b/>
                <w:color w:val="auto"/>
                <w:kern w:val="2"/>
                <w:sz w:val="21"/>
                <w:szCs w:val="21"/>
              </w:rPr>
              <w:t>中标供应商擅自更换主要管理人员的违约责任：</w:t>
            </w:r>
            <w:r>
              <w:rPr>
                <w:rFonts w:hint="eastAsia" w:ascii="宋体" w:hAnsi="宋体" w:eastAsia="宋体" w:cs="宋体"/>
                <w:color w:val="auto"/>
                <w:kern w:val="2"/>
                <w:sz w:val="21"/>
                <w:szCs w:val="21"/>
              </w:rPr>
              <w:t>中标供应商向采购人支付违约金 10000 元/人/次。中标供应商主要管理人员擅自离开现场的违约责任：中标供应商按 500 元/人/次向采购人支付违约金，违约金在支付进度款时扣除。</w:t>
            </w:r>
          </w:p>
          <w:p w14:paraId="12FD5029">
            <w:pPr>
              <w:widowControl w:val="0"/>
              <w:spacing w:after="0" w:line="240" w:lineRule="auto"/>
              <w:jc w:val="left"/>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七、其他：</w:t>
            </w:r>
          </w:p>
          <w:p w14:paraId="79AE11C1">
            <w:pPr>
              <w:widowControl w:val="0"/>
              <w:spacing w:after="0" w:line="240" w:lineRule="auto"/>
              <w:jc w:val="left"/>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1、采购人违约的责任</w:t>
            </w:r>
          </w:p>
          <w:p w14:paraId="690A02CD">
            <w:pPr>
              <w:widowControl w:val="0"/>
              <w:spacing w:after="0" w:line="240" w:lineRule="auto"/>
              <w:jc w:val="left"/>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采购人违约责任的承担方式和计算方法：</w:t>
            </w:r>
          </w:p>
          <w:p w14:paraId="4ADD30BB">
            <w:pPr>
              <w:widowControl w:val="0"/>
              <w:spacing w:after="0" w:line="240" w:lineRule="auto"/>
              <w:jc w:val="left"/>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（1）因采购人违反合同约定造成暂停的违约责任:工期顺延。</w:t>
            </w:r>
          </w:p>
          <w:p w14:paraId="56D70FE4">
            <w:pPr>
              <w:widowControl w:val="0"/>
              <w:spacing w:after="0" w:line="240" w:lineRule="auto"/>
              <w:jc w:val="left"/>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（2）采购人无正当理由没有在约定期限内发出复工指示，导致供应商无法复工的</w:t>
            </w:r>
          </w:p>
          <w:p w14:paraId="317BB3EC">
            <w:pPr>
              <w:widowControl w:val="0"/>
              <w:spacing w:after="0" w:line="240" w:lineRule="auto"/>
              <w:jc w:val="left"/>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违约责任: 工期顺延。</w:t>
            </w:r>
          </w:p>
          <w:p w14:paraId="0EF330E9">
            <w:pPr>
              <w:widowControl w:val="0"/>
              <w:spacing w:after="0" w:line="240" w:lineRule="auto"/>
              <w:jc w:val="left"/>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（3）其他：另行协商。</w:t>
            </w:r>
          </w:p>
          <w:p w14:paraId="4410F537">
            <w:pPr>
              <w:widowControl w:val="0"/>
              <w:spacing w:after="0" w:line="240" w:lineRule="auto"/>
              <w:jc w:val="left"/>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2、中标供应商违约</w:t>
            </w:r>
          </w:p>
          <w:p w14:paraId="364C9258">
            <w:pPr>
              <w:widowControl w:val="0"/>
              <w:spacing w:after="0" w:line="240" w:lineRule="auto"/>
              <w:jc w:val="left"/>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2.1 中标供应商违约的情形</w:t>
            </w:r>
          </w:p>
          <w:p w14:paraId="50C0C1B7">
            <w:pPr>
              <w:widowControl w:val="0"/>
              <w:spacing w:after="0" w:line="240" w:lineRule="auto"/>
              <w:jc w:val="left"/>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中标供应商违约的其他情形：</w:t>
            </w:r>
          </w:p>
          <w:p w14:paraId="0153FB8B">
            <w:pPr>
              <w:widowControl w:val="0"/>
              <w:spacing w:after="0" w:line="240" w:lineRule="auto"/>
              <w:jc w:val="left"/>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（1）中标供应商借故拖延项目进度、导致项目停工超过 15 日；（2）中标供应商未按要求投入人员、机械设备及资金造成工期延误；（3）因中标供应商原因造成的质量问题；（4）因中标供应商原因造成的安全文明生产责任事故；</w:t>
            </w:r>
          </w:p>
          <w:p w14:paraId="6A72F0C9">
            <w:pPr>
              <w:widowControl w:val="0"/>
              <w:spacing w:after="0" w:line="240" w:lineRule="auto"/>
              <w:jc w:val="left"/>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2.2 中标供应商违约的责任</w:t>
            </w:r>
          </w:p>
          <w:p w14:paraId="72A4EB9F">
            <w:pPr>
              <w:widowControl w:val="0"/>
              <w:spacing w:after="0" w:line="240" w:lineRule="auto"/>
              <w:jc w:val="left"/>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中标供应商违约责任的承担方式和计算方法：①因中标供应商原因导致单体项目完工验收时间延误，每延误 1 天中标供应商向采购人支付违约金人民币 5000 元；因中标供应商原因导致项目整体完工验收时间延误，每延误 1 天中标供应商向采购人支付违约金人民币1万元；如单体和整体同时延误，则一并处罚；上述违约金的支付并不能解除中标供应商应完成项目的责任或合同的其他责任。如工期延误超过 20日的，则采购人还有权解除本合同。中标供应商在收到采购人的解除通知后应立即退出现场，否则采购人有权强行将中标供应商清出现场。但采购人应在力所能及的范围内给予协助。②未按投标计划投入机械的，属于违约。中标供应商向采购人支付违约金5万元，由此而引起的工期延误另行承担违约责任。③项目质量一次验收合格，不奖不罚；一次验收不合格，中标供应商向采购人支付合同总价的 2%的违约</w:t>
            </w:r>
          </w:p>
          <w:p w14:paraId="7CEB3813">
            <w:pPr>
              <w:widowControl w:val="0"/>
              <w:spacing w:after="0" w:line="240" w:lineRule="auto"/>
              <w:jc w:val="left"/>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金，验收不合格次数每增加一次，中标供应商另向采购人支付合同总价的 2%的违约金。④承包方未经采购人和监理认可，擅自购置使用的材料，必须无条件更换，并承担由此造成的一切损失。⑤所有违约金的支付不减轻中标供应商合同项下的任何责任和义务。</w:t>
            </w:r>
          </w:p>
          <w:p w14:paraId="5EFCFADB">
            <w:pPr>
              <w:widowControl w:val="0"/>
              <w:spacing w:after="0" w:line="240" w:lineRule="auto"/>
              <w:jc w:val="left"/>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2.3 因中标供应商违约解除合同</w:t>
            </w:r>
          </w:p>
          <w:p w14:paraId="77C698D6">
            <w:pPr>
              <w:widowControl w:val="0"/>
              <w:spacing w:after="0" w:line="240" w:lineRule="auto"/>
              <w:jc w:val="left"/>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关于中标供应商违约解除合同的特别约定：</w:t>
            </w:r>
          </w:p>
          <w:p w14:paraId="38AEFA47">
            <w:pPr>
              <w:widowControl w:val="0"/>
              <w:spacing w:after="0" w:line="240" w:lineRule="auto"/>
              <w:jc w:val="left"/>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A、无论何种原因导致合同解除的，中标供应商的人员、材料、设备必须在收到采购人通知之日起 14 天内全部退出现场，每延迟 1 天退场采购人向中标供应商收取人民币 1 万元违约金。中标供应商在收到采购人要求退场的通知之日起十四天内未全部退出现场的，从第 15 天开始，视为在现场没有任何中标供应商的财产、物资等，采购人有权作出任何处置。</w:t>
            </w:r>
          </w:p>
          <w:p w14:paraId="3F06FB18">
            <w:pPr>
              <w:widowControl w:val="0"/>
              <w:spacing w:after="0" w:line="240" w:lineRule="auto"/>
              <w:jc w:val="left"/>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B、因中标供应商原因不按合同约定履行义务或终止履行合同义务时，采购人有权向中标供应商收取合同价款的 20%的违约金并且中标供应商承担因此给采购人造成的一切经济损失和责任。</w:t>
            </w:r>
          </w:p>
          <w:p w14:paraId="148F60A2">
            <w:pPr>
              <w:widowControl w:val="0"/>
              <w:spacing w:after="0" w:line="240" w:lineRule="auto"/>
              <w:jc w:val="left"/>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 xml:space="preserve"> C、一方违约后，另一方要求违约方继续履行合同时，违约方承担上述违约责任后仍应继续履行合同。采购人继续使用中标供应商在现场的材料、设备、临时工作、中标供应商文件和由中标供应商或以其名义编制的其他文件的费用承担方式：双方协商处理。</w:t>
            </w:r>
          </w:p>
        </w:tc>
      </w:tr>
      <w:tr w14:paraId="444E35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3" w:hRule="atLeast"/>
        </w:trPr>
        <w:tc>
          <w:tcPr>
            <w:tcW w:w="568" w:type="pct"/>
            <w:vAlign w:val="center"/>
          </w:tcPr>
          <w:p w14:paraId="1A77FCDC">
            <w:pPr>
              <w:widowControl w:val="0"/>
              <w:spacing w:after="0" w:line="240" w:lineRule="auto"/>
              <w:jc w:val="center"/>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2</w:t>
            </w:r>
          </w:p>
        </w:tc>
        <w:tc>
          <w:tcPr>
            <w:tcW w:w="1198" w:type="pct"/>
            <w:vAlign w:val="center"/>
          </w:tcPr>
          <w:p w14:paraId="4EB19F7A">
            <w:pPr>
              <w:widowControl w:val="0"/>
              <w:spacing w:after="0" w:line="240" w:lineRule="auto"/>
              <w:jc w:val="center"/>
              <w:rPr>
                <w:rFonts w:hint="eastAsia" w:ascii="宋体" w:hAnsi="宋体" w:eastAsia="宋体" w:cs="宋体"/>
                <w:color w:val="auto"/>
                <w:kern w:val="2"/>
                <w:sz w:val="21"/>
                <w:szCs w:val="21"/>
              </w:rPr>
            </w:pPr>
            <w:r>
              <w:rPr>
                <w:rFonts w:hint="eastAsia" w:ascii="宋体" w:hAnsi="宋体" w:eastAsia="宋体" w:cs="宋体"/>
                <w:color w:val="auto"/>
                <w:kern w:val="0"/>
                <w:sz w:val="21"/>
                <w:szCs w:val="21"/>
              </w:rPr>
              <w:t>★</w:t>
            </w:r>
            <w:r>
              <w:rPr>
                <w:rFonts w:hint="eastAsia" w:ascii="宋体" w:hAnsi="宋体" w:eastAsia="宋体" w:cs="宋体"/>
                <w:color w:val="auto"/>
                <w:kern w:val="2"/>
                <w:sz w:val="21"/>
                <w:szCs w:val="21"/>
              </w:rPr>
              <w:t>项目分包与转包</w:t>
            </w:r>
          </w:p>
          <w:p w14:paraId="586851E6">
            <w:pPr>
              <w:widowControl w:val="0"/>
              <w:spacing w:after="0" w:line="240" w:lineRule="auto"/>
              <w:jc w:val="center"/>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(完全响应)</w:t>
            </w:r>
          </w:p>
        </w:tc>
        <w:tc>
          <w:tcPr>
            <w:tcW w:w="3233" w:type="pct"/>
            <w:vAlign w:val="center"/>
          </w:tcPr>
          <w:p w14:paraId="00DB9125">
            <w:pPr>
              <w:widowControl w:val="0"/>
              <w:spacing w:after="0" w:line="240" w:lineRule="auto"/>
              <w:jc w:val="left"/>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1、本项目未经采购人同意，不允许分包与转包。如中标供应商未经采购人同意，有转包、分包等违法行为的，采购人将向主管部门报告，依法予以行政处罚。</w:t>
            </w:r>
          </w:p>
          <w:p w14:paraId="2F25155C">
            <w:pPr>
              <w:widowControl w:val="0"/>
              <w:spacing w:after="0" w:line="240" w:lineRule="auto"/>
              <w:jc w:val="left"/>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2、经采购人同意分包后，签订分包合同时，中标供应商须提交经审核通过的专业分包和劳务作业分包方案。</w:t>
            </w:r>
          </w:p>
          <w:p w14:paraId="65570ADA">
            <w:pPr>
              <w:widowControl w:val="0"/>
              <w:spacing w:after="0" w:line="240" w:lineRule="auto"/>
              <w:jc w:val="left"/>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3、专业分包单位和劳务作业分包单位经审核确认且签订分包合同后方可进场。</w:t>
            </w:r>
          </w:p>
          <w:p w14:paraId="14B5290E">
            <w:pPr>
              <w:widowControl w:val="0"/>
              <w:spacing w:after="0" w:line="240" w:lineRule="auto"/>
              <w:jc w:val="left"/>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4、审批流程：中标供应商提交申报材料，含分包单位名称、资质、人员、工作内容内容、实施时间、组织管理方式等，</w:t>
            </w:r>
          </w:p>
          <w:p w14:paraId="2500C5A6">
            <w:pPr>
              <w:widowControl w:val="0"/>
              <w:spacing w:after="0" w:line="240" w:lineRule="auto"/>
              <w:jc w:val="left"/>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经监理单位对分包行为合规性审核后报采购人批准。中标供应商与经批准的分包单位签订合同并报监理核查后，组织分包单位进场工作。</w:t>
            </w:r>
          </w:p>
          <w:p w14:paraId="05E28003">
            <w:pPr>
              <w:widowControl w:val="0"/>
              <w:spacing w:after="0" w:line="240" w:lineRule="auto"/>
              <w:jc w:val="left"/>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5、中标供应商发生违法转分包行为，采购人有权终止合同，已完合格工作量计至终止合同时的上一月经监理单位核实，采购人书面确认的工程量，费用按经采购人书面确认价格的 60%计取。</w:t>
            </w:r>
          </w:p>
          <w:p w14:paraId="76727E98">
            <w:pPr>
              <w:widowControl w:val="0"/>
              <w:spacing w:after="0" w:line="240" w:lineRule="auto"/>
              <w:jc w:val="left"/>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6、对于经监理单位审核质量安全管理不称职的分包单位，采购人有权令其退场，且中标供应商必须无条件在 3 天内清场，</w:t>
            </w:r>
          </w:p>
          <w:p w14:paraId="11614EC4">
            <w:pPr>
              <w:widowControl w:val="0"/>
              <w:spacing w:after="0" w:line="240" w:lineRule="auto"/>
              <w:jc w:val="left"/>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清场时间延误的，中标供应商须按人民币10 万元/天的标准向采购人支付违约金。</w:t>
            </w:r>
          </w:p>
          <w:p w14:paraId="114C230C">
            <w:pPr>
              <w:widowControl w:val="0"/>
              <w:spacing w:after="0" w:line="240" w:lineRule="auto"/>
              <w:jc w:val="left"/>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7、中标供应商违反规定进行转包、违法分包的，采购人向供应商收取合同总价款的10%作为违约金；同时采购人可将其列入黑名单，上报财政部门，经监管部门同意后依法限制其参加</w:t>
            </w:r>
            <w:r>
              <w:rPr>
                <w:rFonts w:hint="eastAsia" w:ascii="宋体" w:hAnsi="宋体" w:cs="宋体"/>
                <w:color w:val="auto"/>
                <w:kern w:val="2"/>
                <w:sz w:val="21"/>
                <w:szCs w:val="21"/>
                <w:lang w:val="en-US" w:eastAsia="zh-CN"/>
              </w:rPr>
              <w:t>我单位</w:t>
            </w:r>
            <w:r>
              <w:rPr>
                <w:rFonts w:hint="eastAsia" w:ascii="宋体" w:hAnsi="宋体" w:eastAsia="宋体" w:cs="宋体"/>
                <w:color w:val="auto"/>
                <w:kern w:val="2"/>
                <w:sz w:val="21"/>
                <w:szCs w:val="21"/>
              </w:rPr>
              <w:t>会投资项目的投标活动以及承揽新的项目。</w:t>
            </w:r>
          </w:p>
        </w:tc>
      </w:tr>
      <w:tr w14:paraId="01F721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3" w:hRule="atLeast"/>
        </w:trPr>
        <w:tc>
          <w:tcPr>
            <w:tcW w:w="568" w:type="pct"/>
            <w:vAlign w:val="center"/>
          </w:tcPr>
          <w:p w14:paraId="47290E68">
            <w:pPr>
              <w:widowControl w:val="0"/>
              <w:spacing w:after="0" w:line="240" w:lineRule="auto"/>
              <w:jc w:val="center"/>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3</w:t>
            </w:r>
          </w:p>
        </w:tc>
        <w:tc>
          <w:tcPr>
            <w:tcW w:w="1198" w:type="pct"/>
            <w:vAlign w:val="center"/>
          </w:tcPr>
          <w:p w14:paraId="4E8FEE59">
            <w:pPr>
              <w:widowControl w:val="0"/>
              <w:spacing w:after="0" w:line="240" w:lineRule="auto"/>
              <w:jc w:val="center"/>
              <w:rPr>
                <w:rFonts w:hint="eastAsia" w:ascii="宋体" w:hAnsi="宋体" w:eastAsia="宋体" w:cs="宋体"/>
                <w:color w:val="auto"/>
                <w:kern w:val="2"/>
                <w:sz w:val="21"/>
                <w:szCs w:val="21"/>
              </w:rPr>
            </w:pPr>
            <w:r>
              <w:rPr>
                <w:rFonts w:hint="eastAsia" w:ascii="宋体" w:hAnsi="宋体" w:eastAsia="宋体" w:cs="宋体"/>
                <w:color w:val="auto"/>
                <w:kern w:val="0"/>
                <w:sz w:val="21"/>
                <w:szCs w:val="21"/>
              </w:rPr>
              <w:t>★</w:t>
            </w:r>
            <w:r>
              <w:rPr>
                <w:rFonts w:hint="eastAsia" w:ascii="宋体" w:hAnsi="宋体" w:eastAsia="宋体" w:cs="宋体"/>
                <w:color w:val="auto"/>
                <w:kern w:val="2"/>
                <w:sz w:val="21"/>
                <w:szCs w:val="21"/>
              </w:rPr>
              <w:t>人员要求(完全响应)</w:t>
            </w:r>
          </w:p>
        </w:tc>
        <w:tc>
          <w:tcPr>
            <w:tcW w:w="3233" w:type="pct"/>
            <w:vAlign w:val="center"/>
          </w:tcPr>
          <w:p w14:paraId="2EAD1680">
            <w:pPr>
              <w:widowControl w:val="0"/>
              <w:spacing w:after="0" w:line="240" w:lineRule="auto"/>
              <w:jc w:val="left"/>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中标供应商投入本项目人员：</w:t>
            </w:r>
          </w:p>
          <w:p w14:paraId="16201C0A">
            <w:pPr>
              <w:widowControl w:val="0"/>
              <w:spacing w:after="0" w:line="240" w:lineRule="auto"/>
              <w:jc w:val="left"/>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1、项目负责人 1 人，项目技术负责人 1人，项目组成员人员（除项目负责人、项目技术负责人外）5 人。</w:t>
            </w:r>
          </w:p>
          <w:p w14:paraId="0D66B87A">
            <w:pPr>
              <w:widowControl w:val="0"/>
              <w:spacing w:after="0" w:line="240" w:lineRule="auto"/>
              <w:jc w:val="left"/>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2、项目负责人具有有效的安全生产考核合格证书（B 类及以上证书）。</w:t>
            </w:r>
          </w:p>
        </w:tc>
      </w:tr>
      <w:tr w14:paraId="596B1D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3" w:hRule="atLeast"/>
        </w:trPr>
        <w:tc>
          <w:tcPr>
            <w:tcW w:w="568" w:type="pct"/>
            <w:vAlign w:val="center"/>
          </w:tcPr>
          <w:p w14:paraId="2B83B127">
            <w:pPr>
              <w:widowControl w:val="0"/>
              <w:spacing w:after="0" w:line="240" w:lineRule="auto"/>
              <w:jc w:val="center"/>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4</w:t>
            </w:r>
          </w:p>
        </w:tc>
        <w:tc>
          <w:tcPr>
            <w:tcW w:w="1198" w:type="pct"/>
            <w:vAlign w:val="center"/>
          </w:tcPr>
          <w:p w14:paraId="4EB589C9">
            <w:pPr>
              <w:widowControl w:val="0"/>
              <w:spacing w:after="0" w:line="240" w:lineRule="auto"/>
              <w:jc w:val="center"/>
              <w:rPr>
                <w:rFonts w:hint="eastAsia" w:ascii="宋体" w:hAnsi="宋体" w:eastAsia="宋体" w:cs="宋体"/>
                <w:color w:val="auto"/>
                <w:kern w:val="2"/>
                <w:sz w:val="21"/>
                <w:szCs w:val="21"/>
              </w:rPr>
            </w:pPr>
            <w:r>
              <w:rPr>
                <w:rFonts w:hint="eastAsia" w:ascii="宋体" w:hAnsi="宋体" w:eastAsia="宋体" w:cs="宋体"/>
                <w:color w:val="auto"/>
                <w:kern w:val="0"/>
                <w:sz w:val="21"/>
                <w:szCs w:val="21"/>
              </w:rPr>
              <w:t>★</w:t>
            </w:r>
            <w:r>
              <w:rPr>
                <w:rFonts w:hint="eastAsia" w:ascii="宋体" w:hAnsi="宋体" w:eastAsia="宋体" w:cs="宋体"/>
                <w:color w:val="auto"/>
                <w:kern w:val="2"/>
                <w:sz w:val="21"/>
                <w:szCs w:val="21"/>
              </w:rPr>
              <w:t>应急事件特别说明（完全响应）</w:t>
            </w:r>
          </w:p>
        </w:tc>
        <w:tc>
          <w:tcPr>
            <w:tcW w:w="3233" w:type="pct"/>
            <w:vAlign w:val="center"/>
          </w:tcPr>
          <w:p w14:paraId="21E6CBF5">
            <w:pPr>
              <w:widowControl w:val="0"/>
              <w:spacing w:after="0" w:line="240" w:lineRule="auto"/>
              <w:jc w:val="left"/>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应急事件发生时，相比日常管道养护期间，其人员数量、设备数量需要增加并满足解决应急事件及采购人的最低要求；响应时间、机动力量需要更加迅速。</w:t>
            </w:r>
          </w:p>
        </w:tc>
      </w:tr>
      <w:tr w14:paraId="129FF7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3" w:hRule="atLeast"/>
        </w:trPr>
        <w:tc>
          <w:tcPr>
            <w:tcW w:w="568" w:type="pct"/>
            <w:vAlign w:val="center"/>
          </w:tcPr>
          <w:p w14:paraId="0F677116">
            <w:pPr>
              <w:widowControl w:val="0"/>
              <w:spacing w:after="0" w:line="240" w:lineRule="auto"/>
              <w:jc w:val="center"/>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5</w:t>
            </w:r>
          </w:p>
        </w:tc>
        <w:tc>
          <w:tcPr>
            <w:tcW w:w="1198" w:type="pct"/>
            <w:vAlign w:val="center"/>
          </w:tcPr>
          <w:p w14:paraId="439FE076">
            <w:pPr>
              <w:widowControl w:val="0"/>
              <w:spacing w:after="0" w:line="240" w:lineRule="auto"/>
              <w:jc w:val="center"/>
              <w:rPr>
                <w:rFonts w:hint="default" w:ascii="宋体" w:hAnsi="宋体" w:eastAsia="宋体" w:cs="宋体"/>
                <w:color w:val="auto"/>
                <w:kern w:val="2"/>
                <w:sz w:val="21"/>
                <w:szCs w:val="21"/>
                <w:lang w:val="en-US" w:eastAsia="zh-CN"/>
              </w:rPr>
            </w:pPr>
            <w:r>
              <w:rPr>
                <w:rFonts w:hint="eastAsia" w:ascii="宋体" w:hAnsi="宋体" w:eastAsia="宋体" w:cs="宋体"/>
                <w:color w:val="auto"/>
                <w:kern w:val="0"/>
                <w:sz w:val="21"/>
                <w:szCs w:val="21"/>
              </w:rPr>
              <w:t>★</w:t>
            </w:r>
            <w:r>
              <w:rPr>
                <w:rFonts w:hint="eastAsia" w:ascii="宋体" w:hAnsi="宋体" w:cs="宋体"/>
                <w:color w:val="auto"/>
                <w:kern w:val="2"/>
                <w:sz w:val="21"/>
                <w:szCs w:val="21"/>
                <w:lang w:val="en-US" w:eastAsia="zh-CN"/>
              </w:rPr>
              <w:t>最高限价</w:t>
            </w:r>
          </w:p>
        </w:tc>
        <w:tc>
          <w:tcPr>
            <w:tcW w:w="3233" w:type="pct"/>
            <w:vAlign w:val="center"/>
          </w:tcPr>
          <w:p w14:paraId="035622F8">
            <w:pPr>
              <w:widowControl w:val="0"/>
              <w:numPr>
                <w:ilvl w:val="0"/>
                <w:numId w:val="8"/>
              </w:numPr>
              <w:spacing w:after="0" w:line="240" w:lineRule="auto"/>
              <w:jc w:val="left"/>
              <w:rPr>
                <w:rFonts w:hint="eastAsia" w:ascii="宋体" w:hAnsi="宋体" w:eastAsia="宋体" w:cs="宋体"/>
                <w:color w:val="auto"/>
                <w:kern w:val="2"/>
                <w:sz w:val="21"/>
                <w:szCs w:val="21"/>
              </w:rPr>
            </w:pPr>
            <w:r>
              <w:rPr>
                <w:rFonts w:hint="eastAsia" w:ascii="宋体" w:hAnsi="宋体" w:cs="宋体"/>
                <w:color w:val="auto"/>
                <w:kern w:val="2"/>
                <w:sz w:val="21"/>
                <w:szCs w:val="21"/>
                <w:lang w:val="en-US" w:eastAsia="zh-CN"/>
              </w:rPr>
              <w:t>本项目最高限价</w:t>
            </w:r>
            <w:r>
              <w:rPr>
                <w:rFonts w:hint="eastAsia" w:ascii="宋体" w:hAnsi="宋体" w:eastAsia="宋体" w:cs="宋体"/>
                <w:color w:val="auto"/>
                <w:kern w:val="2"/>
                <w:sz w:val="21"/>
                <w:szCs w:val="21"/>
              </w:rPr>
              <w:t>388万元，投标报价不得超过限价，超过的投标报价按无效标处理。</w:t>
            </w:r>
          </w:p>
          <w:p w14:paraId="707ADC8E">
            <w:pPr>
              <w:widowControl w:val="0"/>
              <w:numPr>
                <w:ilvl w:val="0"/>
                <w:numId w:val="0"/>
              </w:numPr>
              <w:spacing w:after="0" w:line="240" w:lineRule="auto"/>
              <w:jc w:val="left"/>
              <w:rPr>
                <w:rFonts w:hint="eastAsia" w:ascii="宋体" w:hAnsi="宋体" w:eastAsia="宋体" w:cs="宋体"/>
                <w:color w:val="auto"/>
                <w:kern w:val="2"/>
                <w:sz w:val="21"/>
                <w:szCs w:val="21"/>
                <w:lang w:val="en-US" w:eastAsia="zh-CN"/>
              </w:rPr>
            </w:pPr>
            <w:r>
              <w:rPr>
                <w:rFonts w:hint="eastAsia" w:ascii="宋体" w:hAnsi="宋体" w:cs="宋体"/>
                <w:color w:val="auto"/>
                <w:kern w:val="2"/>
                <w:sz w:val="21"/>
                <w:szCs w:val="21"/>
                <w:lang w:val="en-US" w:eastAsia="zh-CN"/>
              </w:rPr>
              <w:t>2）超过服务清单中全费用综合单价最高限价的，</w:t>
            </w:r>
            <w:r>
              <w:rPr>
                <w:rFonts w:hint="eastAsia" w:ascii="宋体" w:hAnsi="宋体" w:eastAsia="宋体" w:cs="宋体"/>
                <w:color w:val="auto"/>
                <w:kern w:val="2"/>
                <w:sz w:val="21"/>
                <w:szCs w:val="21"/>
              </w:rPr>
              <w:t>投标报价按无效标处理</w:t>
            </w:r>
            <w:r>
              <w:rPr>
                <w:rFonts w:hint="eastAsia" w:ascii="宋体" w:hAnsi="宋体" w:cs="宋体"/>
                <w:color w:val="auto"/>
                <w:kern w:val="2"/>
                <w:sz w:val="21"/>
                <w:szCs w:val="21"/>
                <w:lang w:eastAsia="zh-CN"/>
              </w:rPr>
              <w:t>。</w:t>
            </w:r>
          </w:p>
        </w:tc>
      </w:tr>
      <w:tr w14:paraId="542CF3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3" w:hRule="atLeast"/>
        </w:trPr>
        <w:tc>
          <w:tcPr>
            <w:tcW w:w="568" w:type="pct"/>
            <w:vAlign w:val="center"/>
          </w:tcPr>
          <w:p w14:paraId="00BF28C6">
            <w:pPr>
              <w:widowControl w:val="0"/>
              <w:spacing w:after="0" w:line="240" w:lineRule="auto"/>
              <w:jc w:val="center"/>
              <w:rPr>
                <w:rFonts w:hint="eastAsia" w:ascii="宋体" w:hAnsi="宋体" w:eastAsia="宋体" w:cs="宋体"/>
                <w:color w:val="auto"/>
                <w:kern w:val="2"/>
                <w:sz w:val="21"/>
                <w:szCs w:val="21"/>
                <w:lang w:eastAsia="zh-CN"/>
              </w:rPr>
            </w:pPr>
            <w:r>
              <w:rPr>
                <w:rFonts w:hint="eastAsia" w:ascii="宋体" w:hAnsi="宋体" w:cs="宋体"/>
                <w:color w:val="auto"/>
                <w:kern w:val="2"/>
                <w:sz w:val="21"/>
                <w:szCs w:val="21"/>
                <w:lang w:val="en-US" w:eastAsia="zh-CN"/>
              </w:rPr>
              <w:t>6</w:t>
            </w:r>
          </w:p>
        </w:tc>
        <w:tc>
          <w:tcPr>
            <w:tcW w:w="1198" w:type="pct"/>
            <w:vAlign w:val="center"/>
          </w:tcPr>
          <w:p w14:paraId="0760E216">
            <w:pPr>
              <w:widowControl w:val="0"/>
              <w:spacing w:after="0" w:line="240" w:lineRule="auto"/>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w:t>
            </w:r>
            <w:r>
              <w:rPr>
                <w:rFonts w:hint="eastAsia" w:ascii="宋体" w:hAnsi="宋体" w:eastAsia="宋体" w:cs="宋体"/>
                <w:color w:val="auto"/>
                <w:kern w:val="2"/>
                <w:sz w:val="21"/>
                <w:szCs w:val="21"/>
              </w:rPr>
              <w:t>其他说明</w:t>
            </w:r>
          </w:p>
        </w:tc>
        <w:tc>
          <w:tcPr>
            <w:tcW w:w="3233" w:type="pct"/>
            <w:vAlign w:val="center"/>
          </w:tcPr>
          <w:p w14:paraId="7C3DD758">
            <w:pPr>
              <w:widowControl w:val="0"/>
              <w:spacing w:after="0" w:line="240" w:lineRule="auto"/>
              <w:jc w:val="left"/>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根据采购人要求，中标供应商须积极响应采购人提出配合污水管道养护单位工作的要求，相关费用包含在投标报价中，不另行计取。</w:t>
            </w:r>
          </w:p>
        </w:tc>
      </w:tr>
    </w:tbl>
    <w:p w14:paraId="705AEDE0">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20"/>
        <w:jc w:val="both"/>
        <w:rPr>
          <w:rFonts w:ascii="Times New Roman" w:hAnsi="Times New Roman" w:eastAsia="宋体" w:cs="Times New Roman"/>
          <w:color w:val="auto"/>
          <w:szCs w:val="24"/>
        </w:rPr>
      </w:pPr>
    </w:p>
    <w:p w14:paraId="59F785C9">
      <w:pPr>
        <w:widowControl/>
        <w:numPr>
          <w:ilvl w:val="0"/>
          <w:numId w:val="0"/>
        </w:numPr>
        <w:pBdr>
          <w:top w:val="none" w:color="000000" w:sz="0" w:space="0"/>
          <w:left w:val="none" w:color="000000" w:sz="0" w:space="0"/>
          <w:bottom w:val="none" w:color="000000" w:sz="0" w:space="0"/>
          <w:right w:val="none" w:color="000000" w:sz="0" w:space="0"/>
        </w:pBdr>
        <w:spacing w:before="0" w:after="0" w:line="85" w:lineRule="atLeast"/>
        <w:ind w:left="420" w:leftChars="0" w:right="0" w:rightChars="0"/>
        <w:jc w:val="both"/>
        <w:rPr>
          <w:rFonts w:ascii="宋体" w:hAnsi="宋体" w:eastAsia="宋体" w:cs="宋体"/>
          <w:color w:val="auto"/>
          <w:sz w:val="21"/>
          <w:szCs w:val="24"/>
        </w:rPr>
      </w:pPr>
      <w:r>
        <w:rPr>
          <w:rFonts w:hint="eastAsia" w:ascii="宋体" w:hAnsi="宋体" w:eastAsia="宋体" w:cs="宋体"/>
          <w:color w:val="auto"/>
          <w:sz w:val="21"/>
          <w:szCs w:val="24"/>
          <w:lang w:val="en-US" w:eastAsia="zh-CN"/>
        </w:rPr>
        <w:t>四、服务</w:t>
      </w:r>
      <w:r>
        <w:rPr>
          <w:rFonts w:ascii="宋体" w:hAnsi="宋体" w:eastAsia="宋体" w:cs="宋体"/>
          <w:color w:val="auto"/>
          <w:sz w:val="21"/>
          <w:szCs w:val="24"/>
        </w:rPr>
        <w:t>要求</w:t>
      </w:r>
    </w:p>
    <w:tbl>
      <w:tblPr>
        <w:tblStyle w:val="2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136"/>
        <w:gridCol w:w="2385"/>
        <w:gridCol w:w="6441"/>
      </w:tblGrid>
      <w:tr w14:paraId="215DD8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7" w:hRule="atLeast"/>
        </w:trPr>
        <w:tc>
          <w:tcPr>
            <w:tcW w:w="570" w:type="pct"/>
            <w:vAlign w:val="center"/>
          </w:tcPr>
          <w:p w14:paraId="548F2C1E">
            <w:pPr>
              <w:widowControl w:val="0"/>
              <w:spacing w:after="0" w:line="240" w:lineRule="auto"/>
              <w:jc w:val="center"/>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序号</w:t>
            </w:r>
          </w:p>
        </w:tc>
        <w:tc>
          <w:tcPr>
            <w:tcW w:w="1197" w:type="pct"/>
            <w:vAlign w:val="center"/>
          </w:tcPr>
          <w:p w14:paraId="02421CC5">
            <w:pPr>
              <w:widowControl w:val="0"/>
              <w:spacing w:after="0" w:line="240" w:lineRule="auto"/>
              <w:jc w:val="center"/>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名称</w:t>
            </w:r>
          </w:p>
        </w:tc>
        <w:tc>
          <w:tcPr>
            <w:tcW w:w="3232" w:type="pct"/>
            <w:vAlign w:val="center"/>
          </w:tcPr>
          <w:p w14:paraId="159E8AD5">
            <w:pPr>
              <w:widowControl w:val="0"/>
              <w:spacing w:after="0" w:line="240" w:lineRule="auto"/>
              <w:jc w:val="center"/>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采购要求</w:t>
            </w:r>
          </w:p>
        </w:tc>
      </w:tr>
      <w:tr w14:paraId="5C6AFD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7" w:hRule="atLeast"/>
        </w:trPr>
        <w:tc>
          <w:tcPr>
            <w:tcW w:w="570" w:type="pct"/>
            <w:vAlign w:val="center"/>
          </w:tcPr>
          <w:p w14:paraId="114F42AD">
            <w:pPr>
              <w:widowControl w:val="0"/>
              <w:spacing w:after="0" w:line="240" w:lineRule="auto"/>
              <w:jc w:val="center"/>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1</w:t>
            </w:r>
          </w:p>
        </w:tc>
        <w:tc>
          <w:tcPr>
            <w:tcW w:w="1197" w:type="pct"/>
            <w:vAlign w:val="center"/>
          </w:tcPr>
          <w:p w14:paraId="36A70E60">
            <w:pPr>
              <w:widowControl w:val="0"/>
              <w:spacing w:after="0" w:line="240" w:lineRule="auto"/>
              <w:jc w:val="center"/>
              <w:rPr>
                <w:rFonts w:hint="eastAsia" w:ascii="宋体" w:hAnsi="宋体" w:eastAsia="宋体" w:cs="宋体"/>
                <w:color w:val="auto"/>
                <w:kern w:val="2"/>
                <w:sz w:val="21"/>
                <w:szCs w:val="21"/>
              </w:rPr>
            </w:pPr>
            <w:r>
              <w:rPr>
                <w:rFonts w:hint="eastAsia" w:ascii="宋体" w:hAnsi="宋体" w:eastAsia="宋体" w:cs="宋体"/>
                <w:color w:val="auto"/>
                <w:kern w:val="0"/>
                <w:sz w:val="21"/>
                <w:szCs w:val="21"/>
              </w:rPr>
              <w:t>★</w:t>
            </w:r>
            <w:r>
              <w:rPr>
                <w:rFonts w:hint="eastAsia" w:ascii="宋体" w:hAnsi="宋体" w:eastAsia="宋体" w:cs="宋体"/>
                <w:color w:val="auto"/>
                <w:kern w:val="2"/>
                <w:sz w:val="21"/>
                <w:szCs w:val="21"/>
              </w:rPr>
              <w:t>服务期限(完全响应)</w:t>
            </w:r>
          </w:p>
        </w:tc>
        <w:tc>
          <w:tcPr>
            <w:tcW w:w="3232" w:type="pct"/>
            <w:vAlign w:val="center"/>
          </w:tcPr>
          <w:p w14:paraId="0947A050">
            <w:pPr>
              <w:widowControl w:val="0"/>
              <w:spacing w:after="0" w:line="240" w:lineRule="auto"/>
              <w:rPr>
                <w:rFonts w:hint="default" w:ascii="宋体" w:hAnsi="宋体" w:eastAsia="宋体" w:cs="宋体"/>
                <w:color w:val="auto"/>
                <w:kern w:val="2"/>
                <w:sz w:val="21"/>
                <w:szCs w:val="21"/>
                <w:lang w:val="en-US" w:eastAsia="zh-CN"/>
              </w:rPr>
            </w:pPr>
            <w:r>
              <w:rPr>
                <w:rFonts w:hint="eastAsia" w:ascii="宋体" w:hAnsi="宋体" w:eastAsia="宋体" w:cs="宋体"/>
                <w:color w:val="auto"/>
                <w:kern w:val="2"/>
                <w:sz w:val="21"/>
                <w:szCs w:val="21"/>
              </w:rPr>
              <w:t>自合同签订之日</w:t>
            </w:r>
            <w:r>
              <w:rPr>
                <w:rFonts w:hint="eastAsia" w:ascii="宋体" w:hAnsi="宋体" w:eastAsia="宋体" w:cs="宋体"/>
                <w:color w:val="auto"/>
                <w:kern w:val="2"/>
                <w:sz w:val="21"/>
                <w:szCs w:val="21"/>
                <w:lang w:val="en-US" w:eastAsia="zh-CN"/>
              </w:rPr>
              <w:t>起至2026年12月31日止。</w:t>
            </w:r>
          </w:p>
        </w:tc>
      </w:tr>
      <w:tr w14:paraId="1F554D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7" w:hRule="atLeast"/>
        </w:trPr>
        <w:tc>
          <w:tcPr>
            <w:tcW w:w="570" w:type="pct"/>
            <w:vAlign w:val="center"/>
          </w:tcPr>
          <w:p w14:paraId="64521B98">
            <w:pPr>
              <w:widowControl w:val="0"/>
              <w:spacing w:after="0" w:line="240" w:lineRule="auto"/>
              <w:jc w:val="center"/>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2</w:t>
            </w:r>
          </w:p>
        </w:tc>
        <w:tc>
          <w:tcPr>
            <w:tcW w:w="1197" w:type="pct"/>
            <w:vAlign w:val="center"/>
          </w:tcPr>
          <w:p w14:paraId="7C41505E">
            <w:pPr>
              <w:widowControl w:val="0"/>
              <w:spacing w:after="0" w:line="240" w:lineRule="auto"/>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w:t>
            </w:r>
            <w:r>
              <w:rPr>
                <w:rFonts w:hint="eastAsia" w:ascii="宋体" w:hAnsi="宋体" w:eastAsia="宋体" w:cs="宋体"/>
                <w:color w:val="auto"/>
                <w:kern w:val="2"/>
                <w:sz w:val="21"/>
                <w:szCs w:val="21"/>
              </w:rPr>
              <w:t>项目履约验收(完全响应)</w:t>
            </w:r>
          </w:p>
        </w:tc>
        <w:tc>
          <w:tcPr>
            <w:tcW w:w="3232" w:type="pct"/>
            <w:vAlign w:val="center"/>
          </w:tcPr>
          <w:p w14:paraId="08148BF4">
            <w:pPr>
              <w:widowControl w:val="0"/>
              <w:spacing w:after="0" w:line="240" w:lineRule="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1、采购人有权对中标供应商项目实施执行过程及完成结果进行履约验收；</w:t>
            </w:r>
          </w:p>
          <w:p w14:paraId="33CB5E2B">
            <w:pPr>
              <w:widowControl w:val="0"/>
              <w:spacing w:after="0" w:line="240" w:lineRule="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2、采购人可以邀请参加本项目的其他供应商或者第三方机构参与验收，中标供应商应积极配合并响应；</w:t>
            </w:r>
          </w:p>
          <w:p w14:paraId="1822738B">
            <w:pPr>
              <w:widowControl w:val="0"/>
              <w:spacing w:after="0" w:line="240" w:lineRule="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3、参与验收的供应商或者第三方机构的意见作为验收书的参考资料一并存档。</w:t>
            </w:r>
          </w:p>
        </w:tc>
      </w:tr>
      <w:tr w14:paraId="66E59B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7" w:hRule="atLeast"/>
        </w:trPr>
        <w:tc>
          <w:tcPr>
            <w:tcW w:w="570" w:type="pct"/>
            <w:vAlign w:val="center"/>
          </w:tcPr>
          <w:p w14:paraId="4F97F4FA">
            <w:pPr>
              <w:widowControl w:val="0"/>
              <w:spacing w:after="0" w:line="240" w:lineRule="auto"/>
              <w:jc w:val="center"/>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3</w:t>
            </w:r>
          </w:p>
        </w:tc>
        <w:tc>
          <w:tcPr>
            <w:tcW w:w="1197" w:type="pct"/>
            <w:vAlign w:val="center"/>
          </w:tcPr>
          <w:p w14:paraId="43B32FAF">
            <w:pPr>
              <w:widowControl w:val="0"/>
              <w:spacing w:after="0" w:line="240" w:lineRule="auto"/>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w:t>
            </w:r>
            <w:r>
              <w:rPr>
                <w:rFonts w:hint="eastAsia" w:ascii="宋体" w:hAnsi="宋体" w:eastAsia="宋体" w:cs="宋体"/>
                <w:color w:val="auto"/>
                <w:kern w:val="2"/>
                <w:sz w:val="21"/>
                <w:szCs w:val="21"/>
              </w:rPr>
              <w:t>考核要求(完全响应)</w:t>
            </w:r>
          </w:p>
        </w:tc>
        <w:tc>
          <w:tcPr>
            <w:tcW w:w="3232" w:type="pct"/>
            <w:vAlign w:val="center"/>
          </w:tcPr>
          <w:p w14:paraId="0D50C440">
            <w:pPr>
              <w:widowControl w:val="0"/>
              <w:spacing w:after="0" w:line="240" w:lineRule="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1、本项目实行季度考核（见附件：市政雨水管道维护及应急抢修季度考核表），考核满分 100 分。季度考核得分 90 到 100分不做处罚；得分 80 到 89 分，扣款 2 万元；得分 60 到 79 分，扣款 4 万元；得分60 分以下为不合格，扣款 8 万元，并计黄牌一次；招标文件和合同中单独约定的扣款和计牌处罚与考核处罚可并罚。</w:t>
            </w:r>
          </w:p>
          <w:p w14:paraId="614A493B">
            <w:pPr>
              <w:widowControl w:val="0"/>
              <w:spacing w:after="0" w:line="240" w:lineRule="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2、中标供应商在项目过程中存在较大安全文明事故隐患的，计黄牌一次；发生安全生产事故，或不文明工作影响恶劣的，</w:t>
            </w:r>
          </w:p>
          <w:p w14:paraId="4E8006F2">
            <w:pPr>
              <w:widowControl w:val="0"/>
              <w:spacing w:after="0" w:line="240" w:lineRule="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计红牌一次。</w:t>
            </w:r>
          </w:p>
          <w:p w14:paraId="3BDE14CD">
            <w:pPr>
              <w:widowControl w:val="0"/>
              <w:spacing w:after="0" w:line="240" w:lineRule="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3、两次黄牌等同一次红牌，中标供应商被挂红牌后，采购人有权与中标供应商终止合同，由此产生的所有损失由中标供应商承担。</w:t>
            </w:r>
          </w:p>
          <w:p w14:paraId="2C4EE6EF">
            <w:pPr>
              <w:widowControl w:val="0"/>
              <w:spacing w:after="0" w:line="240" w:lineRule="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rPr>
              <w:t>4、采购人对中标供应商进行季度考核，季度考核均分为年度考核分值。若中标供应商经采购人年度考核不合格，则采购人有权解除合同，由此产生的相关费用、给采购人造成的损失由中标供应商承担，中标供应商不得对此提出任何费用申请及相关赔偿</w:t>
            </w:r>
            <w:r>
              <w:rPr>
                <w:rFonts w:hint="eastAsia" w:ascii="宋体" w:hAnsi="宋体" w:eastAsia="宋体" w:cs="宋体"/>
                <w:color w:val="auto"/>
                <w:kern w:val="2"/>
                <w:sz w:val="21"/>
                <w:szCs w:val="21"/>
                <w:lang w:eastAsia="zh-CN"/>
              </w:rPr>
              <w:t>。</w:t>
            </w:r>
          </w:p>
        </w:tc>
      </w:tr>
      <w:tr w14:paraId="6BE0F6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7" w:hRule="atLeast"/>
        </w:trPr>
        <w:tc>
          <w:tcPr>
            <w:tcW w:w="570" w:type="pct"/>
            <w:vAlign w:val="center"/>
          </w:tcPr>
          <w:p w14:paraId="39AD5C3F">
            <w:pPr>
              <w:widowControl w:val="0"/>
              <w:spacing w:after="0" w:line="240" w:lineRule="auto"/>
              <w:jc w:val="center"/>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4</w:t>
            </w:r>
          </w:p>
        </w:tc>
        <w:tc>
          <w:tcPr>
            <w:tcW w:w="1197" w:type="pct"/>
            <w:vAlign w:val="center"/>
          </w:tcPr>
          <w:p w14:paraId="350809A1">
            <w:pPr>
              <w:widowControl w:val="0"/>
              <w:spacing w:after="0" w:line="240" w:lineRule="auto"/>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w:t>
            </w:r>
            <w:r>
              <w:rPr>
                <w:rFonts w:hint="eastAsia" w:ascii="宋体" w:hAnsi="宋体" w:eastAsia="宋体" w:cs="宋体"/>
                <w:color w:val="auto"/>
                <w:kern w:val="2"/>
                <w:sz w:val="21"/>
                <w:szCs w:val="21"/>
              </w:rPr>
              <w:t>其他要求(完全响应)</w:t>
            </w:r>
          </w:p>
        </w:tc>
        <w:tc>
          <w:tcPr>
            <w:tcW w:w="3232" w:type="pct"/>
            <w:vAlign w:val="center"/>
          </w:tcPr>
          <w:p w14:paraId="456130F6">
            <w:pPr>
              <w:widowControl w:val="0"/>
              <w:spacing w:after="0" w:line="240" w:lineRule="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1、临时水电结算管理办法</w:t>
            </w:r>
          </w:p>
          <w:p w14:paraId="107EA973">
            <w:pPr>
              <w:widowControl w:val="0"/>
              <w:spacing w:after="0" w:line="240" w:lineRule="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1.1 临时用水用电由中标供应商自行解决并承担相关费用；</w:t>
            </w:r>
          </w:p>
          <w:p w14:paraId="677264D7">
            <w:pPr>
              <w:widowControl w:val="0"/>
              <w:spacing w:after="0" w:line="240" w:lineRule="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1.2 本项目中所有的用水用电（即总表的所有管路）均由中标供应商自行安装并由专人管理，费用由中标供应商自理，但安装的标准和要求必须符合有关规定，若不符合要求，采购人有权责令中标供应商按规定要求进行整改并对中标供应商进行相应的经济处罚；</w:t>
            </w:r>
          </w:p>
          <w:p w14:paraId="226AC7BE">
            <w:pPr>
              <w:widowControl w:val="0"/>
              <w:spacing w:after="0" w:line="240" w:lineRule="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2、中标供应商必须参加各类协调、配合会，由于项目交叉引起的问题，中标供应商有义务进行配合协商解决，并服从采购人及监理人现场协调做出的决定；</w:t>
            </w:r>
          </w:p>
          <w:p w14:paraId="1BE302AE">
            <w:pPr>
              <w:widowControl w:val="0"/>
              <w:spacing w:after="0" w:line="240" w:lineRule="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3、监理人发出的监理通知单、监理联系单、整改单及采购人发出的涉及现场整改的工作联系单中标供应商必须限期回复，如不在规定时间内回复，采购人向中标供应商收取人民币500元/次的违约金，且采购人有权指定其他队伍代为实施，相应费用及责任由中标供应商承担；</w:t>
            </w:r>
          </w:p>
          <w:p w14:paraId="51567152">
            <w:pPr>
              <w:widowControl w:val="0"/>
              <w:spacing w:after="0" w:line="240" w:lineRule="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4、中标供应商需与包括工人在内的所有人员签订劳动合同，明确劳动报酬等内容，并严格履行、及时足额支付工资等劳</w:t>
            </w:r>
          </w:p>
          <w:p w14:paraId="4EC5A49E">
            <w:pPr>
              <w:widowControl w:val="0"/>
              <w:spacing w:after="0" w:line="240" w:lineRule="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动报酬。对采购人支付的项目款，中标供应商须优先用于支付工人劳动报酬，严禁出现中标供应商因支付工人工资不足额、不及时，工人干扰道路交通秩序、办公场所的情况，若出现此类情况对采购人造成不利影响，采购人可视情节恶劣程度，对中标供应商处以人民币10万元/次的违约金，同时采购人有权在中标供应商项目款项中直接扣除相应款项，支付给供应商所属工人；</w:t>
            </w:r>
          </w:p>
          <w:p w14:paraId="3A911FC1">
            <w:pPr>
              <w:widowControl w:val="0"/>
              <w:spacing w:after="0" w:line="240" w:lineRule="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5、中标供应商必须按“南京市工程施工现场管理规定”(南京市人民政府文件第237 号) 、《南京市扬尘污染防治管理办法》（南京市人民政府令第 287 号）、“市政府关于印发加强扬尘污染防控“十条措施”的通知”(宁政发（2013）32 号)的要求规范管理，所发生的费用中标供应商自行承担；</w:t>
            </w:r>
          </w:p>
          <w:p w14:paraId="22409C17">
            <w:pPr>
              <w:widowControl w:val="0"/>
              <w:spacing w:after="0" w:line="240" w:lineRule="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6、中标供应商应服从采购人的安排及时清理项目现场内的建筑垃圾、转移临时设施和机械、材料，不能在采购人规定期限内完成清理或转移的，每延迟一天，支付人民币5000 元的违约金；</w:t>
            </w:r>
          </w:p>
          <w:p w14:paraId="1E905EC0">
            <w:pPr>
              <w:widowControl w:val="0"/>
              <w:spacing w:after="0" w:line="240" w:lineRule="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7、中标供应商应协助采购人办理有关的报批、报建、取证的手续，共同承担有关责任；</w:t>
            </w:r>
          </w:p>
          <w:p w14:paraId="28DDE0E9">
            <w:pPr>
              <w:widowControl w:val="0"/>
              <w:spacing w:after="0" w:line="240" w:lineRule="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8、在项目实施过程中及保修期内，中标供应商不得以任何理由拒收采购人及监理人发出的联系单、通知单等往来函件，如拒收，采购人、监理人可通过发邮件或挂号信给中标供应商，函件发出即视为中标</w:t>
            </w:r>
          </w:p>
          <w:p w14:paraId="79F02713">
            <w:pPr>
              <w:widowControl w:val="0"/>
              <w:spacing w:after="0" w:line="240" w:lineRule="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供应商已接收，且采购人向中标供应商收取人民币1000元/次的违约金；</w:t>
            </w:r>
          </w:p>
          <w:p w14:paraId="44FD2AA0">
            <w:pPr>
              <w:widowControl w:val="0"/>
              <w:spacing w:after="0" w:line="240" w:lineRule="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9、在项目实施过程中及保修期内，由于中标供应商责任出现质量问题、安全事故或其它原因，受到报纸、电视等媒体的曝光或政府有关主管部门的批评，均会给本项目的社会形象造成损失，采购人将向中标供应商收取人民币 5 万元/次的违约金，采购人直接从中标供应商的进度款或保修款中扣除，情节严重的，采购人将书面上报政府有关主管部门，直至与中标供应商终止合同，采购人和中标供应商的所有损失均由中标供应商承担；</w:t>
            </w:r>
          </w:p>
          <w:p w14:paraId="228D2C8E">
            <w:pPr>
              <w:widowControl w:val="0"/>
              <w:spacing w:after="0" w:line="240" w:lineRule="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10、中标供应商在整个标段的不同单项工作中，针对相同子目报统一单价，如相同子目有不同的报价，结算时，相同子目全部按报价最低的单价进行结算；</w:t>
            </w:r>
          </w:p>
          <w:p w14:paraId="40883E43">
            <w:pPr>
              <w:widowControl w:val="0"/>
              <w:spacing w:after="0" w:line="240" w:lineRule="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11、其他要求及注意事项</w:t>
            </w:r>
          </w:p>
          <w:p w14:paraId="54DC8AAA">
            <w:pPr>
              <w:widowControl w:val="0"/>
              <w:spacing w:after="0" w:line="240" w:lineRule="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11.1、中标供应商必须按照有关技术规范及采购人提供的项目设计文件要求组织实施。采购人全权进行现场的监督和管理。</w:t>
            </w:r>
          </w:p>
          <w:p w14:paraId="4004EDA9">
            <w:pPr>
              <w:widowControl w:val="0"/>
              <w:spacing w:after="0" w:line="240" w:lineRule="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11.2、中标供应商必须按照合同工期按时、保质、保量地完成任务。签订合同的同时，须提供本项目具体的技术方案；对某些易发性病害的治理应提供专项的技术方案。完工后应按照月进度提交每月的养护管理计划及上月养护管理小结。中标供应商未经采购人同意不得将本项目分包或转包。</w:t>
            </w:r>
          </w:p>
          <w:p w14:paraId="5A50A97A">
            <w:pPr>
              <w:widowControl w:val="0"/>
              <w:spacing w:after="0" w:line="240" w:lineRule="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11.3、中标供应商必须严格按照采购人提供的图纸和相关技术规定进行工作；未经采购人批准，不得擅自改变原有设计与有关的要求和规定，若因现场实际需要，确需对原设计内容作调整或补充的，应经采购人批准并办理书面手续后方可实施。</w:t>
            </w:r>
          </w:p>
          <w:p w14:paraId="56113954">
            <w:pPr>
              <w:widowControl w:val="0"/>
              <w:spacing w:after="0" w:line="240" w:lineRule="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11.4、中标供应商在实施过程中有义务进行成品保护，若有破坏或损坏，采购人有权要求供应商恢复或支付违约金。</w:t>
            </w:r>
          </w:p>
          <w:p w14:paraId="6F408AE6">
            <w:pPr>
              <w:widowControl w:val="0"/>
              <w:spacing w:after="0" w:line="240" w:lineRule="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11.5、采购人全权进行现场的监督和管理，采购人一旦发现中标供应商不符合本合同规定的质量要求的，采购人有权对中标供应商所报验的工序质量单、材料进场报验单、计量报审单等书面文件不予报批，并有权指令中标供应商进行限期整改，中标供应商必须无条件执行，否则采购人可指令第三方来进行，直至采购人认为达到质量要求为止，由此发生的一切费用由中标供应商承担，若因中标供应商原因项目出现重大质量问题，并不服从采购人提出的整改要求，情节严重的，采购人有权终止合同，因此所发生的一切损失由中标供应商承担。</w:t>
            </w:r>
          </w:p>
          <w:p w14:paraId="7D4AFA96">
            <w:pPr>
              <w:widowControl w:val="0"/>
              <w:spacing w:after="0" w:line="240" w:lineRule="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11.6、采购人尽可能为供应商提供工作方便，协助中标供应商协调好与其他有关工作单位和地方的关系。</w:t>
            </w:r>
          </w:p>
          <w:p w14:paraId="3F9A7EA3">
            <w:pPr>
              <w:widowControl w:val="0"/>
              <w:spacing w:after="0" w:line="240" w:lineRule="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11.7、中标供应商应考虑到本项目现场取水、搬运及人为影响等不利因素。</w:t>
            </w:r>
          </w:p>
          <w:p w14:paraId="2176BF00">
            <w:pPr>
              <w:widowControl w:val="0"/>
              <w:spacing w:after="0" w:line="240" w:lineRule="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11.8、本项目现场不提供住宿及办公场所，中标供应商自行解决，该部分费用请在投标报价中综合考虑。</w:t>
            </w:r>
          </w:p>
          <w:p w14:paraId="05360A12">
            <w:pPr>
              <w:widowControl w:val="0"/>
              <w:spacing w:after="0" w:line="240" w:lineRule="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11.9、中标供应商应充分考虑在实施期间与市政、电力、自来水等专业单位的配合、协调及相互的干扰等因素，增加的费用在投标时自行考虑列入投标报价中。</w:t>
            </w:r>
          </w:p>
          <w:p w14:paraId="449419CA">
            <w:pPr>
              <w:widowControl w:val="0"/>
              <w:spacing w:after="0" w:line="240" w:lineRule="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11.10、采购人有权在实施过程中对工作量和工作内容进行调整，中标供应商应无条件响应，在合同执行中按约定的价格进行调整，并不得收取违约金。</w:t>
            </w:r>
          </w:p>
          <w:p w14:paraId="47507D6A">
            <w:pPr>
              <w:widowControl w:val="0"/>
              <w:spacing w:after="0" w:line="240" w:lineRule="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11.11 中标供应商须严格按照指令或方案审批意见开展工作，服从采购人、监理方的管理，确保安全、文明和进度、质量达到要求。</w:t>
            </w:r>
          </w:p>
        </w:tc>
      </w:tr>
      <w:tr w14:paraId="4DB9ED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7" w:hRule="atLeast"/>
        </w:trPr>
        <w:tc>
          <w:tcPr>
            <w:tcW w:w="570" w:type="pct"/>
            <w:vAlign w:val="center"/>
          </w:tcPr>
          <w:p w14:paraId="412B3D89">
            <w:pPr>
              <w:widowControl w:val="0"/>
              <w:spacing w:after="0" w:line="240" w:lineRule="auto"/>
              <w:jc w:val="center"/>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5</w:t>
            </w:r>
          </w:p>
        </w:tc>
        <w:tc>
          <w:tcPr>
            <w:tcW w:w="1197" w:type="pct"/>
            <w:vAlign w:val="center"/>
          </w:tcPr>
          <w:p w14:paraId="133DB4E2">
            <w:pPr>
              <w:widowControl w:val="0"/>
              <w:spacing w:after="0" w:line="240" w:lineRule="auto"/>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w:t>
            </w:r>
            <w:r>
              <w:rPr>
                <w:rFonts w:hint="eastAsia" w:ascii="宋体" w:hAnsi="宋体" w:eastAsia="宋体" w:cs="宋体"/>
                <w:color w:val="auto"/>
                <w:kern w:val="2"/>
                <w:sz w:val="21"/>
                <w:szCs w:val="21"/>
              </w:rPr>
              <w:t>完工及结算(完全响应)</w:t>
            </w:r>
          </w:p>
        </w:tc>
        <w:tc>
          <w:tcPr>
            <w:tcW w:w="3232" w:type="pct"/>
            <w:vAlign w:val="center"/>
          </w:tcPr>
          <w:p w14:paraId="0231CAAA">
            <w:pPr>
              <w:widowControl w:val="0"/>
              <w:spacing w:after="0" w:line="240" w:lineRule="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1、完工退场</w:t>
            </w:r>
          </w:p>
          <w:p w14:paraId="3D467DCA">
            <w:pPr>
              <w:widowControl w:val="0"/>
              <w:spacing w:after="0" w:line="240" w:lineRule="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中标供应商完成完工退场的期限：项目完工验收后，中标供应商的人员、材料、设备必须在14天内全部退出现场，否则按每天10000元支付违约金。非供应商原因导致的人员、材料、设备没在14天内全部退场不支付违约金。</w:t>
            </w:r>
          </w:p>
          <w:p w14:paraId="7CFA0088">
            <w:pPr>
              <w:widowControl w:val="0"/>
              <w:spacing w:after="0" w:line="240" w:lineRule="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2、完工结算</w:t>
            </w:r>
          </w:p>
          <w:p w14:paraId="18220B62">
            <w:pPr>
              <w:widowControl w:val="0"/>
              <w:spacing w:after="0" w:line="240" w:lineRule="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2.1 完工付款申请</w:t>
            </w:r>
          </w:p>
          <w:p w14:paraId="248C0A68">
            <w:pPr>
              <w:widowControl w:val="0"/>
              <w:spacing w:after="0" w:line="240" w:lineRule="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中标供应商提交完工付款申请单的期限：按采购人审计要求办理。完工付款申请单应包括的内容：完工结算合同总价、已支付的项目价款、应扣回的质量保证金、应支付的完工付款金额等。</w:t>
            </w:r>
          </w:p>
          <w:p w14:paraId="7BB698B2">
            <w:pPr>
              <w:widowControl w:val="0"/>
              <w:spacing w:after="0" w:line="240" w:lineRule="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（1）中标供应商必须按照采购人的要求编制整理资料办理完工结算，采购人最终确认的结算书作为双方结算项目款的依据，如中标供应商对该结算结果不认可，可提出异议或者委托第三方进行重新审计。</w:t>
            </w:r>
          </w:p>
          <w:p w14:paraId="247CD1DB">
            <w:pPr>
              <w:widowControl w:val="0"/>
              <w:spacing w:after="0" w:line="240" w:lineRule="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2）完工结算书中应有完整的结算资料。在结算审计单位结算审价过程中，不再接受增加任何结算资料（图纸、签证变更单、价格凭证等），送审的结算中若有结算遗漏项目均为让利给采购人，不作任何增加调整。</w:t>
            </w:r>
          </w:p>
          <w:p w14:paraId="31412445">
            <w:pPr>
              <w:widowControl w:val="0"/>
              <w:spacing w:after="0" w:line="240" w:lineRule="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3）中标供应商发生的所有违约金等相应扣款项，均由监理工程师在当月的工作量审核单中注明事由及发生金额，由采购人在当月项目款支付单中予以注明扣除。所有变更及签证产生的费用均在完工结算中办理。</w:t>
            </w:r>
          </w:p>
          <w:p w14:paraId="57D2FEA4">
            <w:pPr>
              <w:widowControl w:val="0"/>
              <w:spacing w:after="0" w:line="240" w:lineRule="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（4）按国家规定由中标供应商交纳的各种税收、劳动保险费及其他费用已包含在本项目造价内，由中标供应商负责向税收等部门交纳。</w:t>
            </w:r>
          </w:p>
          <w:p w14:paraId="442E2DF6">
            <w:pPr>
              <w:widowControl w:val="0"/>
              <w:spacing w:after="0" w:line="240" w:lineRule="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2.2 完工结算审核</w:t>
            </w:r>
          </w:p>
          <w:p w14:paraId="0707D54A">
            <w:pPr>
              <w:widowControl w:val="0"/>
              <w:spacing w:after="0" w:line="240" w:lineRule="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采购人审批完工付款申请单的期限：</w:t>
            </w:r>
          </w:p>
          <w:p w14:paraId="437124C4">
            <w:pPr>
              <w:widowControl w:val="0"/>
              <w:spacing w:after="0" w:line="240" w:lineRule="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（1）中标供应商应该在完工验收后 60 天内提交完整的完工结算报告及结算资料。否则造成采购人、监理人、审计单位管理费用的增加和审核时间的延长，责任由中标供应商承担。</w:t>
            </w:r>
          </w:p>
          <w:p w14:paraId="5AB3FE09">
            <w:pPr>
              <w:widowControl w:val="0"/>
              <w:spacing w:after="0" w:line="240" w:lineRule="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（2）采购人收到供应商递交完整的完工结算报告及结算资料后及时送审。结算审计流程及时间按采购人有关要求执行。</w:t>
            </w:r>
          </w:p>
          <w:p w14:paraId="2C70CE89">
            <w:pPr>
              <w:widowControl w:val="0"/>
              <w:spacing w:after="0" w:line="240" w:lineRule="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3）中标供应商提供的结算书，①如经审计核减额在5%以内，审计费发包人承担；②核减额在5%-10%（含5%，不含10%），承包人应承担违约金，违约金为该项目对应审计费用总额的一半；③核减额在10%（含）以上，承包人应承担违约金，违约金为该项目对应的全部审计费。(核减额是指中标供应商向采购人提交的送审额与最终审定金额的核减金额)。</w:t>
            </w:r>
          </w:p>
          <w:p w14:paraId="6EDDAB24">
            <w:pPr>
              <w:widowControl w:val="0"/>
              <w:spacing w:after="0" w:line="240" w:lineRule="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（4）结算审计单位有权对新增及变更工作量清单全费用综合单价进行重新审核（报价浮动率=（1-中标价/最高限价）</w:t>
            </w:r>
          </w:p>
          <w:p w14:paraId="5BAC3641">
            <w:pPr>
              <w:widowControl w:val="0"/>
              <w:spacing w:after="0" w:line="240" w:lineRule="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*100%”）。采购人完成完工付款的期限：按采购人审计要求办理。关于完工付款证书异议部分复核的方式和程序：按采购人审计要求办理。</w:t>
            </w:r>
          </w:p>
          <w:p w14:paraId="3F9C3F3E">
            <w:pPr>
              <w:widowControl w:val="0"/>
              <w:spacing w:after="0" w:line="240" w:lineRule="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2.3 最终结清</w:t>
            </w:r>
          </w:p>
          <w:p w14:paraId="3BC4B728">
            <w:pPr>
              <w:widowControl w:val="0"/>
              <w:spacing w:after="0" w:line="240" w:lineRule="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（1） 最终结清申请单中标供应商提交最终结清申请单的份数：肆份。</w:t>
            </w:r>
          </w:p>
          <w:p w14:paraId="5168961C">
            <w:pPr>
              <w:widowControl w:val="0"/>
              <w:spacing w:after="0" w:line="240" w:lineRule="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（2）最终结清证书和支付</w:t>
            </w:r>
          </w:p>
          <w:p w14:paraId="078AFD0F">
            <w:pPr>
              <w:widowControl w:val="0"/>
              <w:spacing w:after="0" w:line="240" w:lineRule="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1）采购人完成最终结清申请单的审批并颁发最终结清证书的期限：按通用条款。</w:t>
            </w:r>
          </w:p>
          <w:p w14:paraId="016F6153">
            <w:pPr>
              <w:widowControl w:val="0"/>
              <w:spacing w:after="0" w:line="240" w:lineRule="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2）采购人完成支付的期限：按通用条款。</w:t>
            </w:r>
          </w:p>
          <w:p w14:paraId="3CEA05A3">
            <w:pPr>
              <w:widowControl w:val="0"/>
              <w:spacing w:after="0" w:line="240" w:lineRule="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2.4 变更估价</w:t>
            </w:r>
          </w:p>
          <w:p w14:paraId="35DFA9C5">
            <w:pPr>
              <w:widowControl w:val="0"/>
              <w:spacing w:after="0" w:line="240" w:lineRule="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关于变更估价的约定：投标单价高于市场价的清单子目工程量变更增加超过 10%，发包人有权对超过部分的全费用综合单价进行调整。</w:t>
            </w:r>
          </w:p>
        </w:tc>
      </w:tr>
    </w:tbl>
    <w:p w14:paraId="1C646286">
      <w:pPr>
        <w:widowControl w:val="0"/>
        <w:spacing w:line="360" w:lineRule="auto"/>
        <w:jc w:val="left"/>
        <w:rPr>
          <w:rFonts w:hint="eastAsia" w:ascii="宋体" w:hAnsi="宋体" w:eastAsia="宋体" w:cs="宋体"/>
          <w:b/>
          <w:color w:val="auto"/>
          <w:kern w:val="2"/>
          <w:sz w:val="21"/>
          <w:szCs w:val="21"/>
        </w:rPr>
      </w:pPr>
    </w:p>
    <w:p w14:paraId="5D6610B1">
      <w:pPr>
        <w:widowControl w:val="0"/>
        <w:spacing w:line="360" w:lineRule="auto"/>
        <w:jc w:val="left"/>
        <w:rPr>
          <w:rFonts w:hint="eastAsia" w:ascii="宋体" w:hAnsi="宋体" w:eastAsia="宋体" w:cs="宋体"/>
          <w:b/>
          <w:color w:val="auto"/>
          <w:kern w:val="2"/>
          <w:sz w:val="21"/>
          <w:szCs w:val="21"/>
        </w:rPr>
      </w:pPr>
      <w:r>
        <w:rPr>
          <w:rFonts w:hint="eastAsia" w:ascii="宋体" w:hAnsi="宋体" w:eastAsia="宋体" w:cs="宋体"/>
          <w:b/>
          <w:color w:val="auto"/>
          <w:kern w:val="2"/>
          <w:sz w:val="21"/>
          <w:szCs w:val="21"/>
        </w:rPr>
        <w:t>★</w:t>
      </w:r>
      <w:r>
        <w:rPr>
          <w:rFonts w:hint="eastAsia" w:ascii="宋体" w:hAnsi="宋体" w:eastAsia="宋体" w:cs="宋体"/>
          <w:b/>
          <w:color w:val="auto"/>
          <w:kern w:val="2"/>
          <w:sz w:val="21"/>
          <w:szCs w:val="21"/>
          <w:lang w:val="en-US" w:eastAsia="zh-CN"/>
        </w:rPr>
        <w:t>五、</w:t>
      </w:r>
      <w:r>
        <w:rPr>
          <w:rFonts w:hint="eastAsia" w:ascii="宋体" w:hAnsi="宋体" w:eastAsia="宋体" w:cs="宋体"/>
          <w:b/>
          <w:color w:val="auto"/>
          <w:kern w:val="2"/>
          <w:sz w:val="21"/>
          <w:szCs w:val="21"/>
        </w:rPr>
        <w:t>报价要求</w:t>
      </w:r>
    </w:p>
    <w:p w14:paraId="68747A86">
      <w:pPr>
        <w:widowControl w:val="0"/>
        <w:spacing w:line="360" w:lineRule="auto"/>
        <w:jc w:val="left"/>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本项目采用全费用综合单价报价，投标人需考虑过程中的一切费用（含税）。</w:t>
      </w:r>
    </w:p>
    <w:p w14:paraId="7634574D">
      <w:pPr>
        <w:widowControl w:val="0"/>
        <w:spacing w:line="360" w:lineRule="auto"/>
        <w:jc w:val="left"/>
        <w:rPr>
          <w:rFonts w:hint="eastAsia" w:ascii="宋体" w:hAnsi="宋体" w:eastAsia="宋体" w:cs="宋体"/>
          <w:b/>
          <w:color w:val="auto"/>
          <w:kern w:val="2"/>
          <w:sz w:val="21"/>
          <w:szCs w:val="21"/>
        </w:rPr>
      </w:pPr>
      <w:r>
        <w:rPr>
          <w:rFonts w:hint="eastAsia" w:ascii="宋体" w:hAnsi="宋体" w:eastAsia="宋体" w:cs="宋体"/>
          <w:b/>
          <w:color w:val="auto"/>
          <w:kern w:val="2"/>
          <w:sz w:val="21"/>
          <w:szCs w:val="21"/>
        </w:rPr>
        <w:t>★</w:t>
      </w:r>
      <w:r>
        <w:rPr>
          <w:rFonts w:hint="eastAsia" w:ascii="宋体" w:hAnsi="宋体" w:eastAsia="宋体" w:cs="宋体"/>
          <w:b/>
          <w:color w:val="auto"/>
          <w:kern w:val="2"/>
          <w:sz w:val="21"/>
          <w:szCs w:val="21"/>
          <w:lang w:val="en-US" w:eastAsia="zh-CN"/>
        </w:rPr>
        <w:t>六、</w:t>
      </w:r>
      <w:r>
        <w:rPr>
          <w:rFonts w:hint="eastAsia" w:ascii="宋体" w:hAnsi="宋体" w:eastAsia="宋体" w:cs="宋体"/>
          <w:b/>
          <w:color w:val="auto"/>
          <w:kern w:val="2"/>
          <w:sz w:val="21"/>
          <w:szCs w:val="21"/>
        </w:rPr>
        <w:t>付款条件</w:t>
      </w:r>
    </w:p>
    <w:p w14:paraId="7C762D6E">
      <w:pPr>
        <w:widowControl w:val="0"/>
        <w:rPr>
          <w:rFonts w:hint="eastAsia" w:ascii="宋体" w:hAnsi="宋体" w:eastAsia="宋体" w:cs="宋体"/>
          <w:color w:val="0000FF"/>
          <w:kern w:val="2"/>
          <w:sz w:val="21"/>
          <w:szCs w:val="21"/>
        </w:rPr>
      </w:pPr>
      <w:r>
        <w:rPr>
          <w:rFonts w:hint="eastAsia" w:ascii="宋体" w:hAnsi="宋体" w:eastAsia="宋体" w:cs="宋体"/>
          <w:color w:val="0000FF"/>
          <w:kern w:val="2"/>
          <w:sz w:val="21"/>
          <w:szCs w:val="21"/>
        </w:rPr>
        <w:t>1、服务期结束并完成结算审核后，支付至结算审定价的100%（扣除违约金等）；</w:t>
      </w:r>
    </w:p>
    <w:p w14:paraId="47317672">
      <w:pPr>
        <w:widowControl w:val="0"/>
        <w:rPr>
          <w:rFonts w:hint="eastAsia" w:ascii="宋体" w:hAnsi="宋体" w:eastAsia="宋体" w:cs="宋体"/>
          <w:color w:val="0000FF"/>
          <w:kern w:val="2"/>
          <w:sz w:val="21"/>
          <w:szCs w:val="21"/>
        </w:rPr>
      </w:pPr>
      <w:r>
        <w:rPr>
          <w:rFonts w:hint="eastAsia" w:ascii="宋体" w:hAnsi="宋体" w:cs="宋体"/>
          <w:color w:val="0000FF"/>
          <w:kern w:val="2"/>
          <w:sz w:val="21"/>
          <w:szCs w:val="21"/>
          <w:lang w:val="en-US" w:eastAsia="zh-CN"/>
        </w:rPr>
        <w:t>2</w:t>
      </w:r>
      <w:r>
        <w:rPr>
          <w:rFonts w:hint="eastAsia" w:ascii="宋体" w:hAnsi="宋体" w:eastAsia="宋体" w:cs="宋体"/>
          <w:color w:val="0000FF"/>
          <w:kern w:val="2"/>
          <w:sz w:val="21"/>
          <w:szCs w:val="21"/>
        </w:rPr>
        <w:t>、其他：①采购人支付给供应商的预付款及进度款，供应商只能用于本项目有关的劳力、材料、机械等费用。采购人有权对供应商项目款的使用进行监督，如预付款及进度款用于支付与本项目无关的费用，采购人将立即停止付款并由供应商向采购人支付该合同总价 5%的违约金。采购人有权选择在总的支付比例不变的情况下，采取其他的支付方法。②每次付款前，供应商需提供符合采购人要求的增值税发票否则采购人有权拒绝付款。③项目完工验收合格前，供应商须将本项目的完工资料（四套）和完工结算文件（三套）报送给采购人。采购人在收到供应商完整的结算资料后安排完工结算审核工作。如结算资料不完整，供应商重新补充直至完整，供应商应配合完工结算审核工作。上述资金拨付时间以采购人资金到位时间为准，最长期限不超过60日。</w:t>
      </w:r>
    </w:p>
    <w:p w14:paraId="791A7034">
      <w:pPr>
        <w:widowControl w:val="0"/>
        <w:spacing w:line="360" w:lineRule="auto"/>
        <w:jc w:val="left"/>
        <w:rPr>
          <w:rFonts w:hint="eastAsia" w:ascii="宋体" w:hAnsi="宋体" w:eastAsia="宋体" w:cs="宋体"/>
          <w:b/>
          <w:color w:val="auto"/>
          <w:kern w:val="2"/>
          <w:sz w:val="21"/>
          <w:szCs w:val="21"/>
        </w:rPr>
      </w:pPr>
      <w:r>
        <w:rPr>
          <w:rFonts w:hint="eastAsia" w:ascii="宋体" w:hAnsi="宋体" w:eastAsia="宋体" w:cs="宋体"/>
          <w:b/>
          <w:color w:val="auto"/>
          <w:kern w:val="2"/>
          <w:sz w:val="21"/>
          <w:szCs w:val="21"/>
          <w:lang w:val="en-US" w:eastAsia="zh-CN"/>
        </w:rPr>
        <w:t>七、</w:t>
      </w:r>
      <w:r>
        <w:rPr>
          <w:rFonts w:hint="eastAsia" w:ascii="宋体" w:hAnsi="宋体" w:eastAsia="宋体" w:cs="宋体"/>
          <w:b/>
          <w:color w:val="auto"/>
          <w:kern w:val="2"/>
          <w:sz w:val="21"/>
          <w:szCs w:val="21"/>
        </w:rPr>
        <w:t>合同履行期限</w:t>
      </w:r>
    </w:p>
    <w:p w14:paraId="6EB2E2CB">
      <w:pPr>
        <w:widowControl w:val="0"/>
        <w:spacing w:line="360" w:lineRule="auto"/>
        <w:jc w:val="left"/>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自合同签订之日起至2026年12月31日止。</w:t>
      </w:r>
    </w:p>
    <w:p w14:paraId="7698C4F7">
      <w:pPr>
        <w:widowControl w:val="0"/>
        <w:spacing w:line="360" w:lineRule="auto"/>
        <w:jc w:val="left"/>
        <w:rPr>
          <w:rFonts w:hint="eastAsia" w:ascii="宋体" w:hAnsi="宋体" w:eastAsia="宋体" w:cs="宋体"/>
          <w:b/>
          <w:color w:val="auto"/>
          <w:kern w:val="2"/>
          <w:sz w:val="21"/>
          <w:szCs w:val="21"/>
        </w:rPr>
      </w:pPr>
      <w:r>
        <w:rPr>
          <w:rFonts w:hint="eastAsia" w:ascii="宋体" w:hAnsi="宋体" w:eastAsia="宋体" w:cs="宋体"/>
          <w:b/>
          <w:color w:val="auto"/>
          <w:kern w:val="2"/>
          <w:sz w:val="21"/>
          <w:szCs w:val="21"/>
          <w:lang w:val="en-US" w:eastAsia="zh-CN"/>
        </w:rPr>
        <w:t>八、</w:t>
      </w:r>
      <w:r>
        <w:rPr>
          <w:rFonts w:hint="eastAsia" w:ascii="宋体" w:hAnsi="宋体" w:eastAsia="宋体" w:cs="宋体"/>
          <w:b/>
          <w:color w:val="auto"/>
          <w:kern w:val="2"/>
          <w:sz w:val="21"/>
          <w:szCs w:val="21"/>
        </w:rPr>
        <w:t>履约担保</w:t>
      </w:r>
    </w:p>
    <w:p w14:paraId="6A804DA9">
      <w:pPr>
        <w:widowControl w:val="0"/>
        <w:spacing w:line="360" w:lineRule="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供应商在合同签订前向采购人提交中标价的 10%的金额作为履约担保，可以以转账、电汇或银行保函形式。履约担保递交后方可签订合同。履约担保在项目竣工验收合格后一次性无息退还。</w:t>
      </w:r>
    </w:p>
    <w:p w14:paraId="26627454">
      <w:pPr>
        <w:widowControl w:val="0"/>
        <w:spacing w:line="360" w:lineRule="auto"/>
        <w:jc w:val="left"/>
        <w:rPr>
          <w:rFonts w:hint="eastAsia" w:ascii="宋体" w:hAnsi="宋体" w:eastAsia="宋体" w:cs="宋体"/>
          <w:b/>
          <w:color w:val="auto"/>
          <w:kern w:val="2"/>
          <w:sz w:val="21"/>
          <w:szCs w:val="21"/>
          <w:lang w:val="en-US" w:eastAsia="zh-CN"/>
        </w:rPr>
      </w:pPr>
      <w:r>
        <w:rPr>
          <w:rFonts w:hint="eastAsia" w:ascii="宋体" w:hAnsi="宋体" w:eastAsia="宋体" w:cs="宋体"/>
          <w:b/>
          <w:color w:val="auto"/>
          <w:kern w:val="2"/>
          <w:sz w:val="21"/>
          <w:szCs w:val="21"/>
          <w:lang w:val="en-US" w:eastAsia="zh-CN"/>
        </w:rPr>
        <w:t>九、附件</w:t>
      </w:r>
    </w:p>
    <w:p w14:paraId="17CB24F2">
      <w:pPr>
        <w:widowControl w:val="0"/>
        <w:spacing w:line="360" w:lineRule="auto"/>
        <w:jc w:val="left"/>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附件1、市政雨水管道维护及应急抢修季度考核表</w:t>
      </w:r>
    </w:p>
    <w:tbl>
      <w:tblPr>
        <w:tblStyle w:val="403"/>
        <w:tblW w:w="9002"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76"/>
        <w:gridCol w:w="4895"/>
        <w:gridCol w:w="1298"/>
        <w:gridCol w:w="664"/>
        <w:gridCol w:w="682"/>
        <w:gridCol w:w="687"/>
      </w:tblGrid>
      <w:tr w14:paraId="49E0A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47" w:hRule="atLeast"/>
        </w:trPr>
        <w:tc>
          <w:tcPr>
            <w:tcW w:w="776" w:type="dxa"/>
          </w:tcPr>
          <w:p w14:paraId="63BD35D4">
            <w:pPr>
              <w:widowControl w:val="0"/>
              <w:spacing w:before="172" w:line="184" w:lineRule="auto"/>
              <w:ind w:firstLine="183"/>
              <w:rPr>
                <w:rFonts w:hint="eastAsia" w:ascii="宋体" w:hAnsi="宋体" w:eastAsia="宋体" w:cs="宋体"/>
                <w:color w:val="auto"/>
                <w:kern w:val="2"/>
                <w:sz w:val="21"/>
                <w:szCs w:val="21"/>
              </w:rPr>
            </w:pPr>
            <w:r>
              <w:rPr>
                <w:rFonts w:hint="eastAsia" w:ascii="宋体" w:hAnsi="宋体" w:eastAsia="宋体" w:cs="宋体"/>
                <w:color w:val="auto"/>
                <w:spacing w:val="-5"/>
                <w:kern w:val="2"/>
                <w:sz w:val="21"/>
                <w:szCs w:val="21"/>
              </w:rPr>
              <w:t>类别</w:t>
            </w:r>
          </w:p>
        </w:tc>
        <w:tc>
          <w:tcPr>
            <w:tcW w:w="4895" w:type="dxa"/>
          </w:tcPr>
          <w:p w14:paraId="21A89506">
            <w:pPr>
              <w:widowControl w:val="0"/>
              <w:spacing w:before="172" w:line="184" w:lineRule="auto"/>
              <w:ind w:firstLine="2183"/>
              <w:rPr>
                <w:rFonts w:hint="eastAsia" w:ascii="宋体" w:hAnsi="宋体" w:eastAsia="宋体" w:cs="宋体"/>
                <w:color w:val="auto"/>
                <w:kern w:val="2"/>
                <w:sz w:val="21"/>
                <w:szCs w:val="21"/>
              </w:rPr>
            </w:pPr>
            <w:r>
              <w:rPr>
                <w:rFonts w:hint="eastAsia" w:ascii="宋体" w:hAnsi="宋体" w:eastAsia="宋体" w:cs="宋体"/>
                <w:color w:val="auto"/>
                <w:spacing w:val="-18"/>
                <w:kern w:val="2"/>
                <w:sz w:val="21"/>
                <w:szCs w:val="21"/>
              </w:rPr>
              <w:t>内容</w:t>
            </w:r>
          </w:p>
        </w:tc>
        <w:tc>
          <w:tcPr>
            <w:tcW w:w="1298" w:type="dxa"/>
          </w:tcPr>
          <w:p w14:paraId="603EF505">
            <w:pPr>
              <w:widowControl w:val="0"/>
              <w:spacing w:before="172" w:line="184" w:lineRule="auto"/>
              <w:ind w:firstLine="323"/>
              <w:rPr>
                <w:rFonts w:hint="eastAsia" w:ascii="宋体" w:hAnsi="宋体" w:eastAsia="宋体" w:cs="宋体"/>
                <w:color w:val="auto"/>
                <w:kern w:val="2"/>
                <w:sz w:val="21"/>
                <w:szCs w:val="21"/>
              </w:rPr>
            </w:pPr>
            <w:r>
              <w:rPr>
                <w:rFonts w:hint="eastAsia" w:ascii="宋体" w:hAnsi="宋体" w:eastAsia="宋体" w:cs="宋体"/>
                <w:color w:val="auto"/>
                <w:spacing w:val="-3"/>
                <w:kern w:val="2"/>
                <w:sz w:val="21"/>
                <w:szCs w:val="21"/>
              </w:rPr>
              <w:t>单项扣分</w:t>
            </w:r>
          </w:p>
        </w:tc>
        <w:tc>
          <w:tcPr>
            <w:tcW w:w="664" w:type="dxa"/>
          </w:tcPr>
          <w:p w14:paraId="452A9EED">
            <w:pPr>
              <w:widowControl w:val="0"/>
              <w:spacing w:before="172" w:line="184" w:lineRule="auto"/>
              <w:ind w:firstLine="131"/>
              <w:rPr>
                <w:rFonts w:hint="eastAsia" w:ascii="宋体" w:hAnsi="宋体" w:eastAsia="宋体" w:cs="宋体"/>
                <w:color w:val="auto"/>
                <w:kern w:val="2"/>
                <w:sz w:val="21"/>
                <w:szCs w:val="21"/>
              </w:rPr>
            </w:pPr>
            <w:r>
              <w:rPr>
                <w:rFonts w:hint="eastAsia" w:ascii="宋体" w:hAnsi="宋体" w:eastAsia="宋体" w:cs="宋体"/>
                <w:color w:val="auto"/>
                <w:spacing w:val="-6"/>
                <w:kern w:val="2"/>
                <w:sz w:val="21"/>
                <w:szCs w:val="21"/>
              </w:rPr>
              <w:t>分值</w:t>
            </w:r>
          </w:p>
        </w:tc>
        <w:tc>
          <w:tcPr>
            <w:tcW w:w="682" w:type="dxa"/>
          </w:tcPr>
          <w:p w14:paraId="506AF790">
            <w:pPr>
              <w:widowControl w:val="0"/>
              <w:spacing w:before="172" w:line="184" w:lineRule="auto"/>
              <w:ind w:firstLine="142"/>
              <w:rPr>
                <w:rFonts w:hint="eastAsia" w:ascii="宋体" w:hAnsi="宋体" w:eastAsia="宋体" w:cs="宋体"/>
                <w:color w:val="auto"/>
                <w:kern w:val="2"/>
                <w:sz w:val="21"/>
                <w:szCs w:val="21"/>
              </w:rPr>
            </w:pPr>
            <w:r>
              <w:rPr>
                <w:rFonts w:hint="eastAsia" w:ascii="宋体" w:hAnsi="宋体" w:eastAsia="宋体" w:cs="宋体"/>
                <w:color w:val="auto"/>
                <w:spacing w:val="-7"/>
                <w:kern w:val="2"/>
                <w:sz w:val="21"/>
                <w:szCs w:val="21"/>
              </w:rPr>
              <w:t>扣分</w:t>
            </w:r>
          </w:p>
        </w:tc>
        <w:tc>
          <w:tcPr>
            <w:tcW w:w="687" w:type="dxa"/>
          </w:tcPr>
          <w:p w14:paraId="79307930">
            <w:pPr>
              <w:widowControl w:val="0"/>
              <w:spacing w:before="172" w:line="184" w:lineRule="auto"/>
              <w:ind w:firstLine="139"/>
              <w:rPr>
                <w:rFonts w:hint="eastAsia" w:ascii="宋体" w:hAnsi="宋体" w:eastAsia="宋体" w:cs="宋体"/>
                <w:color w:val="auto"/>
                <w:kern w:val="2"/>
                <w:sz w:val="21"/>
                <w:szCs w:val="21"/>
              </w:rPr>
            </w:pPr>
            <w:r>
              <w:rPr>
                <w:rFonts w:hint="eastAsia" w:ascii="宋体" w:hAnsi="宋体" w:eastAsia="宋体" w:cs="宋体"/>
                <w:color w:val="auto"/>
                <w:spacing w:val="-5"/>
                <w:kern w:val="2"/>
                <w:sz w:val="21"/>
                <w:szCs w:val="21"/>
              </w:rPr>
              <w:t>得分</w:t>
            </w:r>
          </w:p>
        </w:tc>
      </w:tr>
      <w:tr w14:paraId="040C8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25" w:hRule="atLeast"/>
        </w:trPr>
        <w:tc>
          <w:tcPr>
            <w:tcW w:w="776" w:type="dxa"/>
          </w:tcPr>
          <w:p w14:paraId="2D783954">
            <w:pPr>
              <w:widowControl w:val="0"/>
              <w:spacing w:before="306" w:line="312" w:lineRule="exact"/>
              <w:ind w:firstLine="186"/>
              <w:rPr>
                <w:rFonts w:hint="eastAsia" w:ascii="宋体" w:hAnsi="宋体" w:eastAsia="宋体" w:cs="宋体"/>
                <w:color w:val="auto"/>
                <w:kern w:val="2"/>
                <w:sz w:val="21"/>
                <w:szCs w:val="21"/>
              </w:rPr>
            </w:pPr>
            <w:r>
              <w:rPr>
                <w:rFonts w:hint="eastAsia" w:ascii="宋体" w:hAnsi="宋体" w:eastAsia="宋体" w:cs="宋体"/>
                <w:color w:val="auto"/>
                <w:spacing w:val="-7"/>
                <w:kern w:val="2"/>
                <w:position w:val="6"/>
                <w:sz w:val="21"/>
                <w:szCs w:val="21"/>
              </w:rPr>
              <w:t>力量</w:t>
            </w:r>
          </w:p>
          <w:p w14:paraId="15DE90B1">
            <w:pPr>
              <w:widowControl w:val="0"/>
              <w:spacing w:line="204" w:lineRule="auto"/>
              <w:ind w:firstLine="183"/>
              <w:rPr>
                <w:rFonts w:hint="eastAsia" w:ascii="宋体" w:hAnsi="宋体" w:eastAsia="宋体" w:cs="宋体"/>
                <w:color w:val="auto"/>
                <w:kern w:val="2"/>
                <w:sz w:val="21"/>
                <w:szCs w:val="21"/>
              </w:rPr>
            </w:pPr>
            <w:r>
              <w:rPr>
                <w:rFonts w:hint="eastAsia" w:ascii="宋体" w:hAnsi="宋体" w:eastAsia="宋体" w:cs="宋体"/>
                <w:color w:val="auto"/>
                <w:spacing w:val="-5"/>
                <w:kern w:val="2"/>
                <w:sz w:val="21"/>
                <w:szCs w:val="21"/>
              </w:rPr>
              <w:t>配备</w:t>
            </w:r>
          </w:p>
        </w:tc>
        <w:tc>
          <w:tcPr>
            <w:tcW w:w="4895" w:type="dxa"/>
          </w:tcPr>
          <w:p w14:paraId="0EE39AAA">
            <w:pPr>
              <w:widowControl w:val="0"/>
              <w:spacing w:before="190" w:line="239" w:lineRule="auto"/>
              <w:ind w:left="21" w:right="91" w:firstLine="13"/>
              <w:rPr>
                <w:rFonts w:hint="eastAsia" w:ascii="宋体" w:hAnsi="宋体" w:eastAsia="宋体" w:cs="宋体"/>
                <w:color w:val="auto"/>
                <w:kern w:val="2"/>
                <w:sz w:val="21"/>
                <w:szCs w:val="21"/>
              </w:rPr>
            </w:pPr>
            <w:r>
              <w:rPr>
                <w:rFonts w:hint="eastAsia" w:ascii="宋体" w:hAnsi="宋体" w:eastAsia="宋体" w:cs="宋体"/>
                <w:color w:val="auto"/>
                <w:spacing w:val="-8"/>
                <w:kern w:val="2"/>
                <w:sz w:val="21"/>
                <w:szCs w:val="21"/>
              </w:rPr>
              <w:t>1.管理人员：供应商须按投标文件承诺为本项目配</w:t>
            </w:r>
            <w:r>
              <w:rPr>
                <w:rFonts w:hint="eastAsia" w:ascii="宋体" w:hAnsi="宋体" w:eastAsia="宋体" w:cs="宋体"/>
                <w:color w:val="auto"/>
                <w:spacing w:val="-1"/>
                <w:kern w:val="2"/>
                <w:sz w:val="21"/>
                <w:szCs w:val="21"/>
              </w:rPr>
              <w:t>备足够的管理人员，现场每个点位须配备一名管理</w:t>
            </w:r>
            <w:r>
              <w:rPr>
                <w:rFonts w:hint="eastAsia" w:ascii="宋体" w:hAnsi="宋体" w:eastAsia="宋体" w:cs="宋体"/>
                <w:color w:val="auto"/>
                <w:spacing w:val="-2"/>
                <w:kern w:val="2"/>
                <w:sz w:val="21"/>
                <w:szCs w:val="21"/>
              </w:rPr>
              <w:t>人员和一名安全员。</w:t>
            </w:r>
          </w:p>
        </w:tc>
        <w:tc>
          <w:tcPr>
            <w:tcW w:w="1298" w:type="dxa"/>
          </w:tcPr>
          <w:p w14:paraId="1CAEC7DF">
            <w:pPr>
              <w:widowControl w:val="0"/>
              <w:spacing w:before="150" w:line="184" w:lineRule="auto"/>
              <w:ind w:firstLine="323"/>
              <w:rPr>
                <w:rFonts w:hint="eastAsia" w:ascii="宋体" w:hAnsi="宋体" w:eastAsia="宋体" w:cs="宋体"/>
                <w:color w:val="auto"/>
                <w:kern w:val="2"/>
                <w:sz w:val="21"/>
                <w:szCs w:val="21"/>
              </w:rPr>
            </w:pPr>
            <w:r>
              <w:rPr>
                <w:rFonts w:hint="eastAsia" w:ascii="宋体" w:hAnsi="宋体" w:eastAsia="宋体" w:cs="宋体"/>
                <w:color w:val="auto"/>
                <w:spacing w:val="-3"/>
                <w:kern w:val="2"/>
                <w:sz w:val="21"/>
                <w:szCs w:val="21"/>
              </w:rPr>
              <w:t>人员配备</w:t>
            </w:r>
          </w:p>
          <w:p w14:paraId="32080EDA">
            <w:pPr>
              <w:widowControl w:val="0"/>
              <w:spacing w:before="102" w:line="184" w:lineRule="auto"/>
              <w:ind w:firstLine="324"/>
              <w:rPr>
                <w:rFonts w:hint="eastAsia" w:ascii="宋体" w:hAnsi="宋体" w:eastAsia="宋体" w:cs="宋体"/>
                <w:color w:val="auto"/>
                <w:kern w:val="2"/>
                <w:sz w:val="21"/>
                <w:szCs w:val="21"/>
              </w:rPr>
            </w:pPr>
            <w:r>
              <w:rPr>
                <w:rFonts w:hint="eastAsia" w:ascii="宋体" w:hAnsi="宋体" w:eastAsia="宋体" w:cs="宋体"/>
                <w:color w:val="auto"/>
                <w:spacing w:val="-4"/>
                <w:kern w:val="2"/>
                <w:sz w:val="21"/>
                <w:szCs w:val="21"/>
              </w:rPr>
              <w:t>未达要求</w:t>
            </w:r>
          </w:p>
          <w:p w14:paraId="167E098A">
            <w:pPr>
              <w:widowControl w:val="0"/>
              <w:spacing w:before="102" w:line="184" w:lineRule="auto"/>
              <w:ind w:firstLine="272"/>
              <w:rPr>
                <w:rFonts w:hint="eastAsia" w:ascii="宋体" w:hAnsi="宋体" w:eastAsia="宋体" w:cs="宋体"/>
                <w:color w:val="auto"/>
                <w:kern w:val="2"/>
                <w:sz w:val="21"/>
                <w:szCs w:val="21"/>
              </w:rPr>
            </w:pPr>
            <w:r>
              <w:rPr>
                <w:rFonts w:hint="eastAsia" w:ascii="宋体" w:hAnsi="宋体" w:eastAsia="宋体" w:cs="宋体"/>
                <w:color w:val="auto"/>
                <w:spacing w:val="-10"/>
                <w:kern w:val="2"/>
                <w:sz w:val="21"/>
                <w:szCs w:val="21"/>
              </w:rPr>
              <w:t>扣</w:t>
            </w:r>
            <w:r>
              <w:rPr>
                <w:rFonts w:hint="eastAsia" w:ascii="宋体" w:hAnsi="宋体" w:eastAsia="宋体" w:cs="宋体"/>
                <w:color w:val="auto"/>
                <w:spacing w:val="-26"/>
                <w:kern w:val="2"/>
                <w:sz w:val="21"/>
                <w:szCs w:val="21"/>
              </w:rPr>
              <w:t xml:space="preserve"> </w:t>
            </w:r>
            <w:r>
              <w:rPr>
                <w:rFonts w:hint="eastAsia" w:ascii="宋体" w:hAnsi="宋体" w:eastAsia="宋体" w:cs="宋体"/>
                <w:color w:val="auto"/>
                <w:spacing w:val="-10"/>
                <w:kern w:val="2"/>
                <w:sz w:val="21"/>
                <w:szCs w:val="21"/>
              </w:rPr>
              <w:t>1</w:t>
            </w:r>
            <w:r>
              <w:rPr>
                <w:rFonts w:hint="eastAsia" w:ascii="宋体" w:hAnsi="宋体" w:eastAsia="宋体" w:cs="宋体"/>
                <w:color w:val="auto"/>
                <w:spacing w:val="-40"/>
                <w:kern w:val="2"/>
                <w:sz w:val="21"/>
                <w:szCs w:val="21"/>
              </w:rPr>
              <w:t xml:space="preserve"> </w:t>
            </w:r>
            <w:r>
              <w:rPr>
                <w:rFonts w:hint="eastAsia" w:ascii="宋体" w:hAnsi="宋体" w:eastAsia="宋体" w:cs="宋体"/>
                <w:color w:val="auto"/>
                <w:spacing w:val="-10"/>
                <w:kern w:val="2"/>
                <w:sz w:val="21"/>
                <w:szCs w:val="21"/>
              </w:rPr>
              <w:t>分/次</w:t>
            </w:r>
          </w:p>
        </w:tc>
        <w:tc>
          <w:tcPr>
            <w:tcW w:w="664" w:type="dxa"/>
          </w:tcPr>
          <w:p w14:paraId="423FF08E">
            <w:pPr>
              <w:widowControl w:val="0"/>
              <w:spacing w:line="346" w:lineRule="auto"/>
              <w:rPr>
                <w:rFonts w:hint="eastAsia" w:ascii="宋体" w:hAnsi="宋体" w:eastAsia="宋体" w:cs="宋体"/>
                <w:color w:val="auto"/>
                <w:kern w:val="2"/>
                <w:sz w:val="21"/>
                <w:szCs w:val="21"/>
              </w:rPr>
            </w:pPr>
          </w:p>
          <w:p w14:paraId="15DD40B6">
            <w:pPr>
              <w:widowControl w:val="0"/>
              <w:spacing w:before="69" w:line="184" w:lineRule="auto"/>
              <w:ind w:firstLine="159"/>
              <w:rPr>
                <w:rFonts w:hint="eastAsia" w:ascii="宋体" w:hAnsi="宋体" w:eastAsia="宋体" w:cs="宋体"/>
                <w:color w:val="auto"/>
                <w:kern w:val="2"/>
                <w:sz w:val="21"/>
                <w:szCs w:val="21"/>
              </w:rPr>
            </w:pPr>
            <w:r>
              <w:rPr>
                <w:rFonts w:hint="eastAsia" w:ascii="宋体" w:hAnsi="宋体" w:eastAsia="宋体" w:cs="宋体"/>
                <w:color w:val="auto"/>
                <w:spacing w:val="-7"/>
                <w:kern w:val="2"/>
                <w:sz w:val="21"/>
                <w:szCs w:val="21"/>
              </w:rPr>
              <w:t>5</w:t>
            </w:r>
            <w:r>
              <w:rPr>
                <w:rFonts w:hint="eastAsia" w:ascii="宋体" w:hAnsi="宋体" w:eastAsia="宋体" w:cs="宋体"/>
                <w:color w:val="auto"/>
                <w:spacing w:val="-40"/>
                <w:kern w:val="2"/>
                <w:sz w:val="21"/>
                <w:szCs w:val="21"/>
              </w:rPr>
              <w:t xml:space="preserve"> </w:t>
            </w:r>
            <w:r>
              <w:rPr>
                <w:rFonts w:hint="eastAsia" w:ascii="宋体" w:hAnsi="宋体" w:eastAsia="宋体" w:cs="宋体"/>
                <w:color w:val="auto"/>
                <w:spacing w:val="-7"/>
                <w:kern w:val="2"/>
                <w:sz w:val="21"/>
                <w:szCs w:val="21"/>
              </w:rPr>
              <w:t>分</w:t>
            </w:r>
          </w:p>
        </w:tc>
        <w:tc>
          <w:tcPr>
            <w:tcW w:w="682" w:type="dxa"/>
          </w:tcPr>
          <w:p w14:paraId="71F69582">
            <w:pPr>
              <w:widowControl w:val="0"/>
              <w:rPr>
                <w:rFonts w:hint="eastAsia" w:ascii="宋体" w:hAnsi="宋体" w:eastAsia="宋体" w:cs="宋体"/>
                <w:color w:val="auto"/>
                <w:kern w:val="2"/>
                <w:sz w:val="21"/>
                <w:szCs w:val="21"/>
              </w:rPr>
            </w:pPr>
          </w:p>
        </w:tc>
        <w:tc>
          <w:tcPr>
            <w:tcW w:w="687" w:type="dxa"/>
          </w:tcPr>
          <w:p w14:paraId="4F36AC57">
            <w:pPr>
              <w:widowControl w:val="0"/>
              <w:rPr>
                <w:rFonts w:hint="eastAsia" w:ascii="宋体" w:hAnsi="宋体" w:eastAsia="宋体" w:cs="宋体"/>
                <w:color w:val="auto"/>
                <w:kern w:val="2"/>
                <w:sz w:val="21"/>
                <w:szCs w:val="21"/>
              </w:rPr>
            </w:pPr>
          </w:p>
        </w:tc>
      </w:tr>
      <w:tr w14:paraId="7465F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56" w:hRule="atLeast"/>
        </w:trPr>
        <w:tc>
          <w:tcPr>
            <w:tcW w:w="776" w:type="dxa"/>
            <w:vMerge w:val="restart"/>
          </w:tcPr>
          <w:p w14:paraId="2B232D5A">
            <w:pPr>
              <w:widowControl w:val="0"/>
              <w:spacing w:line="252" w:lineRule="auto"/>
              <w:rPr>
                <w:rFonts w:hint="eastAsia" w:ascii="宋体" w:hAnsi="宋体" w:eastAsia="宋体" w:cs="宋体"/>
                <w:color w:val="auto"/>
                <w:kern w:val="2"/>
                <w:sz w:val="21"/>
                <w:szCs w:val="21"/>
              </w:rPr>
            </w:pPr>
          </w:p>
          <w:p w14:paraId="173CD798">
            <w:pPr>
              <w:widowControl w:val="0"/>
              <w:spacing w:line="253" w:lineRule="auto"/>
              <w:rPr>
                <w:rFonts w:hint="eastAsia" w:ascii="宋体" w:hAnsi="宋体" w:eastAsia="宋体" w:cs="宋体"/>
                <w:color w:val="auto"/>
                <w:kern w:val="2"/>
                <w:sz w:val="21"/>
                <w:szCs w:val="21"/>
              </w:rPr>
            </w:pPr>
          </w:p>
          <w:p w14:paraId="198FB59C">
            <w:pPr>
              <w:widowControl w:val="0"/>
              <w:spacing w:line="253" w:lineRule="auto"/>
              <w:rPr>
                <w:rFonts w:hint="eastAsia" w:ascii="宋体" w:hAnsi="宋体" w:eastAsia="宋体" w:cs="宋体"/>
                <w:color w:val="auto"/>
                <w:kern w:val="2"/>
                <w:sz w:val="21"/>
                <w:szCs w:val="21"/>
              </w:rPr>
            </w:pPr>
          </w:p>
          <w:p w14:paraId="59016CB0">
            <w:pPr>
              <w:widowControl w:val="0"/>
              <w:spacing w:line="253" w:lineRule="auto"/>
              <w:rPr>
                <w:rFonts w:hint="eastAsia" w:ascii="宋体" w:hAnsi="宋体" w:eastAsia="宋体" w:cs="宋体"/>
                <w:color w:val="auto"/>
                <w:kern w:val="2"/>
                <w:sz w:val="21"/>
                <w:szCs w:val="21"/>
              </w:rPr>
            </w:pPr>
          </w:p>
          <w:p w14:paraId="3BCD6C44">
            <w:pPr>
              <w:widowControl w:val="0"/>
              <w:spacing w:line="253" w:lineRule="auto"/>
              <w:rPr>
                <w:rFonts w:hint="eastAsia" w:ascii="宋体" w:hAnsi="宋体" w:eastAsia="宋体" w:cs="宋体"/>
                <w:color w:val="auto"/>
                <w:kern w:val="2"/>
                <w:sz w:val="21"/>
                <w:szCs w:val="21"/>
              </w:rPr>
            </w:pPr>
          </w:p>
          <w:p w14:paraId="1015AAEF">
            <w:pPr>
              <w:widowControl w:val="0"/>
              <w:spacing w:line="253" w:lineRule="auto"/>
              <w:rPr>
                <w:rFonts w:hint="eastAsia" w:ascii="宋体" w:hAnsi="宋体" w:eastAsia="宋体" w:cs="宋体"/>
                <w:color w:val="auto"/>
                <w:kern w:val="2"/>
                <w:sz w:val="21"/>
                <w:szCs w:val="21"/>
              </w:rPr>
            </w:pPr>
          </w:p>
          <w:p w14:paraId="48E08121">
            <w:pPr>
              <w:widowControl w:val="0"/>
              <w:spacing w:line="253" w:lineRule="auto"/>
              <w:rPr>
                <w:rFonts w:hint="eastAsia" w:ascii="宋体" w:hAnsi="宋体" w:eastAsia="宋体" w:cs="宋体"/>
                <w:color w:val="auto"/>
                <w:kern w:val="2"/>
                <w:sz w:val="21"/>
                <w:szCs w:val="21"/>
              </w:rPr>
            </w:pPr>
          </w:p>
          <w:p w14:paraId="7C84AEE6">
            <w:pPr>
              <w:widowControl w:val="0"/>
              <w:spacing w:line="253" w:lineRule="auto"/>
              <w:rPr>
                <w:rFonts w:hint="eastAsia" w:ascii="宋体" w:hAnsi="宋体" w:eastAsia="宋体" w:cs="宋体"/>
                <w:color w:val="auto"/>
                <w:kern w:val="2"/>
                <w:sz w:val="21"/>
                <w:szCs w:val="21"/>
              </w:rPr>
            </w:pPr>
          </w:p>
          <w:p w14:paraId="14B54E48">
            <w:pPr>
              <w:widowControl w:val="0"/>
              <w:spacing w:line="253" w:lineRule="auto"/>
              <w:rPr>
                <w:rFonts w:hint="eastAsia" w:ascii="宋体" w:hAnsi="宋体" w:eastAsia="宋体" w:cs="宋体"/>
                <w:color w:val="auto"/>
                <w:kern w:val="2"/>
                <w:sz w:val="21"/>
                <w:szCs w:val="21"/>
              </w:rPr>
            </w:pPr>
          </w:p>
          <w:p w14:paraId="2E8A13EC">
            <w:pPr>
              <w:widowControl w:val="0"/>
              <w:spacing w:line="253" w:lineRule="auto"/>
              <w:rPr>
                <w:rFonts w:hint="eastAsia" w:ascii="宋体" w:hAnsi="宋体" w:eastAsia="宋体" w:cs="宋体"/>
                <w:color w:val="auto"/>
                <w:kern w:val="2"/>
                <w:sz w:val="21"/>
                <w:szCs w:val="21"/>
              </w:rPr>
            </w:pPr>
          </w:p>
          <w:p w14:paraId="652D9FD1">
            <w:pPr>
              <w:widowControl w:val="0"/>
              <w:spacing w:line="253" w:lineRule="auto"/>
              <w:rPr>
                <w:rFonts w:hint="eastAsia" w:ascii="宋体" w:hAnsi="宋体" w:eastAsia="宋体" w:cs="宋体"/>
                <w:color w:val="auto"/>
                <w:kern w:val="2"/>
                <w:sz w:val="21"/>
                <w:szCs w:val="21"/>
              </w:rPr>
            </w:pPr>
          </w:p>
          <w:p w14:paraId="3BD19650">
            <w:pPr>
              <w:widowControl w:val="0"/>
              <w:spacing w:line="253" w:lineRule="auto"/>
              <w:rPr>
                <w:rFonts w:hint="eastAsia" w:ascii="宋体" w:hAnsi="宋体" w:eastAsia="宋体" w:cs="宋体"/>
                <w:color w:val="auto"/>
                <w:kern w:val="2"/>
                <w:sz w:val="21"/>
                <w:szCs w:val="21"/>
              </w:rPr>
            </w:pPr>
          </w:p>
          <w:p w14:paraId="4874CFDE">
            <w:pPr>
              <w:widowControl w:val="0"/>
              <w:spacing w:line="253" w:lineRule="auto"/>
              <w:rPr>
                <w:rFonts w:hint="eastAsia" w:ascii="宋体" w:hAnsi="宋体" w:eastAsia="宋体" w:cs="宋体"/>
                <w:color w:val="auto"/>
                <w:kern w:val="2"/>
                <w:sz w:val="21"/>
                <w:szCs w:val="21"/>
              </w:rPr>
            </w:pPr>
          </w:p>
          <w:p w14:paraId="1120896E">
            <w:pPr>
              <w:widowControl w:val="0"/>
              <w:spacing w:line="253" w:lineRule="auto"/>
              <w:rPr>
                <w:rFonts w:hint="eastAsia" w:ascii="宋体" w:hAnsi="宋体" w:eastAsia="宋体" w:cs="宋体"/>
                <w:color w:val="auto"/>
                <w:kern w:val="2"/>
                <w:sz w:val="21"/>
                <w:szCs w:val="21"/>
              </w:rPr>
            </w:pPr>
          </w:p>
          <w:p w14:paraId="02D80131">
            <w:pPr>
              <w:widowControl w:val="0"/>
              <w:spacing w:line="253" w:lineRule="auto"/>
              <w:rPr>
                <w:rFonts w:hint="eastAsia" w:ascii="宋体" w:hAnsi="宋体" w:eastAsia="宋体" w:cs="宋体"/>
                <w:color w:val="auto"/>
                <w:kern w:val="2"/>
                <w:sz w:val="21"/>
                <w:szCs w:val="21"/>
              </w:rPr>
            </w:pPr>
          </w:p>
          <w:p w14:paraId="25940C00">
            <w:pPr>
              <w:widowControl w:val="0"/>
              <w:spacing w:before="68" w:line="312" w:lineRule="exact"/>
              <w:ind w:firstLine="186"/>
              <w:rPr>
                <w:rFonts w:hint="eastAsia" w:ascii="宋体" w:hAnsi="宋体" w:eastAsia="宋体" w:cs="宋体"/>
                <w:color w:val="auto"/>
                <w:kern w:val="2"/>
                <w:sz w:val="21"/>
                <w:szCs w:val="21"/>
              </w:rPr>
            </w:pPr>
            <w:r>
              <w:rPr>
                <w:rFonts w:hint="eastAsia" w:ascii="宋体" w:hAnsi="宋体" w:eastAsia="宋体" w:cs="宋体"/>
                <w:color w:val="auto"/>
                <w:spacing w:val="-6"/>
                <w:kern w:val="2"/>
                <w:position w:val="6"/>
                <w:sz w:val="21"/>
                <w:szCs w:val="21"/>
              </w:rPr>
              <w:t>工作</w:t>
            </w:r>
          </w:p>
          <w:p w14:paraId="4D164441">
            <w:pPr>
              <w:widowControl w:val="0"/>
              <w:spacing w:line="204" w:lineRule="auto"/>
              <w:ind w:firstLine="187"/>
              <w:rPr>
                <w:rFonts w:hint="eastAsia" w:ascii="宋体" w:hAnsi="宋体" w:eastAsia="宋体" w:cs="宋体"/>
                <w:color w:val="auto"/>
                <w:kern w:val="2"/>
                <w:sz w:val="21"/>
                <w:szCs w:val="21"/>
              </w:rPr>
            </w:pPr>
            <w:r>
              <w:rPr>
                <w:rFonts w:hint="eastAsia" w:ascii="宋体" w:hAnsi="宋体" w:eastAsia="宋体" w:cs="宋体"/>
                <w:color w:val="auto"/>
                <w:spacing w:val="-7"/>
                <w:kern w:val="2"/>
                <w:sz w:val="21"/>
                <w:szCs w:val="21"/>
              </w:rPr>
              <w:t>管理</w:t>
            </w:r>
          </w:p>
        </w:tc>
        <w:tc>
          <w:tcPr>
            <w:tcW w:w="4895" w:type="dxa"/>
          </w:tcPr>
          <w:p w14:paraId="30791A8A">
            <w:pPr>
              <w:widowControl w:val="0"/>
              <w:spacing w:before="223" w:line="274" w:lineRule="auto"/>
              <w:ind w:left="24" w:hanging="2"/>
              <w:rPr>
                <w:rFonts w:hint="eastAsia" w:ascii="宋体" w:hAnsi="宋体" w:eastAsia="宋体" w:cs="宋体"/>
                <w:color w:val="auto"/>
                <w:kern w:val="2"/>
                <w:sz w:val="21"/>
                <w:szCs w:val="21"/>
              </w:rPr>
            </w:pPr>
            <w:r>
              <w:rPr>
                <w:rFonts w:hint="eastAsia" w:ascii="宋体" w:hAnsi="宋体" w:eastAsia="宋体" w:cs="宋体"/>
                <w:color w:val="auto"/>
                <w:spacing w:val="-5"/>
                <w:kern w:val="2"/>
                <w:sz w:val="21"/>
                <w:szCs w:val="21"/>
              </w:rPr>
              <w:t>2、计划申报。供应商须及时上报本季度维护情况及下</w:t>
            </w:r>
            <w:r>
              <w:rPr>
                <w:rFonts w:hint="eastAsia" w:ascii="宋体" w:hAnsi="宋体" w:eastAsia="宋体" w:cs="宋体"/>
                <w:color w:val="auto"/>
                <w:spacing w:val="-6"/>
                <w:kern w:val="2"/>
                <w:sz w:val="21"/>
                <w:szCs w:val="21"/>
              </w:rPr>
              <w:t>季度维护计划，根据甲方下达的指令单及时开展工作。</w:t>
            </w:r>
          </w:p>
        </w:tc>
        <w:tc>
          <w:tcPr>
            <w:tcW w:w="1298" w:type="dxa"/>
          </w:tcPr>
          <w:p w14:paraId="3DFF2920">
            <w:pPr>
              <w:widowControl w:val="0"/>
              <w:spacing w:before="67" w:line="184" w:lineRule="auto"/>
              <w:ind w:firstLine="321"/>
              <w:rPr>
                <w:rFonts w:hint="eastAsia" w:ascii="宋体" w:hAnsi="宋体" w:eastAsia="宋体" w:cs="宋体"/>
                <w:color w:val="auto"/>
                <w:kern w:val="2"/>
                <w:sz w:val="21"/>
                <w:szCs w:val="21"/>
              </w:rPr>
            </w:pPr>
            <w:r>
              <w:rPr>
                <w:rFonts w:hint="eastAsia" w:ascii="宋体" w:hAnsi="宋体" w:eastAsia="宋体" w:cs="宋体"/>
                <w:color w:val="auto"/>
                <w:spacing w:val="-3"/>
                <w:kern w:val="2"/>
                <w:sz w:val="21"/>
                <w:szCs w:val="21"/>
              </w:rPr>
              <w:t>计划申报</w:t>
            </w:r>
          </w:p>
          <w:p w14:paraId="322F2968">
            <w:pPr>
              <w:widowControl w:val="0"/>
              <w:spacing w:before="102" w:line="184" w:lineRule="auto"/>
              <w:ind w:firstLine="324"/>
              <w:rPr>
                <w:rFonts w:hint="eastAsia" w:ascii="宋体" w:hAnsi="宋体" w:eastAsia="宋体" w:cs="宋体"/>
                <w:color w:val="auto"/>
                <w:kern w:val="2"/>
                <w:sz w:val="21"/>
                <w:szCs w:val="21"/>
              </w:rPr>
            </w:pPr>
            <w:r>
              <w:rPr>
                <w:rFonts w:hint="eastAsia" w:ascii="宋体" w:hAnsi="宋体" w:eastAsia="宋体" w:cs="宋体"/>
                <w:color w:val="auto"/>
                <w:spacing w:val="-4"/>
                <w:kern w:val="2"/>
                <w:sz w:val="21"/>
                <w:szCs w:val="21"/>
              </w:rPr>
              <w:t>未达要求</w:t>
            </w:r>
          </w:p>
          <w:p w14:paraId="333E9707">
            <w:pPr>
              <w:widowControl w:val="0"/>
              <w:spacing w:before="102" w:line="184" w:lineRule="auto"/>
              <w:ind w:firstLine="272"/>
              <w:rPr>
                <w:rFonts w:hint="eastAsia" w:ascii="宋体" w:hAnsi="宋体" w:eastAsia="宋体" w:cs="宋体"/>
                <w:color w:val="auto"/>
                <w:kern w:val="2"/>
                <w:sz w:val="21"/>
                <w:szCs w:val="21"/>
              </w:rPr>
            </w:pPr>
            <w:r>
              <w:rPr>
                <w:rFonts w:hint="eastAsia" w:ascii="宋体" w:hAnsi="宋体" w:eastAsia="宋体" w:cs="宋体"/>
                <w:color w:val="auto"/>
                <w:spacing w:val="-7"/>
                <w:kern w:val="2"/>
                <w:sz w:val="21"/>
                <w:szCs w:val="21"/>
              </w:rPr>
              <w:t>扣</w:t>
            </w:r>
            <w:r>
              <w:rPr>
                <w:rFonts w:hint="eastAsia" w:ascii="宋体" w:hAnsi="宋体" w:eastAsia="宋体" w:cs="宋体"/>
                <w:color w:val="auto"/>
                <w:spacing w:val="-41"/>
                <w:kern w:val="2"/>
                <w:sz w:val="21"/>
                <w:szCs w:val="21"/>
              </w:rPr>
              <w:t xml:space="preserve"> </w:t>
            </w:r>
            <w:r>
              <w:rPr>
                <w:rFonts w:hint="eastAsia" w:ascii="宋体" w:hAnsi="宋体" w:eastAsia="宋体" w:cs="宋体"/>
                <w:color w:val="auto"/>
                <w:spacing w:val="-7"/>
                <w:kern w:val="2"/>
                <w:sz w:val="21"/>
                <w:szCs w:val="21"/>
              </w:rPr>
              <w:t>2</w:t>
            </w:r>
            <w:r>
              <w:rPr>
                <w:rFonts w:hint="eastAsia" w:ascii="宋体" w:hAnsi="宋体" w:eastAsia="宋体" w:cs="宋体"/>
                <w:color w:val="auto"/>
                <w:spacing w:val="-40"/>
                <w:kern w:val="2"/>
                <w:sz w:val="21"/>
                <w:szCs w:val="21"/>
              </w:rPr>
              <w:t xml:space="preserve"> </w:t>
            </w:r>
            <w:r>
              <w:rPr>
                <w:rFonts w:hint="eastAsia" w:ascii="宋体" w:hAnsi="宋体" w:eastAsia="宋体" w:cs="宋体"/>
                <w:color w:val="auto"/>
                <w:spacing w:val="-7"/>
                <w:kern w:val="2"/>
                <w:sz w:val="21"/>
                <w:szCs w:val="21"/>
              </w:rPr>
              <w:t>分/次</w:t>
            </w:r>
          </w:p>
        </w:tc>
        <w:tc>
          <w:tcPr>
            <w:tcW w:w="664" w:type="dxa"/>
          </w:tcPr>
          <w:p w14:paraId="611E36AC">
            <w:pPr>
              <w:widowControl w:val="0"/>
              <w:spacing w:line="273" w:lineRule="auto"/>
              <w:rPr>
                <w:rFonts w:hint="eastAsia" w:ascii="宋体" w:hAnsi="宋体" w:eastAsia="宋体" w:cs="宋体"/>
                <w:color w:val="auto"/>
                <w:kern w:val="2"/>
                <w:sz w:val="21"/>
                <w:szCs w:val="21"/>
              </w:rPr>
            </w:pPr>
          </w:p>
          <w:p w14:paraId="08182C5C">
            <w:pPr>
              <w:widowControl w:val="0"/>
              <w:spacing w:before="68" w:line="184" w:lineRule="auto"/>
              <w:ind w:firstLine="120"/>
              <w:rPr>
                <w:rFonts w:hint="eastAsia" w:ascii="宋体" w:hAnsi="宋体" w:eastAsia="宋体" w:cs="宋体"/>
                <w:color w:val="auto"/>
                <w:kern w:val="2"/>
                <w:sz w:val="21"/>
                <w:szCs w:val="21"/>
              </w:rPr>
            </w:pPr>
            <w:r>
              <w:rPr>
                <w:rFonts w:hint="eastAsia" w:ascii="宋体" w:hAnsi="宋体" w:eastAsia="宋体" w:cs="宋体"/>
                <w:color w:val="auto"/>
                <w:spacing w:val="-8"/>
                <w:kern w:val="2"/>
                <w:sz w:val="21"/>
                <w:szCs w:val="21"/>
              </w:rPr>
              <w:t>10</w:t>
            </w:r>
            <w:r>
              <w:rPr>
                <w:rFonts w:hint="eastAsia" w:ascii="宋体" w:hAnsi="宋体" w:eastAsia="宋体" w:cs="宋体"/>
                <w:color w:val="auto"/>
                <w:spacing w:val="-43"/>
                <w:kern w:val="2"/>
                <w:sz w:val="21"/>
                <w:szCs w:val="21"/>
              </w:rPr>
              <w:t xml:space="preserve"> </w:t>
            </w:r>
            <w:r>
              <w:rPr>
                <w:rFonts w:hint="eastAsia" w:ascii="宋体" w:hAnsi="宋体" w:eastAsia="宋体" w:cs="宋体"/>
                <w:color w:val="auto"/>
                <w:spacing w:val="-8"/>
                <w:kern w:val="2"/>
                <w:sz w:val="21"/>
                <w:szCs w:val="21"/>
              </w:rPr>
              <w:t>分</w:t>
            </w:r>
          </w:p>
        </w:tc>
        <w:tc>
          <w:tcPr>
            <w:tcW w:w="682" w:type="dxa"/>
          </w:tcPr>
          <w:p w14:paraId="5E556080">
            <w:pPr>
              <w:widowControl w:val="0"/>
              <w:rPr>
                <w:rFonts w:hint="eastAsia" w:ascii="宋体" w:hAnsi="宋体" w:eastAsia="宋体" w:cs="宋体"/>
                <w:color w:val="auto"/>
                <w:kern w:val="2"/>
                <w:sz w:val="21"/>
                <w:szCs w:val="21"/>
              </w:rPr>
            </w:pPr>
          </w:p>
        </w:tc>
        <w:tc>
          <w:tcPr>
            <w:tcW w:w="687" w:type="dxa"/>
          </w:tcPr>
          <w:p w14:paraId="4C23FF9D">
            <w:pPr>
              <w:widowControl w:val="0"/>
              <w:rPr>
                <w:rFonts w:hint="eastAsia" w:ascii="宋体" w:hAnsi="宋体" w:eastAsia="宋体" w:cs="宋体"/>
                <w:color w:val="auto"/>
                <w:kern w:val="2"/>
                <w:sz w:val="21"/>
                <w:szCs w:val="21"/>
              </w:rPr>
            </w:pPr>
          </w:p>
        </w:tc>
      </w:tr>
      <w:tr w14:paraId="67CCE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67" w:hRule="atLeast"/>
        </w:trPr>
        <w:tc>
          <w:tcPr>
            <w:tcW w:w="776" w:type="dxa"/>
            <w:vMerge w:val="continue"/>
          </w:tcPr>
          <w:p w14:paraId="16D71FA9">
            <w:pPr>
              <w:widowControl w:val="0"/>
              <w:rPr>
                <w:rFonts w:hint="eastAsia" w:ascii="宋体" w:hAnsi="宋体" w:eastAsia="宋体" w:cs="宋体"/>
                <w:color w:val="auto"/>
                <w:kern w:val="2"/>
                <w:sz w:val="21"/>
                <w:szCs w:val="21"/>
              </w:rPr>
            </w:pPr>
          </w:p>
        </w:tc>
        <w:tc>
          <w:tcPr>
            <w:tcW w:w="4895" w:type="dxa"/>
          </w:tcPr>
          <w:p w14:paraId="03CC2ECC">
            <w:pPr>
              <w:widowControl w:val="0"/>
              <w:spacing w:before="65" w:line="252" w:lineRule="auto"/>
              <w:ind w:left="21" w:right="12" w:firstLine="2"/>
              <w:rPr>
                <w:rFonts w:hint="eastAsia" w:ascii="宋体" w:hAnsi="宋体" w:eastAsia="宋体" w:cs="宋体"/>
                <w:color w:val="auto"/>
                <w:kern w:val="2"/>
                <w:sz w:val="21"/>
                <w:szCs w:val="21"/>
              </w:rPr>
            </w:pPr>
            <w:r>
              <w:rPr>
                <w:rFonts w:hint="eastAsia" w:ascii="宋体" w:hAnsi="宋体" w:eastAsia="宋体" w:cs="宋体"/>
                <w:color w:val="auto"/>
                <w:spacing w:val="-2"/>
                <w:kern w:val="2"/>
                <w:sz w:val="21"/>
                <w:szCs w:val="21"/>
              </w:rPr>
              <w:t>3、指令落实。供应商须严格按照甲方指令单或审批</w:t>
            </w:r>
            <w:r>
              <w:rPr>
                <w:rFonts w:hint="eastAsia" w:ascii="宋体" w:hAnsi="宋体" w:eastAsia="宋体" w:cs="宋体"/>
                <w:color w:val="auto"/>
                <w:spacing w:val="3"/>
                <w:kern w:val="2"/>
                <w:sz w:val="21"/>
                <w:szCs w:val="21"/>
              </w:rPr>
              <w:t>的实施方案开展工作，不得随意更改维护计划和方</w:t>
            </w:r>
            <w:r>
              <w:rPr>
                <w:rFonts w:hint="eastAsia" w:ascii="宋体" w:hAnsi="宋体" w:eastAsia="宋体" w:cs="宋体"/>
                <w:color w:val="auto"/>
                <w:spacing w:val="1"/>
                <w:kern w:val="2"/>
                <w:sz w:val="21"/>
                <w:szCs w:val="21"/>
              </w:rPr>
              <w:t xml:space="preserve"> </w:t>
            </w:r>
            <w:r>
              <w:rPr>
                <w:rFonts w:hint="eastAsia" w:ascii="宋体" w:hAnsi="宋体" w:eastAsia="宋体" w:cs="宋体"/>
                <w:color w:val="auto"/>
                <w:spacing w:val="3"/>
                <w:kern w:val="2"/>
                <w:sz w:val="21"/>
                <w:szCs w:val="21"/>
              </w:rPr>
              <w:t>案，如遇特殊情况无法按计划和方案实施的，需及</w:t>
            </w:r>
            <w:r>
              <w:rPr>
                <w:rFonts w:hint="eastAsia" w:ascii="宋体" w:hAnsi="宋体" w:eastAsia="宋体" w:cs="宋体"/>
                <w:color w:val="auto"/>
                <w:spacing w:val="-2"/>
                <w:kern w:val="2"/>
                <w:sz w:val="21"/>
                <w:szCs w:val="21"/>
              </w:rPr>
              <w:t>时向采购人反馈。</w:t>
            </w:r>
          </w:p>
        </w:tc>
        <w:tc>
          <w:tcPr>
            <w:tcW w:w="1298" w:type="dxa"/>
          </w:tcPr>
          <w:p w14:paraId="46934EDF">
            <w:pPr>
              <w:widowControl w:val="0"/>
              <w:spacing w:before="222" w:line="184" w:lineRule="auto"/>
              <w:ind w:firstLine="324"/>
              <w:rPr>
                <w:rFonts w:hint="eastAsia" w:ascii="宋体" w:hAnsi="宋体" w:eastAsia="宋体" w:cs="宋体"/>
                <w:color w:val="auto"/>
                <w:kern w:val="2"/>
                <w:sz w:val="21"/>
                <w:szCs w:val="21"/>
              </w:rPr>
            </w:pPr>
            <w:r>
              <w:rPr>
                <w:rFonts w:hint="eastAsia" w:ascii="宋体" w:hAnsi="宋体" w:eastAsia="宋体" w:cs="宋体"/>
                <w:color w:val="auto"/>
                <w:spacing w:val="-3"/>
                <w:kern w:val="2"/>
                <w:sz w:val="21"/>
                <w:szCs w:val="21"/>
              </w:rPr>
              <w:t>指令落实</w:t>
            </w:r>
          </w:p>
          <w:p w14:paraId="4F7E9BA8">
            <w:pPr>
              <w:widowControl w:val="0"/>
              <w:spacing w:before="102" w:line="184" w:lineRule="auto"/>
              <w:ind w:firstLine="324"/>
              <w:rPr>
                <w:rFonts w:hint="eastAsia" w:ascii="宋体" w:hAnsi="宋体" w:eastAsia="宋体" w:cs="宋体"/>
                <w:color w:val="auto"/>
                <w:kern w:val="2"/>
                <w:sz w:val="21"/>
                <w:szCs w:val="21"/>
              </w:rPr>
            </w:pPr>
            <w:r>
              <w:rPr>
                <w:rFonts w:hint="eastAsia" w:ascii="宋体" w:hAnsi="宋体" w:eastAsia="宋体" w:cs="宋体"/>
                <w:color w:val="auto"/>
                <w:spacing w:val="-4"/>
                <w:kern w:val="2"/>
                <w:sz w:val="21"/>
                <w:szCs w:val="21"/>
              </w:rPr>
              <w:t>未达要求</w:t>
            </w:r>
          </w:p>
          <w:p w14:paraId="656A74C6">
            <w:pPr>
              <w:widowControl w:val="0"/>
              <w:spacing w:before="102" w:line="184" w:lineRule="auto"/>
              <w:ind w:firstLine="272"/>
              <w:rPr>
                <w:rFonts w:hint="eastAsia" w:ascii="宋体" w:hAnsi="宋体" w:eastAsia="宋体" w:cs="宋体"/>
                <w:color w:val="auto"/>
                <w:kern w:val="2"/>
                <w:sz w:val="21"/>
                <w:szCs w:val="21"/>
              </w:rPr>
            </w:pPr>
            <w:r>
              <w:rPr>
                <w:rFonts w:hint="eastAsia" w:ascii="宋体" w:hAnsi="宋体" w:eastAsia="宋体" w:cs="宋体"/>
                <w:color w:val="auto"/>
                <w:spacing w:val="-7"/>
                <w:kern w:val="2"/>
                <w:sz w:val="21"/>
                <w:szCs w:val="21"/>
              </w:rPr>
              <w:t>扣</w:t>
            </w:r>
            <w:r>
              <w:rPr>
                <w:rFonts w:hint="eastAsia" w:ascii="宋体" w:hAnsi="宋体" w:eastAsia="宋体" w:cs="宋体"/>
                <w:color w:val="auto"/>
                <w:spacing w:val="-41"/>
                <w:kern w:val="2"/>
                <w:sz w:val="21"/>
                <w:szCs w:val="21"/>
              </w:rPr>
              <w:t xml:space="preserve"> </w:t>
            </w:r>
            <w:r>
              <w:rPr>
                <w:rFonts w:hint="eastAsia" w:ascii="宋体" w:hAnsi="宋体" w:eastAsia="宋体" w:cs="宋体"/>
                <w:color w:val="auto"/>
                <w:spacing w:val="-7"/>
                <w:kern w:val="2"/>
                <w:sz w:val="21"/>
                <w:szCs w:val="21"/>
              </w:rPr>
              <w:t>2</w:t>
            </w:r>
            <w:r>
              <w:rPr>
                <w:rFonts w:hint="eastAsia" w:ascii="宋体" w:hAnsi="宋体" w:eastAsia="宋体" w:cs="宋体"/>
                <w:color w:val="auto"/>
                <w:spacing w:val="-40"/>
                <w:kern w:val="2"/>
                <w:sz w:val="21"/>
                <w:szCs w:val="21"/>
              </w:rPr>
              <w:t xml:space="preserve"> </w:t>
            </w:r>
            <w:r>
              <w:rPr>
                <w:rFonts w:hint="eastAsia" w:ascii="宋体" w:hAnsi="宋体" w:eastAsia="宋体" w:cs="宋体"/>
                <w:color w:val="auto"/>
                <w:spacing w:val="-7"/>
                <w:kern w:val="2"/>
                <w:sz w:val="21"/>
                <w:szCs w:val="21"/>
              </w:rPr>
              <w:t>分/次</w:t>
            </w:r>
          </w:p>
        </w:tc>
        <w:tc>
          <w:tcPr>
            <w:tcW w:w="664" w:type="dxa"/>
          </w:tcPr>
          <w:p w14:paraId="00C283B0">
            <w:pPr>
              <w:widowControl w:val="0"/>
              <w:spacing w:line="409" w:lineRule="auto"/>
              <w:rPr>
                <w:rFonts w:hint="eastAsia" w:ascii="宋体" w:hAnsi="宋体" w:eastAsia="宋体" w:cs="宋体"/>
                <w:color w:val="auto"/>
                <w:kern w:val="2"/>
                <w:sz w:val="21"/>
                <w:szCs w:val="21"/>
              </w:rPr>
            </w:pPr>
          </w:p>
          <w:p w14:paraId="43DCC0B6">
            <w:pPr>
              <w:widowControl w:val="0"/>
              <w:spacing w:before="69" w:line="184" w:lineRule="auto"/>
              <w:ind w:firstLine="120"/>
              <w:rPr>
                <w:rFonts w:hint="eastAsia" w:ascii="宋体" w:hAnsi="宋体" w:eastAsia="宋体" w:cs="宋体"/>
                <w:color w:val="auto"/>
                <w:kern w:val="2"/>
                <w:sz w:val="21"/>
                <w:szCs w:val="21"/>
              </w:rPr>
            </w:pPr>
            <w:r>
              <w:rPr>
                <w:rFonts w:hint="eastAsia" w:ascii="宋体" w:hAnsi="宋体" w:eastAsia="宋体" w:cs="宋体"/>
                <w:color w:val="auto"/>
                <w:spacing w:val="-8"/>
                <w:kern w:val="2"/>
                <w:sz w:val="21"/>
                <w:szCs w:val="21"/>
              </w:rPr>
              <w:t>10</w:t>
            </w:r>
            <w:r>
              <w:rPr>
                <w:rFonts w:hint="eastAsia" w:ascii="宋体" w:hAnsi="宋体" w:eastAsia="宋体" w:cs="宋体"/>
                <w:color w:val="auto"/>
                <w:spacing w:val="-43"/>
                <w:kern w:val="2"/>
                <w:sz w:val="21"/>
                <w:szCs w:val="21"/>
              </w:rPr>
              <w:t xml:space="preserve"> </w:t>
            </w:r>
            <w:r>
              <w:rPr>
                <w:rFonts w:hint="eastAsia" w:ascii="宋体" w:hAnsi="宋体" w:eastAsia="宋体" w:cs="宋体"/>
                <w:color w:val="auto"/>
                <w:spacing w:val="-8"/>
                <w:kern w:val="2"/>
                <w:sz w:val="21"/>
                <w:szCs w:val="21"/>
              </w:rPr>
              <w:t>分</w:t>
            </w:r>
          </w:p>
        </w:tc>
        <w:tc>
          <w:tcPr>
            <w:tcW w:w="682" w:type="dxa"/>
          </w:tcPr>
          <w:p w14:paraId="394BAA51">
            <w:pPr>
              <w:widowControl w:val="0"/>
              <w:rPr>
                <w:rFonts w:hint="eastAsia" w:ascii="宋体" w:hAnsi="宋体" w:eastAsia="宋体" w:cs="宋体"/>
                <w:color w:val="auto"/>
                <w:kern w:val="2"/>
                <w:sz w:val="21"/>
                <w:szCs w:val="21"/>
              </w:rPr>
            </w:pPr>
          </w:p>
        </w:tc>
        <w:tc>
          <w:tcPr>
            <w:tcW w:w="687" w:type="dxa"/>
          </w:tcPr>
          <w:p w14:paraId="07EB5425">
            <w:pPr>
              <w:widowControl w:val="0"/>
              <w:rPr>
                <w:rFonts w:hint="eastAsia" w:ascii="宋体" w:hAnsi="宋体" w:eastAsia="宋体" w:cs="宋体"/>
                <w:color w:val="auto"/>
                <w:kern w:val="2"/>
                <w:sz w:val="21"/>
                <w:szCs w:val="21"/>
              </w:rPr>
            </w:pPr>
          </w:p>
        </w:tc>
      </w:tr>
      <w:tr w14:paraId="77F39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35" w:hRule="atLeast"/>
        </w:trPr>
        <w:tc>
          <w:tcPr>
            <w:tcW w:w="776" w:type="dxa"/>
            <w:vMerge w:val="continue"/>
          </w:tcPr>
          <w:p w14:paraId="45EB732A">
            <w:pPr>
              <w:widowControl w:val="0"/>
              <w:rPr>
                <w:rFonts w:hint="eastAsia" w:ascii="宋体" w:hAnsi="宋体" w:eastAsia="宋体" w:cs="宋体"/>
                <w:color w:val="auto"/>
                <w:kern w:val="2"/>
                <w:sz w:val="21"/>
                <w:szCs w:val="21"/>
              </w:rPr>
            </w:pPr>
          </w:p>
        </w:tc>
        <w:tc>
          <w:tcPr>
            <w:tcW w:w="4895" w:type="dxa"/>
          </w:tcPr>
          <w:p w14:paraId="4D93CDDB">
            <w:pPr>
              <w:widowControl w:val="0"/>
              <w:spacing w:before="263" w:line="274" w:lineRule="auto"/>
              <w:ind w:left="19" w:hanging="1"/>
              <w:rPr>
                <w:rFonts w:hint="eastAsia" w:ascii="宋体" w:hAnsi="宋体" w:eastAsia="宋体" w:cs="宋体"/>
                <w:color w:val="auto"/>
                <w:kern w:val="2"/>
                <w:sz w:val="21"/>
                <w:szCs w:val="21"/>
              </w:rPr>
            </w:pPr>
            <w:r>
              <w:rPr>
                <w:rFonts w:hint="eastAsia" w:ascii="宋体" w:hAnsi="宋体" w:eastAsia="宋体" w:cs="宋体"/>
                <w:color w:val="auto"/>
                <w:spacing w:val="-10"/>
                <w:kern w:val="2"/>
                <w:sz w:val="21"/>
                <w:szCs w:val="21"/>
              </w:rPr>
              <w:t>4、质量达标。供应商的所有维护质量必须满足规范、</w:t>
            </w:r>
            <w:r>
              <w:rPr>
                <w:rFonts w:hint="eastAsia" w:ascii="宋体" w:hAnsi="宋体" w:eastAsia="宋体" w:cs="宋体"/>
                <w:color w:val="auto"/>
                <w:spacing w:val="-4"/>
                <w:kern w:val="2"/>
                <w:sz w:val="21"/>
                <w:szCs w:val="21"/>
              </w:rPr>
              <w:t>合同、清单要求。</w:t>
            </w:r>
          </w:p>
        </w:tc>
        <w:tc>
          <w:tcPr>
            <w:tcW w:w="1298" w:type="dxa"/>
          </w:tcPr>
          <w:p w14:paraId="01EEB6B5">
            <w:pPr>
              <w:widowControl w:val="0"/>
              <w:spacing w:before="107" w:line="184" w:lineRule="auto"/>
              <w:ind w:firstLine="531"/>
              <w:rPr>
                <w:rFonts w:hint="eastAsia" w:ascii="宋体" w:hAnsi="宋体" w:eastAsia="宋体" w:cs="宋体"/>
                <w:color w:val="auto"/>
                <w:kern w:val="2"/>
                <w:sz w:val="21"/>
                <w:szCs w:val="21"/>
              </w:rPr>
            </w:pPr>
            <w:r>
              <w:rPr>
                <w:rFonts w:hint="eastAsia" w:ascii="宋体" w:hAnsi="宋体" w:eastAsia="宋体" w:cs="宋体"/>
                <w:color w:val="auto"/>
                <w:spacing w:val="-5"/>
                <w:kern w:val="2"/>
                <w:sz w:val="21"/>
                <w:szCs w:val="21"/>
              </w:rPr>
              <w:t>质量</w:t>
            </w:r>
          </w:p>
          <w:p w14:paraId="44B81543">
            <w:pPr>
              <w:widowControl w:val="0"/>
              <w:spacing w:before="102" w:line="184" w:lineRule="auto"/>
              <w:ind w:firstLine="324"/>
              <w:rPr>
                <w:rFonts w:hint="eastAsia" w:ascii="宋体" w:hAnsi="宋体" w:eastAsia="宋体" w:cs="宋体"/>
                <w:color w:val="auto"/>
                <w:kern w:val="2"/>
                <w:sz w:val="21"/>
                <w:szCs w:val="21"/>
              </w:rPr>
            </w:pPr>
            <w:r>
              <w:rPr>
                <w:rFonts w:hint="eastAsia" w:ascii="宋体" w:hAnsi="宋体" w:eastAsia="宋体" w:cs="宋体"/>
                <w:color w:val="auto"/>
                <w:spacing w:val="-4"/>
                <w:kern w:val="2"/>
                <w:sz w:val="21"/>
                <w:szCs w:val="21"/>
              </w:rPr>
              <w:t>未达要求</w:t>
            </w:r>
          </w:p>
          <w:p w14:paraId="69EA6932">
            <w:pPr>
              <w:widowControl w:val="0"/>
              <w:spacing w:before="102" w:line="184" w:lineRule="auto"/>
              <w:ind w:firstLine="272"/>
              <w:rPr>
                <w:rFonts w:hint="eastAsia" w:ascii="宋体" w:hAnsi="宋体" w:eastAsia="宋体" w:cs="宋体"/>
                <w:color w:val="auto"/>
                <w:kern w:val="2"/>
                <w:sz w:val="21"/>
                <w:szCs w:val="21"/>
              </w:rPr>
            </w:pPr>
            <w:r>
              <w:rPr>
                <w:rFonts w:hint="eastAsia" w:ascii="宋体" w:hAnsi="宋体" w:eastAsia="宋体" w:cs="宋体"/>
                <w:color w:val="auto"/>
                <w:spacing w:val="-10"/>
                <w:kern w:val="2"/>
                <w:sz w:val="21"/>
                <w:szCs w:val="21"/>
              </w:rPr>
              <w:t>扣</w:t>
            </w:r>
            <w:r>
              <w:rPr>
                <w:rFonts w:hint="eastAsia" w:ascii="宋体" w:hAnsi="宋体" w:eastAsia="宋体" w:cs="宋体"/>
                <w:color w:val="auto"/>
                <w:spacing w:val="-26"/>
                <w:kern w:val="2"/>
                <w:sz w:val="21"/>
                <w:szCs w:val="21"/>
              </w:rPr>
              <w:t xml:space="preserve"> </w:t>
            </w:r>
            <w:r>
              <w:rPr>
                <w:rFonts w:hint="eastAsia" w:ascii="宋体" w:hAnsi="宋体" w:eastAsia="宋体" w:cs="宋体"/>
                <w:color w:val="auto"/>
                <w:spacing w:val="-10"/>
                <w:kern w:val="2"/>
                <w:sz w:val="21"/>
                <w:szCs w:val="21"/>
              </w:rPr>
              <w:t>1</w:t>
            </w:r>
            <w:r>
              <w:rPr>
                <w:rFonts w:hint="eastAsia" w:ascii="宋体" w:hAnsi="宋体" w:eastAsia="宋体" w:cs="宋体"/>
                <w:color w:val="auto"/>
                <w:spacing w:val="-40"/>
                <w:kern w:val="2"/>
                <w:sz w:val="21"/>
                <w:szCs w:val="21"/>
              </w:rPr>
              <w:t xml:space="preserve"> </w:t>
            </w:r>
            <w:r>
              <w:rPr>
                <w:rFonts w:hint="eastAsia" w:ascii="宋体" w:hAnsi="宋体" w:eastAsia="宋体" w:cs="宋体"/>
                <w:color w:val="auto"/>
                <w:spacing w:val="-10"/>
                <w:kern w:val="2"/>
                <w:sz w:val="21"/>
                <w:szCs w:val="21"/>
              </w:rPr>
              <w:t>分/处</w:t>
            </w:r>
          </w:p>
        </w:tc>
        <w:tc>
          <w:tcPr>
            <w:tcW w:w="664" w:type="dxa"/>
          </w:tcPr>
          <w:p w14:paraId="00654B05">
            <w:pPr>
              <w:widowControl w:val="0"/>
              <w:spacing w:line="308" w:lineRule="auto"/>
              <w:rPr>
                <w:rFonts w:hint="eastAsia" w:ascii="宋体" w:hAnsi="宋体" w:eastAsia="宋体" w:cs="宋体"/>
                <w:color w:val="auto"/>
                <w:kern w:val="2"/>
                <w:sz w:val="21"/>
                <w:szCs w:val="21"/>
              </w:rPr>
            </w:pPr>
          </w:p>
          <w:p w14:paraId="725D8A65">
            <w:pPr>
              <w:widowControl w:val="0"/>
              <w:spacing w:before="68" w:line="184" w:lineRule="auto"/>
              <w:ind w:firstLine="159"/>
              <w:rPr>
                <w:rFonts w:hint="eastAsia" w:ascii="宋体" w:hAnsi="宋体" w:eastAsia="宋体" w:cs="宋体"/>
                <w:color w:val="auto"/>
                <w:kern w:val="2"/>
                <w:sz w:val="21"/>
                <w:szCs w:val="21"/>
              </w:rPr>
            </w:pPr>
            <w:r>
              <w:rPr>
                <w:rFonts w:hint="eastAsia" w:ascii="宋体" w:hAnsi="宋体" w:eastAsia="宋体" w:cs="宋体"/>
                <w:color w:val="auto"/>
                <w:spacing w:val="-7"/>
                <w:kern w:val="2"/>
                <w:sz w:val="21"/>
                <w:szCs w:val="21"/>
              </w:rPr>
              <w:t>5</w:t>
            </w:r>
            <w:r>
              <w:rPr>
                <w:rFonts w:hint="eastAsia" w:ascii="宋体" w:hAnsi="宋体" w:eastAsia="宋体" w:cs="宋体"/>
                <w:color w:val="auto"/>
                <w:spacing w:val="-40"/>
                <w:kern w:val="2"/>
                <w:sz w:val="21"/>
                <w:szCs w:val="21"/>
              </w:rPr>
              <w:t xml:space="preserve"> </w:t>
            </w:r>
            <w:r>
              <w:rPr>
                <w:rFonts w:hint="eastAsia" w:ascii="宋体" w:hAnsi="宋体" w:eastAsia="宋体" w:cs="宋体"/>
                <w:color w:val="auto"/>
                <w:spacing w:val="-7"/>
                <w:kern w:val="2"/>
                <w:sz w:val="21"/>
                <w:szCs w:val="21"/>
              </w:rPr>
              <w:t>分</w:t>
            </w:r>
          </w:p>
        </w:tc>
        <w:tc>
          <w:tcPr>
            <w:tcW w:w="682" w:type="dxa"/>
          </w:tcPr>
          <w:p w14:paraId="31DE3D88">
            <w:pPr>
              <w:widowControl w:val="0"/>
              <w:rPr>
                <w:rFonts w:hint="eastAsia" w:ascii="宋体" w:hAnsi="宋体" w:eastAsia="宋体" w:cs="宋体"/>
                <w:color w:val="auto"/>
                <w:kern w:val="2"/>
                <w:sz w:val="21"/>
                <w:szCs w:val="21"/>
              </w:rPr>
            </w:pPr>
          </w:p>
        </w:tc>
        <w:tc>
          <w:tcPr>
            <w:tcW w:w="687" w:type="dxa"/>
          </w:tcPr>
          <w:p w14:paraId="73691580">
            <w:pPr>
              <w:widowControl w:val="0"/>
              <w:rPr>
                <w:rFonts w:hint="eastAsia" w:ascii="宋体" w:hAnsi="宋体" w:eastAsia="宋体" w:cs="宋体"/>
                <w:color w:val="auto"/>
                <w:kern w:val="2"/>
                <w:sz w:val="21"/>
                <w:szCs w:val="21"/>
              </w:rPr>
            </w:pPr>
          </w:p>
        </w:tc>
      </w:tr>
      <w:tr w14:paraId="6619F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67" w:hRule="atLeast"/>
        </w:trPr>
        <w:tc>
          <w:tcPr>
            <w:tcW w:w="776" w:type="dxa"/>
            <w:vMerge w:val="continue"/>
          </w:tcPr>
          <w:p w14:paraId="75A6B249">
            <w:pPr>
              <w:widowControl w:val="0"/>
              <w:rPr>
                <w:rFonts w:hint="eastAsia" w:ascii="宋体" w:hAnsi="宋体" w:eastAsia="宋体" w:cs="宋体"/>
                <w:color w:val="auto"/>
                <w:kern w:val="2"/>
                <w:sz w:val="21"/>
                <w:szCs w:val="21"/>
              </w:rPr>
            </w:pPr>
          </w:p>
        </w:tc>
        <w:tc>
          <w:tcPr>
            <w:tcW w:w="4895" w:type="dxa"/>
          </w:tcPr>
          <w:p w14:paraId="72A27C79">
            <w:pPr>
              <w:widowControl w:val="0"/>
              <w:spacing w:before="66" w:line="252" w:lineRule="auto"/>
              <w:ind w:left="19" w:right="10" w:firstLine="4"/>
              <w:rPr>
                <w:rFonts w:hint="eastAsia" w:ascii="宋体" w:hAnsi="宋体" w:eastAsia="宋体" w:cs="宋体"/>
                <w:color w:val="auto"/>
                <w:kern w:val="2"/>
                <w:sz w:val="21"/>
                <w:szCs w:val="21"/>
              </w:rPr>
            </w:pPr>
            <w:r>
              <w:rPr>
                <w:rFonts w:hint="eastAsia" w:ascii="宋体" w:hAnsi="宋体" w:eastAsia="宋体" w:cs="宋体"/>
                <w:color w:val="auto"/>
                <w:spacing w:val="-2"/>
                <w:kern w:val="2"/>
                <w:sz w:val="21"/>
                <w:szCs w:val="21"/>
              </w:rPr>
              <w:t>5、应急响应。遇突发情况，供应商须在接到通知后</w:t>
            </w:r>
            <w:r>
              <w:rPr>
                <w:rFonts w:hint="eastAsia" w:ascii="宋体" w:hAnsi="宋体" w:eastAsia="宋体" w:cs="宋体"/>
                <w:color w:val="auto"/>
                <w:spacing w:val="1"/>
                <w:kern w:val="2"/>
                <w:sz w:val="21"/>
                <w:szCs w:val="21"/>
              </w:rPr>
              <w:t>半小时内赶到现场，零星问题</w:t>
            </w:r>
            <w:r>
              <w:rPr>
                <w:rFonts w:hint="eastAsia" w:ascii="宋体" w:hAnsi="宋体" w:eastAsia="宋体" w:cs="宋体"/>
                <w:color w:val="auto"/>
                <w:spacing w:val="-21"/>
                <w:kern w:val="2"/>
                <w:sz w:val="21"/>
                <w:szCs w:val="21"/>
              </w:rPr>
              <w:t xml:space="preserve"> </w:t>
            </w:r>
            <w:r>
              <w:rPr>
                <w:rFonts w:hint="eastAsia" w:ascii="宋体" w:hAnsi="宋体" w:eastAsia="宋体" w:cs="宋体"/>
                <w:color w:val="auto"/>
                <w:spacing w:val="1"/>
                <w:kern w:val="2"/>
                <w:sz w:val="21"/>
                <w:szCs w:val="21"/>
              </w:rPr>
              <w:t>2</w:t>
            </w:r>
            <w:r>
              <w:rPr>
                <w:rFonts w:hint="eastAsia" w:ascii="宋体" w:hAnsi="宋体" w:eastAsia="宋体" w:cs="宋体"/>
                <w:color w:val="auto"/>
                <w:spacing w:val="-35"/>
                <w:kern w:val="2"/>
                <w:sz w:val="21"/>
                <w:szCs w:val="21"/>
              </w:rPr>
              <w:t xml:space="preserve"> </w:t>
            </w:r>
            <w:r>
              <w:rPr>
                <w:rFonts w:hint="eastAsia" w:ascii="宋体" w:hAnsi="宋体" w:eastAsia="宋体" w:cs="宋体"/>
                <w:color w:val="auto"/>
                <w:spacing w:val="1"/>
                <w:kern w:val="2"/>
                <w:sz w:val="21"/>
                <w:szCs w:val="21"/>
              </w:rPr>
              <w:t>小时内处理完毕，</w:t>
            </w:r>
            <w:r>
              <w:rPr>
                <w:rFonts w:hint="eastAsia" w:ascii="宋体" w:hAnsi="宋体" w:eastAsia="宋体" w:cs="宋体"/>
                <w:color w:val="auto"/>
                <w:spacing w:val="3"/>
                <w:kern w:val="2"/>
                <w:sz w:val="21"/>
                <w:szCs w:val="21"/>
              </w:rPr>
              <w:t>重大问题无法立即处理的，需及时编制工作方案和</w:t>
            </w:r>
            <w:r>
              <w:rPr>
                <w:rFonts w:hint="eastAsia" w:ascii="宋体" w:hAnsi="宋体" w:eastAsia="宋体" w:cs="宋体"/>
                <w:color w:val="auto"/>
                <w:spacing w:val="-1"/>
                <w:kern w:val="2"/>
                <w:sz w:val="21"/>
                <w:szCs w:val="21"/>
              </w:rPr>
              <w:t>计划上报给采购人。</w:t>
            </w:r>
          </w:p>
        </w:tc>
        <w:tc>
          <w:tcPr>
            <w:tcW w:w="1298" w:type="dxa"/>
          </w:tcPr>
          <w:p w14:paraId="01FCE552">
            <w:pPr>
              <w:widowControl w:val="0"/>
              <w:spacing w:before="223" w:line="184" w:lineRule="auto"/>
              <w:ind w:firstLine="321"/>
              <w:rPr>
                <w:rFonts w:hint="eastAsia" w:ascii="宋体" w:hAnsi="宋体" w:eastAsia="宋体" w:cs="宋体"/>
                <w:color w:val="auto"/>
                <w:kern w:val="2"/>
                <w:sz w:val="21"/>
                <w:szCs w:val="21"/>
              </w:rPr>
            </w:pPr>
            <w:r>
              <w:rPr>
                <w:rFonts w:hint="eastAsia" w:ascii="宋体" w:hAnsi="宋体" w:eastAsia="宋体" w:cs="宋体"/>
                <w:color w:val="auto"/>
                <w:spacing w:val="-3"/>
                <w:kern w:val="2"/>
                <w:sz w:val="21"/>
                <w:szCs w:val="21"/>
              </w:rPr>
              <w:t>应急响应</w:t>
            </w:r>
          </w:p>
          <w:p w14:paraId="604CF359">
            <w:pPr>
              <w:widowControl w:val="0"/>
              <w:spacing w:before="102" w:line="184" w:lineRule="auto"/>
              <w:ind w:firstLine="324"/>
              <w:rPr>
                <w:rFonts w:hint="eastAsia" w:ascii="宋体" w:hAnsi="宋体" w:eastAsia="宋体" w:cs="宋体"/>
                <w:color w:val="auto"/>
                <w:kern w:val="2"/>
                <w:sz w:val="21"/>
                <w:szCs w:val="21"/>
              </w:rPr>
            </w:pPr>
            <w:r>
              <w:rPr>
                <w:rFonts w:hint="eastAsia" w:ascii="宋体" w:hAnsi="宋体" w:eastAsia="宋体" w:cs="宋体"/>
                <w:color w:val="auto"/>
                <w:spacing w:val="-4"/>
                <w:kern w:val="2"/>
                <w:sz w:val="21"/>
                <w:szCs w:val="21"/>
              </w:rPr>
              <w:t>未达要求</w:t>
            </w:r>
          </w:p>
          <w:p w14:paraId="4510491F">
            <w:pPr>
              <w:widowControl w:val="0"/>
              <w:spacing w:before="102" w:line="184" w:lineRule="auto"/>
              <w:ind w:firstLine="272"/>
              <w:rPr>
                <w:rFonts w:hint="eastAsia" w:ascii="宋体" w:hAnsi="宋体" w:eastAsia="宋体" w:cs="宋体"/>
                <w:color w:val="auto"/>
                <w:kern w:val="2"/>
                <w:sz w:val="21"/>
                <w:szCs w:val="21"/>
              </w:rPr>
            </w:pPr>
            <w:r>
              <w:rPr>
                <w:rFonts w:hint="eastAsia" w:ascii="宋体" w:hAnsi="宋体" w:eastAsia="宋体" w:cs="宋体"/>
                <w:color w:val="auto"/>
                <w:spacing w:val="-10"/>
                <w:kern w:val="2"/>
                <w:sz w:val="21"/>
                <w:szCs w:val="21"/>
              </w:rPr>
              <w:t>扣</w:t>
            </w:r>
            <w:r>
              <w:rPr>
                <w:rFonts w:hint="eastAsia" w:ascii="宋体" w:hAnsi="宋体" w:eastAsia="宋体" w:cs="宋体"/>
                <w:color w:val="auto"/>
                <w:spacing w:val="-26"/>
                <w:kern w:val="2"/>
                <w:sz w:val="21"/>
                <w:szCs w:val="21"/>
              </w:rPr>
              <w:t xml:space="preserve"> </w:t>
            </w:r>
            <w:r>
              <w:rPr>
                <w:rFonts w:hint="eastAsia" w:ascii="宋体" w:hAnsi="宋体" w:eastAsia="宋体" w:cs="宋体"/>
                <w:color w:val="auto"/>
                <w:spacing w:val="-10"/>
                <w:kern w:val="2"/>
                <w:sz w:val="21"/>
                <w:szCs w:val="21"/>
              </w:rPr>
              <w:t>1</w:t>
            </w:r>
            <w:r>
              <w:rPr>
                <w:rFonts w:hint="eastAsia" w:ascii="宋体" w:hAnsi="宋体" w:eastAsia="宋体" w:cs="宋体"/>
                <w:color w:val="auto"/>
                <w:spacing w:val="-40"/>
                <w:kern w:val="2"/>
                <w:sz w:val="21"/>
                <w:szCs w:val="21"/>
              </w:rPr>
              <w:t xml:space="preserve"> </w:t>
            </w:r>
            <w:r>
              <w:rPr>
                <w:rFonts w:hint="eastAsia" w:ascii="宋体" w:hAnsi="宋体" w:eastAsia="宋体" w:cs="宋体"/>
                <w:color w:val="auto"/>
                <w:spacing w:val="-10"/>
                <w:kern w:val="2"/>
                <w:sz w:val="21"/>
                <w:szCs w:val="21"/>
              </w:rPr>
              <w:t>分/次</w:t>
            </w:r>
          </w:p>
        </w:tc>
        <w:tc>
          <w:tcPr>
            <w:tcW w:w="664" w:type="dxa"/>
          </w:tcPr>
          <w:p w14:paraId="2459FA10">
            <w:pPr>
              <w:widowControl w:val="0"/>
              <w:spacing w:line="411" w:lineRule="auto"/>
              <w:rPr>
                <w:rFonts w:hint="eastAsia" w:ascii="宋体" w:hAnsi="宋体" w:eastAsia="宋体" w:cs="宋体"/>
                <w:color w:val="auto"/>
                <w:kern w:val="2"/>
                <w:sz w:val="21"/>
                <w:szCs w:val="21"/>
              </w:rPr>
            </w:pPr>
          </w:p>
          <w:p w14:paraId="7A777A2A">
            <w:pPr>
              <w:widowControl w:val="0"/>
              <w:spacing w:before="68" w:line="184" w:lineRule="auto"/>
              <w:ind w:firstLine="159"/>
              <w:rPr>
                <w:rFonts w:hint="eastAsia" w:ascii="宋体" w:hAnsi="宋体" w:eastAsia="宋体" w:cs="宋体"/>
                <w:color w:val="auto"/>
                <w:kern w:val="2"/>
                <w:sz w:val="21"/>
                <w:szCs w:val="21"/>
              </w:rPr>
            </w:pPr>
            <w:r>
              <w:rPr>
                <w:rFonts w:hint="eastAsia" w:ascii="宋体" w:hAnsi="宋体" w:eastAsia="宋体" w:cs="宋体"/>
                <w:color w:val="auto"/>
                <w:spacing w:val="-7"/>
                <w:kern w:val="2"/>
                <w:sz w:val="21"/>
                <w:szCs w:val="21"/>
              </w:rPr>
              <w:t>5</w:t>
            </w:r>
            <w:r>
              <w:rPr>
                <w:rFonts w:hint="eastAsia" w:ascii="宋体" w:hAnsi="宋体" w:eastAsia="宋体" w:cs="宋体"/>
                <w:color w:val="auto"/>
                <w:spacing w:val="-40"/>
                <w:kern w:val="2"/>
                <w:sz w:val="21"/>
                <w:szCs w:val="21"/>
              </w:rPr>
              <w:t xml:space="preserve"> </w:t>
            </w:r>
            <w:r>
              <w:rPr>
                <w:rFonts w:hint="eastAsia" w:ascii="宋体" w:hAnsi="宋体" w:eastAsia="宋体" w:cs="宋体"/>
                <w:color w:val="auto"/>
                <w:spacing w:val="-7"/>
                <w:kern w:val="2"/>
                <w:sz w:val="21"/>
                <w:szCs w:val="21"/>
              </w:rPr>
              <w:t>分</w:t>
            </w:r>
          </w:p>
        </w:tc>
        <w:tc>
          <w:tcPr>
            <w:tcW w:w="682" w:type="dxa"/>
          </w:tcPr>
          <w:p w14:paraId="15801973">
            <w:pPr>
              <w:widowControl w:val="0"/>
              <w:rPr>
                <w:rFonts w:hint="eastAsia" w:ascii="宋体" w:hAnsi="宋体" w:eastAsia="宋体" w:cs="宋体"/>
                <w:color w:val="auto"/>
                <w:kern w:val="2"/>
                <w:sz w:val="21"/>
                <w:szCs w:val="21"/>
              </w:rPr>
            </w:pPr>
          </w:p>
        </w:tc>
        <w:tc>
          <w:tcPr>
            <w:tcW w:w="687" w:type="dxa"/>
          </w:tcPr>
          <w:p w14:paraId="0536567B">
            <w:pPr>
              <w:widowControl w:val="0"/>
              <w:rPr>
                <w:rFonts w:hint="eastAsia" w:ascii="宋体" w:hAnsi="宋体" w:eastAsia="宋体" w:cs="宋体"/>
                <w:color w:val="auto"/>
                <w:kern w:val="2"/>
                <w:sz w:val="21"/>
                <w:szCs w:val="21"/>
              </w:rPr>
            </w:pPr>
          </w:p>
        </w:tc>
      </w:tr>
      <w:tr w14:paraId="1B777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56" w:hRule="atLeast"/>
        </w:trPr>
        <w:tc>
          <w:tcPr>
            <w:tcW w:w="776" w:type="dxa"/>
            <w:vMerge w:val="continue"/>
          </w:tcPr>
          <w:p w14:paraId="32BAAA0A">
            <w:pPr>
              <w:widowControl w:val="0"/>
              <w:rPr>
                <w:rFonts w:hint="eastAsia" w:ascii="宋体" w:hAnsi="宋体" w:eastAsia="宋体" w:cs="宋体"/>
                <w:color w:val="auto"/>
                <w:kern w:val="2"/>
                <w:sz w:val="21"/>
                <w:szCs w:val="21"/>
              </w:rPr>
            </w:pPr>
          </w:p>
        </w:tc>
        <w:tc>
          <w:tcPr>
            <w:tcW w:w="4895" w:type="dxa"/>
          </w:tcPr>
          <w:p w14:paraId="26E425F0">
            <w:pPr>
              <w:widowControl w:val="0"/>
              <w:spacing w:before="241" w:line="241" w:lineRule="auto"/>
              <w:ind w:left="24" w:right="12" w:hanging="3"/>
              <w:rPr>
                <w:rFonts w:hint="eastAsia" w:ascii="宋体" w:hAnsi="宋体" w:eastAsia="宋体" w:cs="宋体"/>
                <w:color w:val="auto"/>
                <w:kern w:val="2"/>
                <w:sz w:val="21"/>
                <w:szCs w:val="21"/>
              </w:rPr>
            </w:pPr>
            <w:r>
              <w:rPr>
                <w:rFonts w:hint="eastAsia" w:ascii="宋体" w:hAnsi="宋体" w:eastAsia="宋体" w:cs="宋体"/>
                <w:color w:val="auto"/>
                <w:spacing w:val="-2"/>
                <w:kern w:val="2"/>
                <w:sz w:val="21"/>
                <w:szCs w:val="21"/>
              </w:rPr>
              <w:t>6、安全教育。供应商须确保做好项目各类安全生产</w:t>
            </w:r>
            <w:r>
              <w:rPr>
                <w:rFonts w:hint="eastAsia" w:ascii="宋体" w:hAnsi="宋体" w:eastAsia="宋体" w:cs="宋体"/>
                <w:color w:val="auto"/>
                <w:spacing w:val="-6"/>
                <w:kern w:val="2"/>
                <w:sz w:val="21"/>
                <w:szCs w:val="21"/>
              </w:rPr>
              <w:t>教育和会议，并保留记录和影像资料。</w:t>
            </w:r>
          </w:p>
        </w:tc>
        <w:tc>
          <w:tcPr>
            <w:tcW w:w="1298" w:type="dxa"/>
          </w:tcPr>
          <w:p w14:paraId="33D47833">
            <w:pPr>
              <w:widowControl w:val="0"/>
              <w:spacing w:before="67" w:line="184" w:lineRule="auto"/>
              <w:ind w:firstLine="325"/>
              <w:rPr>
                <w:rFonts w:hint="eastAsia" w:ascii="宋体" w:hAnsi="宋体" w:eastAsia="宋体" w:cs="宋体"/>
                <w:color w:val="auto"/>
                <w:kern w:val="2"/>
                <w:sz w:val="21"/>
                <w:szCs w:val="21"/>
              </w:rPr>
            </w:pPr>
            <w:r>
              <w:rPr>
                <w:rFonts w:hint="eastAsia" w:ascii="宋体" w:hAnsi="宋体" w:eastAsia="宋体" w:cs="宋体"/>
                <w:color w:val="auto"/>
                <w:spacing w:val="-4"/>
                <w:kern w:val="2"/>
                <w:sz w:val="21"/>
                <w:szCs w:val="21"/>
              </w:rPr>
              <w:t>安全教育</w:t>
            </w:r>
          </w:p>
          <w:p w14:paraId="413CD394">
            <w:pPr>
              <w:widowControl w:val="0"/>
              <w:spacing w:before="102" w:line="184" w:lineRule="auto"/>
              <w:ind w:firstLine="324"/>
              <w:rPr>
                <w:rFonts w:hint="eastAsia" w:ascii="宋体" w:hAnsi="宋体" w:eastAsia="宋体" w:cs="宋体"/>
                <w:color w:val="auto"/>
                <w:kern w:val="2"/>
                <w:sz w:val="21"/>
                <w:szCs w:val="21"/>
              </w:rPr>
            </w:pPr>
            <w:r>
              <w:rPr>
                <w:rFonts w:hint="eastAsia" w:ascii="宋体" w:hAnsi="宋体" w:eastAsia="宋体" w:cs="宋体"/>
                <w:color w:val="auto"/>
                <w:spacing w:val="-4"/>
                <w:kern w:val="2"/>
                <w:sz w:val="21"/>
                <w:szCs w:val="21"/>
              </w:rPr>
              <w:t>未达要求</w:t>
            </w:r>
          </w:p>
          <w:p w14:paraId="551B9A83">
            <w:pPr>
              <w:widowControl w:val="0"/>
              <w:spacing w:before="102" w:line="184" w:lineRule="auto"/>
              <w:ind w:firstLine="272"/>
              <w:rPr>
                <w:rFonts w:hint="eastAsia" w:ascii="宋体" w:hAnsi="宋体" w:eastAsia="宋体" w:cs="宋体"/>
                <w:color w:val="auto"/>
                <w:kern w:val="2"/>
                <w:sz w:val="21"/>
                <w:szCs w:val="21"/>
              </w:rPr>
            </w:pPr>
            <w:r>
              <w:rPr>
                <w:rFonts w:hint="eastAsia" w:ascii="宋体" w:hAnsi="宋体" w:eastAsia="宋体" w:cs="宋体"/>
                <w:color w:val="auto"/>
                <w:spacing w:val="-10"/>
                <w:kern w:val="2"/>
                <w:sz w:val="21"/>
                <w:szCs w:val="21"/>
              </w:rPr>
              <w:t>扣</w:t>
            </w:r>
            <w:r>
              <w:rPr>
                <w:rFonts w:hint="eastAsia" w:ascii="宋体" w:hAnsi="宋体" w:eastAsia="宋体" w:cs="宋体"/>
                <w:color w:val="auto"/>
                <w:spacing w:val="-26"/>
                <w:kern w:val="2"/>
                <w:sz w:val="21"/>
                <w:szCs w:val="21"/>
              </w:rPr>
              <w:t xml:space="preserve"> </w:t>
            </w:r>
            <w:r>
              <w:rPr>
                <w:rFonts w:hint="eastAsia" w:ascii="宋体" w:hAnsi="宋体" w:eastAsia="宋体" w:cs="宋体"/>
                <w:color w:val="auto"/>
                <w:spacing w:val="-10"/>
                <w:kern w:val="2"/>
                <w:sz w:val="21"/>
                <w:szCs w:val="21"/>
              </w:rPr>
              <w:t>1</w:t>
            </w:r>
            <w:r>
              <w:rPr>
                <w:rFonts w:hint="eastAsia" w:ascii="宋体" w:hAnsi="宋体" w:eastAsia="宋体" w:cs="宋体"/>
                <w:color w:val="auto"/>
                <w:spacing w:val="-40"/>
                <w:kern w:val="2"/>
                <w:sz w:val="21"/>
                <w:szCs w:val="21"/>
              </w:rPr>
              <w:t xml:space="preserve"> </w:t>
            </w:r>
            <w:r>
              <w:rPr>
                <w:rFonts w:hint="eastAsia" w:ascii="宋体" w:hAnsi="宋体" w:eastAsia="宋体" w:cs="宋体"/>
                <w:color w:val="auto"/>
                <w:spacing w:val="-10"/>
                <w:kern w:val="2"/>
                <w:sz w:val="21"/>
                <w:szCs w:val="21"/>
              </w:rPr>
              <w:t>分/次</w:t>
            </w:r>
          </w:p>
        </w:tc>
        <w:tc>
          <w:tcPr>
            <w:tcW w:w="664" w:type="dxa"/>
          </w:tcPr>
          <w:p w14:paraId="0B5267F3">
            <w:pPr>
              <w:widowControl w:val="0"/>
              <w:spacing w:line="274" w:lineRule="auto"/>
              <w:rPr>
                <w:rFonts w:hint="eastAsia" w:ascii="宋体" w:hAnsi="宋体" w:eastAsia="宋体" w:cs="宋体"/>
                <w:color w:val="auto"/>
                <w:kern w:val="2"/>
                <w:sz w:val="21"/>
                <w:szCs w:val="21"/>
              </w:rPr>
            </w:pPr>
          </w:p>
          <w:p w14:paraId="075E8A80">
            <w:pPr>
              <w:widowControl w:val="0"/>
              <w:spacing w:before="68" w:line="184" w:lineRule="auto"/>
              <w:ind w:firstLine="159"/>
              <w:rPr>
                <w:rFonts w:hint="eastAsia" w:ascii="宋体" w:hAnsi="宋体" w:eastAsia="宋体" w:cs="宋体"/>
                <w:color w:val="auto"/>
                <w:kern w:val="2"/>
                <w:sz w:val="21"/>
                <w:szCs w:val="21"/>
              </w:rPr>
            </w:pPr>
            <w:r>
              <w:rPr>
                <w:rFonts w:hint="eastAsia" w:ascii="宋体" w:hAnsi="宋体" w:eastAsia="宋体" w:cs="宋体"/>
                <w:color w:val="auto"/>
                <w:spacing w:val="-7"/>
                <w:kern w:val="2"/>
                <w:sz w:val="21"/>
                <w:szCs w:val="21"/>
              </w:rPr>
              <w:t>5</w:t>
            </w:r>
            <w:r>
              <w:rPr>
                <w:rFonts w:hint="eastAsia" w:ascii="宋体" w:hAnsi="宋体" w:eastAsia="宋体" w:cs="宋体"/>
                <w:color w:val="auto"/>
                <w:spacing w:val="-40"/>
                <w:kern w:val="2"/>
                <w:sz w:val="21"/>
                <w:szCs w:val="21"/>
              </w:rPr>
              <w:t xml:space="preserve"> </w:t>
            </w:r>
            <w:r>
              <w:rPr>
                <w:rFonts w:hint="eastAsia" w:ascii="宋体" w:hAnsi="宋体" w:eastAsia="宋体" w:cs="宋体"/>
                <w:color w:val="auto"/>
                <w:spacing w:val="-7"/>
                <w:kern w:val="2"/>
                <w:sz w:val="21"/>
                <w:szCs w:val="21"/>
              </w:rPr>
              <w:t>分</w:t>
            </w:r>
          </w:p>
        </w:tc>
        <w:tc>
          <w:tcPr>
            <w:tcW w:w="682" w:type="dxa"/>
          </w:tcPr>
          <w:p w14:paraId="318DD8F3">
            <w:pPr>
              <w:widowControl w:val="0"/>
              <w:rPr>
                <w:rFonts w:hint="eastAsia" w:ascii="宋体" w:hAnsi="宋体" w:eastAsia="宋体" w:cs="宋体"/>
                <w:color w:val="auto"/>
                <w:kern w:val="2"/>
                <w:sz w:val="21"/>
                <w:szCs w:val="21"/>
              </w:rPr>
            </w:pPr>
          </w:p>
        </w:tc>
        <w:tc>
          <w:tcPr>
            <w:tcW w:w="687" w:type="dxa"/>
          </w:tcPr>
          <w:p w14:paraId="22565865">
            <w:pPr>
              <w:widowControl w:val="0"/>
              <w:rPr>
                <w:rFonts w:hint="eastAsia" w:ascii="宋体" w:hAnsi="宋体" w:eastAsia="宋体" w:cs="宋体"/>
                <w:color w:val="auto"/>
                <w:kern w:val="2"/>
                <w:sz w:val="21"/>
                <w:szCs w:val="21"/>
              </w:rPr>
            </w:pPr>
          </w:p>
        </w:tc>
      </w:tr>
      <w:tr w14:paraId="79147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44" w:hRule="atLeast"/>
        </w:trPr>
        <w:tc>
          <w:tcPr>
            <w:tcW w:w="776" w:type="dxa"/>
            <w:vMerge w:val="continue"/>
          </w:tcPr>
          <w:p w14:paraId="379AC057">
            <w:pPr>
              <w:widowControl w:val="0"/>
              <w:rPr>
                <w:rFonts w:hint="eastAsia" w:ascii="宋体" w:hAnsi="宋体" w:eastAsia="宋体" w:cs="宋体"/>
                <w:color w:val="auto"/>
                <w:kern w:val="2"/>
                <w:sz w:val="21"/>
                <w:szCs w:val="21"/>
              </w:rPr>
            </w:pPr>
          </w:p>
        </w:tc>
        <w:tc>
          <w:tcPr>
            <w:tcW w:w="4895" w:type="dxa"/>
          </w:tcPr>
          <w:p w14:paraId="2EB11C58">
            <w:pPr>
              <w:widowControl w:val="0"/>
              <w:spacing w:before="163" w:line="274" w:lineRule="auto"/>
              <w:ind w:left="20" w:right="10" w:firstLine="4"/>
              <w:rPr>
                <w:rFonts w:hint="eastAsia" w:ascii="宋体" w:hAnsi="宋体" w:eastAsia="宋体" w:cs="宋体"/>
                <w:color w:val="auto"/>
                <w:kern w:val="2"/>
                <w:sz w:val="21"/>
                <w:szCs w:val="21"/>
              </w:rPr>
            </w:pPr>
            <w:r>
              <w:rPr>
                <w:rFonts w:hint="eastAsia" w:ascii="宋体" w:hAnsi="宋体" w:eastAsia="宋体" w:cs="宋体"/>
                <w:color w:val="auto"/>
                <w:spacing w:val="-2"/>
                <w:kern w:val="2"/>
                <w:sz w:val="21"/>
                <w:szCs w:val="21"/>
              </w:rPr>
              <w:t>7、安全。供应商须确保做好工作前技术交底，特种</w:t>
            </w:r>
            <w:r>
              <w:rPr>
                <w:rFonts w:hint="eastAsia" w:ascii="宋体" w:hAnsi="宋体" w:eastAsia="宋体" w:cs="宋体"/>
                <w:color w:val="auto"/>
                <w:spacing w:val="3"/>
                <w:kern w:val="2"/>
                <w:sz w:val="21"/>
                <w:szCs w:val="21"/>
              </w:rPr>
              <w:t>作业人员持证上岗、规范操作，现场安全措施符合</w:t>
            </w:r>
            <w:r>
              <w:rPr>
                <w:rFonts w:hint="eastAsia" w:ascii="宋体" w:hAnsi="宋体" w:eastAsia="宋体" w:cs="宋体"/>
                <w:color w:val="auto"/>
                <w:spacing w:val="-1"/>
                <w:kern w:val="2"/>
                <w:sz w:val="21"/>
                <w:szCs w:val="21"/>
              </w:rPr>
              <w:t>规范、方案和审批要求。</w:t>
            </w:r>
          </w:p>
        </w:tc>
        <w:tc>
          <w:tcPr>
            <w:tcW w:w="1298" w:type="dxa"/>
          </w:tcPr>
          <w:p w14:paraId="378F518F">
            <w:pPr>
              <w:widowControl w:val="0"/>
              <w:spacing w:before="318" w:line="184" w:lineRule="auto"/>
              <w:ind w:firstLine="220"/>
              <w:rPr>
                <w:rFonts w:hint="eastAsia" w:ascii="宋体" w:hAnsi="宋体" w:eastAsia="宋体" w:cs="宋体"/>
                <w:color w:val="auto"/>
                <w:kern w:val="2"/>
                <w:sz w:val="21"/>
                <w:szCs w:val="21"/>
              </w:rPr>
            </w:pPr>
            <w:r>
              <w:rPr>
                <w:rFonts w:hint="eastAsia" w:ascii="宋体" w:hAnsi="宋体" w:eastAsia="宋体" w:cs="宋体"/>
                <w:color w:val="auto"/>
                <w:spacing w:val="-3"/>
                <w:kern w:val="2"/>
                <w:sz w:val="21"/>
                <w:szCs w:val="21"/>
              </w:rPr>
              <w:t>安全风险点</w:t>
            </w:r>
          </w:p>
          <w:p w14:paraId="44A0DA75">
            <w:pPr>
              <w:widowControl w:val="0"/>
              <w:spacing w:before="102" w:line="184" w:lineRule="auto"/>
              <w:ind w:firstLine="272"/>
              <w:rPr>
                <w:rFonts w:hint="eastAsia" w:ascii="宋体" w:hAnsi="宋体" w:eastAsia="宋体" w:cs="宋体"/>
                <w:color w:val="auto"/>
                <w:kern w:val="2"/>
                <w:sz w:val="21"/>
                <w:szCs w:val="21"/>
              </w:rPr>
            </w:pPr>
            <w:r>
              <w:rPr>
                <w:rFonts w:hint="eastAsia" w:ascii="宋体" w:hAnsi="宋体" w:eastAsia="宋体" w:cs="宋体"/>
                <w:color w:val="auto"/>
                <w:spacing w:val="-8"/>
                <w:kern w:val="2"/>
                <w:sz w:val="21"/>
                <w:szCs w:val="21"/>
              </w:rPr>
              <w:t>扣</w:t>
            </w:r>
            <w:r>
              <w:rPr>
                <w:rFonts w:hint="eastAsia" w:ascii="宋体" w:hAnsi="宋体" w:eastAsia="宋体" w:cs="宋体"/>
                <w:color w:val="auto"/>
                <w:spacing w:val="-36"/>
                <w:kern w:val="2"/>
                <w:sz w:val="21"/>
                <w:szCs w:val="21"/>
              </w:rPr>
              <w:t xml:space="preserve"> </w:t>
            </w:r>
            <w:r>
              <w:rPr>
                <w:rFonts w:hint="eastAsia" w:ascii="宋体" w:hAnsi="宋体" w:eastAsia="宋体" w:cs="宋体"/>
                <w:color w:val="auto"/>
                <w:spacing w:val="-8"/>
                <w:kern w:val="2"/>
                <w:sz w:val="21"/>
                <w:szCs w:val="21"/>
              </w:rPr>
              <w:t>3</w:t>
            </w:r>
            <w:r>
              <w:rPr>
                <w:rFonts w:hint="eastAsia" w:ascii="宋体" w:hAnsi="宋体" w:eastAsia="宋体" w:cs="宋体"/>
                <w:color w:val="auto"/>
                <w:spacing w:val="-40"/>
                <w:kern w:val="2"/>
                <w:sz w:val="21"/>
                <w:szCs w:val="21"/>
              </w:rPr>
              <w:t xml:space="preserve"> </w:t>
            </w:r>
            <w:r>
              <w:rPr>
                <w:rFonts w:hint="eastAsia" w:ascii="宋体" w:hAnsi="宋体" w:eastAsia="宋体" w:cs="宋体"/>
                <w:color w:val="auto"/>
                <w:spacing w:val="-8"/>
                <w:kern w:val="2"/>
                <w:sz w:val="21"/>
                <w:szCs w:val="21"/>
              </w:rPr>
              <w:t>分/处</w:t>
            </w:r>
          </w:p>
        </w:tc>
        <w:tc>
          <w:tcPr>
            <w:tcW w:w="664" w:type="dxa"/>
          </w:tcPr>
          <w:p w14:paraId="6DED5E8B">
            <w:pPr>
              <w:widowControl w:val="0"/>
              <w:spacing w:line="357" w:lineRule="auto"/>
              <w:rPr>
                <w:rFonts w:hint="eastAsia" w:ascii="宋体" w:hAnsi="宋体" w:eastAsia="宋体" w:cs="宋体"/>
                <w:color w:val="auto"/>
                <w:kern w:val="2"/>
                <w:sz w:val="21"/>
                <w:szCs w:val="21"/>
              </w:rPr>
            </w:pPr>
          </w:p>
          <w:p w14:paraId="7BF24CC0">
            <w:pPr>
              <w:widowControl w:val="0"/>
              <w:spacing w:before="68" w:line="184" w:lineRule="auto"/>
              <w:ind w:firstLine="109"/>
              <w:rPr>
                <w:rFonts w:hint="eastAsia" w:ascii="宋体" w:hAnsi="宋体" w:eastAsia="宋体" w:cs="宋体"/>
                <w:color w:val="auto"/>
                <w:kern w:val="2"/>
                <w:sz w:val="21"/>
                <w:szCs w:val="21"/>
              </w:rPr>
            </w:pPr>
            <w:r>
              <w:rPr>
                <w:rFonts w:hint="eastAsia" w:ascii="宋体" w:hAnsi="宋体" w:eastAsia="宋体" w:cs="宋体"/>
                <w:color w:val="auto"/>
                <w:spacing w:val="-5"/>
                <w:kern w:val="2"/>
                <w:sz w:val="21"/>
                <w:szCs w:val="21"/>
              </w:rPr>
              <w:t>30</w:t>
            </w:r>
            <w:r>
              <w:rPr>
                <w:rFonts w:hint="eastAsia" w:ascii="宋体" w:hAnsi="宋体" w:eastAsia="宋体" w:cs="宋体"/>
                <w:color w:val="auto"/>
                <w:spacing w:val="-41"/>
                <w:kern w:val="2"/>
                <w:sz w:val="21"/>
                <w:szCs w:val="21"/>
              </w:rPr>
              <w:t xml:space="preserve"> </w:t>
            </w:r>
            <w:r>
              <w:rPr>
                <w:rFonts w:hint="eastAsia" w:ascii="宋体" w:hAnsi="宋体" w:eastAsia="宋体" w:cs="宋体"/>
                <w:color w:val="auto"/>
                <w:spacing w:val="-5"/>
                <w:kern w:val="2"/>
                <w:sz w:val="21"/>
                <w:szCs w:val="21"/>
              </w:rPr>
              <w:t>分</w:t>
            </w:r>
          </w:p>
        </w:tc>
        <w:tc>
          <w:tcPr>
            <w:tcW w:w="682" w:type="dxa"/>
          </w:tcPr>
          <w:p w14:paraId="0658C612">
            <w:pPr>
              <w:widowControl w:val="0"/>
              <w:rPr>
                <w:rFonts w:hint="eastAsia" w:ascii="宋体" w:hAnsi="宋体" w:eastAsia="宋体" w:cs="宋体"/>
                <w:color w:val="auto"/>
                <w:kern w:val="2"/>
                <w:sz w:val="21"/>
                <w:szCs w:val="21"/>
              </w:rPr>
            </w:pPr>
          </w:p>
        </w:tc>
        <w:tc>
          <w:tcPr>
            <w:tcW w:w="687" w:type="dxa"/>
          </w:tcPr>
          <w:p w14:paraId="729C477F">
            <w:pPr>
              <w:widowControl w:val="0"/>
              <w:rPr>
                <w:rFonts w:hint="eastAsia" w:ascii="宋体" w:hAnsi="宋体" w:eastAsia="宋体" w:cs="宋体"/>
                <w:color w:val="auto"/>
                <w:kern w:val="2"/>
                <w:sz w:val="21"/>
                <w:szCs w:val="21"/>
              </w:rPr>
            </w:pPr>
          </w:p>
        </w:tc>
      </w:tr>
      <w:tr w14:paraId="52C8E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94" w:hRule="atLeast"/>
        </w:trPr>
        <w:tc>
          <w:tcPr>
            <w:tcW w:w="776" w:type="dxa"/>
            <w:vMerge w:val="continue"/>
          </w:tcPr>
          <w:p w14:paraId="591DB002">
            <w:pPr>
              <w:widowControl w:val="0"/>
              <w:rPr>
                <w:rFonts w:hint="eastAsia" w:ascii="宋体" w:hAnsi="宋体" w:eastAsia="宋体" w:cs="宋体"/>
                <w:color w:val="auto"/>
                <w:kern w:val="2"/>
                <w:sz w:val="21"/>
                <w:szCs w:val="21"/>
              </w:rPr>
            </w:pPr>
          </w:p>
        </w:tc>
        <w:tc>
          <w:tcPr>
            <w:tcW w:w="4895" w:type="dxa"/>
          </w:tcPr>
          <w:p w14:paraId="22D45B25">
            <w:pPr>
              <w:widowControl w:val="0"/>
              <w:spacing w:before="188" w:line="274" w:lineRule="auto"/>
              <w:ind w:left="17" w:firstLine="2"/>
              <w:rPr>
                <w:rFonts w:hint="eastAsia" w:ascii="宋体" w:hAnsi="宋体" w:eastAsia="宋体" w:cs="宋体"/>
                <w:color w:val="auto"/>
                <w:kern w:val="2"/>
                <w:sz w:val="21"/>
                <w:szCs w:val="21"/>
              </w:rPr>
            </w:pPr>
            <w:r>
              <w:rPr>
                <w:rFonts w:hint="eastAsia" w:ascii="宋体" w:hAnsi="宋体" w:eastAsia="宋体" w:cs="宋体"/>
                <w:color w:val="auto"/>
                <w:spacing w:val="-10"/>
                <w:kern w:val="2"/>
                <w:sz w:val="21"/>
                <w:szCs w:val="21"/>
              </w:rPr>
              <w:t>8、文明工作。供应商需确保现场文明有序，按规范、</w:t>
            </w:r>
            <w:r>
              <w:rPr>
                <w:rFonts w:hint="eastAsia" w:ascii="宋体" w:hAnsi="宋体" w:eastAsia="宋体" w:cs="宋体"/>
                <w:color w:val="auto"/>
                <w:kern w:val="2"/>
                <w:sz w:val="21"/>
                <w:szCs w:val="21"/>
              </w:rPr>
              <w:t>方案和审批要求设置围挡、做好降尘减噪，合理放</w:t>
            </w:r>
            <w:r>
              <w:rPr>
                <w:rFonts w:hint="eastAsia" w:ascii="宋体" w:hAnsi="宋体" w:eastAsia="宋体" w:cs="宋体"/>
                <w:color w:val="auto"/>
                <w:spacing w:val="-4"/>
                <w:kern w:val="2"/>
                <w:sz w:val="21"/>
                <w:szCs w:val="21"/>
              </w:rPr>
              <w:t>置车辆、机械、材料等。</w:t>
            </w:r>
          </w:p>
        </w:tc>
        <w:tc>
          <w:tcPr>
            <w:tcW w:w="1298" w:type="dxa"/>
          </w:tcPr>
          <w:p w14:paraId="219DB27E">
            <w:pPr>
              <w:widowControl w:val="0"/>
              <w:spacing w:line="242" w:lineRule="auto"/>
              <w:rPr>
                <w:rFonts w:hint="eastAsia" w:ascii="宋体" w:hAnsi="宋体" w:eastAsia="宋体" w:cs="宋体"/>
                <w:color w:val="auto"/>
                <w:kern w:val="2"/>
                <w:sz w:val="21"/>
                <w:szCs w:val="21"/>
              </w:rPr>
            </w:pPr>
          </w:p>
          <w:p w14:paraId="3F9F07A6">
            <w:pPr>
              <w:widowControl w:val="0"/>
              <w:spacing w:before="68" w:line="184" w:lineRule="auto"/>
              <w:ind w:firstLine="219"/>
              <w:rPr>
                <w:rFonts w:hint="eastAsia" w:ascii="宋体" w:hAnsi="宋体" w:eastAsia="宋体" w:cs="宋体"/>
                <w:color w:val="auto"/>
                <w:kern w:val="2"/>
                <w:sz w:val="21"/>
                <w:szCs w:val="21"/>
              </w:rPr>
            </w:pPr>
            <w:r>
              <w:rPr>
                <w:rFonts w:hint="eastAsia" w:ascii="宋体" w:hAnsi="宋体" w:eastAsia="宋体" w:cs="宋体"/>
                <w:color w:val="auto"/>
                <w:spacing w:val="-3"/>
                <w:kern w:val="2"/>
                <w:sz w:val="21"/>
                <w:szCs w:val="21"/>
              </w:rPr>
              <w:t>不文明工作</w:t>
            </w:r>
          </w:p>
          <w:p w14:paraId="496BA3A4">
            <w:pPr>
              <w:widowControl w:val="0"/>
              <w:spacing w:before="102" w:line="184" w:lineRule="auto"/>
              <w:ind w:firstLine="272"/>
              <w:rPr>
                <w:rFonts w:hint="eastAsia" w:ascii="宋体" w:hAnsi="宋体" w:eastAsia="宋体" w:cs="宋体"/>
                <w:color w:val="auto"/>
                <w:kern w:val="2"/>
                <w:sz w:val="21"/>
                <w:szCs w:val="21"/>
              </w:rPr>
            </w:pPr>
            <w:r>
              <w:rPr>
                <w:rFonts w:hint="eastAsia" w:ascii="宋体" w:hAnsi="宋体" w:eastAsia="宋体" w:cs="宋体"/>
                <w:color w:val="auto"/>
                <w:spacing w:val="-7"/>
                <w:kern w:val="2"/>
                <w:sz w:val="21"/>
                <w:szCs w:val="21"/>
              </w:rPr>
              <w:t>扣</w:t>
            </w:r>
            <w:r>
              <w:rPr>
                <w:rFonts w:hint="eastAsia" w:ascii="宋体" w:hAnsi="宋体" w:eastAsia="宋体" w:cs="宋体"/>
                <w:color w:val="auto"/>
                <w:spacing w:val="-41"/>
                <w:kern w:val="2"/>
                <w:sz w:val="21"/>
                <w:szCs w:val="21"/>
              </w:rPr>
              <w:t xml:space="preserve"> </w:t>
            </w:r>
            <w:r>
              <w:rPr>
                <w:rFonts w:hint="eastAsia" w:ascii="宋体" w:hAnsi="宋体" w:eastAsia="宋体" w:cs="宋体"/>
                <w:color w:val="auto"/>
                <w:spacing w:val="-7"/>
                <w:kern w:val="2"/>
                <w:sz w:val="21"/>
                <w:szCs w:val="21"/>
              </w:rPr>
              <w:t>2</w:t>
            </w:r>
            <w:r>
              <w:rPr>
                <w:rFonts w:hint="eastAsia" w:ascii="宋体" w:hAnsi="宋体" w:eastAsia="宋体" w:cs="宋体"/>
                <w:color w:val="auto"/>
                <w:spacing w:val="-40"/>
                <w:kern w:val="2"/>
                <w:sz w:val="21"/>
                <w:szCs w:val="21"/>
              </w:rPr>
              <w:t xml:space="preserve"> </w:t>
            </w:r>
            <w:r>
              <w:rPr>
                <w:rFonts w:hint="eastAsia" w:ascii="宋体" w:hAnsi="宋体" w:eastAsia="宋体" w:cs="宋体"/>
                <w:color w:val="auto"/>
                <w:spacing w:val="-7"/>
                <w:kern w:val="2"/>
                <w:sz w:val="21"/>
                <w:szCs w:val="21"/>
              </w:rPr>
              <w:t>分/次</w:t>
            </w:r>
          </w:p>
        </w:tc>
        <w:tc>
          <w:tcPr>
            <w:tcW w:w="664" w:type="dxa"/>
          </w:tcPr>
          <w:p w14:paraId="2F74BA6D">
            <w:pPr>
              <w:widowControl w:val="0"/>
              <w:spacing w:line="379" w:lineRule="auto"/>
              <w:rPr>
                <w:rFonts w:hint="eastAsia" w:ascii="宋体" w:hAnsi="宋体" w:eastAsia="宋体" w:cs="宋体"/>
                <w:color w:val="auto"/>
                <w:kern w:val="2"/>
                <w:sz w:val="21"/>
                <w:szCs w:val="21"/>
              </w:rPr>
            </w:pPr>
          </w:p>
          <w:p w14:paraId="5C13B8E4">
            <w:pPr>
              <w:widowControl w:val="0"/>
              <w:spacing w:before="68" w:line="184" w:lineRule="auto"/>
              <w:ind w:firstLine="120"/>
              <w:rPr>
                <w:rFonts w:hint="eastAsia" w:ascii="宋体" w:hAnsi="宋体" w:eastAsia="宋体" w:cs="宋体"/>
                <w:color w:val="auto"/>
                <w:kern w:val="2"/>
                <w:sz w:val="21"/>
                <w:szCs w:val="21"/>
              </w:rPr>
            </w:pPr>
            <w:r>
              <w:rPr>
                <w:rFonts w:hint="eastAsia" w:ascii="宋体" w:hAnsi="宋体" w:eastAsia="宋体" w:cs="宋体"/>
                <w:color w:val="auto"/>
                <w:spacing w:val="-8"/>
                <w:kern w:val="2"/>
                <w:sz w:val="21"/>
                <w:szCs w:val="21"/>
              </w:rPr>
              <w:t>10</w:t>
            </w:r>
            <w:r>
              <w:rPr>
                <w:rFonts w:hint="eastAsia" w:ascii="宋体" w:hAnsi="宋体" w:eastAsia="宋体" w:cs="宋体"/>
                <w:color w:val="auto"/>
                <w:spacing w:val="-43"/>
                <w:kern w:val="2"/>
                <w:sz w:val="21"/>
                <w:szCs w:val="21"/>
              </w:rPr>
              <w:t xml:space="preserve"> </w:t>
            </w:r>
            <w:r>
              <w:rPr>
                <w:rFonts w:hint="eastAsia" w:ascii="宋体" w:hAnsi="宋体" w:eastAsia="宋体" w:cs="宋体"/>
                <w:color w:val="auto"/>
                <w:spacing w:val="-8"/>
                <w:kern w:val="2"/>
                <w:sz w:val="21"/>
                <w:szCs w:val="21"/>
              </w:rPr>
              <w:t>分</w:t>
            </w:r>
          </w:p>
        </w:tc>
        <w:tc>
          <w:tcPr>
            <w:tcW w:w="682" w:type="dxa"/>
          </w:tcPr>
          <w:p w14:paraId="16078DF1">
            <w:pPr>
              <w:widowControl w:val="0"/>
              <w:rPr>
                <w:rFonts w:hint="eastAsia" w:ascii="宋体" w:hAnsi="宋体" w:eastAsia="宋体" w:cs="宋体"/>
                <w:color w:val="auto"/>
                <w:kern w:val="2"/>
                <w:sz w:val="21"/>
                <w:szCs w:val="21"/>
              </w:rPr>
            </w:pPr>
          </w:p>
        </w:tc>
        <w:tc>
          <w:tcPr>
            <w:tcW w:w="687" w:type="dxa"/>
          </w:tcPr>
          <w:p w14:paraId="18E95B42">
            <w:pPr>
              <w:widowControl w:val="0"/>
              <w:rPr>
                <w:rFonts w:hint="eastAsia" w:ascii="宋体" w:hAnsi="宋体" w:eastAsia="宋体" w:cs="宋体"/>
                <w:color w:val="auto"/>
                <w:kern w:val="2"/>
                <w:sz w:val="21"/>
                <w:szCs w:val="21"/>
              </w:rPr>
            </w:pPr>
          </w:p>
        </w:tc>
      </w:tr>
      <w:tr w14:paraId="63AB8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21" w:hRule="atLeast"/>
        </w:trPr>
        <w:tc>
          <w:tcPr>
            <w:tcW w:w="776" w:type="dxa"/>
            <w:vMerge w:val="continue"/>
          </w:tcPr>
          <w:p w14:paraId="00FDD418">
            <w:pPr>
              <w:widowControl w:val="0"/>
              <w:rPr>
                <w:rFonts w:hint="eastAsia" w:ascii="宋体" w:hAnsi="宋体" w:eastAsia="宋体" w:cs="宋体"/>
                <w:color w:val="auto"/>
                <w:kern w:val="2"/>
                <w:sz w:val="21"/>
                <w:szCs w:val="21"/>
              </w:rPr>
            </w:pPr>
          </w:p>
        </w:tc>
        <w:tc>
          <w:tcPr>
            <w:tcW w:w="4895" w:type="dxa"/>
          </w:tcPr>
          <w:p w14:paraId="52723D57">
            <w:pPr>
              <w:widowControl w:val="0"/>
              <w:spacing w:before="148" w:line="274" w:lineRule="auto"/>
              <w:ind w:left="19" w:right="10"/>
              <w:rPr>
                <w:rFonts w:hint="eastAsia" w:ascii="宋体" w:hAnsi="宋体" w:eastAsia="宋体" w:cs="宋体"/>
                <w:color w:val="auto"/>
                <w:kern w:val="2"/>
                <w:sz w:val="21"/>
                <w:szCs w:val="21"/>
              </w:rPr>
            </w:pPr>
            <w:r>
              <w:rPr>
                <w:rFonts w:hint="eastAsia" w:ascii="宋体" w:hAnsi="宋体" w:eastAsia="宋体" w:cs="宋体"/>
                <w:color w:val="auto"/>
                <w:spacing w:val="1"/>
                <w:kern w:val="2"/>
                <w:sz w:val="21"/>
                <w:szCs w:val="21"/>
              </w:rPr>
              <w:t>9、资料管理。供应商须在每月</w:t>
            </w:r>
            <w:r>
              <w:rPr>
                <w:rFonts w:hint="eastAsia" w:ascii="宋体" w:hAnsi="宋体" w:eastAsia="宋体" w:cs="宋体"/>
                <w:color w:val="auto"/>
                <w:spacing w:val="-23"/>
                <w:kern w:val="2"/>
                <w:sz w:val="21"/>
                <w:szCs w:val="21"/>
              </w:rPr>
              <w:t xml:space="preserve"> </w:t>
            </w:r>
            <w:r>
              <w:rPr>
                <w:rFonts w:hint="eastAsia" w:ascii="宋体" w:hAnsi="宋体" w:eastAsia="宋体" w:cs="宋体"/>
                <w:color w:val="auto"/>
                <w:spacing w:val="1"/>
                <w:kern w:val="2"/>
                <w:sz w:val="21"/>
                <w:szCs w:val="21"/>
              </w:rPr>
              <w:t>15</w:t>
            </w:r>
            <w:r>
              <w:rPr>
                <w:rFonts w:hint="eastAsia" w:ascii="宋体" w:hAnsi="宋体" w:eastAsia="宋体" w:cs="宋体"/>
                <w:color w:val="auto"/>
                <w:spacing w:val="-35"/>
                <w:kern w:val="2"/>
                <w:sz w:val="21"/>
                <w:szCs w:val="21"/>
              </w:rPr>
              <w:t xml:space="preserve"> </w:t>
            </w:r>
            <w:r>
              <w:rPr>
                <w:rFonts w:hint="eastAsia" w:ascii="宋体" w:hAnsi="宋体" w:eastAsia="宋体" w:cs="宋体"/>
                <w:color w:val="auto"/>
                <w:spacing w:val="1"/>
                <w:kern w:val="2"/>
                <w:sz w:val="21"/>
                <w:szCs w:val="21"/>
              </w:rPr>
              <w:t>号前（非工作日</w:t>
            </w:r>
            <w:r>
              <w:rPr>
                <w:rFonts w:hint="eastAsia" w:ascii="宋体" w:hAnsi="宋体" w:eastAsia="宋体" w:cs="宋体"/>
                <w:color w:val="auto"/>
                <w:spacing w:val="-3"/>
                <w:kern w:val="2"/>
                <w:sz w:val="21"/>
                <w:szCs w:val="21"/>
              </w:rPr>
              <w:t>顺延）将上一个月已完工作的台账、计量整理汇总</w:t>
            </w:r>
            <w:r>
              <w:rPr>
                <w:rFonts w:hint="eastAsia" w:ascii="宋体" w:hAnsi="宋体" w:eastAsia="宋体" w:cs="宋体"/>
                <w:color w:val="auto"/>
                <w:kern w:val="2"/>
                <w:sz w:val="21"/>
                <w:szCs w:val="21"/>
              </w:rPr>
              <w:t xml:space="preserve"> </w:t>
            </w:r>
            <w:r>
              <w:rPr>
                <w:rFonts w:hint="eastAsia" w:ascii="宋体" w:hAnsi="宋体" w:eastAsia="宋体" w:cs="宋体"/>
                <w:color w:val="auto"/>
                <w:spacing w:val="3"/>
                <w:kern w:val="2"/>
                <w:sz w:val="21"/>
                <w:szCs w:val="21"/>
              </w:rPr>
              <w:t>（资料需完整、齐全，每个部位维修必须有事前、</w:t>
            </w:r>
            <w:r>
              <w:rPr>
                <w:rFonts w:hint="eastAsia" w:ascii="宋体" w:hAnsi="宋体" w:eastAsia="宋体" w:cs="宋体"/>
                <w:color w:val="auto"/>
                <w:spacing w:val="-6"/>
                <w:kern w:val="2"/>
                <w:sz w:val="21"/>
                <w:szCs w:val="21"/>
              </w:rPr>
              <w:t>事中、事后的影像资料）上报监理和采购人审核。</w:t>
            </w:r>
          </w:p>
        </w:tc>
        <w:tc>
          <w:tcPr>
            <w:tcW w:w="1298" w:type="dxa"/>
          </w:tcPr>
          <w:p w14:paraId="2A1242F7">
            <w:pPr>
              <w:widowControl w:val="0"/>
              <w:spacing w:before="303" w:line="184" w:lineRule="auto"/>
              <w:ind w:firstLine="330"/>
              <w:rPr>
                <w:rFonts w:hint="eastAsia" w:ascii="宋体" w:hAnsi="宋体" w:eastAsia="宋体" w:cs="宋体"/>
                <w:color w:val="auto"/>
                <w:kern w:val="2"/>
                <w:sz w:val="21"/>
                <w:szCs w:val="21"/>
              </w:rPr>
            </w:pPr>
            <w:r>
              <w:rPr>
                <w:rFonts w:hint="eastAsia" w:ascii="宋体" w:hAnsi="宋体" w:eastAsia="宋体" w:cs="宋体"/>
                <w:color w:val="auto"/>
                <w:spacing w:val="-5"/>
                <w:kern w:val="2"/>
                <w:sz w:val="21"/>
                <w:szCs w:val="21"/>
              </w:rPr>
              <w:t>资料管理</w:t>
            </w:r>
          </w:p>
          <w:p w14:paraId="48BC755F">
            <w:pPr>
              <w:widowControl w:val="0"/>
              <w:spacing w:before="102" w:line="184" w:lineRule="auto"/>
              <w:ind w:firstLine="324"/>
              <w:rPr>
                <w:rFonts w:hint="eastAsia" w:ascii="宋体" w:hAnsi="宋体" w:eastAsia="宋体" w:cs="宋体"/>
                <w:color w:val="auto"/>
                <w:kern w:val="2"/>
                <w:sz w:val="21"/>
                <w:szCs w:val="21"/>
              </w:rPr>
            </w:pPr>
            <w:r>
              <w:rPr>
                <w:rFonts w:hint="eastAsia" w:ascii="宋体" w:hAnsi="宋体" w:eastAsia="宋体" w:cs="宋体"/>
                <w:color w:val="auto"/>
                <w:spacing w:val="-4"/>
                <w:kern w:val="2"/>
                <w:sz w:val="21"/>
                <w:szCs w:val="21"/>
              </w:rPr>
              <w:t>未达要求</w:t>
            </w:r>
          </w:p>
          <w:p w14:paraId="58667F6A">
            <w:pPr>
              <w:widowControl w:val="0"/>
              <w:spacing w:before="102" w:line="184" w:lineRule="auto"/>
              <w:ind w:firstLine="272"/>
              <w:rPr>
                <w:rFonts w:hint="eastAsia" w:ascii="宋体" w:hAnsi="宋体" w:eastAsia="宋体" w:cs="宋体"/>
                <w:color w:val="auto"/>
                <w:kern w:val="2"/>
                <w:sz w:val="21"/>
                <w:szCs w:val="21"/>
              </w:rPr>
            </w:pPr>
            <w:r>
              <w:rPr>
                <w:rFonts w:hint="eastAsia" w:ascii="宋体" w:hAnsi="宋体" w:eastAsia="宋体" w:cs="宋体"/>
                <w:color w:val="auto"/>
                <w:spacing w:val="-7"/>
                <w:kern w:val="2"/>
                <w:sz w:val="21"/>
                <w:szCs w:val="21"/>
              </w:rPr>
              <w:t>扣</w:t>
            </w:r>
            <w:r>
              <w:rPr>
                <w:rFonts w:hint="eastAsia" w:ascii="宋体" w:hAnsi="宋体" w:eastAsia="宋体" w:cs="宋体"/>
                <w:color w:val="auto"/>
                <w:spacing w:val="-41"/>
                <w:kern w:val="2"/>
                <w:sz w:val="21"/>
                <w:szCs w:val="21"/>
              </w:rPr>
              <w:t xml:space="preserve"> </w:t>
            </w:r>
            <w:r>
              <w:rPr>
                <w:rFonts w:hint="eastAsia" w:ascii="宋体" w:hAnsi="宋体" w:eastAsia="宋体" w:cs="宋体"/>
                <w:color w:val="auto"/>
                <w:spacing w:val="-7"/>
                <w:kern w:val="2"/>
                <w:sz w:val="21"/>
                <w:szCs w:val="21"/>
              </w:rPr>
              <w:t>2</w:t>
            </w:r>
            <w:r>
              <w:rPr>
                <w:rFonts w:hint="eastAsia" w:ascii="宋体" w:hAnsi="宋体" w:eastAsia="宋体" w:cs="宋体"/>
                <w:color w:val="auto"/>
                <w:spacing w:val="-40"/>
                <w:kern w:val="2"/>
                <w:sz w:val="21"/>
                <w:szCs w:val="21"/>
              </w:rPr>
              <w:t xml:space="preserve"> </w:t>
            </w:r>
            <w:r>
              <w:rPr>
                <w:rFonts w:hint="eastAsia" w:ascii="宋体" w:hAnsi="宋体" w:eastAsia="宋体" w:cs="宋体"/>
                <w:color w:val="auto"/>
                <w:spacing w:val="-7"/>
                <w:kern w:val="2"/>
                <w:sz w:val="21"/>
                <w:szCs w:val="21"/>
              </w:rPr>
              <w:t>分/次</w:t>
            </w:r>
          </w:p>
        </w:tc>
        <w:tc>
          <w:tcPr>
            <w:tcW w:w="664" w:type="dxa"/>
          </w:tcPr>
          <w:p w14:paraId="5D3DE1E7">
            <w:pPr>
              <w:widowControl w:val="0"/>
              <w:rPr>
                <w:rFonts w:hint="eastAsia" w:ascii="宋体" w:hAnsi="宋体" w:eastAsia="宋体" w:cs="宋体"/>
                <w:color w:val="auto"/>
                <w:kern w:val="2"/>
                <w:sz w:val="21"/>
                <w:szCs w:val="21"/>
              </w:rPr>
            </w:pPr>
          </w:p>
          <w:p w14:paraId="270A7321">
            <w:pPr>
              <w:widowControl w:val="0"/>
              <w:spacing w:line="241" w:lineRule="auto"/>
              <w:rPr>
                <w:rFonts w:hint="eastAsia" w:ascii="宋体" w:hAnsi="宋体" w:eastAsia="宋体" w:cs="宋体"/>
                <w:color w:val="auto"/>
                <w:kern w:val="2"/>
                <w:sz w:val="21"/>
                <w:szCs w:val="21"/>
              </w:rPr>
            </w:pPr>
          </w:p>
          <w:p w14:paraId="255680A0">
            <w:pPr>
              <w:widowControl w:val="0"/>
              <w:spacing w:before="68" w:line="184" w:lineRule="auto"/>
              <w:ind w:firstLine="120"/>
              <w:rPr>
                <w:rFonts w:hint="eastAsia" w:ascii="宋体" w:hAnsi="宋体" w:eastAsia="宋体" w:cs="宋体"/>
                <w:color w:val="auto"/>
                <w:kern w:val="2"/>
                <w:sz w:val="21"/>
                <w:szCs w:val="21"/>
              </w:rPr>
            </w:pPr>
            <w:r>
              <w:rPr>
                <w:rFonts w:hint="eastAsia" w:ascii="宋体" w:hAnsi="宋体" w:eastAsia="宋体" w:cs="宋体"/>
                <w:color w:val="auto"/>
                <w:spacing w:val="-8"/>
                <w:kern w:val="2"/>
                <w:sz w:val="21"/>
                <w:szCs w:val="21"/>
              </w:rPr>
              <w:t>10</w:t>
            </w:r>
            <w:r>
              <w:rPr>
                <w:rFonts w:hint="eastAsia" w:ascii="宋体" w:hAnsi="宋体" w:eastAsia="宋体" w:cs="宋体"/>
                <w:color w:val="auto"/>
                <w:spacing w:val="-43"/>
                <w:kern w:val="2"/>
                <w:sz w:val="21"/>
                <w:szCs w:val="21"/>
              </w:rPr>
              <w:t xml:space="preserve"> </w:t>
            </w:r>
            <w:r>
              <w:rPr>
                <w:rFonts w:hint="eastAsia" w:ascii="宋体" w:hAnsi="宋体" w:eastAsia="宋体" w:cs="宋体"/>
                <w:color w:val="auto"/>
                <w:spacing w:val="-8"/>
                <w:kern w:val="2"/>
                <w:sz w:val="21"/>
                <w:szCs w:val="21"/>
              </w:rPr>
              <w:t>分</w:t>
            </w:r>
          </w:p>
        </w:tc>
        <w:tc>
          <w:tcPr>
            <w:tcW w:w="682" w:type="dxa"/>
          </w:tcPr>
          <w:p w14:paraId="4F39E614">
            <w:pPr>
              <w:widowControl w:val="0"/>
              <w:rPr>
                <w:rFonts w:hint="eastAsia" w:ascii="宋体" w:hAnsi="宋体" w:eastAsia="宋体" w:cs="宋体"/>
                <w:color w:val="auto"/>
                <w:kern w:val="2"/>
                <w:sz w:val="21"/>
                <w:szCs w:val="21"/>
              </w:rPr>
            </w:pPr>
          </w:p>
        </w:tc>
        <w:tc>
          <w:tcPr>
            <w:tcW w:w="687" w:type="dxa"/>
          </w:tcPr>
          <w:p w14:paraId="45415C50">
            <w:pPr>
              <w:widowControl w:val="0"/>
              <w:rPr>
                <w:rFonts w:hint="eastAsia" w:ascii="宋体" w:hAnsi="宋体" w:eastAsia="宋体" w:cs="宋体"/>
                <w:color w:val="auto"/>
                <w:kern w:val="2"/>
                <w:sz w:val="21"/>
                <w:szCs w:val="21"/>
              </w:rPr>
            </w:pPr>
          </w:p>
        </w:tc>
      </w:tr>
      <w:tr w14:paraId="73639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4" w:hRule="atLeast"/>
        </w:trPr>
        <w:tc>
          <w:tcPr>
            <w:tcW w:w="776" w:type="dxa"/>
            <w:vMerge w:val="restart"/>
          </w:tcPr>
          <w:p w14:paraId="10BC3CCA">
            <w:pPr>
              <w:widowControl w:val="0"/>
              <w:spacing w:line="286" w:lineRule="auto"/>
              <w:rPr>
                <w:rFonts w:hint="eastAsia" w:ascii="宋体" w:hAnsi="宋体" w:eastAsia="宋体" w:cs="宋体"/>
                <w:color w:val="auto"/>
                <w:kern w:val="2"/>
                <w:sz w:val="21"/>
                <w:szCs w:val="21"/>
              </w:rPr>
            </w:pPr>
          </w:p>
          <w:p w14:paraId="74664C52">
            <w:pPr>
              <w:widowControl w:val="0"/>
              <w:spacing w:line="287" w:lineRule="auto"/>
              <w:rPr>
                <w:rFonts w:hint="eastAsia" w:ascii="宋体" w:hAnsi="宋体" w:eastAsia="宋体" w:cs="宋体"/>
                <w:color w:val="auto"/>
                <w:kern w:val="2"/>
                <w:sz w:val="21"/>
                <w:szCs w:val="21"/>
              </w:rPr>
            </w:pPr>
          </w:p>
          <w:p w14:paraId="31118CF3">
            <w:pPr>
              <w:widowControl w:val="0"/>
              <w:spacing w:before="68" w:line="312" w:lineRule="exact"/>
              <w:ind w:firstLine="191"/>
              <w:rPr>
                <w:rFonts w:hint="eastAsia" w:ascii="宋体" w:hAnsi="宋体" w:eastAsia="宋体" w:cs="宋体"/>
                <w:color w:val="auto"/>
                <w:kern w:val="2"/>
                <w:sz w:val="21"/>
                <w:szCs w:val="21"/>
              </w:rPr>
            </w:pPr>
            <w:r>
              <w:rPr>
                <w:rFonts w:hint="eastAsia" w:ascii="宋体" w:hAnsi="宋体" w:eastAsia="宋体" w:cs="宋体"/>
                <w:color w:val="auto"/>
                <w:spacing w:val="-9"/>
                <w:kern w:val="2"/>
                <w:position w:val="6"/>
                <w:sz w:val="21"/>
                <w:szCs w:val="21"/>
              </w:rPr>
              <w:t>负面</w:t>
            </w:r>
          </w:p>
          <w:p w14:paraId="57C1C3FE">
            <w:pPr>
              <w:widowControl w:val="0"/>
              <w:spacing w:line="204" w:lineRule="auto"/>
              <w:ind w:firstLine="183"/>
              <w:rPr>
                <w:rFonts w:hint="eastAsia" w:ascii="宋体" w:hAnsi="宋体" w:eastAsia="宋体" w:cs="宋体"/>
                <w:color w:val="auto"/>
                <w:kern w:val="2"/>
                <w:sz w:val="21"/>
                <w:szCs w:val="21"/>
              </w:rPr>
            </w:pPr>
            <w:r>
              <w:rPr>
                <w:rFonts w:hint="eastAsia" w:ascii="宋体" w:hAnsi="宋体" w:eastAsia="宋体" w:cs="宋体"/>
                <w:color w:val="auto"/>
                <w:spacing w:val="-5"/>
                <w:kern w:val="2"/>
                <w:sz w:val="21"/>
                <w:szCs w:val="21"/>
              </w:rPr>
              <w:t>影响</w:t>
            </w:r>
          </w:p>
        </w:tc>
        <w:tc>
          <w:tcPr>
            <w:tcW w:w="4895" w:type="dxa"/>
          </w:tcPr>
          <w:p w14:paraId="7C092617">
            <w:pPr>
              <w:widowControl w:val="0"/>
              <w:spacing w:before="70" w:line="229" w:lineRule="auto"/>
              <w:ind w:left="18" w:right="10" w:firstLine="16"/>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10、因供应商工作、管理过失造成</w:t>
            </w:r>
            <w:r>
              <w:rPr>
                <w:rFonts w:hint="eastAsia" w:ascii="宋体" w:hAnsi="宋体" w:eastAsia="宋体" w:cs="宋体"/>
                <w:color w:val="auto"/>
                <w:spacing w:val="-13"/>
                <w:kern w:val="2"/>
                <w:sz w:val="21"/>
                <w:szCs w:val="21"/>
              </w:rPr>
              <w:t xml:space="preserve"> </w:t>
            </w:r>
            <w:r>
              <w:rPr>
                <w:rFonts w:hint="eastAsia" w:ascii="宋体" w:hAnsi="宋体" w:eastAsia="宋体" w:cs="宋体"/>
                <w:color w:val="auto"/>
                <w:kern w:val="2"/>
                <w:sz w:val="21"/>
                <w:szCs w:val="21"/>
              </w:rPr>
              <w:t>12345</w:t>
            </w:r>
            <w:r>
              <w:rPr>
                <w:rFonts w:hint="eastAsia" w:ascii="宋体" w:hAnsi="宋体" w:eastAsia="宋体" w:cs="宋体"/>
                <w:color w:val="auto"/>
                <w:spacing w:val="-37"/>
                <w:kern w:val="2"/>
                <w:sz w:val="21"/>
                <w:szCs w:val="21"/>
              </w:rPr>
              <w:t xml:space="preserve"> </w:t>
            </w:r>
            <w:r>
              <w:rPr>
                <w:rFonts w:hint="eastAsia" w:ascii="宋体" w:hAnsi="宋体" w:eastAsia="宋体" w:cs="宋体"/>
                <w:color w:val="auto"/>
                <w:kern w:val="2"/>
                <w:sz w:val="21"/>
                <w:szCs w:val="21"/>
              </w:rPr>
              <w:t>等有效投</w:t>
            </w:r>
            <w:r>
              <w:rPr>
                <w:rFonts w:hint="eastAsia" w:ascii="宋体" w:hAnsi="宋体" w:eastAsia="宋体" w:cs="宋体"/>
                <w:color w:val="auto"/>
                <w:spacing w:val="-5"/>
                <w:kern w:val="2"/>
                <w:sz w:val="21"/>
                <w:szCs w:val="21"/>
              </w:rPr>
              <w:t>诉。</w:t>
            </w:r>
          </w:p>
        </w:tc>
        <w:tc>
          <w:tcPr>
            <w:tcW w:w="1298" w:type="dxa"/>
          </w:tcPr>
          <w:p w14:paraId="0A967A60">
            <w:pPr>
              <w:widowControl w:val="0"/>
              <w:spacing w:before="70" w:line="229" w:lineRule="auto"/>
              <w:ind w:left="272" w:right="258" w:firstLine="50"/>
              <w:rPr>
                <w:rFonts w:hint="eastAsia" w:ascii="宋体" w:hAnsi="宋体" w:eastAsia="宋体" w:cs="宋体"/>
                <w:color w:val="auto"/>
                <w:kern w:val="2"/>
                <w:sz w:val="21"/>
                <w:szCs w:val="21"/>
              </w:rPr>
            </w:pPr>
            <w:r>
              <w:rPr>
                <w:rFonts w:hint="eastAsia" w:ascii="宋体" w:hAnsi="宋体" w:eastAsia="宋体" w:cs="宋体"/>
                <w:color w:val="auto"/>
                <w:spacing w:val="-3"/>
                <w:kern w:val="2"/>
                <w:sz w:val="21"/>
                <w:szCs w:val="21"/>
              </w:rPr>
              <w:t>有效投诉</w:t>
            </w:r>
            <w:r>
              <w:rPr>
                <w:rFonts w:hint="eastAsia" w:ascii="宋体" w:hAnsi="宋体" w:eastAsia="宋体" w:cs="宋体"/>
                <w:color w:val="auto"/>
                <w:kern w:val="2"/>
                <w:sz w:val="21"/>
                <w:szCs w:val="21"/>
              </w:rPr>
              <w:t xml:space="preserve"> </w:t>
            </w:r>
            <w:r>
              <w:rPr>
                <w:rFonts w:hint="eastAsia" w:ascii="宋体" w:hAnsi="宋体" w:eastAsia="宋体" w:cs="宋体"/>
                <w:color w:val="auto"/>
                <w:spacing w:val="-10"/>
                <w:kern w:val="2"/>
                <w:sz w:val="21"/>
                <w:szCs w:val="21"/>
              </w:rPr>
              <w:t>扣</w:t>
            </w:r>
            <w:r>
              <w:rPr>
                <w:rFonts w:hint="eastAsia" w:ascii="宋体" w:hAnsi="宋体" w:eastAsia="宋体" w:cs="宋体"/>
                <w:color w:val="auto"/>
                <w:spacing w:val="-28"/>
                <w:kern w:val="2"/>
                <w:sz w:val="21"/>
                <w:szCs w:val="21"/>
              </w:rPr>
              <w:t xml:space="preserve"> </w:t>
            </w:r>
            <w:r>
              <w:rPr>
                <w:rFonts w:hint="eastAsia" w:ascii="宋体" w:hAnsi="宋体" w:eastAsia="宋体" w:cs="宋体"/>
                <w:color w:val="auto"/>
                <w:spacing w:val="-10"/>
                <w:kern w:val="2"/>
                <w:sz w:val="21"/>
                <w:szCs w:val="21"/>
              </w:rPr>
              <w:t>1</w:t>
            </w:r>
            <w:r>
              <w:rPr>
                <w:rFonts w:hint="eastAsia" w:ascii="宋体" w:hAnsi="宋体" w:eastAsia="宋体" w:cs="宋体"/>
                <w:color w:val="auto"/>
                <w:spacing w:val="-41"/>
                <w:kern w:val="2"/>
                <w:sz w:val="21"/>
                <w:szCs w:val="21"/>
              </w:rPr>
              <w:t xml:space="preserve"> </w:t>
            </w:r>
            <w:r>
              <w:rPr>
                <w:rFonts w:hint="eastAsia" w:ascii="宋体" w:hAnsi="宋体" w:eastAsia="宋体" w:cs="宋体"/>
                <w:color w:val="auto"/>
                <w:spacing w:val="-10"/>
                <w:kern w:val="2"/>
                <w:sz w:val="21"/>
                <w:szCs w:val="21"/>
              </w:rPr>
              <w:t>分/条</w:t>
            </w:r>
          </w:p>
        </w:tc>
        <w:tc>
          <w:tcPr>
            <w:tcW w:w="664" w:type="dxa"/>
          </w:tcPr>
          <w:p w14:paraId="7F2F8060">
            <w:pPr>
              <w:widowControl w:val="0"/>
              <w:spacing w:before="226" w:line="184" w:lineRule="auto"/>
              <w:ind w:firstLine="157"/>
              <w:rPr>
                <w:rFonts w:hint="eastAsia" w:ascii="宋体" w:hAnsi="宋体" w:eastAsia="宋体" w:cs="宋体"/>
                <w:color w:val="auto"/>
                <w:kern w:val="2"/>
                <w:sz w:val="21"/>
                <w:szCs w:val="21"/>
              </w:rPr>
            </w:pPr>
            <w:r>
              <w:rPr>
                <w:rFonts w:hint="eastAsia" w:ascii="宋体" w:hAnsi="宋体" w:eastAsia="宋体" w:cs="宋体"/>
                <w:color w:val="auto"/>
                <w:spacing w:val="-6"/>
                <w:kern w:val="2"/>
                <w:sz w:val="21"/>
                <w:szCs w:val="21"/>
              </w:rPr>
              <w:t>2</w:t>
            </w:r>
            <w:r>
              <w:rPr>
                <w:rFonts w:hint="eastAsia" w:ascii="宋体" w:hAnsi="宋体" w:eastAsia="宋体" w:cs="宋体"/>
                <w:color w:val="auto"/>
                <w:spacing w:val="-40"/>
                <w:kern w:val="2"/>
                <w:sz w:val="21"/>
                <w:szCs w:val="21"/>
              </w:rPr>
              <w:t xml:space="preserve"> </w:t>
            </w:r>
            <w:r>
              <w:rPr>
                <w:rFonts w:hint="eastAsia" w:ascii="宋体" w:hAnsi="宋体" w:eastAsia="宋体" w:cs="宋体"/>
                <w:color w:val="auto"/>
                <w:spacing w:val="-6"/>
                <w:kern w:val="2"/>
                <w:sz w:val="21"/>
                <w:szCs w:val="21"/>
              </w:rPr>
              <w:t>分</w:t>
            </w:r>
          </w:p>
        </w:tc>
        <w:tc>
          <w:tcPr>
            <w:tcW w:w="682" w:type="dxa"/>
          </w:tcPr>
          <w:p w14:paraId="46AF6609">
            <w:pPr>
              <w:widowControl w:val="0"/>
              <w:rPr>
                <w:rFonts w:hint="eastAsia" w:ascii="宋体" w:hAnsi="宋体" w:eastAsia="宋体" w:cs="宋体"/>
                <w:color w:val="auto"/>
                <w:kern w:val="2"/>
                <w:sz w:val="21"/>
                <w:szCs w:val="21"/>
              </w:rPr>
            </w:pPr>
          </w:p>
        </w:tc>
        <w:tc>
          <w:tcPr>
            <w:tcW w:w="687" w:type="dxa"/>
          </w:tcPr>
          <w:p w14:paraId="331E059B">
            <w:pPr>
              <w:widowControl w:val="0"/>
              <w:rPr>
                <w:rFonts w:hint="eastAsia" w:ascii="宋体" w:hAnsi="宋体" w:eastAsia="宋体" w:cs="宋体"/>
                <w:color w:val="auto"/>
                <w:kern w:val="2"/>
                <w:sz w:val="21"/>
                <w:szCs w:val="21"/>
              </w:rPr>
            </w:pPr>
          </w:p>
        </w:tc>
      </w:tr>
      <w:tr w14:paraId="50439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4" w:hRule="atLeast"/>
        </w:trPr>
        <w:tc>
          <w:tcPr>
            <w:tcW w:w="776" w:type="dxa"/>
            <w:vMerge w:val="continue"/>
          </w:tcPr>
          <w:p w14:paraId="5193602E">
            <w:pPr>
              <w:widowControl w:val="0"/>
              <w:rPr>
                <w:rFonts w:hint="eastAsia" w:ascii="宋体" w:hAnsi="宋体" w:eastAsia="宋体" w:cs="宋体"/>
                <w:color w:val="auto"/>
                <w:kern w:val="2"/>
                <w:sz w:val="21"/>
                <w:szCs w:val="21"/>
              </w:rPr>
            </w:pPr>
          </w:p>
        </w:tc>
        <w:tc>
          <w:tcPr>
            <w:tcW w:w="4895" w:type="dxa"/>
          </w:tcPr>
          <w:p w14:paraId="45134D93">
            <w:pPr>
              <w:widowControl w:val="0"/>
              <w:spacing w:before="227" w:line="184" w:lineRule="auto"/>
              <w:ind w:firstLine="35"/>
              <w:rPr>
                <w:rFonts w:hint="eastAsia" w:ascii="宋体" w:hAnsi="宋体" w:eastAsia="宋体" w:cs="宋体"/>
                <w:color w:val="auto"/>
                <w:kern w:val="2"/>
                <w:sz w:val="21"/>
                <w:szCs w:val="21"/>
              </w:rPr>
            </w:pPr>
            <w:r>
              <w:rPr>
                <w:rFonts w:hint="eastAsia" w:ascii="宋体" w:hAnsi="宋体" w:eastAsia="宋体" w:cs="宋体"/>
                <w:color w:val="auto"/>
                <w:spacing w:val="-2"/>
                <w:kern w:val="2"/>
                <w:sz w:val="21"/>
                <w:szCs w:val="21"/>
              </w:rPr>
              <w:t>11、因供应商工作、管理过失造成第三方事故。</w:t>
            </w:r>
          </w:p>
        </w:tc>
        <w:tc>
          <w:tcPr>
            <w:tcW w:w="1298" w:type="dxa"/>
          </w:tcPr>
          <w:p w14:paraId="04BB1A57">
            <w:pPr>
              <w:widowControl w:val="0"/>
              <w:spacing w:before="71" w:line="184" w:lineRule="auto"/>
              <w:ind w:firstLine="215"/>
              <w:rPr>
                <w:rFonts w:hint="eastAsia" w:ascii="宋体" w:hAnsi="宋体" w:eastAsia="宋体" w:cs="宋体"/>
                <w:color w:val="auto"/>
                <w:kern w:val="2"/>
                <w:sz w:val="21"/>
                <w:szCs w:val="21"/>
              </w:rPr>
            </w:pPr>
            <w:r>
              <w:rPr>
                <w:rFonts w:hint="eastAsia" w:ascii="宋体" w:hAnsi="宋体" w:eastAsia="宋体" w:cs="宋体"/>
                <w:color w:val="auto"/>
                <w:spacing w:val="-2"/>
                <w:kern w:val="2"/>
                <w:sz w:val="21"/>
                <w:szCs w:val="21"/>
              </w:rPr>
              <w:t>第三方事故</w:t>
            </w:r>
          </w:p>
          <w:p w14:paraId="5BD7EA48">
            <w:pPr>
              <w:widowControl w:val="0"/>
              <w:spacing w:before="102" w:line="184" w:lineRule="auto"/>
              <w:ind w:firstLine="272"/>
              <w:rPr>
                <w:rFonts w:hint="eastAsia" w:ascii="宋体" w:hAnsi="宋体" w:eastAsia="宋体" w:cs="宋体"/>
                <w:color w:val="auto"/>
                <w:kern w:val="2"/>
                <w:sz w:val="21"/>
                <w:szCs w:val="21"/>
              </w:rPr>
            </w:pPr>
            <w:r>
              <w:rPr>
                <w:rFonts w:hint="eastAsia" w:ascii="宋体" w:hAnsi="宋体" w:eastAsia="宋体" w:cs="宋体"/>
                <w:color w:val="auto"/>
                <w:spacing w:val="-10"/>
                <w:kern w:val="2"/>
                <w:sz w:val="21"/>
                <w:szCs w:val="21"/>
              </w:rPr>
              <w:t>扣</w:t>
            </w:r>
            <w:r>
              <w:rPr>
                <w:rFonts w:hint="eastAsia" w:ascii="宋体" w:hAnsi="宋体" w:eastAsia="宋体" w:cs="宋体"/>
                <w:color w:val="auto"/>
                <w:spacing w:val="-26"/>
                <w:kern w:val="2"/>
                <w:sz w:val="21"/>
                <w:szCs w:val="21"/>
              </w:rPr>
              <w:t xml:space="preserve"> </w:t>
            </w:r>
            <w:r>
              <w:rPr>
                <w:rFonts w:hint="eastAsia" w:ascii="宋体" w:hAnsi="宋体" w:eastAsia="宋体" w:cs="宋体"/>
                <w:color w:val="auto"/>
                <w:spacing w:val="-10"/>
                <w:kern w:val="2"/>
                <w:sz w:val="21"/>
                <w:szCs w:val="21"/>
              </w:rPr>
              <w:t>1</w:t>
            </w:r>
            <w:r>
              <w:rPr>
                <w:rFonts w:hint="eastAsia" w:ascii="宋体" w:hAnsi="宋体" w:eastAsia="宋体" w:cs="宋体"/>
                <w:color w:val="auto"/>
                <w:spacing w:val="-40"/>
                <w:kern w:val="2"/>
                <w:sz w:val="21"/>
                <w:szCs w:val="21"/>
              </w:rPr>
              <w:t xml:space="preserve"> </w:t>
            </w:r>
            <w:r>
              <w:rPr>
                <w:rFonts w:hint="eastAsia" w:ascii="宋体" w:hAnsi="宋体" w:eastAsia="宋体" w:cs="宋体"/>
                <w:color w:val="auto"/>
                <w:spacing w:val="-10"/>
                <w:kern w:val="2"/>
                <w:sz w:val="21"/>
                <w:szCs w:val="21"/>
              </w:rPr>
              <w:t>分/次</w:t>
            </w:r>
          </w:p>
        </w:tc>
        <w:tc>
          <w:tcPr>
            <w:tcW w:w="664" w:type="dxa"/>
          </w:tcPr>
          <w:p w14:paraId="5B296636">
            <w:pPr>
              <w:widowControl w:val="0"/>
              <w:spacing w:before="227" w:line="184" w:lineRule="auto"/>
              <w:ind w:firstLine="157"/>
              <w:rPr>
                <w:rFonts w:hint="eastAsia" w:ascii="宋体" w:hAnsi="宋体" w:eastAsia="宋体" w:cs="宋体"/>
                <w:color w:val="auto"/>
                <w:kern w:val="2"/>
                <w:sz w:val="21"/>
                <w:szCs w:val="21"/>
              </w:rPr>
            </w:pPr>
            <w:r>
              <w:rPr>
                <w:rFonts w:hint="eastAsia" w:ascii="宋体" w:hAnsi="宋体" w:eastAsia="宋体" w:cs="宋体"/>
                <w:color w:val="auto"/>
                <w:spacing w:val="-6"/>
                <w:kern w:val="2"/>
                <w:sz w:val="21"/>
                <w:szCs w:val="21"/>
              </w:rPr>
              <w:t>2</w:t>
            </w:r>
            <w:r>
              <w:rPr>
                <w:rFonts w:hint="eastAsia" w:ascii="宋体" w:hAnsi="宋体" w:eastAsia="宋体" w:cs="宋体"/>
                <w:color w:val="auto"/>
                <w:spacing w:val="-40"/>
                <w:kern w:val="2"/>
                <w:sz w:val="21"/>
                <w:szCs w:val="21"/>
              </w:rPr>
              <w:t xml:space="preserve"> </w:t>
            </w:r>
            <w:r>
              <w:rPr>
                <w:rFonts w:hint="eastAsia" w:ascii="宋体" w:hAnsi="宋体" w:eastAsia="宋体" w:cs="宋体"/>
                <w:color w:val="auto"/>
                <w:spacing w:val="-6"/>
                <w:kern w:val="2"/>
                <w:sz w:val="21"/>
                <w:szCs w:val="21"/>
              </w:rPr>
              <w:t>分</w:t>
            </w:r>
          </w:p>
        </w:tc>
        <w:tc>
          <w:tcPr>
            <w:tcW w:w="682" w:type="dxa"/>
          </w:tcPr>
          <w:p w14:paraId="6694CF59">
            <w:pPr>
              <w:widowControl w:val="0"/>
              <w:rPr>
                <w:rFonts w:hint="eastAsia" w:ascii="宋体" w:hAnsi="宋体" w:eastAsia="宋体" w:cs="宋体"/>
                <w:color w:val="auto"/>
                <w:kern w:val="2"/>
                <w:sz w:val="21"/>
                <w:szCs w:val="21"/>
              </w:rPr>
            </w:pPr>
          </w:p>
        </w:tc>
        <w:tc>
          <w:tcPr>
            <w:tcW w:w="687" w:type="dxa"/>
          </w:tcPr>
          <w:p w14:paraId="5BCAADE5">
            <w:pPr>
              <w:widowControl w:val="0"/>
              <w:rPr>
                <w:rFonts w:hint="eastAsia" w:ascii="宋体" w:hAnsi="宋体" w:eastAsia="宋体" w:cs="宋体"/>
                <w:color w:val="auto"/>
                <w:kern w:val="2"/>
                <w:sz w:val="21"/>
                <w:szCs w:val="21"/>
              </w:rPr>
            </w:pPr>
          </w:p>
        </w:tc>
      </w:tr>
      <w:tr w14:paraId="6ECF9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6" w:hRule="atLeast"/>
        </w:trPr>
        <w:tc>
          <w:tcPr>
            <w:tcW w:w="776" w:type="dxa"/>
            <w:vMerge w:val="continue"/>
          </w:tcPr>
          <w:p w14:paraId="39503F22">
            <w:pPr>
              <w:widowControl w:val="0"/>
              <w:rPr>
                <w:rFonts w:hint="eastAsia" w:ascii="宋体" w:hAnsi="宋体" w:eastAsia="宋体" w:cs="宋体"/>
                <w:color w:val="auto"/>
                <w:kern w:val="2"/>
                <w:sz w:val="21"/>
                <w:szCs w:val="21"/>
              </w:rPr>
            </w:pPr>
          </w:p>
        </w:tc>
        <w:tc>
          <w:tcPr>
            <w:tcW w:w="4895" w:type="dxa"/>
          </w:tcPr>
          <w:p w14:paraId="5B828662">
            <w:pPr>
              <w:widowControl w:val="0"/>
              <w:spacing w:before="226" w:line="184" w:lineRule="auto"/>
              <w:ind w:firstLine="35"/>
              <w:rPr>
                <w:rFonts w:hint="eastAsia" w:ascii="宋体" w:hAnsi="宋体" w:eastAsia="宋体" w:cs="宋体"/>
                <w:color w:val="auto"/>
                <w:kern w:val="2"/>
                <w:sz w:val="21"/>
                <w:szCs w:val="21"/>
              </w:rPr>
            </w:pPr>
            <w:r>
              <w:rPr>
                <w:rFonts w:hint="eastAsia" w:ascii="宋体" w:hAnsi="宋体" w:eastAsia="宋体" w:cs="宋体"/>
                <w:color w:val="auto"/>
                <w:spacing w:val="-2"/>
                <w:kern w:val="2"/>
                <w:sz w:val="21"/>
                <w:szCs w:val="21"/>
              </w:rPr>
              <w:t>12、因供应商工作、管理过失造成媒体负面曝光。</w:t>
            </w:r>
          </w:p>
        </w:tc>
        <w:tc>
          <w:tcPr>
            <w:tcW w:w="1298" w:type="dxa"/>
          </w:tcPr>
          <w:p w14:paraId="12DE707A">
            <w:pPr>
              <w:widowControl w:val="0"/>
              <w:spacing w:before="71" w:line="229" w:lineRule="auto"/>
              <w:ind w:left="272" w:right="258" w:firstLine="49"/>
              <w:rPr>
                <w:rFonts w:hint="eastAsia" w:ascii="宋体" w:hAnsi="宋体" w:eastAsia="宋体" w:cs="宋体"/>
                <w:color w:val="auto"/>
                <w:kern w:val="2"/>
                <w:sz w:val="21"/>
                <w:szCs w:val="21"/>
              </w:rPr>
            </w:pPr>
            <w:r>
              <w:rPr>
                <w:rFonts w:hint="eastAsia" w:ascii="宋体" w:hAnsi="宋体" w:eastAsia="宋体" w:cs="宋体"/>
                <w:color w:val="auto"/>
                <w:spacing w:val="-3"/>
                <w:kern w:val="2"/>
                <w:sz w:val="21"/>
                <w:szCs w:val="21"/>
              </w:rPr>
              <w:t>媒体曝光</w:t>
            </w:r>
            <w:r>
              <w:rPr>
                <w:rFonts w:hint="eastAsia" w:ascii="宋体" w:hAnsi="宋体" w:eastAsia="宋体" w:cs="宋体"/>
                <w:color w:val="auto"/>
                <w:spacing w:val="1"/>
                <w:kern w:val="2"/>
                <w:sz w:val="21"/>
                <w:szCs w:val="21"/>
              </w:rPr>
              <w:t xml:space="preserve"> </w:t>
            </w:r>
            <w:r>
              <w:rPr>
                <w:rFonts w:hint="eastAsia" w:ascii="宋体" w:hAnsi="宋体" w:eastAsia="宋体" w:cs="宋体"/>
                <w:color w:val="auto"/>
                <w:spacing w:val="-8"/>
                <w:kern w:val="2"/>
                <w:sz w:val="21"/>
                <w:szCs w:val="21"/>
              </w:rPr>
              <w:t>扣</w:t>
            </w:r>
            <w:r>
              <w:rPr>
                <w:rFonts w:hint="eastAsia" w:ascii="宋体" w:hAnsi="宋体" w:eastAsia="宋体" w:cs="宋体"/>
                <w:color w:val="auto"/>
                <w:spacing w:val="-38"/>
                <w:kern w:val="2"/>
                <w:sz w:val="21"/>
                <w:szCs w:val="21"/>
              </w:rPr>
              <w:t xml:space="preserve"> </w:t>
            </w:r>
            <w:r>
              <w:rPr>
                <w:rFonts w:hint="eastAsia" w:ascii="宋体" w:hAnsi="宋体" w:eastAsia="宋体" w:cs="宋体"/>
                <w:color w:val="auto"/>
                <w:spacing w:val="-8"/>
                <w:kern w:val="2"/>
                <w:sz w:val="21"/>
                <w:szCs w:val="21"/>
              </w:rPr>
              <w:t>2</w:t>
            </w:r>
            <w:r>
              <w:rPr>
                <w:rFonts w:hint="eastAsia" w:ascii="宋体" w:hAnsi="宋体" w:eastAsia="宋体" w:cs="宋体"/>
                <w:color w:val="auto"/>
                <w:spacing w:val="-41"/>
                <w:kern w:val="2"/>
                <w:sz w:val="21"/>
                <w:szCs w:val="21"/>
              </w:rPr>
              <w:t xml:space="preserve"> </w:t>
            </w:r>
            <w:r>
              <w:rPr>
                <w:rFonts w:hint="eastAsia" w:ascii="宋体" w:hAnsi="宋体" w:eastAsia="宋体" w:cs="宋体"/>
                <w:color w:val="auto"/>
                <w:spacing w:val="-8"/>
                <w:kern w:val="2"/>
                <w:sz w:val="21"/>
                <w:szCs w:val="21"/>
              </w:rPr>
              <w:t>分/次</w:t>
            </w:r>
          </w:p>
        </w:tc>
        <w:tc>
          <w:tcPr>
            <w:tcW w:w="664" w:type="dxa"/>
          </w:tcPr>
          <w:p w14:paraId="4DC3B997">
            <w:pPr>
              <w:widowControl w:val="0"/>
              <w:spacing w:before="226" w:line="184" w:lineRule="auto"/>
              <w:ind w:firstLine="154"/>
              <w:rPr>
                <w:rFonts w:hint="eastAsia" w:ascii="宋体" w:hAnsi="宋体" w:eastAsia="宋体" w:cs="宋体"/>
                <w:color w:val="auto"/>
                <w:kern w:val="2"/>
                <w:sz w:val="21"/>
                <w:szCs w:val="21"/>
              </w:rPr>
            </w:pPr>
            <w:r>
              <w:rPr>
                <w:rFonts w:hint="eastAsia" w:ascii="宋体" w:hAnsi="宋体" w:eastAsia="宋体" w:cs="宋体"/>
                <w:color w:val="auto"/>
                <w:spacing w:val="-4"/>
                <w:kern w:val="2"/>
                <w:sz w:val="21"/>
                <w:szCs w:val="21"/>
              </w:rPr>
              <w:t>4</w:t>
            </w:r>
            <w:r>
              <w:rPr>
                <w:rFonts w:hint="eastAsia" w:ascii="宋体" w:hAnsi="宋体" w:eastAsia="宋体" w:cs="宋体"/>
                <w:color w:val="auto"/>
                <w:spacing w:val="-41"/>
                <w:kern w:val="2"/>
                <w:sz w:val="21"/>
                <w:szCs w:val="21"/>
              </w:rPr>
              <w:t xml:space="preserve"> </w:t>
            </w:r>
            <w:r>
              <w:rPr>
                <w:rFonts w:hint="eastAsia" w:ascii="宋体" w:hAnsi="宋体" w:eastAsia="宋体" w:cs="宋体"/>
                <w:color w:val="auto"/>
                <w:spacing w:val="-4"/>
                <w:kern w:val="2"/>
                <w:sz w:val="21"/>
                <w:szCs w:val="21"/>
              </w:rPr>
              <w:t>分</w:t>
            </w:r>
          </w:p>
        </w:tc>
        <w:tc>
          <w:tcPr>
            <w:tcW w:w="682" w:type="dxa"/>
          </w:tcPr>
          <w:p w14:paraId="2F71CE6E">
            <w:pPr>
              <w:widowControl w:val="0"/>
              <w:rPr>
                <w:rFonts w:hint="eastAsia" w:ascii="宋体" w:hAnsi="宋体" w:eastAsia="宋体" w:cs="宋体"/>
                <w:color w:val="auto"/>
                <w:kern w:val="2"/>
                <w:sz w:val="21"/>
                <w:szCs w:val="21"/>
              </w:rPr>
            </w:pPr>
          </w:p>
        </w:tc>
        <w:tc>
          <w:tcPr>
            <w:tcW w:w="687" w:type="dxa"/>
          </w:tcPr>
          <w:p w14:paraId="11E210DF">
            <w:pPr>
              <w:widowControl w:val="0"/>
              <w:rPr>
                <w:rFonts w:hint="eastAsia" w:ascii="宋体" w:hAnsi="宋体" w:eastAsia="宋体" w:cs="宋体"/>
                <w:color w:val="auto"/>
                <w:kern w:val="2"/>
                <w:sz w:val="21"/>
                <w:szCs w:val="21"/>
              </w:rPr>
            </w:pPr>
          </w:p>
        </w:tc>
      </w:tr>
      <w:tr w14:paraId="5E7D8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6" w:hRule="atLeast"/>
        </w:trPr>
        <w:tc>
          <w:tcPr>
            <w:tcW w:w="776" w:type="dxa"/>
            <w:vMerge w:val="continue"/>
          </w:tcPr>
          <w:p w14:paraId="280E4E6E">
            <w:pPr>
              <w:widowControl w:val="0"/>
              <w:rPr>
                <w:rFonts w:hint="eastAsia" w:ascii="宋体" w:hAnsi="宋体" w:eastAsia="宋体" w:cs="宋体"/>
                <w:color w:val="auto"/>
                <w:kern w:val="2"/>
                <w:sz w:val="21"/>
                <w:szCs w:val="21"/>
              </w:rPr>
            </w:pPr>
          </w:p>
        </w:tc>
        <w:tc>
          <w:tcPr>
            <w:tcW w:w="4895" w:type="dxa"/>
          </w:tcPr>
          <w:p w14:paraId="1123A326">
            <w:pPr>
              <w:widowControl w:val="0"/>
              <w:spacing w:before="226" w:line="184" w:lineRule="auto"/>
              <w:ind w:firstLine="35"/>
              <w:rPr>
                <w:rFonts w:hint="eastAsia" w:ascii="宋体" w:hAnsi="宋体" w:eastAsia="宋体" w:cs="宋体"/>
                <w:color w:val="auto"/>
                <w:spacing w:val="-2"/>
                <w:kern w:val="2"/>
                <w:sz w:val="21"/>
                <w:szCs w:val="21"/>
              </w:rPr>
            </w:pPr>
            <w:r>
              <w:rPr>
                <w:rFonts w:hint="eastAsia" w:ascii="宋体" w:hAnsi="宋体" w:eastAsia="宋体" w:cs="宋体"/>
                <w:color w:val="auto"/>
                <w:spacing w:val="2"/>
                <w:kern w:val="2"/>
                <w:sz w:val="21"/>
                <w:szCs w:val="21"/>
              </w:rPr>
              <w:t>13、因供应商工作、管理过失在各类检查中（如环</w:t>
            </w:r>
            <w:r>
              <w:rPr>
                <w:rFonts w:hint="eastAsia" w:ascii="宋体" w:hAnsi="宋体" w:eastAsia="宋体" w:cs="宋体"/>
                <w:color w:val="auto"/>
                <w:spacing w:val="-15"/>
                <w:kern w:val="2"/>
                <w:sz w:val="21"/>
                <w:szCs w:val="21"/>
              </w:rPr>
              <w:t>保督查等）</w:t>
            </w:r>
            <w:r>
              <w:rPr>
                <w:rFonts w:hint="eastAsia" w:ascii="宋体" w:hAnsi="宋体" w:eastAsia="宋体" w:cs="宋体"/>
                <w:color w:val="auto"/>
                <w:spacing w:val="18"/>
                <w:kern w:val="2"/>
                <w:sz w:val="21"/>
                <w:szCs w:val="21"/>
              </w:rPr>
              <w:t xml:space="preserve"> </w:t>
            </w:r>
            <w:r>
              <w:rPr>
                <w:rFonts w:hint="eastAsia" w:ascii="宋体" w:hAnsi="宋体" w:eastAsia="宋体" w:cs="宋体"/>
                <w:color w:val="auto"/>
                <w:spacing w:val="-15"/>
                <w:kern w:val="2"/>
                <w:sz w:val="21"/>
                <w:szCs w:val="21"/>
              </w:rPr>
              <w:t>被通报。</w:t>
            </w:r>
          </w:p>
        </w:tc>
        <w:tc>
          <w:tcPr>
            <w:tcW w:w="1298" w:type="dxa"/>
          </w:tcPr>
          <w:p w14:paraId="02C4BAC6">
            <w:pPr>
              <w:widowControl w:val="0"/>
              <w:spacing w:before="71" w:line="229" w:lineRule="auto"/>
              <w:ind w:left="272" w:right="258" w:firstLine="49"/>
              <w:rPr>
                <w:rFonts w:hint="eastAsia" w:ascii="宋体" w:hAnsi="宋体" w:eastAsia="宋体" w:cs="宋体"/>
                <w:color w:val="auto"/>
                <w:spacing w:val="-3"/>
                <w:kern w:val="2"/>
                <w:sz w:val="21"/>
                <w:szCs w:val="21"/>
              </w:rPr>
            </w:pPr>
            <w:r>
              <w:rPr>
                <w:rFonts w:hint="eastAsia" w:ascii="宋体" w:hAnsi="宋体" w:eastAsia="宋体" w:cs="宋体"/>
                <w:color w:val="auto"/>
                <w:spacing w:val="-9"/>
                <w:kern w:val="2"/>
                <w:sz w:val="21"/>
                <w:szCs w:val="21"/>
              </w:rPr>
              <w:t>问题通报</w:t>
            </w:r>
            <w:r>
              <w:rPr>
                <w:rFonts w:hint="eastAsia" w:ascii="宋体" w:hAnsi="宋体" w:eastAsia="宋体" w:cs="宋体"/>
                <w:color w:val="auto"/>
                <w:spacing w:val="2"/>
                <w:kern w:val="2"/>
                <w:sz w:val="21"/>
                <w:szCs w:val="21"/>
              </w:rPr>
              <w:t xml:space="preserve"> </w:t>
            </w:r>
            <w:r>
              <w:rPr>
                <w:rFonts w:hint="eastAsia" w:ascii="宋体" w:hAnsi="宋体" w:eastAsia="宋体" w:cs="宋体"/>
                <w:color w:val="auto"/>
                <w:spacing w:val="-8"/>
                <w:kern w:val="2"/>
                <w:sz w:val="21"/>
                <w:szCs w:val="21"/>
              </w:rPr>
              <w:t>扣</w:t>
            </w:r>
            <w:r>
              <w:rPr>
                <w:rFonts w:hint="eastAsia" w:ascii="宋体" w:hAnsi="宋体" w:eastAsia="宋体" w:cs="宋体"/>
                <w:color w:val="auto"/>
                <w:spacing w:val="-38"/>
                <w:kern w:val="2"/>
                <w:sz w:val="21"/>
                <w:szCs w:val="21"/>
              </w:rPr>
              <w:t xml:space="preserve"> </w:t>
            </w:r>
            <w:r>
              <w:rPr>
                <w:rFonts w:hint="eastAsia" w:ascii="宋体" w:hAnsi="宋体" w:eastAsia="宋体" w:cs="宋体"/>
                <w:color w:val="auto"/>
                <w:spacing w:val="-8"/>
                <w:kern w:val="2"/>
                <w:sz w:val="21"/>
                <w:szCs w:val="21"/>
              </w:rPr>
              <w:t>2</w:t>
            </w:r>
            <w:r>
              <w:rPr>
                <w:rFonts w:hint="eastAsia" w:ascii="宋体" w:hAnsi="宋体" w:eastAsia="宋体" w:cs="宋体"/>
                <w:color w:val="auto"/>
                <w:spacing w:val="-41"/>
                <w:kern w:val="2"/>
                <w:sz w:val="21"/>
                <w:szCs w:val="21"/>
              </w:rPr>
              <w:t xml:space="preserve"> </w:t>
            </w:r>
            <w:r>
              <w:rPr>
                <w:rFonts w:hint="eastAsia" w:ascii="宋体" w:hAnsi="宋体" w:eastAsia="宋体" w:cs="宋体"/>
                <w:color w:val="auto"/>
                <w:spacing w:val="-8"/>
                <w:kern w:val="2"/>
                <w:sz w:val="21"/>
                <w:szCs w:val="21"/>
              </w:rPr>
              <w:t>分/处</w:t>
            </w:r>
          </w:p>
        </w:tc>
        <w:tc>
          <w:tcPr>
            <w:tcW w:w="664" w:type="dxa"/>
          </w:tcPr>
          <w:p w14:paraId="48A93E6A">
            <w:pPr>
              <w:widowControl w:val="0"/>
              <w:spacing w:before="226" w:line="184" w:lineRule="auto"/>
              <w:ind w:firstLine="154"/>
              <w:rPr>
                <w:rFonts w:hint="eastAsia" w:ascii="宋体" w:hAnsi="宋体" w:eastAsia="宋体" w:cs="宋体"/>
                <w:color w:val="auto"/>
                <w:spacing w:val="-4"/>
                <w:kern w:val="2"/>
                <w:sz w:val="21"/>
                <w:szCs w:val="21"/>
              </w:rPr>
            </w:pPr>
            <w:r>
              <w:rPr>
                <w:rFonts w:hint="eastAsia" w:ascii="宋体" w:hAnsi="宋体" w:eastAsia="宋体" w:cs="宋体"/>
                <w:color w:val="auto"/>
                <w:spacing w:val="-6"/>
                <w:kern w:val="2"/>
                <w:sz w:val="21"/>
                <w:szCs w:val="21"/>
              </w:rPr>
              <w:t>2</w:t>
            </w:r>
            <w:r>
              <w:rPr>
                <w:rFonts w:hint="eastAsia" w:ascii="宋体" w:hAnsi="宋体" w:eastAsia="宋体" w:cs="宋体"/>
                <w:color w:val="auto"/>
                <w:spacing w:val="-40"/>
                <w:kern w:val="2"/>
                <w:sz w:val="21"/>
                <w:szCs w:val="21"/>
              </w:rPr>
              <w:t xml:space="preserve"> </w:t>
            </w:r>
            <w:r>
              <w:rPr>
                <w:rFonts w:hint="eastAsia" w:ascii="宋体" w:hAnsi="宋体" w:eastAsia="宋体" w:cs="宋体"/>
                <w:color w:val="auto"/>
                <w:spacing w:val="-6"/>
                <w:kern w:val="2"/>
                <w:sz w:val="21"/>
                <w:szCs w:val="21"/>
              </w:rPr>
              <w:t>分</w:t>
            </w:r>
          </w:p>
        </w:tc>
        <w:tc>
          <w:tcPr>
            <w:tcW w:w="682" w:type="dxa"/>
          </w:tcPr>
          <w:p w14:paraId="4F253F65">
            <w:pPr>
              <w:widowControl w:val="0"/>
              <w:rPr>
                <w:rFonts w:hint="eastAsia" w:ascii="宋体" w:hAnsi="宋体" w:eastAsia="宋体" w:cs="宋体"/>
                <w:color w:val="auto"/>
                <w:kern w:val="2"/>
                <w:sz w:val="21"/>
                <w:szCs w:val="21"/>
              </w:rPr>
            </w:pPr>
          </w:p>
        </w:tc>
        <w:tc>
          <w:tcPr>
            <w:tcW w:w="687" w:type="dxa"/>
          </w:tcPr>
          <w:p w14:paraId="703F973E">
            <w:pPr>
              <w:widowControl w:val="0"/>
              <w:rPr>
                <w:rFonts w:hint="eastAsia" w:ascii="宋体" w:hAnsi="宋体" w:eastAsia="宋体" w:cs="宋体"/>
                <w:color w:val="auto"/>
                <w:kern w:val="2"/>
                <w:sz w:val="21"/>
                <w:szCs w:val="21"/>
              </w:rPr>
            </w:pPr>
          </w:p>
        </w:tc>
      </w:tr>
      <w:tr w14:paraId="22551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6" w:hRule="atLeast"/>
        </w:trPr>
        <w:tc>
          <w:tcPr>
            <w:tcW w:w="9002" w:type="dxa"/>
            <w:gridSpan w:val="6"/>
          </w:tcPr>
          <w:p w14:paraId="7CC8A2C6">
            <w:pPr>
              <w:widowControl w:val="0"/>
              <w:spacing w:before="45" w:line="184" w:lineRule="auto"/>
              <w:ind w:firstLine="118"/>
              <w:rPr>
                <w:rFonts w:hint="eastAsia" w:ascii="宋体" w:hAnsi="宋体" w:eastAsia="宋体" w:cs="宋体"/>
                <w:color w:val="auto"/>
                <w:kern w:val="2"/>
                <w:sz w:val="21"/>
                <w:szCs w:val="21"/>
              </w:rPr>
            </w:pPr>
            <w:r>
              <w:rPr>
                <w:rFonts w:hint="eastAsia" w:ascii="宋体" w:hAnsi="宋体" w:eastAsia="宋体" w:cs="宋体"/>
                <w:color w:val="auto"/>
                <w:spacing w:val="-5"/>
                <w:kern w:val="2"/>
                <w:sz w:val="21"/>
                <w:szCs w:val="21"/>
              </w:rPr>
              <w:t>备注：</w:t>
            </w:r>
          </w:p>
          <w:p w14:paraId="3A4F7775">
            <w:pPr>
              <w:widowControl w:val="0"/>
              <w:spacing w:before="71" w:line="184" w:lineRule="auto"/>
              <w:ind w:firstLine="121"/>
              <w:rPr>
                <w:rFonts w:hint="eastAsia" w:ascii="宋体" w:hAnsi="宋体" w:eastAsia="宋体" w:cs="宋体"/>
                <w:color w:val="auto"/>
                <w:kern w:val="2"/>
                <w:sz w:val="21"/>
                <w:szCs w:val="21"/>
              </w:rPr>
            </w:pPr>
            <w:r>
              <w:rPr>
                <w:rFonts w:hint="eastAsia" w:ascii="宋体" w:hAnsi="宋体" w:eastAsia="宋体" w:cs="宋体"/>
                <w:color w:val="auto"/>
                <w:spacing w:val="-1"/>
                <w:kern w:val="2"/>
                <w:sz w:val="21"/>
                <w:szCs w:val="21"/>
              </w:rPr>
              <w:t>季度核得分90到100分，不做处罚；</w:t>
            </w:r>
          </w:p>
          <w:p w14:paraId="210F80C2">
            <w:pPr>
              <w:widowControl w:val="0"/>
              <w:spacing w:before="71" w:line="184" w:lineRule="auto"/>
              <w:ind w:firstLine="121"/>
              <w:rPr>
                <w:rFonts w:hint="eastAsia" w:ascii="宋体" w:hAnsi="宋体" w:eastAsia="宋体" w:cs="宋体"/>
                <w:color w:val="auto"/>
                <w:kern w:val="2"/>
                <w:sz w:val="21"/>
                <w:szCs w:val="21"/>
              </w:rPr>
            </w:pPr>
            <w:r>
              <w:rPr>
                <w:rFonts w:hint="eastAsia" w:ascii="宋体" w:hAnsi="宋体" w:eastAsia="宋体" w:cs="宋体"/>
                <w:color w:val="auto"/>
                <w:spacing w:val="-1"/>
                <w:kern w:val="2"/>
                <w:sz w:val="21"/>
                <w:szCs w:val="21"/>
              </w:rPr>
              <w:t>季度核得分80到89分，扣款2万元；</w:t>
            </w:r>
          </w:p>
          <w:p w14:paraId="066F2076">
            <w:pPr>
              <w:widowControl w:val="0"/>
              <w:spacing w:before="69" w:line="184" w:lineRule="auto"/>
              <w:ind w:firstLine="121"/>
              <w:rPr>
                <w:rFonts w:hint="eastAsia" w:ascii="宋体" w:hAnsi="宋体" w:eastAsia="宋体" w:cs="宋体"/>
                <w:color w:val="auto"/>
                <w:kern w:val="2"/>
                <w:sz w:val="21"/>
                <w:szCs w:val="21"/>
              </w:rPr>
            </w:pPr>
            <w:r>
              <w:rPr>
                <w:rFonts w:hint="eastAsia" w:ascii="宋体" w:hAnsi="宋体" w:eastAsia="宋体" w:cs="宋体"/>
                <w:color w:val="auto"/>
                <w:spacing w:val="-1"/>
                <w:kern w:val="2"/>
                <w:sz w:val="21"/>
                <w:szCs w:val="21"/>
              </w:rPr>
              <w:t>季度核得分60到79分，扣款4万元；</w:t>
            </w:r>
          </w:p>
          <w:p w14:paraId="2BF87973">
            <w:pPr>
              <w:widowControl w:val="0"/>
              <w:rPr>
                <w:rFonts w:hint="eastAsia" w:ascii="宋体" w:hAnsi="宋体" w:eastAsia="宋体" w:cs="宋体"/>
                <w:color w:val="auto"/>
                <w:kern w:val="2"/>
                <w:sz w:val="21"/>
                <w:szCs w:val="21"/>
              </w:rPr>
            </w:pPr>
            <w:r>
              <w:rPr>
                <w:rFonts w:hint="eastAsia" w:ascii="宋体" w:hAnsi="宋体" w:eastAsia="宋体" w:cs="宋体"/>
                <w:color w:val="auto"/>
                <w:spacing w:val="-1"/>
                <w:kern w:val="2"/>
                <w:sz w:val="21"/>
                <w:szCs w:val="21"/>
              </w:rPr>
              <w:t>季度核得分60分以下为不合格，扣款8万元，并计黄牌一次。</w:t>
            </w:r>
          </w:p>
        </w:tc>
      </w:tr>
    </w:tbl>
    <w:p w14:paraId="3E9ECB4E">
      <w:pPr>
        <w:widowControl/>
        <w:pBdr>
          <w:top w:val="none" w:color="000000" w:sz="0" w:space="0"/>
          <w:left w:val="none" w:color="000000" w:sz="0" w:space="0"/>
          <w:bottom w:val="none" w:color="000000" w:sz="0" w:space="0"/>
          <w:right w:val="none" w:color="000000" w:sz="0" w:space="0"/>
        </w:pBdr>
        <w:spacing w:before="0" w:after="0" w:line="85" w:lineRule="atLeast"/>
        <w:ind w:left="0" w:right="0" w:firstLine="420"/>
        <w:jc w:val="both"/>
        <w:rPr>
          <w:rFonts w:ascii="Times New Roman" w:hAnsi="Times New Roman" w:eastAsia="宋体" w:cs="Times New Roman"/>
          <w:color w:val="auto"/>
          <w:szCs w:val="24"/>
        </w:rPr>
      </w:pPr>
    </w:p>
    <w:p w14:paraId="2F722FB8">
      <w:pPr>
        <w:widowControl w:val="0"/>
        <w:jc w:val="left"/>
        <w:rPr>
          <w:rFonts w:ascii="Times New Roman" w:hAnsi="Times New Roman" w:eastAsia="宋体" w:cs="Times New Roman"/>
          <w:b/>
          <w:bCs/>
          <w:color w:val="auto"/>
          <w:kern w:val="2"/>
          <w:sz w:val="21"/>
          <w:szCs w:val="21"/>
          <w:lang w:val="en-US" w:eastAsia="zh-CN" w:bidi="ar-SA"/>
        </w:rPr>
      </w:pPr>
      <w:r>
        <w:rPr>
          <w:rFonts w:hint="eastAsia" w:ascii="宋体" w:hAnsi="宋体" w:eastAsia="宋体" w:cs="宋体"/>
          <w:b/>
          <w:bCs/>
          <w:color w:val="auto"/>
          <w:kern w:val="2"/>
          <w:sz w:val="21"/>
          <w:szCs w:val="21"/>
          <w:lang w:val="en-US" w:eastAsia="zh-CN" w:bidi="ar-SA"/>
        </w:rPr>
        <w:t>注：本章★项需在投标文件格式中对应的商务、技术偏离表中一一响应，否则按无效标处理。</w:t>
      </w:r>
    </w:p>
    <w:p w14:paraId="16A35B27">
      <w:pPr>
        <w:pBdr>
          <w:top w:val="none" w:color="000000" w:sz="0" w:space="0"/>
          <w:left w:val="none" w:color="000000" w:sz="0" w:space="0"/>
          <w:bottom w:val="none" w:color="000000" w:sz="0" w:space="0"/>
          <w:right w:val="none" w:color="000000" w:sz="0" w:space="0"/>
        </w:pBdr>
        <w:spacing w:before="0" w:after="0" w:line="85" w:lineRule="atLeast"/>
        <w:ind w:left="0" w:right="0" w:firstLine="2107"/>
        <w:jc w:val="both"/>
        <w:rPr>
          <w:color w:val="auto"/>
        </w:rPr>
      </w:pPr>
      <w:r>
        <w:rPr>
          <w:color w:val="auto"/>
        </w:rPr>
        <w:br w:type="page" w:clear="all"/>
      </w:r>
    </w:p>
    <w:p w14:paraId="635C063F">
      <w:pPr>
        <w:pBdr>
          <w:top w:val="none" w:color="000000" w:sz="0" w:space="0"/>
          <w:left w:val="none" w:color="000000" w:sz="0" w:space="0"/>
          <w:bottom w:val="none" w:color="000000" w:sz="0" w:space="0"/>
          <w:right w:val="none" w:color="000000" w:sz="0" w:space="0"/>
        </w:pBdr>
        <w:tabs>
          <w:tab w:val="left" w:pos="3852"/>
        </w:tabs>
        <w:spacing w:before="0" w:after="0"/>
        <w:ind w:left="0" w:right="0" w:firstLine="0"/>
        <w:jc w:val="center"/>
        <w:rPr>
          <w:color w:val="auto"/>
        </w:rPr>
      </w:pPr>
      <w:r>
        <w:rPr>
          <w:rFonts w:ascii="黑体" w:hAnsi="黑体" w:eastAsia="黑体" w:cs="黑体"/>
          <w:color w:val="auto"/>
          <w:sz w:val="32"/>
        </w:rPr>
        <w:t>第五章</w:t>
      </w:r>
      <w:r>
        <w:rPr>
          <w:rFonts w:hint="eastAsia" w:ascii="黑体" w:hAnsi="黑体" w:eastAsia="黑体" w:cs="黑体"/>
          <w:color w:val="auto"/>
          <w:sz w:val="32"/>
          <w:lang w:val="en-US" w:eastAsia="zh-CN"/>
        </w:rPr>
        <w:t xml:space="preserve">  </w:t>
      </w:r>
      <w:r>
        <w:rPr>
          <w:rFonts w:ascii="黑体" w:hAnsi="黑体" w:eastAsia="黑体" w:cs="黑体"/>
          <w:color w:val="auto"/>
          <w:sz w:val="32"/>
        </w:rPr>
        <w:t>合同草案条款及格式</w:t>
      </w:r>
    </w:p>
    <w:p w14:paraId="4E3E24A3">
      <w:pPr>
        <w:widowControl/>
        <w:spacing w:line="360" w:lineRule="auto"/>
        <w:jc w:val="center"/>
        <w:rPr>
          <w:rFonts w:hint="eastAsia" w:ascii="宋体" w:hAnsi="宋体" w:eastAsia="宋体" w:cs="Times New Roman"/>
          <w:b/>
          <w:bCs/>
          <w:color w:val="auto"/>
          <w:kern w:val="2"/>
          <w:sz w:val="44"/>
          <w:szCs w:val="44"/>
          <w:lang w:eastAsia="zh-CN"/>
        </w:rPr>
      </w:pPr>
      <w:r>
        <w:rPr>
          <w:rFonts w:hint="eastAsia" w:ascii="宋体" w:hAnsi="宋体" w:eastAsia="宋体" w:cs="Times New Roman"/>
          <w:b/>
          <w:bCs/>
          <w:color w:val="auto"/>
          <w:kern w:val="2"/>
          <w:sz w:val="44"/>
          <w:szCs w:val="44"/>
          <w:lang w:eastAsia="zh-CN"/>
        </w:rPr>
        <w:t>仙林地区市政雨水管道养护及应急抢修服务项目</w:t>
      </w:r>
    </w:p>
    <w:p w14:paraId="4F9BB285">
      <w:pPr>
        <w:widowControl/>
        <w:spacing w:line="360" w:lineRule="auto"/>
        <w:ind w:firstLine="1916"/>
        <w:rPr>
          <w:rFonts w:hint="default" w:ascii="宋体" w:hAnsi="宋体" w:eastAsia="宋体" w:cs="Times New Roman"/>
          <w:b/>
          <w:bCs/>
          <w:color w:val="auto"/>
          <w:kern w:val="2"/>
          <w:sz w:val="30"/>
          <w:szCs w:val="30"/>
        </w:rPr>
      </w:pPr>
    </w:p>
    <w:p w14:paraId="48EC8A4E">
      <w:pPr>
        <w:widowControl/>
        <w:spacing w:line="360" w:lineRule="auto"/>
        <w:ind w:firstLine="1916"/>
        <w:rPr>
          <w:rFonts w:hint="default" w:ascii="宋体" w:hAnsi="宋体" w:eastAsia="宋体" w:cs="Times New Roman"/>
          <w:b/>
          <w:bCs/>
          <w:color w:val="auto"/>
          <w:kern w:val="2"/>
          <w:sz w:val="30"/>
          <w:szCs w:val="30"/>
        </w:rPr>
      </w:pPr>
    </w:p>
    <w:p w14:paraId="39EF1145">
      <w:pPr>
        <w:widowControl/>
        <w:spacing w:line="360" w:lineRule="auto"/>
        <w:rPr>
          <w:rFonts w:hint="default" w:ascii="宋体" w:hAnsi="宋体" w:eastAsia="宋体" w:cs="Times New Roman"/>
          <w:color w:val="auto"/>
          <w:kern w:val="2"/>
          <w:szCs w:val="21"/>
        </w:rPr>
      </w:pPr>
    </w:p>
    <w:p w14:paraId="312D82A9">
      <w:pPr>
        <w:widowControl/>
        <w:spacing w:line="360" w:lineRule="auto"/>
        <w:jc w:val="center"/>
        <w:rPr>
          <w:rFonts w:hint="default" w:ascii="宋体" w:hAnsi="宋体" w:eastAsia="宋体" w:cs="Times New Roman"/>
          <w:b/>
          <w:bCs/>
          <w:color w:val="auto"/>
          <w:kern w:val="2"/>
          <w:sz w:val="30"/>
          <w:szCs w:val="30"/>
        </w:rPr>
      </w:pPr>
    </w:p>
    <w:p w14:paraId="7A68E716">
      <w:pPr>
        <w:widowControl/>
        <w:spacing w:line="360" w:lineRule="auto"/>
        <w:jc w:val="center"/>
        <w:rPr>
          <w:rFonts w:hint="default" w:ascii="宋体" w:hAnsi="宋体" w:eastAsia="宋体" w:cs="Times New Roman"/>
          <w:b/>
          <w:bCs/>
          <w:color w:val="auto"/>
          <w:kern w:val="2"/>
          <w:sz w:val="30"/>
          <w:szCs w:val="30"/>
        </w:rPr>
      </w:pPr>
    </w:p>
    <w:p w14:paraId="4EA59EEA">
      <w:pPr>
        <w:widowControl/>
        <w:spacing w:line="360" w:lineRule="auto"/>
        <w:jc w:val="center"/>
        <w:rPr>
          <w:rFonts w:hint="default" w:ascii="宋体" w:hAnsi="宋体" w:eastAsia="宋体" w:cs="Times New Roman"/>
          <w:b/>
          <w:bCs/>
          <w:color w:val="auto"/>
          <w:kern w:val="2"/>
          <w:sz w:val="30"/>
          <w:szCs w:val="30"/>
        </w:rPr>
      </w:pPr>
    </w:p>
    <w:p w14:paraId="21F0A21A">
      <w:pPr>
        <w:widowControl/>
        <w:spacing w:line="360" w:lineRule="auto"/>
        <w:ind w:firstLine="1205" w:firstLineChars="400"/>
        <w:rPr>
          <w:rFonts w:hint="default" w:ascii="宋体" w:hAnsi="宋体" w:eastAsia="宋体" w:cs="Times New Roman"/>
          <w:color w:val="auto"/>
          <w:kern w:val="2"/>
          <w:sz w:val="30"/>
          <w:szCs w:val="30"/>
          <w:u w:val="single"/>
        </w:rPr>
      </w:pPr>
      <w:r>
        <w:rPr>
          <w:rFonts w:hint="eastAsia" w:ascii="宋体" w:hAnsi="宋体" w:eastAsia="宋体" w:cs="Times New Roman"/>
          <w:b/>
          <w:bCs/>
          <w:color w:val="auto"/>
          <w:kern w:val="2"/>
          <w:sz w:val="30"/>
          <w:szCs w:val="30"/>
        </w:rPr>
        <w:t>合同编号 ：</w:t>
      </w:r>
      <w:r>
        <w:rPr>
          <w:rFonts w:hint="default" w:ascii="仿宋" w:hAnsi="仿宋" w:eastAsia="仿宋" w:cs="Times New Roman"/>
          <w:color w:val="auto"/>
          <w:kern w:val="2"/>
          <w:sz w:val="32"/>
          <w:szCs w:val="32"/>
          <w:u w:val="single"/>
        </w:rPr>
        <w:t xml:space="preserve">                        </w:t>
      </w:r>
    </w:p>
    <w:p w14:paraId="2B4C42D5">
      <w:pPr>
        <w:widowControl/>
        <w:spacing w:line="360" w:lineRule="auto"/>
        <w:ind w:firstLine="1205" w:firstLineChars="400"/>
        <w:rPr>
          <w:rFonts w:hint="eastAsia" w:ascii="仿宋" w:hAnsi="仿宋" w:eastAsia="宋体" w:cs="Times New Roman"/>
          <w:color w:val="auto"/>
          <w:kern w:val="2"/>
          <w:sz w:val="32"/>
          <w:szCs w:val="32"/>
          <w:lang w:eastAsia="zh-CN"/>
        </w:rPr>
      </w:pPr>
      <w:r>
        <w:rPr>
          <w:rFonts w:hint="eastAsia" w:ascii="宋体" w:hAnsi="宋体" w:eastAsia="宋体" w:cs="Times New Roman"/>
          <w:b/>
          <w:bCs/>
          <w:color w:val="auto"/>
          <w:kern w:val="2"/>
          <w:sz w:val="30"/>
          <w:szCs w:val="30"/>
        </w:rPr>
        <w:t>采购人 ：</w:t>
      </w:r>
      <w:r>
        <w:rPr>
          <w:rFonts w:hint="eastAsia" w:ascii="仿宋" w:hAnsi="仿宋" w:eastAsia="仿宋" w:cs="Times New Roman"/>
          <w:color w:val="auto"/>
          <w:kern w:val="2"/>
          <w:sz w:val="32"/>
          <w:szCs w:val="32"/>
          <w:u w:val="single"/>
          <w:lang w:eastAsia="zh-CN"/>
        </w:rPr>
        <w:t>南京市栖霞区水务局</w:t>
      </w:r>
    </w:p>
    <w:p w14:paraId="209CE129">
      <w:pPr>
        <w:widowControl/>
        <w:spacing w:line="360" w:lineRule="auto"/>
        <w:ind w:firstLine="1205" w:firstLineChars="400"/>
        <w:rPr>
          <w:rFonts w:hint="default" w:ascii="宋体" w:hAnsi="宋体" w:eastAsia="宋体" w:cs="Times New Roman"/>
          <w:color w:val="auto"/>
          <w:kern w:val="2"/>
          <w:sz w:val="30"/>
          <w:szCs w:val="30"/>
          <w:u w:val="single"/>
        </w:rPr>
      </w:pPr>
      <w:r>
        <w:rPr>
          <w:rFonts w:hint="eastAsia" w:ascii="宋体" w:hAnsi="宋体" w:eastAsia="宋体" w:cs="Times New Roman"/>
          <w:b/>
          <w:bCs/>
          <w:color w:val="auto"/>
          <w:kern w:val="2"/>
          <w:sz w:val="30"/>
          <w:szCs w:val="30"/>
        </w:rPr>
        <w:t>供应商 ：</w:t>
      </w:r>
      <w:r>
        <w:rPr>
          <w:rFonts w:hint="eastAsia" w:ascii="仿宋" w:hAnsi="仿宋" w:eastAsia="仿宋" w:cs="Times New Roman"/>
          <w:color w:val="auto"/>
          <w:kern w:val="2"/>
          <w:sz w:val="32"/>
          <w:szCs w:val="32"/>
          <w:u w:val="single"/>
        </w:rPr>
        <w:t xml:space="preserve">             </w:t>
      </w:r>
      <w:r>
        <w:rPr>
          <w:rFonts w:hint="default" w:ascii="宋体" w:hAnsi="宋体" w:eastAsia="宋体" w:cs="Times New Roman"/>
          <w:color w:val="auto"/>
          <w:kern w:val="2"/>
          <w:sz w:val="30"/>
          <w:szCs w:val="30"/>
          <w:u w:val="single"/>
        </w:rPr>
        <w:t xml:space="preserve">                  </w:t>
      </w:r>
    </w:p>
    <w:p w14:paraId="3D42B379">
      <w:pPr>
        <w:widowControl/>
        <w:spacing w:line="360" w:lineRule="auto"/>
        <w:ind w:firstLine="1205" w:firstLineChars="400"/>
        <w:rPr>
          <w:rFonts w:hint="default" w:ascii="宋体" w:hAnsi="宋体" w:eastAsia="宋体" w:cs="Times New Roman"/>
          <w:color w:val="auto"/>
          <w:kern w:val="2"/>
          <w:sz w:val="30"/>
          <w:szCs w:val="30"/>
          <w:u w:val="single"/>
        </w:rPr>
      </w:pPr>
      <w:r>
        <w:rPr>
          <w:rFonts w:hint="eastAsia" w:ascii="宋体" w:hAnsi="宋体" w:eastAsia="宋体" w:cs="Times New Roman"/>
          <w:b/>
          <w:bCs/>
          <w:color w:val="auto"/>
          <w:kern w:val="2"/>
          <w:sz w:val="30"/>
          <w:szCs w:val="30"/>
        </w:rPr>
        <w:t>签订日期 ：</w:t>
      </w:r>
      <w:r>
        <w:rPr>
          <w:rFonts w:hint="eastAsia" w:ascii="宋体" w:hAnsi="宋体" w:eastAsia="宋体" w:cs="Times New Roman"/>
          <w:b/>
          <w:bCs/>
          <w:color w:val="auto"/>
          <w:kern w:val="2"/>
          <w:sz w:val="30"/>
          <w:szCs w:val="30"/>
          <w:u w:val="single"/>
        </w:rPr>
        <w:t xml:space="preserve">                             </w:t>
      </w:r>
    </w:p>
    <w:p w14:paraId="68877018">
      <w:pPr>
        <w:widowControl/>
        <w:spacing w:line="360" w:lineRule="auto"/>
        <w:rPr>
          <w:rFonts w:hint="default" w:ascii="宋体" w:hAnsi="宋体" w:eastAsia="宋体" w:cs="黑体"/>
          <w:color w:val="auto"/>
          <w:kern w:val="2"/>
          <w:sz w:val="32"/>
          <w:szCs w:val="32"/>
        </w:rPr>
      </w:pPr>
      <w:r>
        <w:rPr>
          <w:rFonts w:hint="eastAsia" w:ascii="宋体" w:hAnsi="宋体" w:eastAsia="宋体" w:cs="Times New Roman"/>
          <w:color w:val="auto"/>
          <w:kern w:val="2"/>
          <w:sz w:val="30"/>
          <w:szCs w:val="30"/>
        </w:rPr>
        <w:t>     </w:t>
      </w:r>
      <w:r>
        <w:rPr>
          <w:rFonts w:hint="eastAsia" w:ascii="宋体" w:hAnsi="宋体" w:eastAsia="宋体" w:cs="黑体"/>
          <w:color w:val="auto"/>
          <w:kern w:val="2"/>
          <w:sz w:val="32"/>
          <w:szCs w:val="32"/>
        </w:rPr>
        <w:t> </w:t>
      </w:r>
    </w:p>
    <w:p w14:paraId="774B5CE8">
      <w:pPr>
        <w:widowControl/>
        <w:spacing w:line="360" w:lineRule="auto"/>
        <w:rPr>
          <w:rFonts w:hint="default" w:ascii="宋体" w:hAnsi="宋体" w:eastAsia="宋体" w:cs="黑体"/>
          <w:color w:val="auto"/>
          <w:kern w:val="2"/>
          <w:sz w:val="32"/>
          <w:szCs w:val="32"/>
        </w:rPr>
      </w:pPr>
    </w:p>
    <w:p w14:paraId="045E8894">
      <w:pPr>
        <w:widowControl w:val="0"/>
        <w:jc w:val="center"/>
        <w:rPr>
          <w:rFonts w:hint="default" w:ascii="宋体" w:hAnsi="宋体" w:eastAsia="宋体" w:cs="Times New Roman"/>
          <w:b/>
          <w:bCs/>
          <w:color w:val="auto"/>
          <w:w w:val="105"/>
          <w:kern w:val="2"/>
          <w:sz w:val="32"/>
          <w:szCs w:val="32"/>
        </w:rPr>
      </w:pPr>
      <w:r>
        <w:rPr>
          <w:rFonts w:hint="eastAsia" w:ascii="宋体" w:hAnsi="宋体" w:eastAsia="宋体" w:cs="Times New Roman"/>
          <w:b/>
          <w:bCs/>
          <w:color w:val="auto"/>
          <w:w w:val="105"/>
          <w:kern w:val="2"/>
          <w:sz w:val="32"/>
          <w:szCs w:val="32"/>
        </w:rPr>
        <w:t>南京市市场监督管理局</w:t>
      </w:r>
    </w:p>
    <w:p w14:paraId="5FC46CDF">
      <w:pPr>
        <w:widowControl w:val="0"/>
        <w:jc w:val="center"/>
        <w:rPr>
          <w:rFonts w:hint="default" w:ascii="宋体" w:hAnsi="宋体" w:eastAsia="宋体" w:cs="Times New Roman"/>
          <w:b/>
          <w:bCs/>
          <w:color w:val="auto"/>
          <w:w w:val="105"/>
          <w:kern w:val="2"/>
          <w:sz w:val="32"/>
          <w:szCs w:val="32"/>
        </w:rPr>
      </w:pPr>
    </w:p>
    <w:p w14:paraId="24E63A7E">
      <w:pPr>
        <w:widowControl w:val="0"/>
        <w:jc w:val="center"/>
        <w:rPr>
          <w:rFonts w:hint="default" w:ascii="宋体" w:hAnsi="宋体" w:eastAsia="宋体" w:cs="Times New Roman"/>
          <w:b/>
          <w:bCs/>
          <w:color w:val="auto"/>
          <w:w w:val="105"/>
          <w:kern w:val="2"/>
          <w:sz w:val="32"/>
          <w:szCs w:val="32"/>
        </w:rPr>
      </w:pPr>
      <w:r>
        <w:rPr>
          <w:rFonts w:hint="eastAsia" w:ascii="宋体" w:hAnsi="宋体" w:eastAsia="宋体" w:cs="Times New Roman"/>
          <w:b/>
          <w:bCs/>
          <w:color w:val="auto"/>
          <w:w w:val="105"/>
          <w:kern w:val="2"/>
          <w:sz w:val="32"/>
          <w:szCs w:val="32"/>
        </w:rPr>
        <w:t>南京市财政局  监制</w:t>
      </w:r>
    </w:p>
    <w:p w14:paraId="4DCEA4CA">
      <w:pPr>
        <w:widowControl/>
        <w:spacing w:line="360" w:lineRule="auto"/>
        <w:rPr>
          <w:rFonts w:hint="default" w:ascii="宋体" w:hAnsi="宋体" w:eastAsia="宋体" w:cs="Times New Roman"/>
          <w:b/>
          <w:bCs/>
          <w:color w:val="auto"/>
          <w:kern w:val="2"/>
          <w:sz w:val="32"/>
          <w:szCs w:val="32"/>
        </w:rPr>
      </w:pPr>
    </w:p>
    <w:p w14:paraId="7999E7DA">
      <w:pPr>
        <w:widowControl w:val="0"/>
        <w:spacing w:line="420" w:lineRule="exact"/>
        <w:rPr>
          <w:rFonts w:hint="default" w:ascii="宋体" w:hAnsi="宋体" w:eastAsia="宋体" w:cs="Times New Roman"/>
          <w:color w:val="auto"/>
          <w:kern w:val="2"/>
          <w:szCs w:val="21"/>
        </w:rPr>
      </w:pPr>
      <w:r>
        <w:rPr>
          <w:rFonts w:hint="eastAsia" w:ascii="宋体" w:hAnsi="宋体" w:eastAsia="宋体" w:cs="Times New Roman"/>
          <w:b/>
          <w:bCs/>
          <w:color w:val="auto"/>
          <w:kern w:val="2"/>
          <w:sz w:val="30"/>
          <w:szCs w:val="30"/>
        </w:rPr>
        <w:br w:type="page"/>
      </w:r>
      <w:r>
        <w:rPr>
          <w:rFonts w:hint="eastAsia" w:ascii="宋体" w:hAnsi="宋体" w:eastAsia="宋体" w:cs="Times New Roman"/>
          <w:color w:val="auto"/>
          <w:kern w:val="2"/>
          <w:szCs w:val="21"/>
        </w:rPr>
        <w:t>政府采购计划号：</w:t>
      </w:r>
    </w:p>
    <w:tbl>
      <w:tblPr>
        <w:tblStyle w:val="28"/>
        <w:tblW w:w="0" w:type="auto"/>
        <w:tblInd w:w="-108" w:type="dxa"/>
        <w:tblLayout w:type="fixed"/>
        <w:tblCellMar>
          <w:top w:w="0" w:type="dxa"/>
          <w:left w:w="0" w:type="dxa"/>
          <w:bottom w:w="0" w:type="dxa"/>
          <w:right w:w="0" w:type="dxa"/>
        </w:tblCellMar>
      </w:tblPr>
      <w:tblGrid>
        <w:gridCol w:w="4643"/>
        <w:gridCol w:w="4643"/>
      </w:tblGrid>
      <w:tr w14:paraId="64D9DF03">
        <w:tblPrEx>
          <w:tblCellMar>
            <w:top w:w="0" w:type="dxa"/>
            <w:left w:w="0" w:type="dxa"/>
            <w:bottom w:w="0" w:type="dxa"/>
            <w:right w:w="0" w:type="dxa"/>
          </w:tblCellMar>
        </w:tblPrEx>
        <w:tc>
          <w:tcPr>
            <w:tcW w:w="4643" w:type="dxa"/>
            <w:tcBorders>
              <w:top w:val="nil"/>
              <w:left w:val="nil"/>
              <w:bottom w:val="nil"/>
              <w:right w:val="nil"/>
            </w:tcBorders>
            <w:noWrap/>
          </w:tcPr>
          <w:p w14:paraId="22FD7B98">
            <w:pPr>
              <w:widowControl w:val="0"/>
              <w:autoSpaceDE w:val="0"/>
              <w:autoSpaceDN w:val="0"/>
              <w:adjustRightInd w:val="0"/>
              <w:spacing w:line="420" w:lineRule="exact"/>
              <w:jc w:val="left"/>
              <w:rPr>
                <w:rFonts w:hint="eastAsia" w:ascii="宋体" w:hAnsi="宋体" w:eastAsia="宋体" w:cs="Times New Roman"/>
                <w:color w:val="auto"/>
                <w:kern w:val="2"/>
                <w:szCs w:val="21"/>
                <w:lang w:eastAsia="zh-CN"/>
              </w:rPr>
            </w:pPr>
            <w:r>
              <w:rPr>
                <w:rFonts w:hint="eastAsia" w:ascii="宋体" w:hAnsi="宋体" w:eastAsia="宋体" w:cs="Times New Roman"/>
                <w:color w:val="auto"/>
                <w:kern w:val="2"/>
                <w:szCs w:val="21"/>
              </w:rPr>
              <w:t>采购人：</w:t>
            </w:r>
            <w:r>
              <w:rPr>
                <w:rFonts w:hint="eastAsia" w:ascii="宋体" w:hAnsi="宋体" w:eastAsia="宋体" w:cs="Times New Roman"/>
                <w:color w:val="auto"/>
                <w:kern w:val="2"/>
                <w:szCs w:val="21"/>
                <w:lang w:eastAsia="zh-CN"/>
              </w:rPr>
              <w:t>南京市栖霞区水务局</w:t>
            </w:r>
          </w:p>
        </w:tc>
        <w:tc>
          <w:tcPr>
            <w:tcW w:w="4643" w:type="dxa"/>
            <w:tcBorders>
              <w:top w:val="nil"/>
              <w:left w:val="nil"/>
              <w:bottom w:val="nil"/>
              <w:right w:val="nil"/>
            </w:tcBorders>
            <w:noWrap/>
          </w:tcPr>
          <w:p w14:paraId="17F1716D">
            <w:pPr>
              <w:widowControl/>
              <w:spacing w:line="420" w:lineRule="exact"/>
              <w:rPr>
                <w:rFonts w:hint="default" w:ascii="宋体" w:hAnsi="宋体" w:eastAsia="宋体" w:cs="Times New Roman"/>
                <w:color w:val="auto"/>
                <w:kern w:val="2"/>
                <w:szCs w:val="21"/>
              </w:rPr>
            </w:pPr>
            <w:r>
              <w:rPr>
                <w:rFonts w:hint="eastAsia" w:ascii="宋体" w:hAnsi="宋体" w:eastAsia="宋体" w:cs="Times New Roman"/>
                <w:color w:val="auto"/>
                <w:kern w:val="2"/>
                <w:szCs w:val="21"/>
              </w:rPr>
              <w:t xml:space="preserve">供应商： </w:t>
            </w:r>
          </w:p>
          <w:p w14:paraId="0C1308F1">
            <w:pPr>
              <w:widowControl w:val="0"/>
              <w:autoSpaceDE w:val="0"/>
              <w:autoSpaceDN w:val="0"/>
              <w:adjustRightInd w:val="0"/>
              <w:spacing w:line="420" w:lineRule="exact"/>
              <w:jc w:val="left"/>
              <w:rPr>
                <w:rFonts w:hint="default" w:ascii="宋体" w:hAnsi="宋体" w:eastAsia="宋体" w:cs="Times New Roman"/>
                <w:color w:val="auto"/>
                <w:kern w:val="2"/>
                <w:szCs w:val="21"/>
              </w:rPr>
            </w:pPr>
          </w:p>
        </w:tc>
      </w:tr>
      <w:tr w14:paraId="496E4A38">
        <w:tblPrEx>
          <w:tblCellMar>
            <w:top w:w="0" w:type="dxa"/>
            <w:left w:w="0" w:type="dxa"/>
            <w:bottom w:w="0" w:type="dxa"/>
            <w:right w:w="0" w:type="dxa"/>
          </w:tblCellMar>
        </w:tblPrEx>
        <w:tc>
          <w:tcPr>
            <w:tcW w:w="4643" w:type="dxa"/>
            <w:tcBorders>
              <w:top w:val="nil"/>
              <w:left w:val="nil"/>
              <w:bottom w:val="nil"/>
              <w:right w:val="nil"/>
            </w:tcBorders>
            <w:noWrap/>
          </w:tcPr>
          <w:p w14:paraId="0A06BD2C">
            <w:pPr>
              <w:widowControl w:val="0"/>
              <w:autoSpaceDE w:val="0"/>
              <w:autoSpaceDN w:val="0"/>
              <w:adjustRightInd w:val="0"/>
              <w:spacing w:line="420" w:lineRule="exact"/>
              <w:jc w:val="left"/>
              <w:rPr>
                <w:rFonts w:hint="default" w:ascii="宋体" w:hAnsi="宋体" w:eastAsia="宋体" w:cs="Times New Roman"/>
                <w:color w:val="auto"/>
                <w:kern w:val="2"/>
                <w:szCs w:val="21"/>
              </w:rPr>
            </w:pPr>
            <w:r>
              <w:rPr>
                <w:rFonts w:hint="eastAsia" w:ascii="宋体" w:hAnsi="宋体" w:eastAsia="宋体" w:cs="Times New Roman"/>
                <w:color w:val="auto"/>
                <w:kern w:val="2"/>
                <w:szCs w:val="21"/>
              </w:rPr>
              <w:t>住所地：</w:t>
            </w:r>
          </w:p>
        </w:tc>
        <w:tc>
          <w:tcPr>
            <w:tcW w:w="4643" w:type="dxa"/>
            <w:tcBorders>
              <w:top w:val="nil"/>
              <w:left w:val="nil"/>
              <w:bottom w:val="nil"/>
              <w:right w:val="nil"/>
            </w:tcBorders>
            <w:noWrap/>
          </w:tcPr>
          <w:p w14:paraId="46590D56">
            <w:pPr>
              <w:widowControl w:val="0"/>
              <w:autoSpaceDE w:val="0"/>
              <w:autoSpaceDN w:val="0"/>
              <w:adjustRightInd w:val="0"/>
              <w:spacing w:line="420" w:lineRule="exact"/>
              <w:jc w:val="left"/>
              <w:rPr>
                <w:rFonts w:hint="default" w:ascii="宋体" w:hAnsi="宋体" w:eastAsia="宋体" w:cs="Times New Roman"/>
                <w:color w:val="auto"/>
                <w:kern w:val="2"/>
                <w:szCs w:val="21"/>
              </w:rPr>
            </w:pPr>
            <w:r>
              <w:rPr>
                <w:rFonts w:hint="eastAsia" w:ascii="宋体" w:hAnsi="宋体" w:eastAsia="宋体" w:cs="Times New Roman"/>
                <w:color w:val="auto"/>
                <w:kern w:val="2"/>
                <w:szCs w:val="21"/>
              </w:rPr>
              <w:t>住所地：</w:t>
            </w:r>
          </w:p>
        </w:tc>
      </w:tr>
    </w:tbl>
    <w:p w14:paraId="3FBE9105">
      <w:pPr>
        <w:widowControl w:val="0"/>
        <w:autoSpaceDE w:val="0"/>
        <w:autoSpaceDN w:val="0"/>
        <w:adjustRightInd w:val="0"/>
        <w:spacing w:line="400" w:lineRule="exact"/>
        <w:ind w:firstLine="420" w:firstLineChars="200"/>
        <w:jc w:val="left"/>
        <w:rPr>
          <w:rFonts w:hint="default" w:ascii="宋体" w:hAnsi="宋体" w:eastAsia="宋体" w:cs="Times New Roman"/>
          <w:color w:val="auto"/>
          <w:kern w:val="2"/>
          <w:szCs w:val="21"/>
        </w:rPr>
      </w:pPr>
      <w:r>
        <w:rPr>
          <w:rFonts w:hint="eastAsia" w:ascii="宋体" w:hAnsi="宋体" w:eastAsia="宋体" w:cs="Times New Roman"/>
          <w:color w:val="auto"/>
          <w:kern w:val="2"/>
          <w:szCs w:val="21"/>
        </w:rPr>
        <w:t>根据《中华人民共和国政府采购法》、《中华人民共和国民法典》等法律法规的规定，甲乙双方按照采购代理机构的招标结果签订本合同。</w:t>
      </w:r>
    </w:p>
    <w:p w14:paraId="71DD78C2">
      <w:pPr>
        <w:widowControl w:val="0"/>
        <w:autoSpaceDE w:val="0"/>
        <w:autoSpaceDN w:val="0"/>
        <w:adjustRightInd w:val="0"/>
        <w:spacing w:line="400" w:lineRule="exact"/>
        <w:rPr>
          <w:rFonts w:hint="default" w:ascii="宋体" w:hAnsi="宋体" w:eastAsia="宋体" w:cs="Times New Roman"/>
          <w:color w:val="auto"/>
          <w:kern w:val="2"/>
          <w:szCs w:val="21"/>
        </w:rPr>
      </w:pPr>
      <w:r>
        <w:rPr>
          <w:rFonts w:hint="eastAsia" w:ascii="宋体" w:hAnsi="宋体" w:eastAsia="宋体" w:cs="Times New Roman"/>
          <w:b/>
          <w:bCs/>
          <w:color w:val="auto"/>
          <w:kern w:val="2"/>
          <w:szCs w:val="21"/>
        </w:rPr>
        <w:t>第一条 合同标的</w:t>
      </w:r>
    </w:p>
    <w:p w14:paraId="150F2F65">
      <w:pPr>
        <w:widowControl w:val="0"/>
        <w:autoSpaceDE w:val="0"/>
        <w:autoSpaceDN w:val="0"/>
        <w:adjustRightInd w:val="0"/>
        <w:spacing w:line="400" w:lineRule="exact"/>
        <w:ind w:firstLine="420" w:firstLineChars="200"/>
        <w:rPr>
          <w:rFonts w:hint="default" w:ascii="宋体" w:hAnsi="宋体" w:eastAsia="宋体" w:cs="Times New Roman"/>
          <w:color w:val="auto"/>
          <w:kern w:val="2"/>
          <w:szCs w:val="21"/>
          <w:u w:val="single"/>
        </w:rPr>
      </w:pPr>
      <w:r>
        <w:rPr>
          <w:rFonts w:hint="eastAsia" w:ascii="宋体" w:hAnsi="宋体" w:eastAsia="宋体" w:cs="Times New Roman"/>
          <w:color w:val="auto"/>
          <w:kern w:val="2"/>
          <w:szCs w:val="21"/>
        </w:rPr>
        <w:t>1、供应商根据采购人需求提供下列服务：雨水管道维护工作涵盖仙林地区77条市政道路下的雨水管道清疏，总长约240km，部分道路下破损雨水管道更换，雨水蓖改造等附属设施维护；应急抢修包括降雨期间巡查、开关雨水篦助排、应急抢修、架泵强排水等。</w:t>
      </w:r>
    </w:p>
    <w:p w14:paraId="1DAF9F3D">
      <w:pPr>
        <w:widowControl w:val="0"/>
        <w:autoSpaceDE w:val="0"/>
        <w:autoSpaceDN w:val="0"/>
        <w:adjustRightInd w:val="0"/>
        <w:spacing w:line="400" w:lineRule="exact"/>
        <w:ind w:firstLine="420" w:firstLineChars="200"/>
        <w:rPr>
          <w:rFonts w:hint="default" w:ascii="宋体" w:hAnsi="宋体" w:eastAsia="宋体" w:cs="Times New Roman"/>
          <w:color w:val="auto"/>
          <w:kern w:val="2"/>
          <w:szCs w:val="21"/>
        </w:rPr>
      </w:pPr>
      <w:r>
        <w:rPr>
          <w:rFonts w:hint="eastAsia" w:ascii="宋体" w:hAnsi="宋体" w:eastAsia="宋体" w:cs="Times New Roman"/>
          <w:color w:val="auto"/>
          <w:kern w:val="2"/>
          <w:szCs w:val="21"/>
        </w:rPr>
        <w:t>2、具体服务执行要求详见供应商投标文件。</w:t>
      </w:r>
    </w:p>
    <w:p w14:paraId="7C3AF669">
      <w:pPr>
        <w:widowControl w:val="0"/>
        <w:autoSpaceDE w:val="0"/>
        <w:autoSpaceDN w:val="0"/>
        <w:adjustRightInd w:val="0"/>
        <w:spacing w:line="400" w:lineRule="exact"/>
        <w:jc w:val="left"/>
        <w:rPr>
          <w:rFonts w:hint="default" w:ascii="宋体" w:hAnsi="宋体" w:eastAsia="宋体" w:cs="Times New Roman"/>
          <w:b/>
          <w:bCs/>
          <w:color w:val="auto"/>
          <w:kern w:val="2"/>
          <w:szCs w:val="21"/>
        </w:rPr>
      </w:pPr>
      <w:r>
        <w:rPr>
          <w:rFonts w:hint="eastAsia" w:ascii="宋体" w:hAnsi="宋体" w:eastAsia="宋体" w:cs="Times New Roman"/>
          <w:b/>
          <w:bCs/>
          <w:color w:val="auto"/>
          <w:kern w:val="2"/>
          <w:szCs w:val="21"/>
        </w:rPr>
        <w:t>第二条 合同总价款</w:t>
      </w:r>
    </w:p>
    <w:p w14:paraId="31249781">
      <w:pPr>
        <w:widowControl/>
        <w:spacing w:line="400" w:lineRule="exact"/>
        <w:jc w:val="left"/>
        <w:rPr>
          <w:rFonts w:hint="default" w:ascii="宋体" w:hAnsi="宋体" w:eastAsia="宋体" w:cs="Times New Roman"/>
          <w:color w:val="auto"/>
          <w:kern w:val="2"/>
          <w:szCs w:val="21"/>
        </w:rPr>
      </w:pPr>
      <w:r>
        <w:rPr>
          <w:rFonts w:hint="eastAsia" w:ascii="宋体" w:hAnsi="宋体" w:eastAsia="宋体" w:cs="Times New Roman"/>
          <w:color w:val="auto"/>
          <w:kern w:val="2"/>
          <w:szCs w:val="21"/>
        </w:rPr>
        <w:t>1、本合同项下服务总价款为</w:t>
      </w:r>
      <w:r>
        <w:rPr>
          <w:rFonts w:hint="eastAsia" w:ascii="宋体" w:hAnsi="宋体" w:eastAsia="宋体" w:cs="Times New Roman"/>
          <w:color w:val="auto"/>
          <w:kern w:val="2"/>
          <w:szCs w:val="21"/>
          <w:u w:val="single"/>
        </w:rPr>
        <w:t xml:space="preserve">           </w:t>
      </w:r>
      <w:r>
        <w:rPr>
          <w:rFonts w:hint="eastAsia" w:ascii="宋体" w:hAnsi="宋体" w:eastAsia="宋体" w:cs="Times New Roman"/>
          <w:color w:val="auto"/>
          <w:kern w:val="2"/>
          <w:szCs w:val="21"/>
        </w:rPr>
        <w:t>（大写），</w:t>
      </w:r>
      <w:r>
        <w:rPr>
          <w:rFonts w:hint="default" w:ascii="Arial" w:hAnsi="Arial" w:eastAsia="宋体" w:cs="Arial"/>
          <w:color w:val="auto"/>
          <w:kern w:val="2"/>
          <w:szCs w:val="21"/>
        </w:rPr>
        <w:t>¥</w:t>
      </w:r>
      <w:r>
        <w:rPr>
          <w:rFonts w:hint="default" w:ascii="宋体" w:hAnsi="宋体" w:eastAsia="宋体" w:cs="Times New Roman"/>
          <w:color w:val="auto"/>
          <w:kern w:val="2"/>
          <w:szCs w:val="21"/>
          <w:u w:val="single"/>
        </w:rPr>
        <w:t xml:space="preserve">        </w:t>
      </w:r>
      <w:r>
        <w:rPr>
          <w:rFonts w:hint="eastAsia" w:ascii="宋体" w:hAnsi="宋体" w:eastAsia="宋体" w:cs="Times New Roman"/>
          <w:color w:val="auto"/>
          <w:kern w:val="2"/>
          <w:szCs w:val="21"/>
        </w:rPr>
        <w:t>元（小写），税率</w:t>
      </w:r>
      <w:r>
        <w:rPr>
          <w:rFonts w:hint="default" w:ascii="宋体" w:hAnsi="宋体" w:eastAsia="宋体" w:cs="Times New Roman"/>
          <w:color w:val="auto"/>
          <w:kern w:val="2"/>
          <w:szCs w:val="21"/>
          <w:u w:val="single"/>
        </w:rPr>
        <w:t xml:space="preserve">   </w:t>
      </w:r>
      <w:r>
        <w:rPr>
          <w:rFonts w:hint="eastAsia" w:ascii="宋体" w:hAnsi="宋体" w:eastAsia="宋体" w:cs="Times New Roman"/>
          <w:color w:val="auto"/>
          <w:kern w:val="2"/>
          <w:szCs w:val="21"/>
        </w:rPr>
        <w:t>%，不含税总价为</w:t>
      </w:r>
      <w:r>
        <w:rPr>
          <w:rFonts w:hint="eastAsia" w:ascii="宋体" w:hAnsi="宋体" w:eastAsia="宋体" w:cs="Times New Roman"/>
          <w:color w:val="auto"/>
          <w:kern w:val="2"/>
          <w:szCs w:val="21"/>
          <w:u w:val="single"/>
        </w:rPr>
        <w:t xml:space="preserve">           </w:t>
      </w:r>
      <w:r>
        <w:rPr>
          <w:rFonts w:hint="eastAsia" w:ascii="宋体" w:hAnsi="宋体" w:eastAsia="宋体" w:cs="Times New Roman"/>
          <w:color w:val="auto"/>
          <w:kern w:val="2"/>
          <w:szCs w:val="21"/>
        </w:rPr>
        <w:t>（大写），</w:t>
      </w:r>
      <w:r>
        <w:rPr>
          <w:rFonts w:hint="default" w:ascii="Arial" w:hAnsi="Arial" w:eastAsia="宋体" w:cs="Arial"/>
          <w:color w:val="auto"/>
          <w:kern w:val="2"/>
          <w:szCs w:val="21"/>
        </w:rPr>
        <w:t>¥</w:t>
      </w:r>
      <w:r>
        <w:rPr>
          <w:rFonts w:hint="default" w:ascii="宋体" w:hAnsi="宋体" w:eastAsia="宋体" w:cs="Times New Roman"/>
          <w:color w:val="auto"/>
          <w:kern w:val="2"/>
          <w:szCs w:val="21"/>
          <w:u w:val="single"/>
        </w:rPr>
        <w:t xml:space="preserve">        </w:t>
      </w:r>
      <w:r>
        <w:rPr>
          <w:rFonts w:hint="eastAsia" w:ascii="宋体" w:hAnsi="宋体" w:eastAsia="宋体" w:cs="Times New Roman"/>
          <w:color w:val="auto"/>
          <w:kern w:val="2"/>
          <w:szCs w:val="21"/>
        </w:rPr>
        <w:t>元（小写）。分项价款在供应商“投标文件分项报价表”中有明确规定,其中暂列金为</w:t>
      </w:r>
      <w:r>
        <w:rPr>
          <w:rFonts w:hint="default" w:ascii="Arial" w:hAnsi="Arial" w:eastAsia="宋体" w:cs="Arial"/>
          <w:color w:val="auto"/>
          <w:kern w:val="2"/>
          <w:szCs w:val="21"/>
        </w:rPr>
        <w:t>¥</w:t>
      </w:r>
      <w:r>
        <w:rPr>
          <w:rFonts w:hint="default" w:ascii="Arial" w:hAnsi="Arial" w:eastAsia="宋体" w:cs="Arial"/>
          <w:color w:val="auto"/>
          <w:kern w:val="2"/>
          <w:szCs w:val="21"/>
          <w:u w:val="single"/>
        </w:rPr>
        <w:t xml:space="preserve">        </w:t>
      </w:r>
      <w:r>
        <w:rPr>
          <w:rFonts w:hint="eastAsia" w:ascii="Arial" w:hAnsi="Arial" w:eastAsia="宋体" w:cs="Arial"/>
          <w:color w:val="auto"/>
          <w:kern w:val="2"/>
          <w:szCs w:val="21"/>
        </w:rPr>
        <w:t>元</w:t>
      </w:r>
      <w:r>
        <w:rPr>
          <w:rFonts w:hint="eastAsia" w:ascii="宋体" w:hAnsi="宋体" w:eastAsia="宋体" w:cs="Times New Roman"/>
          <w:color w:val="auto"/>
          <w:kern w:val="2"/>
          <w:szCs w:val="21"/>
        </w:rPr>
        <w:t>。</w:t>
      </w:r>
    </w:p>
    <w:p w14:paraId="2E9E78DE">
      <w:pPr>
        <w:widowControl w:val="0"/>
        <w:spacing w:line="400" w:lineRule="exact"/>
        <w:ind w:firstLine="420" w:firstLineChars="200"/>
        <w:rPr>
          <w:rFonts w:hint="default" w:ascii="宋体" w:hAnsi="宋体" w:eastAsia="宋体" w:cs="Times New Roman"/>
          <w:color w:val="auto"/>
          <w:kern w:val="2"/>
          <w:szCs w:val="21"/>
        </w:rPr>
      </w:pPr>
      <w:r>
        <w:rPr>
          <w:rFonts w:hint="eastAsia" w:ascii="宋体" w:hAnsi="宋体" w:eastAsia="宋体" w:cs="Times New Roman"/>
          <w:color w:val="auto"/>
          <w:kern w:val="2"/>
          <w:szCs w:val="21"/>
        </w:rPr>
        <w:t>2、本合同总价款是完成本项目所发生的所有含税费用、支付给员工的工资和国家强制缴纳的各种社会保障资金</w:t>
      </w:r>
      <w:r>
        <w:rPr>
          <w:rFonts w:hint="eastAsia" w:ascii="宋体" w:hAnsi="宋体" w:eastAsia="宋体" w:cs="Times New Roman"/>
          <w:bCs/>
          <w:color w:val="auto"/>
          <w:kern w:val="2"/>
          <w:szCs w:val="21"/>
        </w:rPr>
        <w:t>，以</w:t>
      </w:r>
      <w:r>
        <w:rPr>
          <w:rFonts w:hint="eastAsia" w:ascii="宋体" w:hAnsi="宋体" w:eastAsia="宋体" w:cs="Times New Roman"/>
          <w:color w:val="auto"/>
          <w:kern w:val="2"/>
          <w:szCs w:val="21"/>
        </w:rPr>
        <w:t>及供应商认为需要的其他费用等。</w:t>
      </w:r>
    </w:p>
    <w:p w14:paraId="56CFD9DB">
      <w:pPr>
        <w:widowControl w:val="0"/>
        <w:autoSpaceDE w:val="0"/>
        <w:autoSpaceDN w:val="0"/>
        <w:adjustRightInd w:val="0"/>
        <w:spacing w:line="400" w:lineRule="exact"/>
        <w:rPr>
          <w:rFonts w:hint="default" w:ascii="宋体" w:hAnsi="宋体" w:eastAsia="宋体" w:cs="Times New Roman"/>
          <w:color w:val="auto"/>
          <w:kern w:val="2"/>
          <w:szCs w:val="21"/>
        </w:rPr>
      </w:pPr>
      <w:r>
        <w:rPr>
          <w:rFonts w:hint="eastAsia" w:ascii="宋体" w:hAnsi="宋体" w:eastAsia="宋体" w:cs="Times New Roman"/>
          <w:b/>
          <w:bCs/>
          <w:color w:val="auto"/>
          <w:kern w:val="2"/>
          <w:szCs w:val="21"/>
        </w:rPr>
        <w:t>第三条 组成本合同的有关文件</w:t>
      </w:r>
    </w:p>
    <w:p w14:paraId="12F8C6DF">
      <w:pPr>
        <w:widowControl w:val="0"/>
        <w:autoSpaceDE w:val="0"/>
        <w:autoSpaceDN w:val="0"/>
        <w:adjustRightInd w:val="0"/>
        <w:spacing w:line="400" w:lineRule="exact"/>
        <w:ind w:firstLine="420" w:firstLineChars="200"/>
        <w:rPr>
          <w:rFonts w:hint="default" w:ascii="宋体" w:hAnsi="宋体" w:eastAsia="宋体" w:cs="Times New Roman"/>
          <w:color w:val="auto"/>
          <w:kern w:val="2"/>
          <w:szCs w:val="21"/>
        </w:rPr>
      </w:pPr>
      <w:r>
        <w:rPr>
          <w:rFonts w:hint="eastAsia" w:ascii="宋体" w:hAnsi="宋体" w:eastAsia="宋体" w:cs="Times New Roman"/>
          <w:color w:val="auto"/>
          <w:kern w:val="2"/>
          <w:szCs w:val="21"/>
        </w:rPr>
        <w:t>下列关于招投标文件或与本次采购活动方式相适应的文件及有关附件是本合同不可分割的组成部分，与本合同具有同等法律效力，这些文件包括但不限于：</w:t>
      </w:r>
    </w:p>
    <w:p w14:paraId="3171E55E">
      <w:pPr>
        <w:widowControl w:val="0"/>
        <w:autoSpaceDE w:val="0"/>
        <w:autoSpaceDN w:val="0"/>
        <w:adjustRightInd w:val="0"/>
        <w:spacing w:line="400" w:lineRule="exact"/>
        <w:ind w:firstLine="420" w:firstLineChars="200"/>
        <w:jc w:val="left"/>
        <w:rPr>
          <w:rFonts w:hint="default" w:ascii="宋体" w:hAnsi="宋体" w:eastAsia="宋体" w:cs="Times New Roman"/>
          <w:color w:val="auto"/>
          <w:kern w:val="2"/>
          <w:szCs w:val="21"/>
        </w:rPr>
      </w:pPr>
      <w:r>
        <w:rPr>
          <w:rFonts w:hint="eastAsia" w:ascii="宋体" w:hAnsi="宋体" w:eastAsia="宋体" w:cs="Times New Roman"/>
          <w:color w:val="auto"/>
          <w:kern w:val="2"/>
          <w:szCs w:val="21"/>
        </w:rPr>
        <w:t>1、供应商提供的投标文件和投标文件价格部分；</w:t>
      </w:r>
    </w:p>
    <w:p w14:paraId="61DAE037">
      <w:pPr>
        <w:widowControl w:val="0"/>
        <w:autoSpaceDE w:val="0"/>
        <w:autoSpaceDN w:val="0"/>
        <w:adjustRightInd w:val="0"/>
        <w:spacing w:line="400" w:lineRule="exact"/>
        <w:ind w:firstLine="420" w:firstLineChars="200"/>
        <w:jc w:val="left"/>
        <w:rPr>
          <w:rFonts w:hint="default" w:ascii="宋体" w:hAnsi="宋体" w:eastAsia="宋体" w:cs="Times New Roman"/>
          <w:color w:val="auto"/>
          <w:kern w:val="2"/>
          <w:szCs w:val="21"/>
        </w:rPr>
      </w:pPr>
      <w:r>
        <w:rPr>
          <w:rFonts w:hint="eastAsia" w:ascii="宋体" w:hAnsi="宋体" w:eastAsia="宋体" w:cs="Times New Roman"/>
          <w:color w:val="auto"/>
          <w:kern w:val="2"/>
          <w:szCs w:val="21"/>
        </w:rPr>
        <w:t>2、技术条款偏离表；</w:t>
      </w:r>
    </w:p>
    <w:p w14:paraId="473A82AA">
      <w:pPr>
        <w:widowControl w:val="0"/>
        <w:autoSpaceDE w:val="0"/>
        <w:autoSpaceDN w:val="0"/>
        <w:adjustRightInd w:val="0"/>
        <w:spacing w:line="400" w:lineRule="exact"/>
        <w:ind w:firstLine="420" w:firstLineChars="200"/>
        <w:jc w:val="left"/>
        <w:rPr>
          <w:rFonts w:hint="default" w:ascii="宋体" w:hAnsi="宋体" w:eastAsia="宋体" w:cs="Times New Roman"/>
          <w:color w:val="auto"/>
          <w:kern w:val="2"/>
          <w:szCs w:val="21"/>
        </w:rPr>
      </w:pPr>
      <w:r>
        <w:rPr>
          <w:rFonts w:hint="eastAsia" w:ascii="宋体" w:hAnsi="宋体" w:eastAsia="宋体" w:cs="Times New Roman"/>
          <w:color w:val="auto"/>
          <w:kern w:val="2"/>
          <w:szCs w:val="21"/>
        </w:rPr>
        <w:t>3、投标承诺/服务承诺；</w:t>
      </w:r>
    </w:p>
    <w:p w14:paraId="37DE22AC">
      <w:pPr>
        <w:widowControl w:val="0"/>
        <w:autoSpaceDE w:val="0"/>
        <w:autoSpaceDN w:val="0"/>
        <w:adjustRightInd w:val="0"/>
        <w:spacing w:line="400" w:lineRule="exact"/>
        <w:ind w:firstLine="420" w:firstLineChars="200"/>
        <w:jc w:val="left"/>
        <w:rPr>
          <w:rFonts w:hint="default" w:ascii="宋体" w:hAnsi="宋体" w:eastAsia="宋体" w:cs="Times New Roman"/>
          <w:color w:val="auto"/>
          <w:kern w:val="2"/>
          <w:szCs w:val="21"/>
        </w:rPr>
      </w:pPr>
      <w:r>
        <w:rPr>
          <w:rFonts w:hint="eastAsia" w:ascii="宋体" w:hAnsi="宋体" w:eastAsia="宋体" w:cs="Times New Roman"/>
          <w:color w:val="auto"/>
          <w:kern w:val="2"/>
          <w:szCs w:val="21"/>
        </w:rPr>
        <w:t>4、中标通知书；</w:t>
      </w:r>
    </w:p>
    <w:p w14:paraId="57D4EF64">
      <w:pPr>
        <w:widowControl w:val="0"/>
        <w:autoSpaceDE w:val="0"/>
        <w:autoSpaceDN w:val="0"/>
        <w:adjustRightInd w:val="0"/>
        <w:spacing w:line="400" w:lineRule="exact"/>
        <w:ind w:firstLine="420" w:firstLineChars="200"/>
        <w:jc w:val="left"/>
        <w:rPr>
          <w:rFonts w:hint="default" w:ascii="宋体" w:hAnsi="宋体" w:eastAsia="宋体" w:cs="Times New Roman"/>
          <w:color w:val="auto"/>
          <w:kern w:val="2"/>
          <w:szCs w:val="21"/>
        </w:rPr>
      </w:pPr>
      <w:r>
        <w:rPr>
          <w:rFonts w:hint="eastAsia" w:ascii="宋体" w:hAnsi="宋体" w:eastAsia="宋体" w:cs="Times New Roman"/>
          <w:color w:val="auto"/>
          <w:kern w:val="2"/>
          <w:szCs w:val="21"/>
        </w:rPr>
        <w:t>5、甲乙双方商定的其他文件等。</w:t>
      </w:r>
    </w:p>
    <w:p w14:paraId="27A51950">
      <w:pPr>
        <w:widowControl w:val="0"/>
        <w:autoSpaceDE w:val="0"/>
        <w:autoSpaceDN w:val="0"/>
        <w:adjustRightInd w:val="0"/>
        <w:spacing w:line="400" w:lineRule="exact"/>
        <w:jc w:val="left"/>
        <w:rPr>
          <w:rFonts w:hint="default" w:ascii="宋体" w:hAnsi="宋体" w:eastAsia="宋体" w:cs="Times New Roman"/>
          <w:b/>
          <w:bCs/>
          <w:color w:val="auto"/>
          <w:kern w:val="2"/>
          <w:szCs w:val="21"/>
        </w:rPr>
      </w:pPr>
      <w:r>
        <w:rPr>
          <w:rFonts w:hint="eastAsia" w:ascii="宋体" w:hAnsi="宋体" w:eastAsia="宋体" w:cs="Times New Roman"/>
          <w:b/>
          <w:bCs/>
          <w:color w:val="auto"/>
          <w:kern w:val="2"/>
          <w:szCs w:val="21"/>
        </w:rPr>
        <w:t>第四条 权利保证</w:t>
      </w:r>
    </w:p>
    <w:p w14:paraId="13D867A1">
      <w:pPr>
        <w:widowControl w:val="0"/>
        <w:autoSpaceDE w:val="0"/>
        <w:autoSpaceDN w:val="0"/>
        <w:adjustRightInd w:val="0"/>
        <w:spacing w:line="400" w:lineRule="exact"/>
        <w:ind w:firstLine="420" w:firstLineChars="200"/>
        <w:jc w:val="left"/>
        <w:rPr>
          <w:rFonts w:hint="default" w:ascii="宋体" w:hAnsi="宋体" w:eastAsia="宋体" w:cs="Times New Roman"/>
          <w:color w:val="auto"/>
          <w:kern w:val="2"/>
          <w:szCs w:val="21"/>
        </w:rPr>
      </w:pPr>
      <w:r>
        <w:rPr>
          <w:rFonts w:hint="eastAsia" w:ascii="宋体" w:hAnsi="宋体" w:eastAsia="宋体" w:cs="Times New Roman"/>
          <w:color w:val="auto"/>
          <w:kern w:val="2"/>
          <w:szCs w:val="21"/>
        </w:rPr>
        <w:t>供应商应保证采购人在使用该服务或其任何一部分时不受第三方提出侵犯其专利权、版权、商标权或其他权利的起诉。一旦出现侵权，供应商应承担全部责任。</w:t>
      </w:r>
    </w:p>
    <w:p w14:paraId="36213F6D">
      <w:pPr>
        <w:widowControl w:val="0"/>
        <w:autoSpaceDE w:val="0"/>
        <w:autoSpaceDN w:val="0"/>
        <w:adjustRightInd w:val="0"/>
        <w:spacing w:line="400" w:lineRule="exact"/>
        <w:jc w:val="left"/>
        <w:rPr>
          <w:rFonts w:hint="default" w:ascii="宋体" w:hAnsi="宋体" w:eastAsia="宋体" w:cs="Times New Roman"/>
          <w:b/>
          <w:bCs/>
          <w:color w:val="auto"/>
          <w:kern w:val="2"/>
          <w:szCs w:val="21"/>
        </w:rPr>
      </w:pPr>
      <w:r>
        <w:rPr>
          <w:rFonts w:hint="eastAsia" w:ascii="宋体" w:hAnsi="宋体" w:eastAsia="宋体" w:cs="Times New Roman"/>
          <w:b/>
          <w:bCs/>
          <w:color w:val="auto"/>
          <w:kern w:val="2"/>
          <w:szCs w:val="21"/>
        </w:rPr>
        <w:t>第五条 质量保证</w:t>
      </w:r>
    </w:p>
    <w:p w14:paraId="345E8317">
      <w:pPr>
        <w:widowControl w:val="0"/>
        <w:autoSpaceDE w:val="0"/>
        <w:autoSpaceDN w:val="0"/>
        <w:adjustRightInd w:val="0"/>
        <w:spacing w:line="400" w:lineRule="exact"/>
        <w:ind w:firstLine="420" w:firstLineChars="200"/>
        <w:jc w:val="left"/>
        <w:rPr>
          <w:rFonts w:hint="default" w:ascii="宋体" w:hAnsi="宋体" w:eastAsia="宋体" w:cs="Times New Roman"/>
          <w:color w:val="auto"/>
          <w:kern w:val="2"/>
          <w:szCs w:val="21"/>
        </w:rPr>
      </w:pPr>
      <w:r>
        <w:rPr>
          <w:rFonts w:hint="eastAsia" w:ascii="宋体" w:hAnsi="宋体" w:eastAsia="宋体" w:cs="Times New Roman"/>
          <w:color w:val="auto"/>
          <w:kern w:val="2"/>
          <w:szCs w:val="21"/>
        </w:rPr>
        <w:t>供应商所提供的服务的技术规格应与招标文件规定的技术规格及投标文件所附的“技术条款偏离表”相一致；若技术性能无特殊说明，则按国家有关部门最新颁布的标准及规范为准。</w:t>
      </w:r>
    </w:p>
    <w:p w14:paraId="7894ABC6">
      <w:pPr>
        <w:widowControl w:val="0"/>
        <w:autoSpaceDE w:val="0"/>
        <w:autoSpaceDN w:val="0"/>
        <w:adjustRightInd w:val="0"/>
        <w:spacing w:line="400" w:lineRule="exact"/>
        <w:jc w:val="left"/>
        <w:rPr>
          <w:rFonts w:hint="default" w:ascii="宋体" w:hAnsi="宋体" w:eastAsia="宋体" w:cs="Times New Roman"/>
          <w:b/>
          <w:bCs/>
          <w:color w:val="auto"/>
          <w:kern w:val="2"/>
          <w:szCs w:val="21"/>
        </w:rPr>
      </w:pPr>
      <w:r>
        <w:rPr>
          <w:rFonts w:hint="eastAsia" w:ascii="宋体" w:hAnsi="宋体" w:eastAsia="宋体" w:cs="Times New Roman"/>
          <w:b/>
          <w:bCs/>
          <w:color w:val="auto"/>
          <w:kern w:val="2"/>
          <w:szCs w:val="21"/>
        </w:rPr>
        <w:t>第六条 服务期限和验收</w:t>
      </w:r>
    </w:p>
    <w:p w14:paraId="10795A1F">
      <w:pPr>
        <w:widowControl w:val="0"/>
        <w:autoSpaceDE w:val="0"/>
        <w:autoSpaceDN w:val="0"/>
        <w:adjustRightInd w:val="0"/>
        <w:spacing w:line="400" w:lineRule="exact"/>
        <w:ind w:firstLine="420" w:firstLineChars="200"/>
        <w:jc w:val="left"/>
        <w:rPr>
          <w:rFonts w:hint="default" w:ascii="宋体" w:hAnsi="宋体" w:eastAsia="宋体" w:cs="Times New Roman"/>
          <w:color w:val="auto"/>
          <w:kern w:val="2"/>
          <w:szCs w:val="21"/>
          <w:u w:val="single"/>
        </w:rPr>
      </w:pPr>
      <w:r>
        <w:rPr>
          <w:rFonts w:hint="eastAsia" w:ascii="宋体" w:hAnsi="宋体" w:eastAsia="宋体" w:cs="Times New Roman"/>
          <w:color w:val="auto"/>
          <w:kern w:val="2"/>
          <w:szCs w:val="21"/>
        </w:rPr>
        <w:t>1、服务期限：自</w:t>
      </w:r>
      <w:r>
        <w:rPr>
          <w:rFonts w:hint="eastAsia" w:ascii="宋体" w:hAnsi="宋体" w:eastAsia="宋体" w:cs="Times New Roman"/>
          <w:color w:val="auto"/>
          <w:kern w:val="2"/>
          <w:szCs w:val="21"/>
          <w:u w:val="single"/>
        </w:rPr>
        <w:t>202</w:t>
      </w:r>
      <w:r>
        <w:rPr>
          <w:rFonts w:hint="eastAsia" w:ascii="宋体" w:hAnsi="宋体" w:eastAsia="宋体" w:cs="Times New Roman"/>
          <w:color w:val="auto"/>
          <w:kern w:val="2"/>
          <w:szCs w:val="21"/>
          <w:u w:val="single"/>
          <w:lang w:val="en-US" w:eastAsia="zh-CN"/>
        </w:rPr>
        <w:t xml:space="preserve"> </w:t>
      </w:r>
      <w:r>
        <w:rPr>
          <w:rFonts w:hint="eastAsia" w:ascii="宋体" w:hAnsi="宋体" w:eastAsia="宋体" w:cs="Times New Roman"/>
          <w:color w:val="auto"/>
          <w:kern w:val="2"/>
          <w:szCs w:val="21"/>
          <w:u w:val="single"/>
        </w:rPr>
        <w:t>年</w:t>
      </w:r>
      <w:r>
        <w:rPr>
          <w:rFonts w:hint="eastAsia" w:ascii="宋体" w:hAnsi="宋体" w:eastAsia="宋体" w:cs="Times New Roman"/>
          <w:color w:val="auto"/>
          <w:kern w:val="2"/>
          <w:szCs w:val="21"/>
          <w:u w:val="single"/>
          <w:lang w:val="en-US" w:eastAsia="zh-CN"/>
        </w:rPr>
        <w:t xml:space="preserve">  </w:t>
      </w:r>
      <w:r>
        <w:rPr>
          <w:rFonts w:hint="eastAsia" w:ascii="宋体" w:hAnsi="宋体" w:eastAsia="宋体" w:cs="Times New Roman"/>
          <w:color w:val="auto"/>
          <w:kern w:val="2"/>
          <w:szCs w:val="21"/>
          <w:u w:val="single"/>
        </w:rPr>
        <w:t>月</w:t>
      </w:r>
      <w:r>
        <w:rPr>
          <w:rFonts w:hint="eastAsia" w:ascii="宋体" w:hAnsi="宋体" w:eastAsia="宋体" w:cs="Times New Roman"/>
          <w:color w:val="auto"/>
          <w:kern w:val="2"/>
          <w:szCs w:val="21"/>
          <w:u w:val="single"/>
          <w:lang w:val="en-US" w:eastAsia="zh-CN"/>
        </w:rPr>
        <w:t xml:space="preserve">  </w:t>
      </w:r>
      <w:r>
        <w:rPr>
          <w:rFonts w:hint="eastAsia" w:ascii="宋体" w:hAnsi="宋体" w:eastAsia="宋体" w:cs="Times New Roman"/>
          <w:color w:val="auto"/>
          <w:kern w:val="2"/>
          <w:szCs w:val="21"/>
          <w:u w:val="single"/>
        </w:rPr>
        <w:t>日</w:t>
      </w:r>
      <w:r>
        <w:rPr>
          <w:rFonts w:hint="eastAsia" w:ascii="宋体" w:hAnsi="宋体" w:eastAsia="宋体" w:cs="Times New Roman"/>
          <w:color w:val="auto"/>
          <w:kern w:val="2"/>
          <w:szCs w:val="21"/>
        </w:rPr>
        <w:t>至</w:t>
      </w:r>
      <w:r>
        <w:rPr>
          <w:rFonts w:hint="eastAsia" w:ascii="宋体" w:hAnsi="宋体" w:eastAsia="宋体" w:cs="Times New Roman"/>
          <w:color w:val="auto"/>
          <w:kern w:val="2"/>
          <w:szCs w:val="21"/>
          <w:u w:val="single"/>
          <w:lang w:val="en-US" w:eastAsia="zh-CN"/>
        </w:rPr>
        <w:t>2026</w:t>
      </w:r>
      <w:r>
        <w:rPr>
          <w:rFonts w:hint="eastAsia" w:ascii="宋体" w:hAnsi="宋体" w:eastAsia="宋体" w:cs="Times New Roman"/>
          <w:color w:val="auto"/>
          <w:kern w:val="2"/>
          <w:szCs w:val="21"/>
          <w:u w:val="single"/>
        </w:rPr>
        <w:t>年</w:t>
      </w:r>
      <w:r>
        <w:rPr>
          <w:rFonts w:hint="eastAsia" w:ascii="宋体" w:hAnsi="宋体" w:eastAsia="宋体" w:cs="Times New Roman"/>
          <w:color w:val="auto"/>
          <w:kern w:val="2"/>
          <w:szCs w:val="21"/>
          <w:u w:val="single"/>
          <w:lang w:val="en-US" w:eastAsia="zh-CN"/>
        </w:rPr>
        <w:t>12</w:t>
      </w:r>
      <w:r>
        <w:rPr>
          <w:rFonts w:hint="eastAsia" w:ascii="宋体" w:hAnsi="宋体" w:eastAsia="宋体" w:cs="Times New Roman"/>
          <w:color w:val="auto"/>
          <w:kern w:val="2"/>
          <w:szCs w:val="21"/>
          <w:u w:val="single"/>
        </w:rPr>
        <w:t>月</w:t>
      </w:r>
      <w:r>
        <w:rPr>
          <w:rFonts w:hint="eastAsia" w:ascii="宋体" w:hAnsi="宋体" w:eastAsia="宋体" w:cs="Times New Roman"/>
          <w:color w:val="auto"/>
          <w:kern w:val="2"/>
          <w:szCs w:val="21"/>
          <w:u w:val="single"/>
          <w:lang w:val="en-US" w:eastAsia="zh-CN"/>
        </w:rPr>
        <w:t>31</w:t>
      </w:r>
      <w:r>
        <w:rPr>
          <w:rFonts w:hint="eastAsia" w:ascii="宋体" w:hAnsi="宋体" w:eastAsia="宋体" w:cs="Times New Roman"/>
          <w:color w:val="auto"/>
          <w:kern w:val="2"/>
          <w:szCs w:val="21"/>
          <w:u w:val="single"/>
        </w:rPr>
        <w:t>日</w:t>
      </w:r>
      <w:r>
        <w:rPr>
          <w:rFonts w:hint="eastAsia" w:ascii="宋体" w:hAnsi="宋体" w:eastAsia="宋体" w:cs="Times New Roman"/>
          <w:color w:val="auto"/>
          <w:kern w:val="2"/>
          <w:szCs w:val="21"/>
        </w:rPr>
        <w:t>。</w:t>
      </w:r>
    </w:p>
    <w:p w14:paraId="1F34BBBC">
      <w:pPr>
        <w:widowControl w:val="0"/>
        <w:autoSpaceDE w:val="0"/>
        <w:autoSpaceDN w:val="0"/>
        <w:adjustRightInd w:val="0"/>
        <w:spacing w:line="400" w:lineRule="exact"/>
        <w:ind w:firstLine="420" w:firstLineChars="200"/>
        <w:jc w:val="left"/>
        <w:rPr>
          <w:rFonts w:hint="default" w:ascii="宋体" w:hAnsi="宋体" w:eastAsia="宋体" w:cs="Times New Roman"/>
          <w:color w:val="auto"/>
          <w:kern w:val="2"/>
          <w:szCs w:val="21"/>
        </w:rPr>
      </w:pPr>
      <w:r>
        <w:rPr>
          <w:rFonts w:hint="eastAsia" w:ascii="宋体" w:hAnsi="宋体" w:eastAsia="宋体" w:cs="Times New Roman"/>
          <w:color w:val="auto"/>
          <w:kern w:val="2"/>
          <w:szCs w:val="21"/>
        </w:rPr>
        <w:t>2、验收标准：按行业通行标准和供应商投标文件的承诺（不低于国家相关标准）。</w:t>
      </w:r>
    </w:p>
    <w:p w14:paraId="4EF9ED2C">
      <w:pPr>
        <w:widowControl w:val="0"/>
        <w:autoSpaceDE w:val="0"/>
        <w:autoSpaceDN w:val="0"/>
        <w:adjustRightInd w:val="0"/>
        <w:spacing w:line="400" w:lineRule="exact"/>
        <w:ind w:firstLine="422" w:firstLineChars="200"/>
        <w:jc w:val="left"/>
        <w:rPr>
          <w:rFonts w:hint="default" w:ascii="宋体" w:hAnsi="宋体" w:eastAsia="宋体" w:cs="Times New Roman"/>
          <w:b/>
          <w:bCs/>
          <w:color w:val="auto"/>
          <w:kern w:val="2"/>
          <w:szCs w:val="21"/>
        </w:rPr>
      </w:pPr>
    </w:p>
    <w:p w14:paraId="7CCDC83E">
      <w:pPr>
        <w:widowControl w:val="0"/>
        <w:autoSpaceDE w:val="0"/>
        <w:autoSpaceDN w:val="0"/>
        <w:adjustRightInd w:val="0"/>
        <w:spacing w:line="400" w:lineRule="exact"/>
        <w:ind w:firstLine="422" w:firstLineChars="200"/>
        <w:jc w:val="left"/>
        <w:rPr>
          <w:rFonts w:hint="default" w:ascii="宋体" w:hAnsi="宋体" w:eastAsia="宋体" w:cs="Times New Roman"/>
          <w:b/>
          <w:bCs/>
          <w:color w:val="auto"/>
          <w:kern w:val="2"/>
          <w:szCs w:val="21"/>
        </w:rPr>
      </w:pPr>
      <w:r>
        <w:rPr>
          <w:rFonts w:hint="eastAsia" w:ascii="宋体" w:hAnsi="宋体" w:eastAsia="宋体" w:cs="Times New Roman"/>
          <w:b/>
          <w:bCs/>
          <w:color w:val="auto"/>
          <w:kern w:val="2"/>
          <w:szCs w:val="21"/>
        </w:rPr>
        <w:t>第七条 采购人</w:t>
      </w:r>
    </w:p>
    <w:p w14:paraId="0F69A9BD">
      <w:pPr>
        <w:widowControl w:val="0"/>
        <w:spacing w:line="400" w:lineRule="exact"/>
        <w:ind w:firstLine="420" w:firstLineChars="200"/>
        <w:rPr>
          <w:rFonts w:hint="default" w:ascii="宋体" w:hAnsi="宋体" w:eastAsia="宋体" w:cs="Times New Roman"/>
          <w:color w:val="auto"/>
          <w:kern w:val="2"/>
          <w:szCs w:val="21"/>
        </w:rPr>
      </w:pPr>
      <w:r>
        <w:rPr>
          <w:rFonts w:hint="eastAsia" w:ascii="宋体" w:hAnsi="宋体" w:eastAsia="宋体" w:cs="Times New Roman"/>
          <w:color w:val="auto"/>
          <w:kern w:val="2"/>
          <w:szCs w:val="21"/>
        </w:rPr>
        <w:t>1、采购</w:t>
      </w:r>
      <w:r>
        <w:rPr>
          <w:rFonts w:hint="default" w:ascii="宋体" w:hAnsi="宋体" w:eastAsia="宋体" w:cs="Times New Roman"/>
          <w:color w:val="auto"/>
          <w:kern w:val="2"/>
          <w:szCs w:val="21"/>
        </w:rPr>
        <w:t>人代表</w:t>
      </w:r>
    </w:p>
    <w:p w14:paraId="12E41D0D">
      <w:pPr>
        <w:widowControl w:val="0"/>
        <w:spacing w:line="400" w:lineRule="exact"/>
        <w:ind w:firstLine="420" w:firstLineChars="200"/>
        <w:rPr>
          <w:rFonts w:hint="default" w:ascii="宋体" w:hAnsi="宋体" w:eastAsia="宋体" w:cs="Times New Roman"/>
          <w:color w:val="auto"/>
          <w:kern w:val="2"/>
          <w:szCs w:val="21"/>
        </w:rPr>
      </w:pPr>
      <w:r>
        <w:rPr>
          <w:rFonts w:hint="eastAsia" w:ascii="宋体" w:hAnsi="宋体" w:eastAsia="宋体" w:cs="Times New Roman"/>
          <w:color w:val="auto"/>
          <w:kern w:val="2"/>
          <w:szCs w:val="21"/>
        </w:rPr>
        <w:t>姓</w:t>
      </w:r>
      <w:r>
        <w:rPr>
          <w:rFonts w:hint="default" w:ascii="宋体" w:hAnsi="宋体" w:eastAsia="宋体" w:cs="Times New Roman"/>
          <w:color w:val="auto"/>
          <w:kern w:val="2"/>
          <w:szCs w:val="21"/>
        </w:rPr>
        <w:t xml:space="preserve">    名：</w:t>
      </w:r>
      <w:r>
        <w:rPr>
          <w:rFonts w:hint="eastAsia" w:ascii="宋体" w:hAnsi="宋体" w:eastAsia="宋体" w:cs="Times New Roman"/>
          <w:color w:val="auto"/>
          <w:kern w:val="2"/>
          <w:szCs w:val="21"/>
          <w:u w:val="single"/>
        </w:rPr>
        <w:t xml:space="preserve">     </w:t>
      </w:r>
      <w:r>
        <w:rPr>
          <w:rFonts w:hint="eastAsia" w:ascii="宋体" w:hAnsi="宋体" w:eastAsia="宋体" w:cs="Times New Roman"/>
          <w:color w:val="auto"/>
          <w:kern w:val="2"/>
          <w:szCs w:val="21"/>
        </w:rPr>
        <w:t>；身份证号：</w:t>
      </w:r>
      <w:r>
        <w:rPr>
          <w:rFonts w:hint="eastAsia" w:ascii="宋体" w:hAnsi="宋体" w:eastAsia="宋体" w:cs="Times New Roman"/>
          <w:color w:val="auto"/>
          <w:kern w:val="2"/>
          <w:szCs w:val="21"/>
          <w:u w:val="single"/>
        </w:rPr>
        <w:t xml:space="preserve">    </w:t>
      </w:r>
      <w:r>
        <w:rPr>
          <w:rFonts w:hint="default" w:ascii="宋体" w:hAnsi="宋体" w:eastAsia="宋体" w:cs="Times New Roman"/>
          <w:color w:val="auto"/>
          <w:kern w:val="2"/>
          <w:szCs w:val="21"/>
          <w:u w:val="single"/>
        </w:rPr>
        <w:t xml:space="preserve"> </w:t>
      </w:r>
      <w:r>
        <w:rPr>
          <w:rFonts w:hint="eastAsia" w:ascii="宋体" w:hAnsi="宋体" w:eastAsia="宋体" w:cs="Times New Roman"/>
          <w:color w:val="auto"/>
          <w:kern w:val="2"/>
          <w:szCs w:val="21"/>
          <w:u w:val="single"/>
        </w:rPr>
        <w:t xml:space="preserve">  </w:t>
      </w:r>
      <w:r>
        <w:rPr>
          <w:rFonts w:hint="eastAsia" w:ascii="宋体" w:hAnsi="宋体" w:eastAsia="宋体" w:cs="Times New Roman"/>
          <w:color w:val="auto"/>
          <w:kern w:val="2"/>
          <w:szCs w:val="21"/>
        </w:rPr>
        <w:t>；</w:t>
      </w:r>
    </w:p>
    <w:p w14:paraId="65EC9AE6">
      <w:pPr>
        <w:widowControl w:val="0"/>
        <w:spacing w:line="400" w:lineRule="exact"/>
        <w:ind w:firstLine="420" w:firstLineChars="200"/>
        <w:rPr>
          <w:rFonts w:hint="default" w:ascii="宋体" w:hAnsi="宋体" w:eastAsia="宋体" w:cs="Times New Roman"/>
          <w:color w:val="auto"/>
          <w:kern w:val="2"/>
          <w:szCs w:val="21"/>
        </w:rPr>
      </w:pPr>
      <w:r>
        <w:rPr>
          <w:rFonts w:hint="eastAsia" w:ascii="宋体" w:hAnsi="宋体" w:eastAsia="宋体" w:cs="Times New Roman"/>
          <w:color w:val="auto"/>
          <w:kern w:val="2"/>
          <w:szCs w:val="21"/>
        </w:rPr>
        <w:t>采购人对采购人代表的授权范围如下：行使采购人代表的权利，包括组织开展工作现场采购人的工作、对监理工作的检查及代表采购人行使本合同授予采购人的所有权利。</w:t>
      </w:r>
    </w:p>
    <w:p w14:paraId="245A297D">
      <w:pPr>
        <w:widowControl w:val="0"/>
        <w:spacing w:line="400" w:lineRule="exact"/>
        <w:ind w:firstLine="420" w:firstLineChars="200"/>
        <w:rPr>
          <w:rFonts w:hint="default" w:ascii="宋体" w:hAnsi="宋体" w:eastAsia="宋体" w:cs="Times New Roman"/>
          <w:color w:val="auto"/>
          <w:kern w:val="2"/>
          <w:szCs w:val="21"/>
        </w:rPr>
      </w:pPr>
      <w:r>
        <w:rPr>
          <w:rFonts w:hint="eastAsia" w:ascii="宋体" w:hAnsi="宋体" w:eastAsia="宋体" w:cs="Times New Roman"/>
          <w:color w:val="auto"/>
          <w:kern w:val="2"/>
          <w:szCs w:val="21"/>
        </w:rPr>
        <w:t>工作量调整、设计变更及签证等；工期顺延的签证；分包单位的确认；验收报告的确认；主持工作现场采购人的工作；对合同执行情况进行检查监督以及对监理工作的检查。</w:t>
      </w:r>
    </w:p>
    <w:p w14:paraId="364116DC">
      <w:pPr>
        <w:widowControl w:val="0"/>
        <w:autoSpaceDE w:val="0"/>
        <w:autoSpaceDN w:val="0"/>
        <w:adjustRightInd w:val="0"/>
        <w:spacing w:line="400" w:lineRule="exact"/>
        <w:jc w:val="left"/>
        <w:rPr>
          <w:rFonts w:hint="default" w:ascii="宋体" w:hAnsi="宋体" w:eastAsia="宋体" w:cs="Times New Roman"/>
          <w:b/>
          <w:bCs/>
          <w:color w:val="auto"/>
          <w:kern w:val="2"/>
          <w:szCs w:val="21"/>
        </w:rPr>
      </w:pPr>
      <w:r>
        <w:rPr>
          <w:rFonts w:hint="eastAsia" w:ascii="宋体" w:hAnsi="宋体" w:eastAsia="宋体" w:cs="Times New Roman"/>
          <w:b/>
          <w:bCs/>
          <w:color w:val="auto"/>
          <w:kern w:val="2"/>
          <w:szCs w:val="21"/>
        </w:rPr>
        <w:t>第八条 供应商</w:t>
      </w:r>
    </w:p>
    <w:p w14:paraId="59E37099">
      <w:pPr>
        <w:widowControl w:val="0"/>
        <w:spacing w:line="400" w:lineRule="exact"/>
        <w:ind w:firstLine="420" w:firstLineChars="200"/>
        <w:rPr>
          <w:rFonts w:hint="default" w:ascii="宋体" w:hAnsi="宋体" w:eastAsia="宋体" w:cs="Times New Roman"/>
          <w:color w:val="auto"/>
          <w:kern w:val="2"/>
          <w:szCs w:val="21"/>
        </w:rPr>
      </w:pPr>
      <w:r>
        <w:rPr>
          <w:rFonts w:hint="eastAsia" w:ascii="宋体" w:hAnsi="宋体" w:eastAsia="宋体" w:cs="Times New Roman"/>
          <w:color w:val="auto"/>
          <w:kern w:val="2"/>
          <w:szCs w:val="21"/>
        </w:rPr>
        <w:t>1、供应商的一般义务</w:t>
      </w:r>
    </w:p>
    <w:p w14:paraId="010C251E">
      <w:pPr>
        <w:widowControl w:val="0"/>
        <w:spacing w:line="400" w:lineRule="exact"/>
        <w:ind w:firstLine="420" w:firstLineChars="200"/>
        <w:rPr>
          <w:rFonts w:hint="default" w:ascii="宋体" w:hAnsi="宋体" w:eastAsia="宋体" w:cs="Times New Roman"/>
          <w:color w:val="auto"/>
          <w:kern w:val="2"/>
          <w:szCs w:val="21"/>
        </w:rPr>
      </w:pPr>
      <w:r>
        <w:rPr>
          <w:rFonts w:hint="eastAsia" w:ascii="宋体" w:hAnsi="宋体" w:eastAsia="宋体" w:cs="Times New Roman"/>
          <w:color w:val="auto"/>
          <w:kern w:val="2"/>
          <w:szCs w:val="21"/>
        </w:rPr>
        <w:t>（1）供应商提交的完工资料的内容：完工后60天内，供应商完成并提交完整的完工资料，内容必须真实、准确，与实际符合。其中2套原件、2套复印件、一份电子件；结算文件3套，并报监理审核。</w:t>
      </w:r>
    </w:p>
    <w:p w14:paraId="5BF70C50">
      <w:pPr>
        <w:widowControl w:val="0"/>
        <w:spacing w:line="400" w:lineRule="exact"/>
        <w:ind w:firstLine="420" w:firstLineChars="200"/>
        <w:rPr>
          <w:rFonts w:hint="default" w:ascii="宋体" w:hAnsi="宋体" w:eastAsia="宋体" w:cs="Times New Roman"/>
          <w:color w:val="auto"/>
          <w:kern w:val="2"/>
          <w:szCs w:val="21"/>
        </w:rPr>
      </w:pPr>
      <w:r>
        <w:rPr>
          <w:rFonts w:hint="eastAsia" w:ascii="宋体" w:hAnsi="宋体" w:eastAsia="宋体" w:cs="Times New Roman"/>
          <w:color w:val="auto"/>
          <w:kern w:val="2"/>
          <w:szCs w:val="21"/>
        </w:rPr>
        <w:t>（2）供应商应履行的其他义务：</w:t>
      </w:r>
    </w:p>
    <w:p w14:paraId="6648CEFB">
      <w:pPr>
        <w:widowControl w:val="0"/>
        <w:spacing w:line="400" w:lineRule="exact"/>
        <w:ind w:firstLine="420" w:firstLineChars="200"/>
        <w:rPr>
          <w:rFonts w:hint="default" w:ascii="宋体" w:hAnsi="宋体" w:eastAsia="宋体" w:cs="Times New Roman"/>
          <w:color w:val="auto"/>
          <w:kern w:val="2"/>
          <w:szCs w:val="21"/>
        </w:rPr>
      </w:pPr>
      <w:r>
        <w:rPr>
          <w:rFonts w:hint="eastAsia" w:ascii="宋体" w:hAnsi="宋体" w:eastAsia="宋体" w:cs="Times New Roman"/>
          <w:color w:val="auto"/>
          <w:kern w:val="2"/>
          <w:szCs w:val="21"/>
        </w:rPr>
        <w:t>A、供应商必须按采购人和监理的要求完成开工前的申请报告以及所要求的各类报表、有针对性的组织设计及分项组织设计。开工前一周按采购人要求提供进度总计划、供应商自购材料清单、材料进场计划、劳动力及月度用款计划等资料；进场开工后每月二十五日前应分别向采购人、监理人提交详细的进度计划，已完工作量报表（含因设计变更引起的工作量及价款调整的申请）及下月计划表。</w:t>
      </w:r>
    </w:p>
    <w:p w14:paraId="7621BB85">
      <w:pPr>
        <w:widowControl w:val="0"/>
        <w:spacing w:line="400" w:lineRule="exact"/>
        <w:ind w:firstLine="420" w:firstLineChars="200"/>
        <w:rPr>
          <w:rFonts w:hint="default" w:ascii="宋体" w:hAnsi="宋体" w:eastAsia="宋体" w:cs="Times New Roman"/>
          <w:color w:val="auto"/>
          <w:kern w:val="2"/>
          <w:szCs w:val="21"/>
        </w:rPr>
      </w:pPr>
      <w:r>
        <w:rPr>
          <w:rFonts w:hint="eastAsia" w:ascii="宋体" w:hAnsi="宋体" w:eastAsia="宋体" w:cs="Times New Roman"/>
          <w:color w:val="auto"/>
          <w:kern w:val="2"/>
          <w:szCs w:val="21"/>
        </w:rPr>
        <w:t>B、供应商承担安全保卫工作及非夜间工作照明的责任和要求：负责采购人的安全责任，禁止外单位车辆、人员出入工地。禁止非供应商员进入现场，并保证现场范围内的一切人员和财产的安全工作，费用在报价中已包含。承担供应商工作范围的安全保卫工作，供应商认真做好工作场地的安全防护工作（包括照明、安全设施等），供应商对安全防护工作负全责（包括但不限于责任和费用），并负责采购人供应的材料设备的保管。如供应商未履行上述约定及通用条款相关义务造成工作、财产和人身伤害，由供应商承担责任、支付违约金及支付发生的费用。</w:t>
      </w:r>
    </w:p>
    <w:p w14:paraId="56DFA447">
      <w:pPr>
        <w:widowControl w:val="0"/>
        <w:spacing w:line="400" w:lineRule="exact"/>
        <w:ind w:firstLine="420" w:firstLineChars="200"/>
        <w:rPr>
          <w:rFonts w:hint="default" w:ascii="宋体" w:hAnsi="宋体" w:eastAsia="宋体" w:cs="Times New Roman"/>
          <w:color w:val="auto"/>
          <w:kern w:val="2"/>
          <w:szCs w:val="21"/>
        </w:rPr>
      </w:pPr>
      <w:r>
        <w:rPr>
          <w:rFonts w:hint="eastAsia" w:ascii="宋体" w:hAnsi="宋体" w:eastAsia="宋体" w:cs="Times New Roman"/>
          <w:color w:val="auto"/>
          <w:kern w:val="2"/>
          <w:szCs w:val="21"/>
        </w:rPr>
        <w:t>C、需供应商办理的有关现场场地交通、环卫和噪音管理等手续：涉及到的所有交通、环卫、市容、噪声及劳务用工管理等各项应办手续及费用，均由供应商自行办理和承担。供应商不得因此而影响工期，否则仍须承担违约责任。若因此而产生相应的行政处罚，概由供应商承担。</w:t>
      </w:r>
    </w:p>
    <w:p w14:paraId="00E31317">
      <w:pPr>
        <w:widowControl w:val="0"/>
        <w:spacing w:line="400" w:lineRule="exact"/>
        <w:ind w:firstLine="420" w:firstLineChars="200"/>
        <w:rPr>
          <w:rFonts w:hint="default" w:ascii="宋体" w:hAnsi="宋体" w:eastAsia="宋体" w:cs="Times New Roman"/>
          <w:color w:val="auto"/>
          <w:kern w:val="2"/>
          <w:szCs w:val="21"/>
        </w:rPr>
      </w:pPr>
      <w:r>
        <w:rPr>
          <w:rFonts w:hint="eastAsia" w:ascii="宋体" w:hAnsi="宋体" w:eastAsia="宋体" w:cs="Times New Roman"/>
          <w:color w:val="auto"/>
          <w:kern w:val="2"/>
          <w:szCs w:val="21"/>
        </w:rPr>
        <w:t>D、已完成品保护的特殊要求及费用承担：交付前由供应商负责人负责已完成品保护，采购人可以协助，费用由供应商负责。</w:t>
      </w:r>
    </w:p>
    <w:p w14:paraId="2BB444E2">
      <w:pPr>
        <w:widowControl w:val="0"/>
        <w:spacing w:line="400" w:lineRule="exact"/>
        <w:ind w:firstLine="420" w:firstLineChars="200"/>
        <w:rPr>
          <w:rFonts w:hint="default" w:ascii="宋体" w:hAnsi="宋体" w:eastAsia="宋体" w:cs="Times New Roman"/>
          <w:color w:val="auto"/>
          <w:kern w:val="2"/>
          <w:szCs w:val="21"/>
        </w:rPr>
      </w:pPr>
      <w:r>
        <w:rPr>
          <w:rFonts w:hint="eastAsia" w:ascii="宋体" w:hAnsi="宋体" w:eastAsia="宋体" w:cs="Times New Roman"/>
          <w:color w:val="auto"/>
          <w:kern w:val="2"/>
          <w:szCs w:val="21"/>
        </w:rPr>
        <w:t>E、工作场地周围地下管线和邻近建筑物、构筑物（含文物保护建筑）、古树名木的保护要求及费用承担：如果在工作期间发现文物或其它有价值的物品时，供应商应采取防止损害的措施，并立即报告采购人、国家文物或其他管理部门和保护现场；如果在工作过程中意外发现电线、水管或其它公共设施，供应商应立即停止挖掘工作，并立即报告采购人或专业管理部门。供应商根据有关指示，负责修理被破坏的上述公共设施，并恢复原状，费用由责任方承担。如因供应商原因受到相关管理部门的行政处罚，概由供应商承担。</w:t>
      </w:r>
    </w:p>
    <w:p w14:paraId="2A018F85">
      <w:pPr>
        <w:widowControl w:val="0"/>
        <w:spacing w:line="400" w:lineRule="exact"/>
        <w:ind w:firstLine="420" w:firstLineChars="200"/>
        <w:rPr>
          <w:rFonts w:hint="default" w:ascii="宋体" w:hAnsi="宋体" w:eastAsia="宋体" w:cs="Times New Roman"/>
          <w:color w:val="auto"/>
          <w:kern w:val="2"/>
          <w:szCs w:val="21"/>
        </w:rPr>
      </w:pPr>
      <w:r>
        <w:rPr>
          <w:rFonts w:hint="eastAsia" w:ascii="宋体" w:hAnsi="宋体" w:eastAsia="宋体" w:cs="Times New Roman"/>
          <w:color w:val="auto"/>
          <w:kern w:val="2"/>
          <w:szCs w:val="21"/>
        </w:rPr>
        <w:t>F、现场清洁卫生的要求：做到文明、规范，保持场地整洁卫生外，还应按照采购人关于安全生产和文明工作要求办理，并做到：①设置、维修和管理临时排污系统；②按照南京市及区有关对扬尘处理办法，对现场进行扬尘处理，并承担相关费用；③每天保持工作道路的畅通与清洁，负责保养及维修进入工作区域道路，费用由供应商承担；④收集和处理所有工作现场和生活区域内的所有垃圾，直到交付为止；⑤供应商应按采购人要求，按规定做好场内道路硬化、布置各项标识、标牌、便于检查、视察或参观；⑥若因供应商现场清洁卫生工作不好，导致投诉或新闻媒体曝光，供应商需承担由此产生的一切后果和费用；另采购人可要求供应商支付5万元/次的违约金，并计黄牌一次；⑦交付时应将其排污设施全部拆除并清理至采购人满意，供应商承担其相应的费用。</w:t>
      </w:r>
    </w:p>
    <w:p w14:paraId="0D74E89B">
      <w:pPr>
        <w:widowControl w:val="0"/>
        <w:spacing w:line="400" w:lineRule="exact"/>
        <w:ind w:firstLine="420" w:firstLineChars="200"/>
        <w:rPr>
          <w:rFonts w:hint="default" w:ascii="宋体" w:hAnsi="宋体" w:eastAsia="宋体" w:cs="Times New Roman"/>
          <w:color w:val="auto"/>
          <w:kern w:val="2"/>
          <w:szCs w:val="21"/>
        </w:rPr>
      </w:pPr>
      <w:r>
        <w:rPr>
          <w:rFonts w:hint="eastAsia" w:ascii="宋体" w:hAnsi="宋体" w:eastAsia="宋体" w:cs="Times New Roman"/>
          <w:color w:val="auto"/>
          <w:kern w:val="2"/>
          <w:szCs w:val="21"/>
        </w:rPr>
        <w:t>G、作为本项目的总承包管理单位，供应商对本项目产生的各类垃圾至整体验收交付日之前均由供应商外运，供应商对本项目产生的全部垃圾已有充分预见，并已在报价中充分考虑此项费用，合同执行过程中不予签证，结算不调整。如不进行外运，发生一切费用则从合同款中直接扣回。</w:t>
      </w:r>
    </w:p>
    <w:p w14:paraId="60FCFA34">
      <w:pPr>
        <w:widowControl w:val="0"/>
        <w:spacing w:line="400" w:lineRule="exact"/>
        <w:ind w:firstLine="420" w:firstLineChars="200"/>
        <w:rPr>
          <w:rFonts w:hint="default" w:ascii="宋体" w:hAnsi="宋体" w:eastAsia="宋体" w:cs="Times New Roman"/>
          <w:color w:val="auto"/>
          <w:kern w:val="2"/>
          <w:szCs w:val="21"/>
        </w:rPr>
      </w:pPr>
      <w:r>
        <w:rPr>
          <w:rFonts w:hint="eastAsia" w:ascii="宋体" w:hAnsi="宋体" w:eastAsia="宋体" w:cs="Times New Roman"/>
          <w:color w:val="auto"/>
          <w:kern w:val="2"/>
          <w:szCs w:val="21"/>
        </w:rPr>
        <w:t>H、采购人在签订本合同后及时提供用于申办本项目备案、手续报批等所需的必要资料，供应商应在采购人提供上述资料后14天内完成各类备案、手续的办理工作，因供应商原因逾期未办妥的而导致工期延误，工期不予顺延。</w:t>
      </w:r>
    </w:p>
    <w:p w14:paraId="4512A6C5">
      <w:pPr>
        <w:widowControl w:val="0"/>
        <w:spacing w:line="400" w:lineRule="exact"/>
        <w:ind w:firstLine="420" w:firstLineChars="200"/>
        <w:rPr>
          <w:rFonts w:hint="default" w:ascii="宋体" w:hAnsi="宋体" w:eastAsia="宋体" w:cs="Times New Roman"/>
          <w:color w:val="auto"/>
          <w:kern w:val="2"/>
          <w:szCs w:val="21"/>
        </w:rPr>
      </w:pPr>
      <w:r>
        <w:rPr>
          <w:rFonts w:hint="eastAsia" w:ascii="宋体" w:hAnsi="宋体" w:eastAsia="宋体" w:cs="Times New Roman"/>
          <w:color w:val="auto"/>
          <w:kern w:val="2"/>
          <w:szCs w:val="21"/>
        </w:rPr>
        <w:t>I、承担采购人上级领导检查、视察工地所需的现场准备工作；配合质监、安监单位的现场检查，并承担由此引起的相关费用。</w:t>
      </w:r>
    </w:p>
    <w:p w14:paraId="329A4279">
      <w:pPr>
        <w:widowControl w:val="0"/>
        <w:spacing w:line="400" w:lineRule="exact"/>
        <w:ind w:firstLine="420" w:firstLineChars="200"/>
        <w:rPr>
          <w:rFonts w:hint="default" w:ascii="宋体" w:hAnsi="宋体" w:eastAsia="宋体" w:cs="Times New Roman"/>
          <w:color w:val="auto"/>
          <w:kern w:val="2"/>
          <w:szCs w:val="21"/>
        </w:rPr>
      </w:pPr>
      <w:r>
        <w:rPr>
          <w:rFonts w:hint="eastAsia" w:ascii="宋体" w:hAnsi="宋体" w:eastAsia="宋体" w:cs="Times New Roman"/>
          <w:color w:val="auto"/>
          <w:kern w:val="2"/>
          <w:szCs w:val="21"/>
        </w:rPr>
        <w:t>J、供应商必须遵守江苏省、南京市及栖霞区的相关规定，服从行业主管部门的管理，凡涉及到供应商的安全监督、质量监督、备案、车辆准运等有关证、照，均由供应商自行办理，采购人给予配合，发生的费用全部由供应商承担，包括但不限于外地单位备案费用、排污管理费、噪声管理费、垃圾管理费、降尘措施费等。</w:t>
      </w:r>
    </w:p>
    <w:p w14:paraId="45E5561F">
      <w:pPr>
        <w:widowControl w:val="0"/>
        <w:spacing w:line="400" w:lineRule="exact"/>
        <w:ind w:firstLine="420" w:firstLineChars="200"/>
        <w:rPr>
          <w:rFonts w:hint="default" w:ascii="宋体" w:hAnsi="宋体" w:eastAsia="宋体" w:cs="Times New Roman"/>
          <w:color w:val="auto"/>
          <w:kern w:val="2"/>
          <w:szCs w:val="21"/>
        </w:rPr>
      </w:pPr>
      <w:r>
        <w:rPr>
          <w:rFonts w:hint="eastAsia" w:ascii="宋体" w:hAnsi="宋体" w:eastAsia="宋体" w:cs="Times New Roman"/>
          <w:color w:val="auto"/>
          <w:kern w:val="2"/>
          <w:szCs w:val="21"/>
        </w:rPr>
        <w:t>K、采购人需要时，可能做出某些限制和配合要求，供应商应按照要求做出必要的配合，并承担有可能因此而引起工效降低需增加的费用。</w:t>
      </w:r>
    </w:p>
    <w:p w14:paraId="485C99EE">
      <w:pPr>
        <w:widowControl w:val="0"/>
        <w:spacing w:line="400" w:lineRule="exact"/>
        <w:ind w:firstLine="420" w:firstLineChars="200"/>
        <w:rPr>
          <w:rFonts w:hint="default" w:ascii="宋体" w:hAnsi="宋体" w:eastAsia="宋体" w:cs="Times New Roman"/>
          <w:color w:val="auto"/>
          <w:kern w:val="2"/>
          <w:szCs w:val="21"/>
        </w:rPr>
      </w:pPr>
      <w:r>
        <w:rPr>
          <w:rFonts w:hint="eastAsia" w:ascii="宋体" w:hAnsi="宋体" w:eastAsia="宋体" w:cs="Times New Roman"/>
          <w:color w:val="auto"/>
          <w:kern w:val="2"/>
          <w:szCs w:val="21"/>
        </w:rPr>
        <w:t>L、供应商应负责其承包范围内的深化设计、方案评审、修改并承担由此引起的各项增加的或额外的费用。</w:t>
      </w:r>
    </w:p>
    <w:p w14:paraId="58820B62">
      <w:pPr>
        <w:widowControl w:val="0"/>
        <w:spacing w:line="400" w:lineRule="exact"/>
        <w:ind w:firstLine="420" w:firstLineChars="200"/>
        <w:rPr>
          <w:rFonts w:hint="default" w:ascii="宋体" w:hAnsi="宋体" w:eastAsia="宋体" w:cs="Times New Roman"/>
          <w:color w:val="auto"/>
          <w:kern w:val="2"/>
          <w:szCs w:val="21"/>
        </w:rPr>
      </w:pPr>
      <w:r>
        <w:rPr>
          <w:rFonts w:hint="eastAsia" w:ascii="宋体" w:hAnsi="宋体" w:eastAsia="宋体" w:cs="Times New Roman"/>
          <w:color w:val="auto"/>
          <w:kern w:val="2"/>
          <w:szCs w:val="21"/>
        </w:rPr>
        <w:t>M、供应商应加强车辆的管理，不得无故堵塞道路交通，不得沿途抛洒弃土，并根据采购人的要求，安排人员在主要路口疏导车辆、行人交通，其费用由供应商负责。</w:t>
      </w:r>
    </w:p>
    <w:p w14:paraId="2C6381F5">
      <w:pPr>
        <w:widowControl w:val="0"/>
        <w:spacing w:line="400" w:lineRule="exact"/>
        <w:ind w:firstLine="420" w:firstLineChars="200"/>
        <w:rPr>
          <w:rFonts w:hint="default" w:ascii="宋体" w:hAnsi="宋体" w:eastAsia="宋体" w:cs="Times New Roman"/>
          <w:color w:val="auto"/>
          <w:kern w:val="2"/>
          <w:szCs w:val="21"/>
        </w:rPr>
      </w:pPr>
      <w:r>
        <w:rPr>
          <w:rFonts w:hint="eastAsia" w:ascii="宋体" w:hAnsi="宋体" w:eastAsia="宋体" w:cs="Times New Roman"/>
          <w:color w:val="auto"/>
          <w:kern w:val="2"/>
          <w:szCs w:val="21"/>
        </w:rPr>
        <w:t>N、供应商必须负责现场临时用水、用电工作，进行统一管理，包括但不限于以下内容：</w:t>
      </w:r>
    </w:p>
    <w:p w14:paraId="61F30409">
      <w:pPr>
        <w:widowControl w:val="0"/>
        <w:spacing w:line="400" w:lineRule="exact"/>
        <w:ind w:firstLine="420" w:firstLineChars="200"/>
        <w:rPr>
          <w:rFonts w:hint="default" w:ascii="宋体" w:hAnsi="宋体" w:eastAsia="宋体" w:cs="Times New Roman"/>
          <w:color w:val="auto"/>
          <w:kern w:val="2"/>
          <w:szCs w:val="21"/>
        </w:rPr>
      </w:pPr>
      <w:r>
        <w:rPr>
          <w:rFonts w:hint="eastAsia" w:ascii="宋体" w:hAnsi="宋体" w:eastAsia="宋体" w:cs="Times New Roman"/>
          <w:color w:val="auto"/>
          <w:kern w:val="2"/>
          <w:szCs w:val="21"/>
        </w:rPr>
        <w:t>a.供应商应将用水、用电的额度提交给监理工程师，以便审查和批准。供应商承担整个工地的水电管理（含生活区）及维修（费用已含在报价中）任务。供水管路及用水设施、供电线路及供电设施等必须符合有关临时供水、供电设施的安装、使用标准或规范，供应商对所使用的供水、供电设施的设计、安装、维修和管理负责，并确保其安全可靠。</w:t>
      </w:r>
    </w:p>
    <w:p w14:paraId="3D40F002">
      <w:pPr>
        <w:widowControl w:val="0"/>
        <w:spacing w:line="400" w:lineRule="exact"/>
        <w:ind w:firstLine="420" w:firstLineChars="200"/>
        <w:rPr>
          <w:rFonts w:hint="default" w:ascii="宋体" w:hAnsi="宋体" w:eastAsia="宋体" w:cs="Times New Roman"/>
          <w:color w:val="auto"/>
          <w:kern w:val="2"/>
          <w:szCs w:val="21"/>
        </w:rPr>
      </w:pPr>
      <w:r>
        <w:rPr>
          <w:rFonts w:hint="eastAsia" w:ascii="宋体" w:hAnsi="宋体" w:eastAsia="宋体" w:cs="Times New Roman"/>
          <w:color w:val="auto"/>
          <w:kern w:val="2"/>
          <w:szCs w:val="21"/>
        </w:rPr>
        <w:t>b.现场用水用电不足部分由供应商自行解决（如自备发电机、打井等措施），费用由供应商承担。</w:t>
      </w:r>
    </w:p>
    <w:p w14:paraId="5D62CE7A">
      <w:pPr>
        <w:widowControl w:val="0"/>
        <w:spacing w:line="400" w:lineRule="exact"/>
        <w:ind w:firstLine="420" w:firstLineChars="200"/>
        <w:rPr>
          <w:rFonts w:hint="default" w:ascii="宋体" w:hAnsi="宋体" w:eastAsia="宋体" w:cs="Times New Roman"/>
          <w:color w:val="auto"/>
          <w:kern w:val="2"/>
          <w:szCs w:val="21"/>
        </w:rPr>
      </w:pPr>
      <w:r>
        <w:rPr>
          <w:rFonts w:hint="eastAsia" w:ascii="宋体" w:hAnsi="宋体" w:eastAsia="宋体" w:cs="Times New Roman"/>
          <w:color w:val="auto"/>
          <w:kern w:val="2"/>
          <w:szCs w:val="21"/>
        </w:rPr>
        <w:t>c.供应商负责布设临时水、电设施并进行日常维护管理以保证满足整个项目期间的需要，所发生的布设、维护管理费用已包含在投标报价内。</w:t>
      </w:r>
    </w:p>
    <w:p w14:paraId="234D7367">
      <w:pPr>
        <w:widowControl w:val="0"/>
        <w:spacing w:line="400" w:lineRule="exact"/>
        <w:ind w:firstLine="420" w:firstLineChars="200"/>
        <w:rPr>
          <w:rFonts w:hint="default" w:ascii="宋体" w:hAnsi="宋体" w:eastAsia="宋体" w:cs="Times New Roman"/>
          <w:color w:val="auto"/>
          <w:kern w:val="2"/>
          <w:szCs w:val="21"/>
        </w:rPr>
      </w:pPr>
      <w:r>
        <w:rPr>
          <w:rFonts w:hint="eastAsia" w:ascii="宋体" w:hAnsi="宋体" w:eastAsia="宋体" w:cs="Times New Roman"/>
          <w:color w:val="auto"/>
          <w:kern w:val="2"/>
          <w:szCs w:val="21"/>
        </w:rPr>
        <w:t>d.供应商应充分考虑用电负荷控制和漏电保护，否则承担一切损失。</w:t>
      </w:r>
    </w:p>
    <w:p w14:paraId="68AED4E9">
      <w:pPr>
        <w:widowControl w:val="0"/>
        <w:spacing w:line="400" w:lineRule="exact"/>
        <w:ind w:firstLine="420" w:firstLineChars="200"/>
        <w:rPr>
          <w:rFonts w:hint="default" w:ascii="宋体" w:hAnsi="宋体" w:eastAsia="宋体" w:cs="Times New Roman"/>
          <w:color w:val="auto"/>
          <w:kern w:val="2"/>
          <w:szCs w:val="21"/>
        </w:rPr>
      </w:pPr>
      <w:r>
        <w:rPr>
          <w:rFonts w:hint="eastAsia" w:ascii="宋体" w:hAnsi="宋体" w:eastAsia="宋体" w:cs="Times New Roman"/>
          <w:color w:val="auto"/>
          <w:kern w:val="2"/>
          <w:szCs w:val="21"/>
        </w:rPr>
        <w:t>e.如因城市供电、供水部门等非采购人原因导致的停电、停水，供应商不得向采购人提出违约。</w:t>
      </w:r>
    </w:p>
    <w:p w14:paraId="26AE6B2B">
      <w:pPr>
        <w:widowControl w:val="0"/>
        <w:spacing w:line="400" w:lineRule="exact"/>
        <w:ind w:firstLine="420" w:firstLineChars="200"/>
        <w:rPr>
          <w:rFonts w:hint="default" w:ascii="宋体" w:hAnsi="宋体" w:eastAsia="宋体" w:cs="Times New Roman"/>
          <w:color w:val="auto"/>
          <w:kern w:val="2"/>
          <w:szCs w:val="21"/>
        </w:rPr>
      </w:pPr>
      <w:r>
        <w:rPr>
          <w:rFonts w:hint="eastAsia" w:ascii="宋体" w:hAnsi="宋体" w:eastAsia="宋体" w:cs="Times New Roman"/>
          <w:color w:val="auto"/>
          <w:kern w:val="2"/>
          <w:szCs w:val="21"/>
        </w:rPr>
        <w:t>f.临时水电设施的拆除必须征得监理工程师与采购人的书面批准，否则采购人有权要求供应商恢复，并承担恢复所发生的费用。</w:t>
      </w:r>
    </w:p>
    <w:p w14:paraId="79A63FDA">
      <w:pPr>
        <w:widowControl w:val="0"/>
        <w:spacing w:line="400" w:lineRule="exact"/>
        <w:ind w:firstLine="420" w:firstLineChars="200"/>
        <w:rPr>
          <w:rFonts w:hint="default" w:ascii="宋体" w:hAnsi="宋体" w:eastAsia="宋体" w:cs="Times New Roman"/>
          <w:color w:val="auto"/>
          <w:kern w:val="2"/>
          <w:szCs w:val="21"/>
        </w:rPr>
      </w:pPr>
      <w:r>
        <w:rPr>
          <w:rFonts w:hint="eastAsia" w:ascii="宋体" w:hAnsi="宋体" w:eastAsia="宋体" w:cs="Times New Roman"/>
          <w:color w:val="auto"/>
          <w:kern w:val="2"/>
          <w:szCs w:val="21"/>
        </w:rPr>
        <w:t>O、供应商负责现场除由供应商自身产生的各类垃圾清运工作外，还需负责公共区域的卫生、清洁、垃圾清运等工作；以及本项目全区域的卫生管理与检查。</w:t>
      </w:r>
    </w:p>
    <w:p w14:paraId="10E77516">
      <w:pPr>
        <w:widowControl w:val="0"/>
        <w:spacing w:line="400" w:lineRule="exact"/>
        <w:ind w:firstLine="420" w:firstLineChars="200"/>
        <w:rPr>
          <w:rFonts w:hint="default" w:ascii="宋体" w:hAnsi="宋体" w:eastAsia="宋体" w:cs="Times New Roman"/>
          <w:color w:val="auto"/>
          <w:kern w:val="2"/>
          <w:szCs w:val="21"/>
        </w:rPr>
      </w:pPr>
      <w:r>
        <w:rPr>
          <w:rFonts w:hint="eastAsia" w:ascii="宋体" w:hAnsi="宋体" w:eastAsia="宋体" w:cs="Times New Roman"/>
          <w:color w:val="auto"/>
          <w:kern w:val="2"/>
          <w:szCs w:val="21"/>
        </w:rPr>
        <w:t>P、在现场工作中，供应商应负责自身工作区域与公共区域的安全设施的搭设与维修管理工作，以及为安全检查所进行的管理、协调、配合工作等。供应商应允许其他专业承包商使用由供应商修建的道路、提供临时设施（库房等）及搭设的安全设施。</w:t>
      </w:r>
    </w:p>
    <w:p w14:paraId="425D5332">
      <w:pPr>
        <w:widowControl w:val="0"/>
        <w:spacing w:line="400" w:lineRule="exact"/>
        <w:ind w:firstLine="420" w:firstLineChars="200"/>
        <w:rPr>
          <w:rFonts w:hint="default" w:ascii="宋体" w:hAnsi="宋体" w:eastAsia="宋体" w:cs="Times New Roman"/>
          <w:color w:val="auto"/>
          <w:kern w:val="2"/>
          <w:szCs w:val="21"/>
        </w:rPr>
      </w:pPr>
      <w:r>
        <w:rPr>
          <w:rFonts w:hint="eastAsia" w:ascii="宋体" w:hAnsi="宋体" w:eastAsia="宋体" w:cs="Times New Roman"/>
          <w:color w:val="auto"/>
          <w:kern w:val="2"/>
          <w:szCs w:val="21"/>
        </w:rPr>
        <w:t>Q、供应商负责管理工作现场内先期建成的设施，工作期间如先期建成的设施被盗窃或损坏，均由供应商负责，整修被盗或损坏设施的费用由供应商支付。负责采购人供应的材料设备的保管，同时还应负责由采购人转交给供应商的设备、材料等的安全保卫工作，任何遗失、被盗、损坏均由供应商承担违约责任。</w:t>
      </w:r>
    </w:p>
    <w:p w14:paraId="5A91B6A3">
      <w:pPr>
        <w:widowControl w:val="0"/>
        <w:spacing w:line="400" w:lineRule="exact"/>
        <w:ind w:firstLine="420" w:firstLineChars="200"/>
        <w:rPr>
          <w:rFonts w:hint="default" w:ascii="宋体" w:hAnsi="宋体" w:eastAsia="宋体" w:cs="Times New Roman"/>
          <w:color w:val="auto"/>
          <w:kern w:val="2"/>
          <w:szCs w:val="21"/>
        </w:rPr>
      </w:pPr>
      <w:r>
        <w:rPr>
          <w:rFonts w:hint="eastAsia" w:ascii="宋体" w:hAnsi="宋体" w:eastAsia="宋体" w:cs="Times New Roman"/>
          <w:color w:val="auto"/>
          <w:kern w:val="2"/>
          <w:szCs w:val="21"/>
        </w:rPr>
        <w:t>R、供应商应当服从监理工程师及采购人的现场管理和协调工作，合理调动资源，保障工期、质量目标的实现。</w:t>
      </w:r>
    </w:p>
    <w:p w14:paraId="3481C8AF">
      <w:pPr>
        <w:widowControl w:val="0"/>
        <w:spacing w:line="400" w:lineRule="exact"/>
        <w:ind w:firstLine="420" w:firstLineChars="200"/>
        <w:rPr>
          <w:rFonts w:hint="default" w:ascii="宋体" w:hAnsi="宋体" w:eastAsia="宋体" w:cs="Times New Roman"/>
          <w:color w:val="auto"/>
          <w:kern w:val="2"/>
          <w:szCs w:val="21"/>
        </w:rPr>
      </w:pPr>
      <w:r>
        <w:rPr>
          <w:rFonts w:hint="eastAsia" w:ascii="宋体" w:hAnsi="宋体" w:eastAsia="宋体" w:cs="Times New Roman"/>
          <w:color w:val="auto"/>
          <w:kern w:val="2"/>
          <w:szCs w:val="21"/>
        </w:rPr>
        <w:t>S、供应商的临时用水用电、临时用房等拆除，必须在拆除前一个月向监理工程师和采购人提出书面申请且经书面批准后方可拆除，否则采购人有权要求供应商恢复，并承担恢复所发生的费用。供应商的临时用水用电、临时用房等应供所有采购人另行分包的分包单位无偿使用至整个项目完工。</w:t>
      </w:r>
    </w:p>
    <w:p w14:paraId="608923C5">
      <w:pPr>
        <w:widowControl w:val="0"/>
        <w:spacing w:line="400" w:lineRule="exact"/>
        <w:ind w:firstLine="420" w:firstLineChars="200"/>
        <w:rPr>
          <w:rFonts w:hint="default" w:ascii="宋体" w:hAnsi="宋体" w:eastAsia="宋体" w:cs="Times New Roman"/>
          <w:color w:val="auto"/>
          <w:kern w:val="2"/>
          <w:szCs w:val="21"/>
        </w:rPr>
      </w:pPr>
      <w:r>
        <w:rPr>
          <w:rFonts w:hint="eastAsia" w:ascii="宋体" w:hAnsi="宋体" w:eastAsia="宋体" w:cs="Times New Roman"/>
          <w:color w:val="auto"/>
          <w:kern w:val="2"/>
          <w:szCs w:val="21"/>
        </w:rPr>
        <w:t>T、供应商必须立刻执行采购人派驻的工程师获本合同授权而发出的书面指令。若供应商没有在规定时间之内执行指令，而在收到采购人催促执行的书面通知后3日之内，供应商仍未执行，采购人可另聘和指派他人执行该指示所要求的工作。其他供应商完成此项工作的相关费用从本合同应付或将会付给供应商的款项中扣除而无须供应商认可，由此造成采购人额外损失或间接损失的，作为债务向供应商追讨。</w:t>
      </w:r>
    </w:p>
    <w:p w14:paraId="16EA270D">
      <w:pPr>
        <w:widowControl w:val="0"/>
        <w:spacing w:line="400" w:lineRule="exact"/>
        <w:ind w:firstLine="420" w:firstLineChars="200"/>
        <w:rPr>
          <w:rFonts w:hint="default" w:ascii="宋体" w:hAnsi="宋体" w:eastAsia="宋体" w:cs="Times New Roman"/>
          <w:color w:val="auto"/>
          <w:kern w:val="2"/>
          <w:szCs w:val="21"/>
        </w:rPr>
      </w:pPr>
      <w:r>
        <w:rPr>
          <w:rFonts w:hint="eastAsia" w:ascii="宋体" w:hAnsi="宋体" w:eastAsia="宋体" w:cs="Times New Roman"/>
          <w:color w:val="auto"/>
          <w:kern w:val="2"/>
          <w:szCs w:val="21"/>
        </w:rPr>
        <w:t>U、供应商必须签收监理工程师发出的书面资料，如有异议必须在收文之日起3日内书面回复，否则视同认可。</w:t>
      </w:r>
    </w:p>
    <w:p w14:paraId="549E30C4">
      <w:pPr>
        <w:widowControl w:val="0"/>
        <w:spacing w:line="400" w:lineRule="exact"/>
        <w:ind w:firstLine="420" w:firstLineChars="200"/>
        <w:rPr>
          <w:rFonts w:hint="default" w:ascii="宋体" w:hAnsi="宋体" w:eastAsia="宋体" w:cs="Times New Roman"/>
          <w:color w:val="auto"/>
          <w:kern w:val="2"/>
          <w:szCs w:val="21"/>
        </w:rPr>
      </w:pPr>
      <w:r>
        <w:rPr>
          <w:rFonts w:hint="eastAsia" w:ascii="宋体" w:hAnsi="宋体" w:eastAsia="宋体" w:cs="Times New Roman"/>
          <w:color w:val="auto"/>
          <w:kern w:val="2"/>
          <w:szCs w:val="21"/>
        </w:rPr>
        <w:t>V、供应商报给监理部的计划、报表、方案等资料，须同步报采购人，但采购人不会越过监理直接给供应商回复。</w:t>
      </w:r>
    </w:p>
    <w:p w14:paraId="6220226C">
      <w:pPr>
        <w:widowControl w:val="0"/>
        <w:spacing w:line="400" w:lineRule="exact"/>
        <w:ind w:firstLine="420" w:firstLineChars="200"/>
        <w:rPr>
          <w:rFonts w:hint="default" w:ascii="宋体" w:hAnsi="宋体" w:eastAsia="宋体" w:cs="Times New Roman"/>
          <w:color w:val="auto"/>
          <w:kern w:val="2"/>
          <w:szCs w:val="21"/>
        </w:rPr>
      </w:pPr>
      <w:r>
        <w:rPr>
          <w:rFonts w:hint="eastAsia" w:ascii="宋体" w:hAnsi="宋体" w:eastAsia="宋体" w:cs="Times New Roman"/>
          <w:color w:val="auto"/>
          <w:kern w:val="2"/>
          <w:szCs w:val="21"/>
        </w:rPr>
        <w:t>W、供应商未能履行本合同供应商的各项义务，造成采购人及其他供应商损失的，供应商还应当承担损失费用。</w:t>
      </w:r>
    </w:p>
    <w:p w14:paraId="5F6D9A51">
      <w:pPr>
        <w:widowControl w:val="0"/>
        <w:spacing w:line="400" w:lineRule="exact"/>
        <w:ind w:firstLine="420" w:firstLineChars="200"/>
        <w:rPr>
          <w:rFonts w:hint="default" w:ascii="宋体" w:hAnsi="宋体" w:eastAsia="宋体" w:cs="Times New Roman"/>
          <w:color w:val="auto"/>
          <w:kern w:val="2"/>
          <w:szCs w:val="21"/>
        </w:rPr>
      </w:pPr>
      <w:r>
        <w:rPr>
          <w:rFonts w:hint="eastAsia" w:ascii="宋体" w:hAnsi="宋体" w:eastAsia="宋体" w:cs="Times New Roman"/>
          <w:color w:val="auto"/>
          <w:kern w:val="2"/>
          <w:szCs w:val="21"/>
        </w:rPr>
        <w:t>X、供应商需充分调查，并考虑现场周边环境，并有责任承担因供应商的过失而承担保护和修复周边设施的义务，费用自行考虑。如：包括但不限于重载车辆对道路的破坏等。</w:t>
      </w:r>
    </w:p>
    <w:p w14:paraId="15573FAB">
      <w:pPr>
        <w:widowControl w:val="0"/>
        <w:spacing w:line="400" w:lineRule="exact"/>
        <w:ind w:firstLine="420" w:firstLineChars="200"/>
        <w:rPr>
          <w:rFonts w:hint="default" w:ascii="宋体" w:hAnsi="宋体" w:eastAsia="宋体" w:cs="Times New Roman"/>
          <w:color w:val="auto"/>
          <w:kern w:val="2"/>
          <w:szCs w:val="21"/>
        </w:rPr>
      </w:pPr>
      <w:r>
        <w:rPr>
          <w:rFonts w:hint="eastAsia" w:ascii="宋体" w:hAnsi="宋体" w:eastAsia="宋体" w:cs="Times New Roman"/>
          <w:color w:val="auto"/>
          <w:kern w:val="2"/>
          <w:szCs w:val="21"/>
        </w:rPr>
        <w:t>Y、供应商要勤勉对仙林地区所有道路和市政设施的巡查和管理义务，常态化安排固定巡查人员对责任范围市政道路及市政设施开展全范围日常巡查；在重要检查、重大活动期间，供应商需按照采购人和管理方要求，增加巡查人员和巡查频次开展强化巡查。</w:t>
      </w:r>
    </w:p>
    <w:p w14:paraId="0AFFE0DE">
      <w:pPr>
        <w:widowControl w:val="0"/>
        <w:spacing w:line="400" w:lineRule="exact"/>
        <w:ind w:firstLine="420" w:firstLineChars="200"/>
        <w:rPr>
          <w:rFonts w:hint="default" w:ascii="宋体" w:hAnsi="宋体" w:eastAsia="宋体" w:cs="Times New Roman"/>
          <w:color w:val="auto"/>
          <w:kern w:val="2"/>
          <w:szCs w:val="21"/>
        </w:rPr>
      </w:pPr>
      <w:r>
        <w:rPr>
          <w:rFonts w:hint="eastAsia" w:ascii="宋体" w:hAnsi="宋体" w:eastAsia="宋体" w:cs="Times New Roman"/>
          <w:color w:val="auto"/>
          <w:kern w:val="2"/>
          <w:szCs w:val="21"/>
        </w:rPr>
        <w:t>Z、供应商须严格按照工作指令或工作方案审批意见开展工作，工作过程中服从采购人、管理方和监理方的管理，确保安全、文明和进度、质量达到要求。</w:t>
      </w:r>
    </w:p>
    <w:p w14:paraId="1C0F6D4F">
      <w:pPr>
        <w:widowControl w:val="0"/>
        <w:spacing w:line="400" w:lineRule="exact"/>
        <w:rPr>
          <w:rFonts w:hint="default" w:ascii="宋体" w:hAnsi="宋体" w:eastAsia="宋体" w:cs="Times New Roman"/>
          <w:color w:val="auto"/>
          <w:kern w:val="2"/>
          <w:szCs w:val="21"/>
        </w:rPr>
      </w:pPr>
      <w:r>
        <w:rPr>
          <w:rFonts w:hint="eastAsia" w:ascii="宋体" w:hAnsi="宋体" w:eastAsia="宋体" w:cs="Times New Roman"/>
          <w:color w:val="auto"/>
          <w:kern w:val="2"/>
          <w:szCs w:val="21"/>
        </w:rPr>
        <w:t xml:space="preserve">    2、 项目负责人：</w:t>
      </w:r>
    </w:p>
    <w:p w14:paraId="5102D3E8">
      <w:pPr>
        <w:widowControl w:val="0"/>
        <w:spacing w:line="400" w:lineRule="exact"/>
        <w:ind w:firstLine="420" w:firstLineChars="200"/>
        <w:rPr>
          <w:rFonts w:hint="default" w:ascii="宋体" w:hAnsi="宋体" w:eastAsia="宋体" w:cs="Times New Roman"/>
          <w:color w:val="auto"/>
          <w:kern w:val="2"/>
          <w:szCs w:val="21"/>
        </w:rPr>
      </w:pPr>
      <w:r>
        <w:rPr>
          <w:rFonts w:hint="eastAsia" w:ascii="宋体" w:hAnsi="宋体" w:eastAsia="宋体" w:cs="Times New Roman"/>
          <w:color w:val="auto"/>
          <w:kern w:val="2"/>
          <w:szCs w:val="21"/>
        </w:rPr>
        <w:t>姓    名：</w:t>
      </w:r>
      <w:r>
        <w:rPr>
          <w:rFonts w:hint="eastAsia" w:ascii="宋体" w:hAnsi="宋体" w:eastAsia="宋体" w:cs="Times New Roman"/>
          <w:color w:val="auto"/>
          <w:kern w:val="2"/>
          <w:szCs w:val="21"/>
          <w:u w:val="single"/>
        </w:rPr>
        <w:t xml:space="preserve">  </w:t>
      </w:r>
      <w:r>
        <w:rPr>
          <w:rFonts w:hint="eastAsia" w:ascii="宋体" w:hAnsi="宋体" w:eastAsia="宋体" w:cs="Times New Roman"/>
          <w:color w:val="auto"/>
          <w:kern w:val="2"/>
          <w:szCs w:val="21"/>
        </w:rPr>
        <w:t>；</w:t>
      </w:r>
    </w:p>
    <w:p w14:paraId="53E2E029">
      <w:pPr>
        <w:widowControl w:val="0"/>
        <w:spacing w:line="400" w:lineRule="exact"/>
        <w:ind w:firstLine="420" w:firstLineChars="200"/>
        <w:rPr>
          <w:rFonts w:hint="default" w:ascii="宋体" w:hAnsi="宋体" w:eastAsia="宋体" w:cs="Times New Roman"/>
          <w:color w:val="auto"/>
          <w:kern w:val="2"/>
          <w:szCs w:val="21"/>
        </w:rPr>
      </w:pPr>
      <w:r>
        <w:rPr>
          <w:rFonts w:hint="eastAsia" w:ascii="宋体" w:hAnsi="宋体" w:eastAsia="宋体" w:cs="Times New Roman"/>
          <w:color w:val="auto"/>
          <w:kern w:val="2"/>
          <w:szCs w:val="21"/>
        </w:rPr>
        <w:t>身份证号：</w:t>
      </w:r>
      <w:r>
        <w:rPr>
          <w:rFonts w:hint="eastAsia" w:ascii="宋体" w:hAnsi="宋体" w:eastAsia="宋体" w:cs="Times New Roman"/>
          <w:color w:val="auto"/>
          <w:kern w:val="2"/>
          <w:szCs w:val="21"/>
          <w:u w:val="single"/>
        </w:rPr>
        <w:t xml:space="preserve">      </w:t>
      </w:r>
      <w:r>
        <w:rPr>
          <w:rFonts w:hint="eastAsia" w:ascii="宋体" w:hAnsi="宋体" w:eastAsia="宋体" w:cs="Times New Roman"/>
          <w:color w:val="auto"/>
          <w:kern w:val="2"/>
          <w:szCs w:val="21"/>
        </w:rPr>
        <w:t>；</w:t>
      </w:r>
    </w:p>
    <w:p w14:paraId="1D785F0F">
      <w:pPr>
        <w:widowControl w:val="0"/>
        <w:spacing w:line="400" w:lineRule="exact"/>
        <w:ind w:firstLine="420" w:firstLineChars="200"/>
        <w:rPr>
          <w:rFonts w:hint="default" w:ascii="宋体" w:hAnsi="宋体" w:eastAsia="宋体" w:cs="Times New Roman"/>
          <w:color w:val="auto"/>
          <w:kern w:val="2"/>
          <w:szCs w:val="21"/>
        </w:rPr>
      </w:pPr>
      <w:r>
        <w:rPr>
          <w:rFonts w:hint="eastAsia" w:ascii="宋体" w:hAnsi="宋体" w:eastAsia="宋体" w:cs="Times New Roman"/>
          <w:color w:val="auto"/>
          <w:kern w:val="2"/>
          <w:szCs w:val="21"/>
        </w:rPr>
        <w:t xml:space="preserve">供应商对项目负责人的授权范围如下： </w:t>
      </w:r>
    </w:p>
    <w:p w14:paraId="3873AA30">
      <w:pPr>
        <w:widowControl w:val="0"/>
        <w:spacing w:line="400" w:lineRule="exact"/>
        <w:ind w:firstLine="420" w:firstLineChars="200"/>
        <w:rPr>
          <w:rFonts w:hint="default" w:ascii="宋体" w:hAnsi="宋体" w:eastAsia="宋体" w:cs="Times New Roman"/>
          <w:color w:val="auto"/>
          <w:kern w:val="2"/>
          <w:szCs w:val="21"/>
        </w:rPr>
      </w:pPr>
      <w:r>
        <w:rPr>
          <w:rFonts w:hint="eastAsia" w:ascii="宋体" w:hAnsi="宋体" w:eastAsia="宋体" w:cs="Times New Roman"/>
          <w:color w:val="auto"/>
          <w:kern w:val="2"/>
          <w:szCs w:val="21"/>
        </w:rPr>
        <w:t>（1）关于项目负责人每月在现场的时间要求：项目负责人每月不少于二十五天，每周不少于6天，每天不少于八小时在岗处理事务，如项目负责人有特殊原因不能保证上述在岗时间的，需以书面形式报监理审核后，再报采购人批准。项目负责人必须采取有效措施保证在整个工作期间现场有足够的劳力、材料、设备，保证项目顺利实施，并不受节假日的影响。供应商无法满足上述管理要求的，按监理总监、采购人现场代表考勤，供应商按2000元/天向采购人支付违约金，违约金在下次支付进度款时扣除；项目负责人在现场时间每月累计少于20天（含）的，采购人有权解除合同。</w:t>
      </w:r>
    </w:p>
    <w:p w14:paraId="75564973">
      <w:pPr>
        <w:widowControl w:val="0"/>
        <w:spacing w:line="400" w:lineRule="exact"/>
        <w:ind w:firstLine="420" w:firstLineChars="200"/>
        <w:rPr>
          <w:rFonts w:hint="default" w:ascii="宋体" w:hAnsi="宋体" w:eastAsia="宋体" w:cs="Times New Roman"/>
          <w:color w:val="auto"/>
          <w:kern w:val="2"/>
          <w:szCs w:val="21"/>
        </w:rPr>
      </w:pPr>
      <w:r>
        <w:rPr>
          <w:rFonts w:hint="eastAsia" w:ascii="宋体" w:hAnsi="宋体" w:eastAsia="宋体" w:cs="Times New Roman"/>
          <w:color w:val="auto"/>
          <w:kern w:val="2"/>
          <w:szCs w:val="21"/>
        </w:rPr>
        <w:t>（2）项目负责人未经批准，擅自离开现场的违约责任：如项目负责人长期、连续不在岗，在现场时间每月累计少于20天（含）的，或耽误实际工作的，视为擅自变更项目负责人，采购人有权自查或要求供应商提供符合招标文件条件的项目负责人名单，任意挑选无在建项目且业绩高于原中标项目负责人的项目负责人，此项更换供应商不得拒绝，如更换后的项目负责人仍不能满足上述工作时间的要求，采购人有权解除与供应商签署的合同，合同解除，应由供应商承担违约责任。在本合同规定的工作时间内，如采购人发现项目负责人人机分离的，供应商按2000元/天向采购人支付违约金。</w:t>
      </w:r>
    </w:p>
    <w:p w14:paraId="3D6B0CF2">
      <w:pPr>
        <w:widowControl w:val="0"/>
        <w:spacing w:line="400" w:lineRule="exact"/>
        <w:ind w:firstLine="420" w:firstLineChars="200"/>
        <w:rPr>
          <w:rFonts w:hint="default" w:ascii="宋体" w:hAnsi="宋体" w:eastAsia="宋体" w:cs="Times New Roman"/>
          <w:color w:val="auto"/>
          <w:kern w:val="2"/>
          <w:szCs w:val="21"/>
        </w:rPr>
      </w:pPr>
      <w:r>
        <w:rPr>
          <w:rFonts w:hint="eastAsia" w:ascii="宋体" w:hAnsi="宋体" w:eastAsia="宋体" w:cs="Times New Roman"/>
          <w:color w:val="auto"/>
          <w:kern w:val="2"/>
          <w:szCs w:val="21"/>
        </w:rPr>
        <w:t>3 、供应商擅自更换项目负责人的违约责任：</w:t>
      </w:r>
    </w:p>
    <w:p w14:paraId="43406C11">
      <w:pPr>
        <w:widowControl w:val="0"/>
        <w:spacing w:line="400" w:lineRule="exact"/>
        <w:ind w:firstLine="420" w:firstLineChars="200"/>
        <w:rPr>
          <w:rFonts w:hint="default" w:ascii="宋体" w:hAnsi="宋体" w:eastAsia="宋体" w:cs="Times New Roman"/>
          <w:color w:val="auto"/>
          <w:kern w:val="2"/>
          <w:szCs w:val="21"/>
        </w:rPr>
      </w:pPr>
      <w:r>
        <w:rPr>
          <w:rFonts w:hint="eastAsia" w:ascii="宋体" w:hAnsi="宋体" w:eastAsia="宋体" w:cs="Times New Roman"/>
          <w:color w:val="auto"/>
          <w:kern w:val="2"/>
          <w:szCs w:val="21"/>
        </w:rPr>
        <w:t>(1)合同签订时，中标的项目负责人证书原件交采购人保管，完工后方可归还供应商；如不能提供，供应商须按照项目负责人不在岗支付违约金，如3次催告后仍未提供，采购人有权解除合同。(2)投标文件中明确的项目负责人，未经采购人许可不得擅自变更。供应商未取得变更备案手续，而允许他人擅代项目负责人的，视为项目负责人不在场。否则，采购人有权解除合同，追回已经支付的款项，供应商向采购人支付违约金10万元，并报相关管理机构备案。自备案之日起至原合同工期期满之日止，原中标项目负责人不得作为项目负责人承接其他项目，如备案之日至原合同工期期满之日不足六个月，则限制其承接项目的期限为六个月。采购人有权按照规定监督原中标项目负责人的行业行为并向建设行政主管部门报告。(3) 如果相关</w:t>
      </w:r>
      <w:r>
        <w:rPr>
          <w:rFonts w:hint="default" w:ascii="宋体" w:hAnsi="宋体" w:eastAsia="宋体" w:cs="Times New Roman"/>
          <w:color w:val="auto"/>
          <w:kern w:val="2"/>
          <w:szCs w:val="21"/>
        </w:rPr>
        <w:t>文件</w:t>
      </w:r>
      <w:r>
        <w:rPr>
          <w:rFonts w:hint="eastAsia" w:ascii="宋体" w:hAnsi="宋体" w:eastAsia="宋体" w:cs="Times New Roman"/>
          <w:color w:val="auto"/>
          <w:kern w:val="2"/>
          <w:szCs w:val="21"/>
        </w:rPr>
        <w:t>规定的客观原因更换项目负责人，必须得到采购人的批准。更换的项目负责人必须是本企业正式员工（需提供劳动合同原件），并且满足本项目招标文件对于投标项目负责人要求的如资质、业绩等同等条件，否则不予更换。</w:t>
      </w:r>
    </w:p>
    <w:p w14:paraId="0FAC57B9">
      <w:pPr>
        <w:widowControl w:val="0"/>
        <w:spacing w:line="400" w:lineRule="exact"/>
        <w:ind w:firstLine="420" w:firstLineChars="200"/>
        <w:rPr>
          <w:rFonts w:hint="default" w:ascii="宋体" w:hAnsi="宋体" w:eastAsia="宋体" w:cs="Times New Roman"/>
          <w:color w:val="auto"/>
          <w:kern w:val="2"/>
          <w:szCs w:val="21"/>
        </w:rPr>
      </w:pPr>
      <w:r>
        <w:rPr>
          <w:rFonts w:hint="eastAsia" w:ascii="宋体" w:hAnsi="宋体" w:eastAsia="宋体" w:cs="Times New Roman"/>
          <w:color w:val="auto"/>
          <w:kern w:val="2"/>
          <w:szCs w:val="21"/>
        </w:rPr>
        <w:t>如因特殊原因相关人员不能履行职责而确需更换项目负责人，须提前一周通知采购人。经采购人同意供应商更换项目负责人，更换的项目负责人必须是本企业正式员工（出具半年以上本企业的劳保统筹交费证明原件），并且与投标项目负责人有同等条件。同时供应商须报相关管理机构备案；更换手续办理期间，拟更换的项目负责人须坚守岗位，履行职能，直至备案完成方可离开。投标项目负责人更换不免除供应商的违约责任，供应商需向采购人支付违约金5万元。</w:t>
      </w:r>
    </w:p>
    <w:p w14:paraId="5601D186">
      <w:pPr>
        <w:widowControl w:val="0"/>
        <w:spacing w:line="400" w:lineRule="exact"/>
        <w:ind w:firstLine="420" w:firstLineChars="200"/>
        <w:rPr>
          <w:rFonts w:hint="default" w:ascii="宋体" w:hAnsi="宋体" w:eastAsia="宋体" w:cs="Times New Roman"/>
          <w:color w:val="auto"/>
          <w:kern w:val="2"/>
          <w:szCs w:val="21"/>
        </w:rPr>
      </w:pPr>
      <w:r>
        <w:rPr>
          <w:rFonts w:hint="eastAsia" w:ascii="宋体" w:hAnsi="宋体" w:eastAsia="宋体" w:cs="Times New Roman"/>
          <w:color w:val="auto"/>
          <w:kern w:val="2"/>
          <w:szCs w:val="21"/>
        </w:rPr>
        <w:t>4 、供应商无正当理由拒绝更换项目负责人的违约责任：采购人有权解除合同，追回已经支付的款项，供应商向采购人支付违约金10万元，并报相关管理机构备案。</w:t>
      </w:r>
    </w:p>
    <w:p w14:paraId="118C58D2">
      <w:pPr>
        <w:widowControl w:val="0"/>
        <w:spacing w:line="400" w:lineRule="exact"/>
        <w:ind w:firstLine="420" w:firstLineChars="200"/>
        <w:rPr>
          <w:rFonts w:hint="default" w:ascii="宋体" w:hAnsi="宋体" w:eastAsia="宋体" w:cs="Times New Roman"/>
          <w:color w:val="auto"/>
          <w:kern w:val="2"/>
          <w:szCs w:val="21"/>
        </w:rPr>
      </w:pPr>
      <w:r>
        <w:rPr>
          <w:rFonts w:hint="eastAsia" w:ascii="宋体" w:hAnsi="宋体" w:eastAsia="宋体" w:cs="Times New Roman"/>
          <w:color w:val="auto"/>
          <w:kern w:val="2"/>
          <w:szCs w:val="21"/>
        </w:rPr>
        <w:t>5、供应商人员</w:t>
      </w:r>
    </w:p>
    <w:p w14:paraId="27873DE8">
      <w:pPr>
        <w:widowControl w:val="0"/>
        <w:spacing w:line="400" w:lineRule="exact"/>
        <w:ind w:firstLine="420" w:firstLineChars="200"/>
        <w:rPr>
          <w:rFonts w:hint="default" w:ascii="宋体" w:hAnsi="宋体" w:eastAsia="宋体" w:cs="Times New Roman"/>
          <w:color w:val="auto"/>
          <w:kern w:val="2"/>
          <w:szCs w:val="21"/>
        </w:rPr>
      </w:pPr>
      <w:r>
        <w:rPr>
          <w:rFonts w:hint="eastAsia" w:ascii="宋体" w:hAnsi="宋体" w:eastAsia="宋体" w:cs="Times New Roman"/>
          <w:color w:val="auto"/>
          <w:kern w:val="2"/>
          <w:szCs w:val="21"/>
        </w:rPr>
        <w:t>5.1供应商提交项目管理机构及现场管理人员安排报告的期限：开工前7天；(1) 除项目负责人外，投标</w:t>
      </w:r>
      <w:r>
        <w:rPr>
          <w:rFonts w:hint="default" w:ascii="宋体" w:hAnsi="宋体" w:eastAsia="宋体" w:cs="Times New Roman"/>
          <w:color w:val="auto"/>
          <w:kern w:val="2"/>
          <w:szCs w:val="21"/>
        </w:rPr>
        <w:t>文件</w:t>
      </w:r>
      <w:r>
        <w:rPr>
          <w:rFonts w:hint="eastAsia" w:ascii="宋体" w:hAnsi="宋体" w:eastAsia="宋体" w:cs="Times New Roman"/>
          <w:color w:val="auto"/>
          <w:kern w:val="2"/>
          <w:szCs w:val="21"/>
        </w:rPr>
        <w:t>明确</w:t>
      </w:r>
      <w:r>
        <w:rPr>
          <w:rFonts w:hint="default" w:ascii="宋体" w:hAnsi="宋体" w:eastAsia="宋体" w:cs="Times New Roman"/>
          <w:color w:val="auto"/>
          <w:kern w:val="2"/>
          <w:szCs w:val="21"/>
        </w:rPr>
        <w:t>的</w:t>
      </w:r>
      <w:r>
        <w:rPr>
          <w:rFonts w:hint="eastAsia" w:ascii="宋体" w:hAnsi="宋体" w:eastAsia="宋体" w:cs="Times New Roman"/>
          <w:color w:val="auto"/>
          <w:kern w:val="2"/>
          <w:szCs w:val="21"/>
        </w:rPr>
        <w:t>项目管理机构组成至少还须包括技术负责人、质检员、施工员、专职安全员、测量员、造价员（造价师）等，上述人员不得兼任并且</w:t>
      </w:r>
      <w:r>
        <w:rPr>
          <w:rFonts w:hint="default" w:ascii="宋体" w:hAnsi="宋体" w:eastAsia="宋体" w:cs="Times New Roman"/>
          <w:color w:val="auto"/>
          <w:kern w:val="2"/>
          <w:szCs w:val="21"/>
        </w:rPr>
        <w:t>除技术负责人外</w:t>
      </w:r>
      <w:r>
        <w:rPr>
          <w:rFonts w:hint="eastAsia" w:ascii="宋体" w:hAnsi="宋体" w:eastAsia="宋体" w:cs="Times New Roman"/>
          <w:color w:val="auto"/>
          <w:kern w:val="2"/>
          <w:szCs w:val="21"/>
        </w:rPr>
        <w:t>必须具有相应岗位证书，必须是本企业的正式员工，签订合同时必须出具与企业签订的劳动合同原件。 (2)投标文件中明确的项目管理机构人员，未经采购人许可不得擅自变更。如有违反，每人次支付违约金5000元整。 (3)如果因客观原因更换上述项目管理机构人员，必须得到采购人的批准。更换的管理人员必须是本企业正式员工（劳动合同原件），并且与原岗位的管理人员具有同等条件，如资质、业绩等。采购人有权反对及要求供应商及任何分包人调离不称职或采购人认为其雇用是不恰当的人员，未经采购人书面准许，不可再用此人。如有违反，每人次支付违约金5000元整。（4）现场管理人员为技术负责人、质检员、施工员、专职安全员。现场管理人员必须</w:t>
      </w:r>
      <w:r>
        <w:rPr>
          <w:rFonts w:hint="default" w:ascii="宋体" w:hAnsi="宋体" w:eastAsia="宋体" w:cs="Times New Roman"/>
          <w:color w:val="auto"/>
          <w:kern w:val="2"/>
          <w:szCs w:val="21"/>
        </w:rPr>
        <w:t>常驻现场</w:t>
      </w:r>
      <w:r>
        <w:rPr>
          <w:rFonts w:hint="eastAsia" w:ascii="宋体" w:hAnsi="宋体" w:eastAsia="宋体" w:cs="Times New Roman"/>
          <w:color w:val="auto"/>
          <w:kern w:val="2"/>
          <w:szCs w:val="21"/>
        </w:rPr>
        <w:t>：每月不少于二十五天，每周不少于6天，每天不少于八小时在岗处理事务，否则供应商按500元/人•次向采购人支付违约金，违约金在支付进度款时扣除。(5)常驻现场管理人员：技术负责人：</w:t>
      </w:r>
      <w:r>
        <w:rPr>
          <w:rFonts w:hint="eastAsia" w:ascii="宋体" w:hAnsi="宋体" w:eastAsia="宋体" w:cs="Times New Roman"/>
          <w:color w:val="auto"/>
          <w:kern w:val="2"/>
          <w:szCs w:val="21"/>
          <w:u w:val="single"/>
        </w:rPr>
        <w:t xml:space="preserve">     </w:t>
      </w:r>
      <w:r>
        <w:rPr>
          <w:rFonts w:hint="eastAsia" w:ascii="宋体" w:hAnsi="宋体" w:eastAsia="宋体" w:cs="Times New Roman"/>
          <w:color w:val="auto"/>
          <w:kern w:val="2"/>
          <w:szCs w:val="21"/>
        </w:rPr>
        <w:t>，质检员:</w:t>
      </w:r>
      <w:r>
        <w:rPr>
          <w:rFonts w:hint="default" w:ascii="宋体" w:hAnsi="宋体" w:eastAsia="宋体" w:cs="Times New Roman"/>
          <w:color w:val="auto"/>
          <w:kern w:val="2"/>
          <w:szCs w:val="21"/>
          <w:u w:val="single"/>
        </w:rPr>
        <w:t xml:space="preserve">      ,</w:t>
      </w:r>
      <w:r>
        <w:rPr>
          <w:rFonts w:hint="eastAsia" w:ascii="宋体" w:hAnsi="宋体" w:eastAsia="宋体" w:cs="Times New Roman"/>
          <w:color w:val="auto"/>
          <w:kern w:val="2"/>
          <w:szCs w:val="21"/>
        </w:rPr>
        <w:t>施工员：</w:t>
      </w:r>
      <w:r>
        <w:rPr>
          <w:rFonts w:hint="default" w:ascii="宋体" w:hAnsi="宋体" w:eastAsia="宋体" w:cs="Times New Roman"/>
          <w:color w:val="auto"/>
          <w:kern w:val="2"/>
          <w:szCs w:val="21"/>
          <w:u w:val="single"/>
        </w:rPr>
        <w:t xml:space="preserve">    </w:t>
      </w:r>
      <w:r>
        <w:rPr>
          <w:rFonts w:hint="eastAsia" w:ascii="宋体" w:hAnsi="宋体" w:eastAsia="宋体" w:cs="Times New Roman"/>
          <w:color w:val="auto"/>
          <w:kern w:val="2"/>
          <w:szCs w:val="21"/>
        </w:rPr>
        <w:t>、专职安全员：</w:t>
      </w:r>
      <w:r>
        <w:rPr>
          <w:rFonts w:hint="eastAsia" w:ascii="宋体" w:hAnsi="宋体" w:eastAsia="宋体" w:cs="Times New Roman"/>
          <w:color w:val="auto"/>
          <w:kern w:val="2"/>
          <w:szCs w:val="21"/>
          <w:u w:val="single"/>
        </w:rPr>
        <w:t xml:space="preserve">   </w:t>
      </w:r>
      <w:r>
        <w:rPr>
          <w:rFonts w:hint="eastAsia" w:ascii="宋体" w:hAnsi="宋体" w:eastAsia="宋体" w:cs="Times New Roman"/>
          <w:color w:val="auto"/>
          <w:kern w:val="2"/>
          <w:szCs w:val="21"/>
        </w:rPr>
        <w:t>。</w:t>
      </w:r>
    </w:p>
    <w:p w14:paraId="10EE21AA">
      <w:pPr>
        <w:widowControl w:val="0"/>
        <w:spacing w:line="400" w:lineRule="exact"/>
        <w:ind w:firstLine="420" w:firstLineChars="200"/>
        <w:rPr>
          <w:rFonts w:hint="default" w:ascii="宋体" w:hAnsi="宋体" w:eastAsia="宋体" w:cs="Times New Roman"/>
          <w:color w:val="auto"/>
          <w:kern w:val="2"/>
          <w:szCs w:val="21"/>
        </w:rPr>
      </w:pPr>
      <w:r>
        <w:rPr>
          <w:rFonts w:hint="eastAsia" w:ascii="宋体" w:hAnsi="宋体" w:eastAsia="宋体" w:cs="Times New Roman"/>
          <w:color w:val="auto"/>
          <w:kern w:val="2"/>
          <w:szCs w:val="21"/>
        </w:rPr>
        <w:t>5.2 供应商无正当理由拒绝撤换主要管理人员的违约责任：供应商以下人员，经采购人提出后，必须在24小时内调离本项目范围，否则向采购人每天每人次支付人民币500元违约金；同时，供应商应在3天内用采购人批准的合格的人员代替上述调离的任何人员。</w:t>
      </w:r>
    </w:p>
    <w:p w14:paraId="77B921DA">
      <w:pPr>
        <w:widowControl w:val="0"/>
        <w:spacing w:line="400" w:lineRule="exact"/>
        <w:ind w:firstLine="420" w:firstLineChars="200"/>
        <w:rPr>
          <w:rFonts w:hint="default" w:ascii="宋体" w:hAnsi="宋体" w:eastAsia="宋体" w:cs="Times New Roman"/>
          <w:color w:val="auto"/>
          <w:kern w:val="2"/>
          <w:szCs w:val="21"/>
        </w:rPr>
      </w:pPr>
      <w:r>
        <w:rPr>
          <w:rFonts w:hint="eastAsia" w:ascii="宋体" w:hAnsi="宋体" w:eastAsia="宋体" w:cs="Times New Roman"/>
          <w:color w:val="auto"/>
          <w:kern w:val="2"/>
          <w:szCs w:val="21"/>
        </w:rPr>
        <w:t>A.采购人有证据确认无法胜任工作者，包括：对项目进度及质量达不到合同要求负有责任的人员、不熟悉本专业工作的人员等；</w:t>
      </w:r>
    </w:p>
    <w:p w14:paraId="214BE830">
      <w:pPr>
        <w:widowControl w:val="0"/>
        <w:spacing w:line="400" w:lineRule="exact"/>
        <w:ind w:firstLine="420" w:firstLineChars="200"/>
        <w:rPr>
          <w:rFonts w:hint="default" w:ascii="宋体" w:hAnsi="宋体" w:eastAsia="宋体" w:cs="Times New Roman"/>
          <w:color w:val="auto"/>
          <w:kern w:val="2"/>
          <w:szCs w:val="21"/>
        </w:rPr>
      </w:pPr>
      <w:r>
        <w:rPr>
          <w:rFonts w:hint="eastAsia" w:ascii="宋体" w:hAnsi="宋体" w:eastAsia="宋体" w:cs="Times New Roman"/>
          <w:color w:val="auto"/>
          <w:kern w:val="2"/>
          <w:szCs w:val="21"/>
        </w:rPr>
        <w:t>B.不能积极配合监理及采购人正常工作者；</w:t>
      </w:r>
    </w:p>
    <w:p w14:paraId="730DD471">
      <w:pPr>
        <w:widowControl w:val="0"/>
        <w:spacing w:line="400" w:lineRule="exact"/>
        <w:ind w:firstLine="420" w:firstLineChars="200"/>
        <w:rPr>
          <w:rFonts w:hint="default" w:ascii="宋体" w:hAnsi="宋体" w:eastAsia="宋体" w:cs="Times New Roman"/>
          <w:color w:val="auto"/>
          <w:kern w:val="2"/>
          <w:szCs w:val="21"/>
        </w:rPr>
      </w:pPr>
      <w:r>
        <w:rPr>
          <w:rFonts w:hint="eastAsia" w:ascii="宋体" w:hAnsi="宋体" w:eastAsia="宋体" w:cs="Times New Roman"/>
          <w:color w:val="auto"/>
          <w:kern w:val="2"/>
          <w:szCs w:val="21"/>
        </w:rPr>
        <w:t>C.违反采购人或供应商工地现场管理规定者；</w:t>
      </w:r>
    </w:p>
    <w:p w14:paraId="7F814ED4">
      <w:pPr>
        <w:widowControl w:val="0"/>
        <w:spacing w:line="400" w:lineRule="exact"/>
        <w:ind w:firstLine="420" w:firstLineChars="200"/>
        <w:rPr>
          <w:rFonts w:hint="default" w:ascii="宋体" w:hAnsi="宋体" w:eastAsia="宋体" w:cs="Times New Roman"/>
          <w:color w:val="auto"/>
          <w:kern w:val="2"/>
          <w:szCs w:val="21"/>
        </w:rPr>
      </w:pPr>
      <w:r>
        <w:rPr>
          <w:rFonts w:hint="eastAsia" w:ascii="宋体" w:hAnsi="宋体" w:eastAsia="宋体" w:cs="Times New Roman"/>
          <w:color w:val="auto"/>
          <w:kern w:val="2"/>
          <w:szCs w:val="21"/>
        </w:rPr>
        <w:t>D.无证上岗者（适用于按规定必须有上岗证）；</w:t>
      </w:r>
    </w:p>
    <w:p w14:paraId="15641CFC">
      <w:pPr>
        <w:widowControl w:val="0"/>
        <w:spacing w:line="400" w:lineRule="exact"/>
        <w:ind w:firstLine="420" w:firstLineChars="200"/>
        <w:rPr>
          <w:rFonts w:hint="default" w:ascii="宋体" w:hAnsi="宋体" w:eastAsia="宋体" w:cs="Times New Roman"/>
          <w:color w:val="auto"/>
          <w:kern w:val="2"/>
          <w:szCs w:val="21"/>
        </w:rPr>
      </w:pPr>
      <w:r>
        <w:rPr>
          <w:rFonts w:hint="eastAsia" w:ascii="宋体" w:hAnsi="宋体" w:eastAsia="宋体" w:cs="Times New Roman"/>
          <w:color w:val="auto"/>
          <w:kern w:val="2"/>
          <w:szCs w:val="21"/>
        </w:rPr>
        <w:t>E.与本合同规定名册不符者；</w:t>
      </w:r>
    </w:p>
    <w:p w14:paraId="17802204">
      <w:pPr>
        <w:widowControl w:val="0"/>
        <w:spacing w:line="400" w:lineRule="exact"/>
        <w:ind w:firstLine="420" w:firstLineChars="200"/>
        <w:rPr>
          <w:rFonts w:hint="default" w:ascii="宋体" w:hAnsi="宋体" w:eastAsia="宋体" w:cs="Times New Roman"/>
          <w:color w:val="auto"/>
          <w:kern w:val="2"/>
          <w:szCs w:val="21"/>
        </w:rPr>
      </w:pPr>
      <w:r>
        <w:rPr>
          <w:rFonts w:hint="eastAsia" w:ascii="宋体" w:hAnsi="宋体" w:eastAsia="宋体" w:cs="Times New Roman"/>
          <w:color w:val="auto"/>
          <w:kern w:val="2"/>
          <w:szCs w:val="21"/>
        </w:rPr>
        <w:t>F.与本项目无关的人员；</w:t>
      </w:r>
    </w:p>
    <w:p w14:paraId="61C7ED3E">
      <w:pPr>
        <w:widowControl w:val="0"/>
        <w:spacing w:line="400" w:lineRule="exact"/>
        <w:ind w:firstLine="420" w:firstLineChars="200"/>
        <w:rPr>
          <w:rFonts w:hint="default" w:ascii="宋体" w:hAnsi="宋体" w:eastAsia="宋体" w:cs="Times New Roman"/>
          <w:color w:val="auto"/>
          <w:kern w:val="2"/>
          <w:szCs w:val="21"/>
        </w:rPr>
      </w:pPr>
      <w:r>
        <w:rPr>
          <w:rFonts w:hint="eastAsia" w:ascii="宋体" w:hAnsi="宋体" w:eastAsia="宋体" w:cs="Times New Roman"/>
          <w:color w:val="auto"/>
          <w:kern w:val="2"/>
          <w:szCs w:val="21"/>
        </w:rPr>
        <w:t>5.3 供应商主要管理人员离开现场的批准要求：如供应商主要管理人员有特殊原因不能保证上述在岗时间的或正常在岗时间离开项目现场的，必须以书面请假条形式报监理审核后，报采购人批准。否则供应商按1000元/人．次向采购人支付违约金，违约金在支付进度款时扣除。</w:t>
      </w:r>
    </w:p>
    <w:p w14:paraId="23BADD75">
      <w:pPr>
        <w:widowControl w:val="0"/>
        <w:spacing w:line="400" w:lineRule="exact"/>
        <w:ind w:firstLine="420" w:firstLineChars="200"/>
        <w:rPr>
          <w:rFonts w:hint="default" w:ascii="宋体" w:hAnsi="宋体" w:eastAsia="宋体" w:cs="Times New Roman"/>
          <w:color w:val="auto"/>
          <w:kern w:val="2"/>
          <w:szCs w:val="21"/>
        </w:rPr>
      </w:pPr>
      <w:r>
        <w:rPr>
          <w:rFonts w:hint="eastAsia" w:ascii="宋体" w:hAnsi="宋体" w:eastAsia="宋体" w:cs="Times New Roman"/>
          <w:color w:val="auto"/>
          <w:kern w:val="2"/>
          <w:szCs w:val="21"/>
        </w:rPr>
        <w:t>5.4供应商擅自更换主要管理人员的违约责任：供应商向采购人支付违约金10000元/人•次。</w:t>
      </w:r>
    </w:p>
    <w:p w14:paraId="228E0C0E">
      <w:pPr>
        <w:widowControl w:val="0"/>
        <w:spacing w:line="400" w:lineRule="exact"/>
        <w:ind w:firstLine="420" w:firstLineChars="200"/>
        <w:rPr>
          <w:rFonts w:hint="default" w:ascii="宋体" w:hAnsi="宋体" w:eastAsia="宋体" w:cs="Times New Roman"/>
          <w:color w:val="auto"/>
          <w:kern w:val="2"/>
          <w:szCs w:val="21"/>
        </w:rPr>
      </w:pPr>
      <w:r>
        <w:rPr>
          <w:rFonts w:hint="eastAsia" w:ascii="宋体" w:hAnsi="宋体" w:eastAsia="宋体" w:cs="Times New Roman"/>
          <w:color w:val="auto"/>
          <w:kern w:val="2"/>
          <w:szCs w:val="21"/>
        </w:rPr>
        <w:t>供应商主要管理人员擅自离开现场的违约责任：供应商按500元/人•次向采购人支付违约金，违约金在支付进度款时扣除。</w:t>
      </w:r>
    </w:p>
    <w:p w14:paraId="1CB295C1">
      <w:pPr>
        <w:widowControl w:val="0"/>
        <w:autoSpaceDE w:val="0"/>
        <w:autoSpaceDN w:val="0"/>
        <w:adjustRightInd w:val="0"/>
        <w:spacing w:line="400" w:lineRule="exact"/>
        <w:jc w:val="left"/>
        <w:rPr>
          <w:rFonts w:hint="default" w:ascii="宋体" w:hAnsi="宋体" w:eastAsia="宋体" w:cs="Times New Roman"/>
          <w:b/>
          <w:bCs/>
          <w:color w:val="auto"/>
          <w:kern w:val="2"/>
          <w:szCs w:val="21"/>
        </w:rPr>
      </w:pPr>
      <w:r>
        <w:rPr>
          <w:rFonts w:hint="eastAsia" w:ascii="宋体" w:hAnsi="宋体" w:eastAsia="宋体" w:cs="Times New Roman"/>
          <w:b/>
          <w:bCs/>
          <w:color w:val="auto"/>
          <w:kern w:val="2"/>
          <w:szCs w:val="21"/>
        </w:rPr>
        <w:t>第九条 履约保证金</w:t>
      </w:r>
    </w:p>
    <w:p w14:paraId="35498CD3">
      <w:pPr>
        <w:widowControl w:val="0"/>
        <w:spacing w:line="400" w:lineRule="exact"/>
        <w:ind w:firstLine="420" w:firstLineChars="200"/>
        <w:rPr>
          <w:rFonts w:hint="default" w:ascii="宋体" w:hAnsi="宋体" w:eastAsia="宋体" w:cs="Times New Roman"/>
          <w:color w:val="auto"/>
          <w:kern w:val="2"/>
          <w:szCs w:val="21"/>
        </w:rPr>
      </w:pPr>
      <w:r>
        <w:rPr>
          <w:rFonts w:hint="eastAsia" w:ascii="宋体" w:hAnsi="宋体" w:eastAsia="宋体" w:cs="Times New Roman"/>
          <w:color w:val="auto"/>
          <w:kern w:val="2"/>
          <w:szCs w:val="21"/>
        </w:rPr>
        <w:t>供应商在合同签订前向采购人提交中标价的 10%的金额作为履约担保， 可以以转账、电汇或银行保函形式。履约担保递交后方可签订合同。履约担保在项目竣工验收合格后一次性无息退还。</w:t>
      </w:r>
    </w:p>
    <w:p w14:paraId="37707068">
      <w:pPr>
        <w:widowControl w:val="0"/>
        <w:autoSpaceDE w:val="0"/>
        <w:autoSpaceDN w:val="0"/>
        <w:adjustRightInd w:val="0"/>
        <w:spacing w:line="400" w:lineRule="exact"/>
        <w:jc w:val="left"/>
        <w:rPr>
          <w:rFonts w:hint="default" w:ascii="宋体" w:hAnsi="宋体" w:eastAsia="宋体" w:cs="Times New Roman"/>
          <w:b/>
          <w:bCs/>
          <w:i/>
          <w:iCs/>
          <w:color w:val="auto"/>
          <w:kern w:val="2"/>
          <w:szCs w:val="21"/>
        </w:rPr>
      </w:pPr>
      <w:r>
        <w:rPr>
          <w:rFonts w:hint="eastAsia" w:ascii="宋体" w:hAnsi="宋体" w:eastAsia="宋体" w:cs="Times New Roman"/>
          <w:b/>
          <w:bCs/>
          <w:color w:val="auto"/>
          <w:kern w:val="2"/>
          <w:szCs w:val="21"/>
        </w:rPr>
        <w:t>第十条 合同款支付</w:t>
      </w:r>
    </w:p>
    <w:p w14:paraId="1CD9FD75">
      <w:pPr>
        <w:widowControl w:val="0"/>
        <w:autoSpaceDE w:val="0"/>
        <w:autoSpaceDN w:val="0"/>
        <w:adjustRightInd w:val="0"/>
        <w:spacing w:line="400" w:lineRule="exact"/>
        <w:ind w:firstLine="420" w:firstLineChars="200"/>
        <w:jc w:val="left"/>
        <w:rPr>
          <w:rFonts w:hint="default" w:ascii="宋体" w:hAnsi="宋体" w:eastAsia="宋体" w:cs="Times New Roman"/>
          <w:color w:val="auto"/>
          <w:kern w:val="2"/>
          <w:szCs w:val="21"/>
        </w:rPr>
      </w:pPr>
      <w:r>
        <w:rPr>
          <w:rFonts w:hint="eastAsia" w:ascii="宋体" w:hAnsi="宋体" w:eastAsia="宋体" w:cs="Times New Roman"/>
          <w:color w:val="auto"/>
          <w:kern w:val="2"/>
          <w:szCs w:val="21"/>
        </w:rPr>
        <w:t>1、本合同项下所有款项均以人民币支付。</w:t>
      </w:r>
    </w:p>
    <w:p w14:paraId="720314EC">
      <w:pPr>
        <w:widowControl w:val="0"/>
        <w:autoSpaceDE w:val="0"/>
        <w:autoSpaceDN w:val="0"/>
        <w:adjustRightInd w:val="0"/>
        <w:spacing w:line="400" w:lineRule="exact"/>
        <w:ind w:firstLine="420" w:firstLineChars="200"/>
        <w:jc w:val="left"/>
        <w:rPr>
          <w:rFonts w:hint="default" w:ascii="宋体" w:hAnsi="宋体" w:eastAsia="宋体" w:cs="Times New Roman"/>
          <w:color w:val="auto"/>
          <w:kern w:val="2"/>
          <w:szCs w:val="21"/>
        </w:rPr>
      </w:pPr>
      <w:r>
        <w:rPr>
          <w:rFonts w:hint="eastAsia" w:ascii="宋体" w:hAnsi="宋体" w:eastAsia="宋体" w:cs="Times New Roman"/>
          <w:color w:val="auto"/>
          <w:kern w:val="2"/>
          <w:szCs w:val="21"/>
        </w:rPr>
        <w:t>2、本合同项下的采购资金由采购人自行支付，供应商向采购人开具发票。</w:t>
      </w:r>
    </w:p>
    <w:p w14:paraId="07DAA439">
      <w:pPr>
        <w:widowControl w:val="0"/>
        <w:autoSpaceDE w:val="0"/>
        <w:autoSpaceDN w:val="0"/>
        <w:adjustRightInd w:val="0"/>
        <w:spacing w:line="400" w:lineRule="exact"/>
        <w:ind w:firstLine="420" w:firstLineChars="200"/>
        <w:jc w:val="left"/>
        <w:rPr>
          <w:rFonts w:hint="default" w:ascii="宋体" w:hAnsi="宋体" w:eastAsia="宋体" w:cs="Times New Roman"/>
          <w:bCs/>
          <w:color w:val="0000FF"/>
          <w:kern w:val="2"/>
          <w:szCs w:val="21"/>
        </w:rPr>
      </w:pPr>
      <w:r>
        <w:rPr>
          <w:rFonts w:hint="eastAsia" w:ascii="宋体" w:hAnsi="宋体" w:eastAsia="宋体" w:cs="Times New Roman"/>
          <w:bCs/>
          <w:color w:val="0000FF"/>
          <w:kern w:val="2"/>
          <w:szCs w:val="21"/>
        </w:rPr>
        <w:t>3、付款条件：</w:t>
      </w:r>
    </w:p>
    <w:p w14:paraId="790092BC">
      <w:pPr>
        <w:widowControl w:val="0"/>
        <w:spacing w:line="400" w:lineRule="exact"/>
        <w:ind w:firstLine="420" w:firstLineChars="200"/>
        <w:jc w:val="both"/>
        <w:rPr>
          <w:rFonts w:hint="eastAsia" w:ascii="宋体" w:hAnsi="宋体" w:eastAsia="宋体" w:cs="Times New Roman"/>
          <w:color w:val="0000FF"/>
          <w:kern w:val="2"/>
          <w:sz w:val="21"/>
          <w:szCs w:val="21"/>
          <w:lang w:val="en-US" w:eastAsia="zh-CN" w:bidi="ar-SA"/>
        </w:rPr>
      </w:pPr>
      <w:r>
        <w:rPr>
          <w:rFonts w:hint="eastAsia" w:ascii="宋体" w:hAnsi="宋体" w:eastAsia="宋体" w:cs="Times New Roman"/>
          <w:color w:val="0000FF"/>
          <w:kern w:val="2"/>
          <w:sz w:val="21"/>
          <w:szCs w:val="21"/>
          <w:lang w:val="en-US" w:eastAsia="zh-CN" w:bidi="ar-SA"/>
        </w:rPr>
        <w:t>1）、服务期结束并完成结算审核后，支付至结算审定价的100%（扣除违约金等）；</w:t>
      </w:r>
    </w:p>
    <w:p w14:paraId="197D4A72">
      <w:pPr>
        <w:widowControl w:val="0"/>
        <w:spacing w:line="400" w:lineRule="exact"/>
        <w:ind w:firstLine="420" w:firstLineChars="200"/>
        <w:jc w:val="both"/>
        <w:rPr>
          <w:rFonts w:hint="eastAsia" w:ascii="宋体" w:hAnsi="宋体" w:eastAsia="宋体" w:cs="Times New Roman"/>
          <w:color w:val="0000FF"/>
          <w:kern w:val="2"/>
          <w:sz w:val="21"/>
          <w:szCs w:val="21"/>
          <w:lang w:val="en-US" w:eastAsia="zh-CN" w:bidi="ar-SA"/>
        </w:rPr>
      </w:pPr>
      <w:r>
        <w:rPr>
          <w:rFonts w:hint="eastAsia" w:ascii="宋体" w:hAnsi="宋体" w:cs="Times New Roman"/>
          <w:color w:val="0000FF"/>
          <w:kern w:val="2"/>
          <w:sz w:val="21"/>
          <w:szCs w:val="21"/>
          <w:lang w:val="en-US" w:eastAsia="zh-CN" w:bidi="ar-SA"/>
        </w:rPr>
        <w:t>2</w:t>
      </w:r>
      <w:r>
        <w:rPr>
          <w:rFonts w:hint="eastAsia" w:ascii="宋体" w:hAnsi="宋体" w:eastAsia="宋体" w:cs="Times New Roman"/>
          <w:color w:val="0000FF"/>
          <w:kern w:val="2"/>
          <w:sz w:val="21"/>
          <w:szCs w:val="21"/>
          <w:lang w:val="en-US" w:eastAsia="zh-CN" w:bidi="ar-SA"/>
        </w:rPr>
        <w:t>）、其他：</w:t>
      </w:r>
    </w:p>
    <w:p w14:paraId="38D4FB4B">
      <w:pPr>
        <w:widowControl w:val="0"/>
        <w:spacing w:line="400" w:lineRule="exact"/>
        <w:ind w:firstLine="420" w:firstLineChars="200"/>
        <w:jc w:val="both"/>
        <w:rPr>
          <w:rFonts w:hint="eastAsia" w:ascii="宋体" w:hAnsi="宋体" w:eastAsia="宋体" w:cs="Times New Roman"/>
          <w:color w:val="0000FF"/>
          <w:kern w:val="2"/>
          <w:sz w:val="21"/>
          <w:szCs w:val="21"/>
          <w:lang w:val="en-US" w:eastAsia="zh-CN" w:bidi="ar-SA"/>
        </w:rPr>
      </w:pPr>
      <w:r>
        <w:rPr>
          <w:rFonts w:hint="eastAsia" w:ascii="宋体" w:hAnsi="宋体" w:eastAsia="宋体" w:cs="Times New Roman"/>
          <w:color w:val="0000FF"/>
          <w:kern w:val="2"/>
          <w:sz w:val="21"/>
          <w:szCs w:val="21"/>
          <w:lang w:val="en-US" w:eastAsia="zh-CN" w:bidi="ar-SA"/>
        </w:rPr>
        <w:t>①采购人支付给供应商的预付款及进度款，供应商只能用于本项目有关的劳力、材料、机械等费用。采购人有权对供应商项目款的使用进行监督，如预付款及进度款用于支付与本项目无关的费用，采购人将立即停止付款并由供应商向采购人支付该合同总价 5%的违约金。采购人有权选择在总的支付比例不变的情况下，采取其他的支付方法。</w:t>
      </w:r>
    </w:p>
    <w:p w14:paraId="736D265D">
      <w:pPr>
        <w:widowControl w:val="0"/>
        <w:spacing w:line="400" w:lineRule="exact"/>
        <w:ind w:firstLine="420" w:firstLineChars="200"/>
        <w:jc w:val="both"/>
        <w:rPr>
          <w:rFonts w:hint="eastAsia" w:ascii="宋体" w:hAnsi="宋体" w:eastAsia="宋体" w:cs="Times New Roman"/>
          <w:color w:val="0000FF"/>
          <w:kern w:val="2"/>
          <w:sz w:val="21"/>
          <w:szCs w:val="21"/>
          <w:lang w:val="en-US" w:eastAsia="zh-CN" w:bidi="ar-SA"/>
        </w:rPr>
      </w:pPr>
      <w:r>
        <w:rPr>
          <w:rFonts w:hint="eastAsia" w:ascii="宋体" w:hAnsi="宋体" w:eastAsia="宋体" w:cs="Times New Roman"/>
          <w:color w:val="0000FF"/>
          <w:kern w:val="2"/>
          <w:sz w:val="21"/>
          <w:szCs w:val="21"/>
          <w:lang w:val="en-US" w:eastAsia="zh-CN" w:bidi="ar-SA"/>
        </w:rPr>
        <w:t>②每次付款前，供应商需提供符合采购人要求的增值税发票否则采购人有权拒绝付款。</w:t>
      </w:r>
    </w:p>
    <w:p w14:paraId="48E95A9C">
      <w:pPr>
        <w:widowControl w:val="0"/>
        <w:spacing w:line="400" w:lineRule="exact"/>
        <w:ind w:firstLine="420" w:firstLineChars="200"/>
        <w:jc w:val="both"/>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③项目完工验收合格前，供应商须将本项目的完工资料（四套）和完工结算文件（三套）报送给采购人。采购人在收到供应商完整的结算资料后安排完工结算审核工作。如结算资料不完整，供应商重新补充直至完整，供应商应配合完工结算审核工作。</w:t>
      </w:r>
    </w:p>
    <w:p w14:paraId="6FE10226">
      <w:pPr>
        <w:widowControl w:val="0"/>
        <w:spacing w:line="400" w:lineRule="exact"/>
        <w:ind w:firstLine="420" w:firstLineChars="200"/>
        <w:jc w:val="both"/>
        <w:rPr>
          <w:rFonts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 xml:space="preserve">上述资金拨付时间以采购人资金到位时间为准，最长期限不超过60日。 </w:t>
      </w:r>
    </w:p>
    <w:p w14:paraId="4590D9CE">
      <w:pPr>
        <w:widowControl w:val="0"/>
        <w:spacing w:line="400" w:lineRule="exact"/>
        <w:ind w:firstLine="420" w:firstLineChars="200"/>
        <w:jc w:val="both"/>
        <w:rPr>
          <w:rFonts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4、完工退场</w:t>
      </w:r>
    </w:p>
    <w:p w14:paraId="17EA9B9C">
      <w:pPr>
        <w:widowControl w:val="0"/>
        <w:spacing w:line="400" w:lineRule="exact"/>
        <w:ind w:firstLine="420" w:firstLineChars="200"/>
        <w:jc w:val="both"/>
        <w:rPr>
          <w:rFonts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供应商完成完工退场的期限：项目完工验收后，供应商的人员、材料、设备必须在14天内全部退出现场，否则按每天10000元支付违约金。非供应商原因导致的人员、材料、设备没在14天内全部退场不支付违约金。</w:t>
      </w:r>
    </w:p>
    <w:p w14:paraId="2C1C4948">
      <w:pPr>
        <w:widowControl w:val="0"/>
        <w:spacing w:line="400" w:lineRule="exact"/>
        <w:ind w:firstLine="420" w:firstLineChars="200"/>
        <w:jc w:val="both"/>
        <w:rPr>
          <w:rFonts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5、完工结算</w:t>
      </w:r>
    </w:p>
    <w:p w14:paraId="5ACE0698">
      <w:pPr>
        <w:widowControl w:val="0"/>
        <w:spacing w:line="400" w:lineRule="exact"/>
        <w:ind w:firstLine="420" w:firstLineChars="200"/>
        <w:jc w:val="both"/>
        <w:rPr>
          <w:rFonts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1）完工付款申请</w:t>
      </w:r>
    </w:p>
    <w:p w14:paraId="4684D76A">
      <w:pPr>
        <w:widowControl w:val="0"/>
        <w:spacing w:line="400" w:lineRule="exact"/>
        <w:ind w:firstLine="420" w:firstLineChars="200"/>
        <w:jc w:val="both"/>
        <w:rPr>
          <w:rFonts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供应商提交完工付款申请单的期限：按采购人审计要求办理。</w:t>
      </w:r>
    </w:p>
    <w:p w14:paraId="769D196F">
      <w:pPr>
        <w:widowControl w:val="0"/>
        <w:spacing w:line="400" w:lineRule="exact"/>
        <w:ind w:firstLine="420" w:firstLineChars="200"/>
        <w:jc w:val="both"/>
        <w:rPr>
          <w:rFonts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完工付款申请单应包括的内容：完工结算合同总价、已支付的项目价款、应扣回的质量保证金、应支付的完工付款金额等。</w:t>
      </w:r>
    </w:p>
    <w:p w14:paraId="34DAE56A">
      <w:pPr>
        <w:widowControl w:val="0"/>
        <w:spacing w:line="400" w:lineRule="exact"/>
        <w:ind w:firstLine="420" w:firstLineChars="200"/>
        <w:jc w:val="both"/>
        <w:rPr>
          <w:rFonts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（1）供应商必须按照采购人的要求编制整理资料办理完工结算，采购人最终确认的结算书作为双方结算项目款的依据，如供应商对该结算结果不认可，可提出异议或者委托第三方进行重新审计。</w:t>
      </w:r>
    </w:p>
    <w:p w14:paraId="2FB889F6">
      <w:pPr>
        <w:widowControl w:val="0"/>
        <w:spacing w:line="400" w:lineRule="exact"/>
        <w:ind w:firstLine="420" w:firstLineChars="200"/>
        <w:jc w:val="both"/>
        <w:rPr>
          <w:rFonts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2）完工结算书中应有完整的结算资料。在结算审计单位结算审价过程中，不再接受增加任何结算资料（图纸、签证变更单、价格凭证等），送审的结算中若有结算遗漏项目均为让利给采购人，不作任何增加调整。</w:t>
      </w:r>
    </w:p>
    <w:p w14:paraId="7A22F5D3">
      <w:pPr>
        <w:widowControl w:val="0"/>
        <w:spacing w:line="400" w:lineRule="exact"/>
        <w:ind w:firstLine="420" w:firstLineChars="200"/>
        <w:jc w:val="both"/>
        <w:rPr>
          <w:rFonts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（3）供应商发生的所有违约金等相应扣款项，均由监理工程师在当月的工作量审核单中注明事由及发生金额，由采购人在当月项目款支付单中予以注明扣除。所有变更及签证产生的费用均在完工结算中办理。</w:t>
      </w:r>
    </w:p>
    <w:p w14:paraId="0284ACDE">
      <w:pPr>
        <w:widowControl w:val="0"/>
        <w:spacing w:line="400" w:lineRule="exact"/>
        <w:ind w:firstLine="420" w:firstLineChars="200"/>
        <w:jc w:val="both"/>
        <w:rPr>
          <w:rFonts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（4）按国家规定由供应商交纳的各种税收、劳动保险费及其他费用已包含在本项目造价内，由供应商负责向税收等部门交纳。</w:t>
      </w:r>
    </w:p>
    <w:p w14:paraId="2F797321">
      <w:pPr>
        <w:widowControl w:val="0"/>
        <w:spacing w:line="400" w:lineRule="exact"/>
        <w:ind w:firstLine="420" w:firstLineChars="200"/>
        <w:jc w:val="both"/>
        <w:rPr>
          <w:rFonts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2）完工结算审核</w:t>
      </w:r>
    </w:p>
    <w:p w14:paraId="60834A28">
      <w:pPr>
        <w:widowControl w:val="0"/>
        <w:spacing w:line="400" w:lineRule="exact"/>
        <w:ind w:firstLine="420" w:firstLineChars="200"/>
        <w:jc w:val="both"/>
        <w:rPr>
          <w:rFonts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采购人审批完工付款申请单的期限：</w:t>
      </w:r>
    </w:p>
    <w:p w14:paraId="1C8F0119">
      <w:pPr>
        <w:widowControl w:val="0"/>
        <w:spacing w:line="400" w:lineRule="exact"/>
        <w:ind w:firstLine="420" w:firstLineChars="200"/>
        <w:jc w:val="both"/>
        <w:rPr>
          <w:rFonts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（1）供应商应该在完工验收后60天内提交完整的完工结算报告及结算资料。否则造成采购人、监理人、审计单位管理费用的增加和审核时间的延长，责任由供应商承担。</w:t>
      </w:r>
    </w:p>
    <w:p w14:paraId="0FC3051F">
      <w:pPr>
        <w:widowControl w:val="0"/>
        <w:spacing w:line="400" w:lineRule="exact"/>
        <w:ind w:firstLine="420" w:firstLineChars="200"/>
        <w:jc w:val="both"/>
        <w:rPr>
          <w:rFonts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（2）采购人收到供应商递交完整的完工结算报告及结算资料后及时送审。结算审计流程及时间按采购人有关要求执行。</w:t>
      </w:r>
    </w:p>
    <w:p w14:paraId="41F65A8E">
      <w:pPr>
        <w:widowControl w:val="0"/>
        <w:spacing w:line="400" w:lineRule="exact"/>
        <w:ind w:firstLine="420" w:firstLineChars="200"/>
        <w:jc w:val="both"/>
        <w:rPr>
          <w:rFonts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3）供应商提供的结算书，①如经审计核减额在5%以内，审计费发包人承担；②核减额在5%-10%（含5%，不含10%），承包人应承担违约金，违约金为该项目对应审计费用总额的一半；③核减额在10%（含）以上，承包人应承担违约金，违约金为该项目对应的全部审计费。(核减额是指中标供应商向采购人提交的送审额与最终审定金额的核减金额)。</w:t>
      </w:r>
    </w:p>
    <w:p w14:paraId="5BA00C4F">
      <w:pPr>
        <w:widowControl w:val="0"/>
        <w:spacing w:line="400" w:lineRule="exact"/>
        <w:ind w:firstLine="420" w:firstLineChars="200"/>
        <w:jc w:val="both"/>
        <w:rPr>
          <w:rFonts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（4）结算审计单位有权对新增及变更工作量清单全费用综合单价进行重新审核 （报价浮动率=（ 1-中标价/最高限价）*100%）。</w:t>
      </w:r>
    </w:p>
    <w:p w14:paraId="20008C43">
      <w:pPr>
        <w:widowControl w:val="0"/>
        <w:spacing w:line="400" w:lineRule="exact"/>
        <w:ind w:firstLine="420" w:firstLineChars="200"/>
        <w:jc w:val="both"/>
        <w:rPr>
          <w:rFonts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采购人完成完工付款的期限：按采购人审计要求办理。</w:t>
      </w:r>
    </w:p>
    <w:p w14:paraId="5E659627">
      <w:pPr>
        <w:widowControl w:val="0"/>
        <w:spacing w:line="400" w:lineRule="exact"/>
        <w:ind w:firstLine="420" w:firstLineChars="200"/>
        <w:jc w:val="both"/>
        <w:rPr>
          <w:rFonts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关于完工付款证书异议部分复核的方式和程序：按采购人审计要求办理。</w:t>
      </w:r>
    </w:p>
    <w:p w14:paraId="02332296">
      <w:pPr>
        <w:widowControl w:val="0"/>
        <w:spacing w:line="400" w:lineRule="exact"/>
        <w:ind w:firstLine="420" w:firstLineChars="200"/>
        <w:jc w:val="both"/>
        <w:rPr>
          <w:rFonts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3） 最终结清</w:t>
      </w:r>
    </w:p>
    <w:p w14:paraId="1FF3F636">
      <w:pPr>
        <w:widowControl w:val="0"/>
        <w:spacing w:line="400" w:lineRule="exact"/>
        <w:ind w:firstLine="420" w:firstLineChars="200"/>
        <w:jc w:val="both"/>
        <w:rPr>
          <w:rFonts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（1） 最终结清申请单</w:t>
      </w:r>
    </w:p>
    <w:p w14:paraId="0D8CEDB5">
      <w:pPr>
        <w:widowControl w:val="0"/>
        <w:spacing w:line="400" w:lineRule="exact"/>
        <w:ind w:firstLine="420" w:firstLineChars="200"/>
        <w:jc w:val="both"/>
        <w:rPr>
          <w:rFonts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供应商提交最终结清申请单的份数：肆份。</w:t>
      </w:r>
    </w:p>
    <w:p w14:paraId="3E84F717">
      <w:pPr>
        <w:widowControl w:val="0"/>
        <w:spacing w:line="400" w:lineRule="exact"/>
        <w:ind w:firstLine="420" w:firstLineChars="200"/>
        <w:jc w:val="both"/>
        <w:rPr>
          <w:rFonts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（2）最终结清证书和支付</w:t>
      </w:r>
    </w:p>
    <w:p w14:paraId="413EF9EF">
      <w:pPr>
        <w:widowControl w:val="0"/>
        <w:spacing w:line="400" w:lineRule="exact"/>
        <w:ind w:firstLine="420" w:firstLineChars="200"/>
        <w:jc w:val="both"/>
        <w:rPr>
          <w:rFonts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（1）采购人完成最终结清申请单的审批并颁发最终结清证书的期限：按通用条款。</w:t>
      </w:r>
    </w:p>
    <w:p w14:paraId="75D10FD6">
      <w:pPr>
        <w:widowControl w:val="0"/>
        <w:spacing w:line="400" w:lineRule="exact"/>
        <w:ind w:firstLine="420" w:firstLineChars="200"/>
        <w:jc w:val="both"/>
        <w:rPr>
          <w:rFonts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（2）采购人完成支付的期限：按通用条款。</w:t>
      </w:r>
    </w:p>
    <w:p w14:paraId="560F9EF6">
      <w:pPr>
        <w:widowControl w:val="0"/>
        <w:spacing w:line="400" w:lineRule="exact"/>
        <w:ind w:firstLine="420" w:firstLineChars="200"/>
        <w:jc w:val="both"/>
        <w:rPr>
          <w:rFonts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4）变更估价</w:t>
      </w:r>
    </w:p>
    <w:p w14:paraId="1F0F776D">
      <w:pPr>
        <w:widowControl w:val="0"/>
        <w:spacing w:line="400" w:lineRule="exact"/>
        <w:ind w:firstLine="420" w:firstLineChars="200"/>
        <w:jc w:val="both"/>
        <w:rPr>
          <w:rFonts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关于变更估价的约定: 投标单价高于市场价的清单子目工程量变更增加超过10%，发包人有权对超过部分的全费用综合单价进行调整。</w:t>
      </w:r>
    </w:p>
    <w:p w14:paraId="62A86B3B">
      <w:pPr>
        <w:widowControl w:val="0"/>
        <w:autoSpaceDE w:val="0"/>
        <w:autoSpaceDN w:val="0"/>
        <w:adjustRightInd w:val="0"/>
        <w:spacing w:line="400" w:lineRule="exact"/>
        <w:jc w:val="left"/>
        <w:rPr>
          <w:rFonts w:hint="default" w:ascii="宋体" w:hAnsi="宋体" w:eastAsia="宋体" w:cs="Times New Roman"/>
          <w:b/>
          <w:bCs/>
          <w:color w:val="auto"/>
          <w:kern w:val="2"/>
          <w:szCs w:val="21"/>
        </w:rPr>
      </w:pPr>
      <w:r>
        <w:rPr>
          <w:rFonts w:hint="eastAsia" w:ascii="宋体" w:hAnsi="宋体" w:eastAsia="宋体" w:cs="Times New Roman"/>
          <w:b/>
          <w:bCs/>
          <w:color w:val="auto"/>
          <w:kern w:val="2"/>
          <w:szCs w:val="21"/>
        </w:rPr>
        <w:t>第十一条 违约责任</w:t>
      </w:r>
    </w:p>
    <w:p w14:paraId="505074FE">
      <w:pPr>
        <w:widowControl w:val="0"/>
        <w:spacing w:line="400" w:lineRule="exact"/>
        <w:ind w:firstLine="420" w:firstLineChars="200"/>
        <w:jc w:val="both"/>
        <w:rPr>
          <w:rFonts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1、采购人违约</w:t>
      </w:r>
    </w:p>
    <w:p w14:paraId="240F2625">
      <w:pPr>
        <w:widowControl w:val="0"/>
        <w:spacing w:line="400" w:lineRule="exact"/>
        <w:ind w:firstLine="420" w:firstLineChars="200"/>
        <w:jc w:val="both"/>
        <w:rPr>
          <w:rFonts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1.1 采购人违约的责任</w:t>
      </w:r>
    </w:p>
    <w:p w14:paraId="5075F6C6">
      <w:pPr>
        <w:widowControl w:val="0"/>
        <w:spacing w:line="400" w:lineRule="exact"/>
        <w:ind w:firstLine="420" w:firstLineChars="200"/>
        <w:jc w:val="both"/>
        <w:rPr>
          <w:rFonts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采购人违约责任的承担方式和计算方法：</w:t>
      </w:r>
    </w:p>
    <w:p w14:paraId="7B4415A5">
      <w:pPr>
        <w:widowControl w:val="0"/>
        <w:spacing w:line="400" w:lineRule="exact"/>
        <w:ind w:firstLine="420" w:firstLineChars="200"/>
        <w:jc w:val="both"/>
        <w:rPr>
          <w:rFonts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（1）因采购人违反合同约定造成暂停的违约责任:工期顺延。</w:t>
      </w:r>
    </w:p>
    <w:p w14:paraId="082A4D42">
      <w:pPr>
        <w:widowControl w:val="0"/>
        <w:spacing w:line="400" w:lineRule="exact"/>
        <w:ind w:firstLine="420" w:firstLineChars="200"/>
        <w:jc w:val="both"/>
        <w:rPr>
          <w:rFonts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（2）采购人无正当理由没有在约定期限内发出复工指示，导致供应商无法复工的违约责任: 工期顺延。</w:t>
      </w:r>
    </w:p>
    <w:p w14:paraId="1D072034">
      <w:pPr>
        <w:widowControl w:val="0"/>
        <w:spacing w:line="400" w:lineRule="exact"/>
        <w:ind w:firstLine="420" w:firstLineChars="200"/>
        <w:jc w:val="both"/>
        <w:rPr>
          <w:rFonts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（3）其他：另行协商。</w:t>
      </w:r>
    </w:p>
    <w:p w14:paraId="20E1D44C">
      <w:pPr>
        <w:widowControl w:val="0"/>
        <w:spacing w:line="400" w:lineRule="exact"/>
        <w:ind w:firstLine="420" w:firstLineChars="200"/>
        <w:jc w:val="both"/>
        <w:rPr>
          <w:rFonts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2、供应商违约</w:t>
      </w:r>
    </w:p>
    <w:p w14:paraId="2184B11A">
      <w:pPr>
        <w:widowControl w:val="0"/>
        <w:spacing w:line="400" w:lineRule="exact"/>
        <w:ind w:firstLine="420" w:firstLineChars="200"/>
        <w:jc w:val="both"/>
        <w:rPr>
          <w:rFonts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2.1 供应商违约的情形</w:t>
      </w:r>
    </w:p>
    <w:p w14:paraId="4F21D216">
      <w:pPr>
        <w:widowControl w:val="0"/>
        <w:spacing w:line="400" w:lineRule="exact"/>
        <w:ind w:firstLine="420" w:firstLineChars="200"/>
        <w:jc w:val="both"/>
        <w:rPr>
          <w:rFonts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供应商违约的其他情形：1、供应商借故拖延项目进度、导致项目停工超过15日；2、供应商未按要求投入人员、机械设备及资金造成工期延误；3、因供应商原因造成的质量问题；4、因供应商原因造成的安全文明生产责任事故；</w:t>
      </w:r>
    </w:p>
    <w:p w14:paraId="642FA43F">
      <w:pPr>
        <w:widowControl w:val="0"/>
        <w:spacing w:line="400" w:lineRule="exact"/>
        <w:ind w:firstLine="420" w:firstLineChars="200"/>
        <w:jc w:val="both"/>
        <w:rPr>
          <w:rFonts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2.2供应商违约的责任</w:t>
      </w:r>
    </w:p>
    <w:p w14:paraId="50AFC688">
      <w:pPr>
        <w:widowControl w:val="0"/>
        <w:spacing w:line="400" w:lineRule="exact"/>
        <w:ind w:firstLine="420" w:firstLineChars="200"/>
        <w:jc w:val="both"/>
        <w:rPr>
          <w:rFonts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供应商违约责任的承担方式和计算方法：①因供应商原因导致单体项目完工验收时间延误，每延误1天供应商向采购人支付违约金人民币5000元；因供应商原因导致项目整体完工验收时间延误，每延误1天供应商向采购人支付违约金人民币1万元；如单体和整体同时延误，则一并处罚；上述违约金的支付并不能解除供应商应完成项目的责任或合同的其他责任。如工期延误超过20日的，则采购人还有权解除本合同。供应商在收到采购人的解除通知后应立即退出现场，否则采购人有权强行将供应商清出现场。但采购人应在力所能及的范围内给予协助。②未按投标计划投入机械的，属于违约。供应商向采购人支付违约金5万元，由此而引起的工期延误另行承担违约责任。③项目质量一次验收合格，不奖不罚；一次验收不合格，供应商向采购人支付合同总价的2%的违约金，验收不合格次数每增加一次，供应商另向采购人支付合同总价的2%的违约金。④承包方未经采购人和监理认可，擅自购置使用的材料，必须无条件更换，并承担由此造成的一切损失。⑤所有违约金的支付不减轻供应商合同项下的任何责任和义务。</w:t>
      </w:r>
    </w:p>
    <w:p w14:paraId="507279CF">
      <w:pPr>
        <w:widowControl w:val="0"/>
        <w:spacing w:line="400" w:lineRule="exact"/>
        <w:ind w:firstLine="420" w:firstLineChars="200"/>
        <w:jc w:val="both"/>
        <w:rPr>
          <w:rFonts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2.3 因供应商违约解除合同</w:t>
      </w:r>
    </w:p>
    <w:p w14:paraId="474F3B5C">
      <w:pPr>
        <w:widowControl w:val="0"/>
        <w:spacing w:line="400" w:lineRule="exact"/>
        <w:ind w:firstLine="420" w:firstLineChars="200"/>
        <w:jc w:val="both"/>
        <w:rPr>
          <w:rFonts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关于供应商违约解除合同的特别约定：</w:t>
      </w:r>
    </w:p>
    <w:p w14:paraId="0D7C8140">
      <w:pPr>
        <w:widowControl w:val="0"/>
        <w:spacing w:line="400" w:lineRule="exact"/>
        <w:ind w:firstLine="420" w:firstLineChars="200"/>
        <w:jc w:val="both"/>
        <w:rPr>
          <w:rFonts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A、无论何种原因导致合同解除的，供应商的人员、材料、设备必须在收到采购人通知之日起14天内全部退出现场，每延迟1天退场采购人向供应商收取人民币1万元违约金。供应商在收到采购人要求退场的通知之日起十四天内未全部退出现场的，从第15天开始，视为在现场没有任何供应商的财产、物资等，采购人有权作出任何处置。B、因供应商原因不按合同约定履行义务或终止履行合同义务时，采购人有权向供应商收取合同价款的20%的违约金并且供应商承担因此给采购人造成的一切经济损失和责任。 C、一方违约后，另一方要求违约方继续履行合同时，违约方承担上述违约责任后仍应继续履行合同。</w:t>
      </w:r>
    </w:p>
    <w:p w14:paraId="2EB6A713">
      <w:pPr>
        <w:widowControl w:val="0"/>
        <w:spacing w:line="400" w:lineRule="exact"/>
        <w:ind w:firstLine="420" w:firstLineChars="200"/>
        <w:jc w:val="both"/>
        <w:rPr>
          <w:rFonts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采购人继续使用供应商在现场的材料、设备、临时工作、供应商文件和由供应商或以其名义编制的其他文件的费用承担方式：双方协商处理。</w:t>
      </w:r>
    </w:p>
    <w:p w14:paraId="10C5D365">
      <w:pPr>
        <w:widowControl/>
        <w:adjustRightInd w:val="0"/>
        <w:spacing w:line="400" w:lineRule="exact"/>
        <w:jc w:val="left"/>
        <w:rPr>
          <w:rFonts w:hint="default" w:ascii="宋体" w:hAnsi="宋体" w:eastAsia="宋体" w:cs="Times New Roman"/>
          <w:b/>
          <w:bCs/>
          <w:color w:val="auto"/>
          <w:kern w:val="2"/>
          <w:szCs w:val="21"/>
        </w:rPr>
      </w:pPr>
      <w:r>
        <w:rPr>
          <w:rFonts w:hint="eastAsia" w:ascii="宋体" w:hAnsi="宋体" w:eastAsia="宋体" w:cs="Times New Roman"/>
          <w:b/>
          <w:bCs/>
          <w:color w:val="auto"/>
          <w:kern w:val="2"/>
          <w:szCs w:val="21"/>
        </w:rPr>
        <w:t>第十二条 项目履约验收</w:t>
      </w:r>
    </w:p>
    <w:p w14:paraId="5C130F7C">
      <w:pPr>
        <w:widowControl/>
        <w:adjustRightInd w:val="0"/>
        <w:spacing w:line="400" w:lineRule="exact"/>
        <w:ind w:firstLine="420" w:firstLineChars="200"/>
        <w:jc w:val="left"/>
        <w:rPr>
          <w:rFonts w:hint="default" w:ascii="宋体" w:hAnsi="宋体" w:eastAsia="宋体" w:cs="Times New Roman"/>
          <w:color w:val="auto"/>
          <w:kern w:val="2"/>
          <w:szCs w:val="21"/>
        </w:rPr>
      </w:pPr>
      <w:r>
        <w:rPr>
          <w:rFonts w:hint="eastAsia" w:ascii="宋体" w:hAnsi="宋体" w:eastAsia="宋体" w:cs="Times New Roman"/>
          <w:color w:val="auto"/>
          <w:kern w:val="2"/>
          <w:szCs w:val="21"/>
        </w:rPr>
        <w:t>1、采购人有权对供应商项目实施执行过程及完成结果进行履约验收；</w:t>
      </w:r>
    </w:p>
    <w:p w14:paraId="7E0F99BA">
      <w:pPr>
        <w:widowControl/>
        <w:adjustRightInd w:val="0"/>
        <w:spacing w:line="400" w:lineRule="exact"/>
        <w:ind w:firstLine="420" w:firstLineChars="200"/>
        <w:jc w:val="left"/>
        <w:rPr>
          <w:rFonts w:hint="default" w:ascii="宋体" w:hAnsi="宋体" w:eastAsia="宋体" w:cs="Times New Roman"/>
          <w:color w:val="auto"/>
          <w:kern w:val="2"/>
          <w:szCs w:val="21"/>
        </w:rPr>
      </w:pPr>
      <w:r>
        <w:rPr>
          <w:rFonts w:hint="eastAsia" w:ascii="宋体" w:hAnsi="宋体" w:eastAsia="宋体" w:cs="Times New Roman"/>
          <w:color w:val="auto"/>
          <w:kern w:val="2"/>
          <w:szCs w:val="21"/>
        </w:rPr>
        <w:t>2、采购人可以邀请参加本项目的其他供应商或者第三方机构参与验收，供应商应积极配合并响应；</w:t>
      </w:r>
    </w:p>
    <w:p w14:paraId="0B9C8A7D">
      <w:pPr>
        <w:widowControl/>
        <w:adjustRightInd w:val="0"/>
        <w:spacing w:line="400" w:lineRule="exact"/>
        <w:ind w:firstLine="420" w:firstLineChars="200"/>
        <w:jc w:val="left"/>
        <w:rPr>
          <w:rFonts w:hint="default" w:ascii="宋体" w:hAnsi="宋体" w:eastAsia="宋体" w:cs="Times New Roman"/>
          <w:color w:val="auto"/>
          <w:kern w:val="2"/>
          <w:szCs w:val="21"/>
        </w:rPr>
      </w:pPr>
      <w:r>
        <w:rPr>
          <w:rFonts w:hint="eastAsia" w:ascii="宋体" w:hAnsi="宋体" w:eastAsia="宋体" w:cs="Times New Roman"/>
          <w:color w:val="auto"/>
          <w:kern w:val="2"/>
          <w:szCs w:val="21"/>
        </w:rPr>
        <w:t>3、参与验收的供应商或者第三方机构的意见作为验收书的参考资料一并存档。</w:t>
      </w:r>
    </w:p>
    <w:p w14:paraId="2B2A6D7E">
      <w:pPr>
        <w:widowControl/>
        <w:adjustRightInd w:val="0"/>
        <w:spacing w:line="400" w:lineRule="exact"/>
        <w:jc w:val="left"/>
        <w:rPr>
          <w:rFonts w:hint="default" w:ascii="宋体" w:hAnsi="宋体" w:eastAsia="宋体" w:cs="Times New Roman"/>
          <w:b/>
          <w:bCs/>
          <w:color w:val="auto"/>
          <w:kern w:val="2"/>
          <w:szCs w:val="21"/>
        </w:rPr>
      </w:pPr>
      <w:r>
        <w:rPr>
          <w:rFonts w:hint="eastAsia" w:ascii="宋体" w:hAnsi="宋体" w:eastAsia="宋体" w:cs="Times New Roman"/>
          <w:b/>
          <w:bCs/>
          <w:color w:val="auto"/>
          <w:kern w:val="2"/>
          <w:szCs w:val="21"/>
        </w:rPr>
        <w:t>第十三条 合同的变更和终止</w:t>
      </w:r>
    </w:p>
    <w:p w14:paraId="65664746">
      <w:pPr>
        <w:widowControl/>
        <w:adjustRightInd w:val="0"/>
        <w:spacing w:line="400" w:lineRule="exact"/>
        <w:ind w:firstLine="420" w:firstLineChars="200"/>
        <w:jc w:val="left"/>
        <w:rPr>
          <w:rFonts w:hint="default" w:ascii="宋体" w:hAnsi="宋体" w:eastAsia="宋体" w:cs="Times New Roman"/>
          <w:color w:val="auto"/>
          <w:kern w:val="2"/>
          <w:szCs w:val="21"/>
        </w:rPr>
      </w:pPr>
      <w:r>
        <w:rPr>
          <w:rFonts w:hint="eastAsia" w:ascii="宋体" w:hAnsi="宋体" w:eastAsia="宋体" w:cs="Times New Roman"/>
          <w:color w:val="auto"/>
          <w:kern w:val="2"/>
          <w:szCs w:val="21"/>
        </w:rPr>
        <w:t>1、除《政府采购法》第50条第二款规定的情形外，本合同一经签订，甲乙双方不得擅自变更、中止或终止合同。</w:t>
      </w:r>
    </w:p>
    <w:p w14:paraId="01335C4A">
      <w:pPr>
        <w:widowControl/>
        <w:adjustRightInd w:val="0"/>
        <w:spacing w:line="400" w:lineRule="exact"/>
        <w:ind w:firstLine="420" w:firstLineChars="200"/>
        <w:jc w:val="left"/>
        <w:rPr>
          <w:rFonts w:hint="default" w:ascii="宋体" w:hAnsi="宋体" w:eastAsia="宋体" w:cs="Times New Roman"/>
          <w:color w:val="auto"/>
          <w:kern w:val="2"/>
          <w:szCs w:val="21"/>
        </w:rPr>
      </w:pPr>
      <w:r>
        <w:rPr>
          <w:rFonts w:hint="eastAsia" w:ascii="宋体" w:hAnsi="宋体" w:eastAsia="宋体" w:cs="Times New Roman"/>
          <w:color w:val="auto"/>
          <w:kern w:val="2"/>
          <w:szCs w:val="21"/>
        </w:rPr>
        <w:t>2、除发生法律规定的不能预见、不能避免并不能克服的客观情况外，甲乙双方不得放弃或拒绝履行合同。</w:t>
      </w:r>
    </w:p>
    <w:p w14:paraId="56A5859B">
      <w:pPr>
        <w:widowControl/>
        <w:adjustRightInd w:val="0"/>
        <w:spacing w:line="400" w:lineRule="exact"/>
        <w:jc w:val="left"/>
        <w:rPr>
          <w:rFonts w:hint="default" w:ascii="宋体" w:hAnsi="宋体" w:eastAsia="宋体" w:cs="Times New Roman"/>
          <w:b/>
          <w:bCs/>
          <w:color w:val="auto"/>
          <w:kern w:val="2"/>
          <w:szCs w:val="21"/>
        </w:rPr>
      </w:pPr>
      <w:r>
        <w:rPr>
          <w:rFonts w:hint="eastAsia" w:ascii="宋体" w:hAnsi="宋体" w:eastAsia="宋体" w:cs="Times New Roman"/>
          <w:b/>
          <w:bCs/>
          <w:color w:val="auto"/>
          <w:kern w:val="2"/>
          <w:szCs w:val="21"/>
        </w:rPr>
        <w:t>第十四条 合同的转让</w:t>
      </w:r>
    </w:p>
    <w:p w14:paraId="76684230">
      <w:pPr>
        <w:widowControl/>
        <w:adjustRightInd w:val="0"/>
        <w:spacing w:line="400" w:lineRule="exact"/>
        <w:ind w:firstLine="420" w:firstLineChars="200"/>
        <w:jc w:val="left"/>
        <w:rPr>
          <w:rFonts w:hint="default" w:ascii="宋体" w:hAnsi="宋体" w:eastAsia="宋体" w:cs="Times New Roman"/>
          <w:color w:val="auto"/>
          <w:kern w:val="2"/>
          <w:szCs w:val="21"/>
        </w:rPr>
      </w:pPr>
      <w:r>
        <w:rPr>
          <w:rFonts w:hint="eastAsia" w:ascii="宋体" w:hAnsi="宋体" w:eastAsia="宋体" w:cs="Times New Roman"/>
          <w:color w:val="auto"/>
          <w:kern w:val="2"/>
          <w:szCs w:val="21"/>
        </w:rPr>
        <w:t>供应商不得擅自部分或全部转让其应履行的合同义务。</w:t>
      </w:r>
    </w:p>
    <w:p w14:paraId="16D3BDC6">
      <w:pPr>
        <w:widowControl/>
        <w:adjustRightInd w:val="0"/>
        <w:spacing w:line="400" w:lineRule="exact"/>
        <w:jc w:val="left"/>
        <w:rPr>
          <w:rFonts w:hint="default" w:ascii="Times New Roman" w:hAnsi="Times New Roman" w:eastAsia="宋体" w:cs="Times New Roman"/>
          <w:color w:val="auto"/>
          <w:kern w:val="2"/>
          <w:szCs w:val="20"/>
        </w:rPr>
      </w:pPr>
      <w:r>
        <w:rPr>
          <w:rFonts w:hint="eastAsia" w:ascii="宋体" w:hAnsi="宋体" w:eastAsia="宋体" w:cs="Times New Roman"/>
          <w:b/>
          <w:bCs/>
          <w:color w:val="auto"/>
          <w:kern w:val="2"/>
          <w:szCs w:val="21"/>
        </w:rPr>
        <w:t>第十五条 项目分包与转包</w:t>
      </w:r>
    </w:p>
    <w:p w14:paraId="5D89A82A">
      <w:pPr>
        <w:widowControl/>
        <w:adjustRightInd w:val="0"/>
        <w:spacing w:line="400" w:lineRule="exact"/>
        <w:ind w:firstLine="420" w:firstLineChars="200"/>
        <w:jc w:val="left"/>
        <w:rPr>
          <w:rFonts w:hint="default" w:ascii="宋体" w:hAnsi="宋体" w:eastAsia="宋体" w:cs="Times New Roman"/>
          <w:color w:val="auto"/>
          <w:kern w:val="2"/>
          <w:szCs w:val="21"/>
        </w:rPr>
      </w:pPr>
      <w:r>
        <w:rPr>
          <w:rFonts w:hint="eastAsia" w:ascii="宋体" w:hAnsi="宋体" w:eastAsia="宋体" w:cs="Times New Roman"/>
          <w:color w:val="auto"/>
          <w:kern w:val="2"/>
          <w:szCs w:val="21"/>
        </w:rPr>
        <w:t>1、本项目未经采购人同意，不允许分包与转包。如中标供应商未经采购人同意，有转包、分包等违法行为的，采购人将向主管部门报告，依法予以行政处罚。</w:t>
      </w:r>
    </w:p>
    <w:p w14:paraId="3D412995">
      <w:pPr>
        <w:widowControl/>
        <w:adjustRightInd w:val="0"/>
        <w:spacing w:line="400" w:lineRule="exact"/>
        <w:ind w:firstLine="420" w:firstLineChars="200"/>
        <w:jc w:val="left"/>
        <w:rPr>
          <w:rFonts w:hint="default" w:ascii="宋体" w:hAnsi="宋体" w:eastAsia="宋体" w:cs="Times New Roman"/>
          <w:color w:val="auto"/>
          <w:kern w:val="2"/>
          <w:szCs w:val="21"/>
        </w:rPr>
      </w:pPr>
      <w:r>
        <w:rPr>
          <w:rFonts w:hint="eastAsia" w:ascii="宋体" w:hAnsi="宋体" w:eastAsia="宋体" w:cs="Times New Roman"/>
          <w:color w:val="auto"/>
          <w:kern w:val="2"/>
          <w:szCs w:val="21"/>
        </w:rPr>
        <w:t>2、经采购人同意分包后，签订分包合同时，中标供应商须提交经审核通过的专业分包和劳务作业分包方案。</w:t>
      </w:r>
    </w:p>
    <w:p w14:paraId="0C3392BE">
      <w:pPr>
        <w:widowControl/>
        <w:adjustRightInd w:val="0"/>
        <w:spacing w:line="400" w:lineRule="exact"/>
        <w:ind w:firstLine="420" w:firstLineChars="200"/>
        <w:jc w:val="left"/>
        <w:rPr>
          <w:rFonts w:hint="default" w:ascii="宋体" w:hAnsi="宋体" w:eastAsia="宋体" w:cs="Times New Roman"/>
          <w:color w:val="auto"/>
          <w:kern w:val="2"/>
          <w:szCs w:val="21"/>
        </w:rPr>
      </w:pPr>
      <w:r>
        <w:rPr>
          <w:rFonts w:hint="eastAsia" w:ascii="宋体" w:hAnsi="宋体" w:eastAsia="宋体" w:cs="Times New Roman"/>
          <w:color w:val="auto"/>
          <w:kern w:val="2"/>
          <w:szCs w:val="21"/>
        </w:rPr>
        <w:t>3、专业分包单位和劳务作业分包单位经审核确认且签订分包合同后方可进场。</w:t>
      </w:r>
    </w:p>
    <w:p w14:paraId="7A4960C1">
      <w:pPr>
        <w:widowControl/>
        <w:adjustRightInd w:val="0"/>
        <w:spacing w:line="400" w:lineRule="exact"/>
        <w:ind w:firstLine="420" w:firstLineChars="200"/>
        <w:jc w:val="left"/>
        <w:rPr>
          <w:rFonts w:hint="default" w:ascii="宋体" w:hAnsi="宋体" w:eastAsia="宋体" w:cs="Times New Roman"/>
          <w:color w:val="auto"/>
          <w:kern w:val="2"/>
          <w:szCs w:val="21"/>
        </w:rPr>
      </w:pPr>
      <w:r>
        <w:rPr>
          <w:rFonts w:hint="eastAsia" w:ascii="宋体" w:hAnsi="宋体" w:eastAsia="宋体" w:cs="Times New Roman"/>
          <w:color w:val="auto"/>
          <w:kern w:val="2"/>
          <w:szCs w:val="21"/>
        </w:rPr>
        <w:t>4、审批流程：中标供应商提交申报材料，含分包单位名称、资质、人员、工作内容内容、实施时间、组织管理方式等，经监理单位对分包行为合规性审核后报采 购人批准。中标供应商与经批准的分包单位签订合同并报监理核查后，组织分包单位进场工作。</w:t>
      </w:r>
    </w:p>
    <w:p w14:paraId="6A47690A">
      <w:pPr>
        <w:widowControl/>
        <w:adjustRightInd w:val="0"/>
        <w:spacing w:line="400" w:lineRule="exact"/>
        <w:ind w:firstLine="420" w:firstLineChars="200"/>
        <w:jc w:val="left"/>
        <w:rPr>
          <w:rFonts w:hint="default" w:ascii="宋体" w:hAnsi="宋体" w:eastAsia="宋体" w:cs="Times New Roman"/>
          <w:color w:val="auto"/>
          <w:kern w:val="2"/>
          <w:szCs w:val="21"/>
        </w:rPr>
      </w:pPr>
      <w:r>
        <w:rPr>
          <w:rFonts w:hint="eastAsia" w:ascii="宋体" w:hAnsi="宋体" w:eastAsia="宋体" w:cs="Times New Roman"/>
          <w:color w:val="auto"/>
          <w:kern w:val="2"/>
          <w:szCs w:val="21"/>
        </w:rPr>
        <w:t>5、中标供应商发生违法转分包行为，采购人有权终止合同，已完合格工作量计至终止合同时的上一月经监理单位核实，采购人书面确认的工程量，费用按经采购人书面确认价格的60%计取。</w:t>
      </w:r>
    </w:p>
    <w:p w14:paraId="7A297825">
      <w:pPr>
        <w:widowControl/>
        <w:adjustRightInd w:val="0"/>
        <w:spacing w:line="400" w:lineRule="exact"/>
        <w:ind w:firstLine="420" w:firstLineChars="200"/>
        <w:jc w:val="left"/>
        <w:rPr>
          <w:rFonts w:hint="default" w:ascii="宋体" w:hAnsi="宋体" w:eastAsia="宋体" w:cs="Times New Roman"/>
          <w:color w:val="auto"/>
          <w:kern w:val="2"/>
          <w:szCs w:val="21"/>
        </w:rPr>
      </w:pPr>
      <w:r>
        <w:rPr>
          <w:rFonts w:hint="eastAsia" w:ascii="宋体" w:hAnsi="宋体" w:eastAsia="宋体" w:cs="Times New Roman"/>
          <w:color w:val="auto"/>
          <w:kern w:val="2"/>
          <w:szCs w:val="21"/>
        </w:rPr>
        <w:t>6、对于经监理单位审核质量安全管理不称职的分包单位，采购人有权令其退场， 且中标供应商必须无条件在 3 天内清场， 清场时间延误的，中标供应商须按人民币10万元/天的标准向采购人支付违约金。</w:t>
      </w:r>
    </w:p>
    <w:p w14:paraId="0C8AB35A">
      <w:pPr>
        <w:widowControl/>
        <w:adjustRightInd w:val="0"/>
        <w:spacing w:line="400" w:lineRule="exact"/>
        <w:ind w:firstLine="420" w:firstLineChars="200"/>
        <w:jc w:val="left"/>
        <w:rPr>
          <w:rFonts w:hint="default" w:ascii="宋体" w:hAnsi="宋体" w:eastAsia="宋体" w:cs="Times New Roman"/>
          <w:color w:val="auto"/>
          <w:kern w:val="2"/>
          <w:szCs w:val="21"/>
        </w:rPr>
      </w:pPr>
      <w:r>
        <w:rPr>
          <w:rFonts w:hint="eastAsia" w:ascii="宋体" w:hAnsi="宋体" w:eastAsia="宋体" w:cs="Times New Roman"/>
          <w:color w:val="auto"/>
          <w:kern w:val="2"/>
          <w:szCs w:val="21"/>
        </w:rPr>
        <w:t>7、中标供应商违反规定进行转包、违法分包的，采购人向供应商收取合同总价款的</w:t>
      </w:r>
      <w:r>
        <w:rPr>
          <w:rFonts w:hint="default" w:ascii="宋体" w:hAnsi="宋体" w:eastAsia="宋体" w:cs="Times New Roman"/>
          <w:color w:val="auto"/>
          <w:kern w:val="2"/>
          <w:szCs w:val="21"/>
        </w:rPr>
        <w:t>10%作为</w:t>
      </w:r>
      <w:r>
        <w:rPr>
          <w:rFonts w:hint="eastAsia" w:ascii="宋体" w:hAnsi="宋体" w:eastAsia="宋体" w:cs="Times New Roman"/>
          <w:color w:val="auto"/>
          <w:kern w:val="2"/>
          <w:szCs w:val="21"/>
        </w:rPr>
        <w:t>违约金；</w:t>
      </w:r>
      <w:r>
        <w:rPr>
          <w:rFonts w:hint="default" w:ascii="宋体" w:hAnsi="宋体" w:eastAsia="宋体" w:cs="Times New Roman"/>
          <w:color w:val="auto"/>
          <w:kern w:val="2"/>
          <w:szCs w:val="21"/>
        </w:rPr>
        <w:t>同时</w:t>
      </w:r>
      <w:r>
        <w:rPr>
          <w:rFonts w:hint="eastAsia" w:ascii="宋体" w:hAnsi="宋体" w:eastAsia="宋体" w:cs="Times New Roman"/>
          <w:color w:val="auto"/>
          <w:kern w:val="2"/>
          <w:szCs w:val="21"/>
        </w:rPr>
        <w:t>采购人可将其列入黑名单，上报财政部门，经监管部门同意后依法限制其参加</w:t>
      </w:r>
      <w:r>
        <w:rPr>
          <w:rFonts w:hint="eastAsia" w:ascii="宋体" w:hAnsi="宋体" w:cs="Times New Roman"/>
          <w:color w:val="auto"/>
          <w:kern w:val="2"/>
          <w:szCs w:val="21"/>
          <w:lang w:val="en-US" w:eastAsia="zh-CN"/>
        </w:rPr>
        <w:t>我单位</w:t>
      </w:r>
      <w:r>
        <w:rPr>
          <w:rFonts w:hint="eastAsia" w:ascii="宋体" w:hAnsi="宋体" w:eastAsia="宋体" w:cs="Times New Roman"/>
          <w:color w:val="auto"/>
          <w:kern w:val="2"/>
          <w:szCs w:val="21"/>
        </w:rPr>
        <w:t>投资项目的投标活动以及承揽新的项目。</w:t>
      </w:r>
    </w:p>
    <w:p w14:paraId="5EC094B4">
      <w:pPr>
        <w:widowControl/>
        <w:adjustRightInd w:val="0"/>
        <w:spacing w:line="400" w:lineRule="exact"/>
        <w:jc w:val="left"/>
        <w:rPr>
          <w:rFonts w:hint="default" w:ascii="宋体" w:hAnsi="宋体" w:eastAsia="宋体" w:cs="Times New Roman"/>
          <w:b/>
          <w:bCs/>
          <w:color w:val="auto"/>
          <w:kern w:val="2"/>
          <w:szCs w:val="21"/>
        </w:rPr>
      </w:pPr>
      <w:r>
        <w:rPr>
          <w:rFonts w:hint="eastAsia" w:ascii="宋体" w:hAnsi="宋体" w:eastAsia="宋体" w:cs="Times New Roman"/>
          <w:b/>
          <w:bCs/>
          <w:color w:val="auto"/>
          <w:kern w:val="2"/>
          <w:szCs w:val="21"/>
        </w:rPr>
        <w:t>第十六条 争议的解决</w:t>
      </w:r>
    </w:p>
    <w:p w14:paraId="2222ACB2">
      <w:pPr>
        <w:widowControl/>
        <w:adjustRightInd w:val="0"/>
        <w:spacing w:line="400" w:lineRule="exact"/>
        <w:ind w:firstLine="420" w:firstLineChars="200"/>
        <w:jc w:val="left"/>
        <w:rPr>
          <w:rFonts w:hint="default" w:ascii="宋体" w:hAnsi="宋体" w:eastAsia="宋体" w:cs="Times New Roman"/>
          <w:color w:val="auto"/>
          <w:kern w:val="2"/>
          <w:szCs w:val="21"/>
        </w:rPr>
      </w:pPr>
      <w:r>
        <w:rPr>
          <w:rFonts w:hint="eastAsia" w:ascii="宋体" w:hAnsi="宋体" w:eastAsia="宋体" w:cs="Times New Roman"/>
          <w:color w:val="auto"/>
          <w:kern w:val="2"/>
          <w:szCs w:val="21"/>
        </w:rPr>
        <w:t>1、因服务的质量问题发生争议的，应当邀请国家认可的质量检测机构对服务质量进行鉴定。符合标准的，鉴定费由采购人承担；不符合质量标准的，鉴定费由供应商承担。</w:t>
      </w:r>
    </w:p>
    <w:p w14:paraId="1C422520">
      <w:pPr>
        <w:widowControl/>
        <w:adjustRightInd w:val="0"/>
        <w:spacing w:line="400" w:lineRule="exact"/>
        <w:ind w:firstLine="420" w:firstLineChars="200"/>
        <w:jc w:val="left"/>
        <w:rPr>
          <w:rFonts w:hint="default" w:ascii="宋体" w:hAnsi="宋体" w:eastAsia="宋体" w:cs="Times New Roman"/>
          <w:color w:val="auto"/>
          <w:kern w:val="2"/>
          <w:szCs w:val="21"/>
        </w:rPr>
      </w:pPr>
      <w:r>
        <w:rPr>
          <w:rFonts w:hint="eastAsia" w:ascii="宋体" w:hAnsi="宋体" w:eastAsia="宋体" w:cs="Times New Roman"/>
          <w:color w:val="auto"/>
          <w:kern w:val="2"/>
          <w:szCs w:val="21"/>
        </w:rPr>
        <w:t>2、因履行本合同引起的或与本合同有关的争议，甲、乙双方应首先通过友好协商解决，如果协商不能解决争议，则采取以下第（1）种方式解决争议：</w:t>
      </w:r>
    </w:p>
    <w:p w14:paraId="508E455B">
      <w:pPr>
        <w:widowControl/>
        <w:adjustRightInd w:val="0"/>
        <w:spacing w:line="400" w:lineRule="exact"/>
        <w:ind w:firstLine="420" w:firstLineChars="200"/>
        <w:jc w:val="left"/>
        <w:rPr>
          <w:rFonts w:hint="default" w:ascii="宋体" w:hAnsi="宋体" w:eastAsia="宋体" w:cs="Times New Roman"/>
          <w:color w:val="auto"/>
          <w:kern w:val="2"/>
          <w:szCs w:val="21"/>
        </w:rPr>
      </w:pPr>
      <w:r>
        <w:rPr>
          <w:rFonts w:hint="eastAsia" w:ascii="宋体" w:hAnsi="宋体" w:eastAsia="宋体" w:cs="Times New Roman"/>
          <w:color w:val="auto"/>
          <w:kern w:val="2"/>
          <w:szCs w:val="21"/>
        </w:rPr>
        <w:t>（1）向项目所在地有管辖权的人民法院提起诉讼；</w:t>
      </w:r>
    </w:p>
    <w:p w14:paraId="3607336F">
      <w:pPr>
        <w:widowControl/>
        <w:adjustRightInd w:val="0"/>
        <w:spacing w:line="400" w:lineRule="exact"/>
        <w:ind w:firstLine="420" w:firstLineChars="200"/>
        <w:jc w:val="left"/>
        <w:rPr>
          <w:rFonts w:hint="default" w:ascii="宋体" w:hAnsi="宋体" w:eastAsia="宋体" w:cs="Times New Roman"/>
          <w:color w:val="auto"/>
          <w:kern w:val="2"/>
          <w:szCs w:val="21"/>
        </w:rPr>
      </w:pPr>
      <w:r>
        <w:rPr>
          <w:rFonts w:hint="eastAsia" w:ascii="宋体" w:hAnsi="宋体" w:eastAsia="宋体" w:cs="Times New Roman"/>
          <w:color w:val="auto"/>
          <w:kern w:val="2"/>
          <w:szCs w:val="21"/>
        </w:rPr>
        <w:t>（2）向南京仲裁委员会按其仲裁规则申请仲裁。</w:t>
      </w:r>
    </w:p>
    <w:p w14:paraId="46CB5A57">
      <w:pPr>
        <w:widowControl/>
        <w:adjustRightInd w:val="0"/>
        <w:spacing w:line="400" w:lineRule="exact"/>
        <w:ind w:firstLine="420" w:firstLineChars="200"/>
        <w:jc w:val="left"/>
        <w:rPr>
          <w:rFonts w:hint="default" w:ascii="宋体" w:hAnsi="宋体" w:eastAsia="宋体" w:cs="Times New Roman"/>
          <w:color w:val="auto"/>
          <w:kern w:val="2"/>
          <w:szCs w:val="21"/>
        </w:rPr>
      </w:pPr>
      <w:r>
        <w:rPr>
          <w:rFonts w:hint="eastAsia" w:ascii="宋体" w:hAnsi="宋体" w:eastAsia="宋体" w:cs="Times New Roman"/>
          <w:color w:val="auto"/>
          <w:kern w:val="2"/>
          <w:szCs w:val="21"/>
        </w:rPr>
        <w:t>如没有约定，默认采取第2种方式解决争议。</w:t>
      </w:r>
    </w:p>
    <w:p w14:paraId="77B8E0B1">
      <w:pPr>
        <w:widowControl/>
        <w:adjustRightInd w:val="0"/>
        <w:spacing w:line="400" w:lineRule="exact"/>
        <w:ind w:firstLine="420" w:firstLineChars="200"/>
        <w:jc w:val="left"/>
        <w:rPr>
          <w:rFonts w:hint="default" w:ascii="宋体" w:hAnsi="宋体" w:eastAsia="宋体" w:cs="Times New Roman"/>
          <w:color w:val="auto"/>
          <w:kern w:val="2"/>
          <w:szCs w:val="21"/>
        </w:rPr>
      </w:pPr>
      <w:r>
        <w:rPr>
          <w:rFonts w:hint="eastAsia" w:ascii="宋体" w:hAnsi="宋体" w:eastAsia="宋体" w:cs="Times New Roman"/>
          <w:color w:val="auto"/>
          <w:kern w:val="2"/>
          <w:szCs w:val="21"/>
        </w:rPr>
        <w:t>3、在仲裁期间，本合同应继续履行。</w:t>
      </w:r>
    </w:p>
    <w:p w14:paraId="225108E1">
      <w:pPr>
        <w:widowControl/>
        <w:adjustRightInd w:val="0"/>
        <w:spacing w:line="400" w:lineRule="exact"/>
        <w:jc w:val="left"/>
        <w:rPr>
          <w:rFonts w:hint="default" w:ascii="宋体" w:hAnsi="宋体" w:eastAsia="宋体" w:cs="Times New Roman"/>
          <w:b/>
          <w:bCs/>
          <w:color w:val="auto"/>
          <w:kern w:val="2"/>
          <w:szCs w:val="21"/>
        </w:rPr>
      </w:pPr>
      <w:r>
        <w:rPr>
          <w:rFonts w:hint="eastAsia" w:ascii="宋体" w:hAnsi="宋体" w:eastAsia="宋体" w:cs="Times New Roman"/>
          <w:b/>
          <w:bCs/>
          <w:color w:val="auto"/>
          <w:kern w:val="2"/>
          <w:szCs w:val="21"/>
        </w:rPr>
        <w:t xml:space="preserve">第十七条 诚实信用 </w:t>
      </w:r>
    </w:p>
    <w:p w14:paraId="0079E11F">
      <w:pPr>
        <w:widowControl/>
        <w:adjustRightInd w:val="0"/>
        <w:spacing w:line="400" w:lineRule="exact"/>
        <w:ind w:firstLine="420" w:firstLineChars="200"/>
        <w:jc w:val="left"/>
        <w:rPr>
          <w:rFonts w:hint="default" w:ascii="宋体" w:hAnsi="宋体" w:eastAsia="宋体" w:cs="Times New Roman"/>
          <w:color w:val="auto"/>
          <w:kern w:val="2"/>
          <w:szCs w:val="21"/>
        </w:rPr>
      </w:pPr>
      <w:r>
        <w:rPr>
          <w:rFonts w:hint="eastAsia" w:ascii="宋体" w:hAnsi="宋体" w:eastAsia="宋体" w:cs="Times New Roman"/>
          <w:color w:val="auto"/>
          <w:kern w:val="2"/>
          <w:szCs w:val="21"/>
        </w:rPr>
        <w:t>供应商应诚实信用，严格按照招标文件要求和投标承诺履行合同，不向采购人进行商业贿赂或者提供不正当利益。</w:t>
      </w:r>
    </w:p>
    <w:p w14:paraId="7E0A6668">
      <w:pPr>
        <w:widowControl/>
        <w:adjustRightInd w:val="0"/>
        <w:spacing w:line="400" w:lineRule="exact"/>
        <w:jc w:val="left"/>
        <w:rPr>
          <w:rFonts w:hint="default" w:ascii="宋体" w:hAnsi="宋体" w:eastAsia="宋体" w:cs="Times New Roman"/>
          <w:b/>
          <w:bCs/>
          <w:color w:val="auto"/>
          <w:kern w:val="2"/>
          <w:szCs w:val="21"/>
        </w:rPr>
      </w:pPr>
      <w:r>
        <w:rPr>
          <w:rFonts w:hint="eastAsia" w:ascii="宋体" w:hAnsi="宋体" w:eastAsia="宋体" w:cs="Times New Roman"/>
          <w:b/>
          <w:bCs/>
          <w:color w:val="auto"/>
          <w:kern w:val="2"/>
          <w:szCs w:val="21"/>
        </w:rPr>
        <w:t>第十八条 合同生效及其他</w:t>
      </w:r>
    </w:p>
    <w:p w14:paraId="22386E3C">
      <w:pPr>
        <w:widowControl w:val="0"/>
        <w:ind w:firstLine="420" w:firstLineChars="200"/>
        <w:jc w:val="left"/>
        <w:rPr>
          <w:rFonts w:ascii="Times New Roman" w:hAnsi="Times New Roman" w:eastAsia="宋体" w:cs="Times New Roman"/>
          <w:color w:val="auto"/>
          <w:kern w:val="2"/>
          <w:sz w:val="21"/>
          <w:szCs w:val="24"/>
          <w:lang w:val="en-US" w:eastAsia="zh-CN" w:bidi="ar-SA"/>
        </w:rPr>
      </w:pPr>
      <w:r>
        <w:rPr>
          <w:rFonts w:hint="eastAsia" w:ascii="宋体" w:hAnsi="宋体" w:eastAsia="宋体" w:cs="Times New Roman"/>
          <w:color w:val="auto"/>
          <w:kern w:val="2"/>
          <w:sz w:val="21"/>
          <w:szCs w:val="21"/>
          <w:lang w:val="en-US" w:eastAsia="zh-CN" w:bidi="ar-SA"/>
        </w:rPr>
        <w:t>1、本合同自</w:t>
      </w:r>
      <w:r>
        <w:rPr>
          <w:rFonts w:hint="eastAsia" w:ascii="Times New Roman" w:hAnsi="Times New Roman" w:eastAsia="宋体" w:cs="Times New Roman"/>
          <w:color w:val="auto"/>
          <w:kern w:val="2"/>
          <w:sz w:val="21"/>
          <w:szCs w:val="24"/>
          <w:lang w:val="en-US" w:eastAsia="zh-CN" w:bidi="ar-SA"/>
        </w:rPr>
        <w:t>签字</w:t>
      </w:r>
      <w:r>
        <w:rPr>
          <w:rFonts w:ascii="Times New Roman" w:hAnsi="Times New Roman" w:eastAsia="宋体" w:cs="Times New Roman"/>
          <w:color w:val="auto"/>
          <w:kern w:val="2"/>
          <w:sz w:val="21"/>
          <w:szCs w:val="24"/>
          <w:lang w:val="en-US" w:eastAsia="zh-CN" w:bidi="ar-SA"/>
        </w:rPr>
        <w:t>盖章之日起</w:t>
      </w:r>
      <w:r>
        <w:rPr>
          <w:rFonts w:hint="eastAsia" w:ascii="宋体" w:hAnsi="宋体" w:eastAsia="宋体" w:cs="Times New Roman"/>
          <w:color w:val="auto"/>
          <w:kern w:val="2"/>
          <w:sz w:val="21"/>
          <w:szCs w:val="21"/>
          <w:lang w:val="en-US" w:eastAsia="zh-CN" w:bidi="ar-SA"/>
        </w:rPr>
        <w:t>生效，自合同签订之日起至2026年12月31日止。</w:t>
      </w:r>
    </w:p>
    <w:p w14:paraId="0F28A0B6">
      <w:pPr>
        <w:widowControl/>
        <w:adjustRightInd w:val="0"/>
        <w:spacing w:line="400" w:lineRule="exact"/>
        <w:ind w:firstLine="420" w:firstLineChars="200"/>
        <w:jc w:val="left"/>
        <w:rPr>
          <w:rFonts w:hint="default" w:ascii="宋体" w:hAnsi="宋体" w:eastAsia="宋体" w:cs="Times New Roman"/>
          <w:color w:val="auto"/>
          <w:kern w:val="2"/>
          <w:szCs w:val="21"/>
        </w:rPr>
      </w:pPr>
      <w:r>
        <w:rPr>
          <w:rFonts w:hint="eastAsia" w:ascii="宋体" w:hAnsi="宋体" w:eastAsia="宋体" w:cs="Times New Roman"/>
          <w:color w:val="auto"/>
          <w:kern w:val="2"/>
          <w:szCs w:val="21"/>
        </w:rPr>
        <w:t>2、本合同一式柒份，甲乙双方各执叁份，壹份交采购代理机构存档备案。</w:t>
      </w:r>
    </w:p>
    <w:p w14:paraId="79290502">
      <w:pPr>
        <w:widowControl/>
        <w:adjustRightInd w:val="0"/>
        <w:spacing w:line="400" w:lineRule="exact"/>
        <w:ind w:firstLine="420" w:firstLineChars="200"/>
        <w:jc w:val="left"/>
        <w:rPr>
          <w:rFonts w:hint="default" w:ascii="宋体" w:hAnsi="宋体" w:eastAsia="宋体" w:cs="Times New Roman"/>
          <w:color w:val="auto"/>
          <w:kern w:val="2"/>
          <w:szCs w:val="21"/>
        </w:rPr>
      </w:pPr>
      <w:r>
        <w:rPr>
          <w:rFonts w:hint="eastAsia" w:ascii="宋体" w:hAnsi="宋体" w:eastAsia="宋体" w:cs="Times New Roman"/>
          <w:color w:val="auto"/>
          <w:kern w:val="2"/>
          <w:szCs w:val="21"/>
        </w:rPr>
        <w:t>3、本合同应按照中华人民共和国的现行法律进行解释。</w:t>
      </w:r>
    </w:p>
    <w:p w14:paraId="72243748">
      <w:pPr>
        <w:widowControl/>
        <w:adjustRightInd w:val="0"/>
        <w:spacing w:line="400" w:lineRule="exact"/>
        <w:jc w:val="left"/>
        <w:rPr>
          <w:rFonts w:hint="default" w:ascii="宋体" w:hAnsi="宋体" w:eastAsia="宋体" w:cs="Times New Roman"/>
          <w:b/>
          <w:bCs/>
          <w:color w:val="auto"/>
          <w:kern w:val="2"/>
          <w:szCs w:val="21"/>
        </w:rPr>
      </w:pPr>
      <w:r>
        <w:rPr>
          <w:rFonts w:hint="eastAsia" w:ascii="宋体" w:hAnsi="宋体" w:eastAsia="宋体" w:cs="Times New Roman"/>
          <w:b/>
          <w:bCs/>
          <w:color w:val="auto"/>
          <w:kern w:val="2"/>
          <w:szCs w:val="21"/>
        </w:rPr>
        <w:t>第十九条 补充条款</w:t>
      </w:r>
    </w:p>
    <w:p w14:paraId="3495C440">
      <w:pPr>
        <w:widowControl w:val="0"/>
        <w:spacing w:line="400" w:lineRule="exact"/>
        <w:ind w:firstLine="420" w:firstLineChars="200"/>
        <w:rPr>
          <w:rFonts w:hint="default" w:ascii="宋体" w:hAnsi="宋体" w:eastAsia="宋体" w:cs="Times New Roman"/>
          <w:color w:val="auto"/>
          <w:kern w:val="2"/>
          <w:szCs w:val="21"/>
        </w:rPr>
      </w:pPr>
      <w:r>
        <w:rPr>
          <w:rFonts w:hint="default" w:ascii="宋体" w:hAnsi="宋体" w:eastAsia="宋体" w:cs="Times New Roman"/>
          <w:color w:val="auto"/>
          <w:kern w:val="2"/>
          <w:szCs w:val="21"/>
        </w:rPr>
        <w:t>1</w:t>
      </w:r>
      <w:r>
        <w:rPr>
          <w:rFonts w:hint="eastAsia" w:ascii="宋体" w:hAnsi="宋体" w:eastAsia="宋体" w:cs="Times New Roman"/>
          <w:color w:val="auto"/>
          <w:kern w:val="2"/>
          <w:szCs w:val="21"/>
        </w:rPr>
        <w:t>.1、</w:t>
      </w:r>
      <w:r>
        <w:rPr>
          <w:rFonts w:hint="default" w:ascii="宋体" w:hAnsi="宋体" w:eastAsia="宋体" w:cs="Times New Roman"/>
          <w:color w:val="auto"/>
          <w:kern w:val="2"/>
          <w:szCs w:val="21"/>
        </w:rPr>
        <w:t>临时水电结算管理办法</w:t>
      </w:r>
    </w:p>
    <w:p w14:paraId="4596AE37">
      <w:pPr>
        <w:widowControl w:val="0"/>
        <w:spacing w:line="400" w:lineRule="exact"/>
        <w:ind w:firstLine="420" w:firstLineChars="200"/>
        <w:rPr>
          <w:rFonts w:hint="default" w:ascii="宋体" w:hAnsi="宋体" w:eastAsia="宋体" w:cs="Times New Roman"/>
          <w:color w:val="auto"/>
          <w:kern w:val="2"/>
          <w:szCs w:val="21"/>
        </w:rPr>
      </w:pPr>
      <w:r>
        <w:rPr>
          <w:rFonts w:hint="eastAsia" w:ascii="宋体" w:hAnsi="宋体" w:eastAsia="宋体" w:cs="Times New Roman"/>
          <w:color w:val="auto"/>
          <w:kern w:val="2"/>
          <w:szCs w:val="21"/>
        </w:rPr>
        <w:t>1</w:t>
      </w:r>
      <w:r>
        <w:rPr>
          <w:rFonts w:hint="default" w:ascii="宋体" w:hAnsi="宋体" w:eastAsia="宋体" w:cs="Times New Roman"/>
          <w:color w:val="auto"/>
          <w:kern w:val="2"/>
          <w:szCs w:val="21"/>
        </w:rPr>
        <w:t>.1.1临时用水用电由</w:t>
      </w:r>
      <w:r>
        <w:rPr>
          <w:rFonts w:hint="eastAsia" w:ascii="宋体" w:hAnsi="宋体" w:eastAsia="宋体" w:cs="Times New Roman"/>
          <w:color w:val="auto"/>
          <w:kern w:val="2"/>
          <w:szCs w:val="21"/>
        </w:rPr>
        <w:t>供应商自行解决并承担相关费用</w:t>
      </w:r>
      <w:r>
        <w:rPr>
          <w:rFonts w:hint="default" w:ascii="宋体" w:hAnsi="宋体" w:eastAsia="宋体" w:cs="Times New Roman"/>
          <w:color w:val="auto"/>
          <w:kern w:val="2"/>
          <w:szCs w:val="21"/>
        </w:rPr>
        <w:t>；</w:t>
      </w:r>
    </w:p>
    <w:p w14:paraId="5127A3F8">
      <w:pPr>
        <w:widowControl w:val="0"/>
        <w:spacing w:line="400" w:lineRule="exact"/>
        <w:ind w:firstLine="420" w:firstLineChars="200"/>
        <w:rPr>
          <w:rFonts w:hint="default" w:ascii="宋体" w:hAnsi="宋体" w:eastAsia="宋体" w:cs="Times New Roman"/>
          <w:color w:val="auto"/>
          <w:kern w:val="2"/>
          <w:szCs w:val="21"/>
        </w:rPr>
      </w:pPr>
      <w:r>
        <w:rPr>
          <w:rFonts w:hint="eastAsia" w:ascii="宋体" w:hAnsi="宋体" w:eastAsia="宋体" w:cs="Times New Roman"/>
          <w:color w:val="auto"/>
          <w:kern w:val="2"/>
          <w:szCs w:val="21"/>
        </w:rPr>
        <w:t>1</w:t>
      </w:r>
      <w:r>
        <w:rPr>
          <w:rFonts w:hint="default" w:ascii="宋体" w:hAnsi="宋体" w:eastAsia="宋体" w:cs="Times New Roman"/>
          <w:color w:val="auto"/>
          <w:kern w:val="2"/>
          <w:szCs w:val="21"/>
        </w:rPr>
        <w:t>.1.2标段内所有的用水用电（即总表的所有管路）均由供应商自行安装并由专人管理，费用由供应商自理，但安装的标准和要求必须符合有关规定，若不符合要求，采购人有权责令供应商按规</w:t>
      </w:r>
      <w:r>
        <w:rPr>
          <w:rFonts w:hint="eastAsia" w:ascii="宋体" w:hAnsi="宋体" w:eastAsia="宋体" w:cs="Times New Roman"/>
          <w:color w:val="auto"/>
          <w:kern w:val="2"/>
          <w:szCs w:val="21"/>
        </w:rPr>
        <w:t>定要求进行整改并对供应商进行相应的经济处罚；</w:t>
      </w:r>
    </w:p>
    <w:p w14:paraId="453B1FA2">
      <w:pPr>
        <w:widowControl w:val="0"/>
        <w:spacing w:line="400" w:lineRule="exact"/>
        <w:ind w:firstLine="420" w:firstLineChars="200"/>
        <w:rPr>
          <w:rFonts w:hint="default" w:ascii="宋体" w:hAnsi="宋体" w:eastAsia="宋体" w:cs="Times New Roman"/>
          <w:color w:val="auto"/>
          <w:kern w:val="2"/>
          <w:szCs w:val="21"/>
        </w:rPr>
      </w:pPr>
      <w:r>
        <w:rPr>
          <w:rFonts w:hint="eastAsia" w:ascii="宋体" w:hAnsi="宋体" w:eastAsia="宋体" w:cs="Times New Roman"/>
          <w:color w:val="auto"/>
          <w:kern w:val="2"/>
          <w:szCs w:val="21"/>
        </w:rPr>
        <w:t>1</w:t>
      </w:r>
      <w:r>
        <w:rPr>
          <w:rFonts w:hint="default" w:ascii="宋体" w:hAnsi="宋体" w:eastAsia="宋体" w:cs="Times New Roman"/>
          <w:color w:val="auto"/>
          <w:kern w:val="2"/>
          <w:szCs w:val="21"/>
        </w:rPr>
        <w:t>.2供应商必须参加各类协调、配合会，由于</w:t>
      </w:r>
      <w:r>
        <w:rPr>
          <w:rFonts w:hint="eastAsia" w:ascii="宋体" w:hAnsi="宋体" w:eastAsia="宋体" w:cs="Times New Roman"/>
          <w:color w:val="auto"/>
          <w:kern w:val="2"/>
          <w:szCs w:val="21"/>
        </w:rPr>
        <w:t>项目</w:t>
      </w:r>
      <w:r>
        <w:rPr>
          <w:rFonts w:hint="default" w:ascii="宋体" w:hAnsi="宋体" w:eastAsia="宋体" w:cs="Times New Roman"/>
          <w:color w:val="auto"/>
          <w:kern w:val="2"/>
          <w:szCs w:val="21"/>
        </w:rPr>
        <w:t>交叉引起的问题，供应商有义务进行配合协商解决，并服从采购人及监理人现场协调做出的决定；</w:t>
      </w:r>
    </w:p>
    <w:p w14:paraId="2CCCDAD1">
      <w:pPr>
        <w:widowControl w:val="0"/>
        <w:spacing w:line="400" w:lineRule="exact"/>
        <w:ind w:firstLine="420" w:firstLineChars="200"/>
        <w:rPr>
          <w:rFonts w:hint="default" w:ascii="宋体" w:hAnsi="宋体" w:eastAsia="宋体" w:cs="Times New Roman"/>
          <w:color w:val="auto"/>
          <w:kern w:val="2"/>
          <w:szCs w:val="21"/>
        </w:rPr>
      </w:pPr>
      <w:r>
        <w:rPr>
          <w:rFonts w:hint="eastAsia" w:ascii="宋体" w:hAnsi="宋体" w:eastAsia="宋体" w:cs="Times New Roman"/>
          <w:color w:val="auto"/>
          <w:kern w:val="2"/>
          <w:szCs w:val="21"/>
        </w:rPr>
        <w:t>1</w:t>
      </w:r>
      <w:r>
        <w:rPr>
          <w:rFonts w:hint="default" w:ascii="宋体" w:hAnsi="宋体" w:eastAsia="宋体" w:cs="Times New Roman"/>
          <w:color w:val="auto"/>
          <w:kern w:val="2"/>
          <w:szCs w:val="21"/>
        </w:rPr>
        <w:t>.3监理人发出的监理通知单、监理联系单、整改单</w:t>
      </w:r>
      <w:r>
        <w:rPr>
          <w:rFonts w:hint="eastAsia" w:ascii="宋体" w:hAnsi="宋体" w:eastAsia="宋体" w:cs="Times New Roman"/>
          <w:color w:val="auto"/>
          <w:kern w:val="2"/>
          <w:szCs w:val="21"/>
        </w:rPr>
        <w:t>及采购人发出的涉及现场整改的工作联系单供应商必须限期回复，如不在规定时间内回复，采购人向供应商收取人民币</w:t>
      </w:r>
      <w:r>
        <w:rPr>
          <w:rFonts w:hint="default" w:ascii="宋体" w:hAnsi="宋体" w:eastAsia="宋体" w:cs="Times New Roman"/>
          <w:color w:val="auto"/>
          <w:kern w:val="2"/>
          <w:szCs w:val="21"/>
        </w:rPr>
        <w:t>500元/次的违约金，且采购人有权指定其他队伍代为实施，相应费用及责任由供应商承担；</w:t>
      </w:r>
    </w:p>
    <w:p w14:paraId="0ABCF787">
      <w:pPr>
        <w:widowControl w:val="0"/>
        <w:spacing w:line="400" w:lineRule="exact"/>
        <w:ind w:firstLine="420" w:firstLineChars="200"/>
        <w:rPr>
          <w:rFonts w:hint="default" w:ascii="宋体" w:hAnsi="宋体" w:eastAsia="宋体" w:cs="Times New Roman"/>
          <w:color w:val="auto"/>
          <w:kern w:val="2"/>
          <w:szCs w:val="21"/>
        </w:rPr>
      </w:pPr>
      <w:r>
        <w:rPr>
          <w:rFonts w:hint="eastAsia" w:ascii="宋体" w:hAnsi="宋体" w:eastAsia="宋体" w:cs="Times New Roman"/>
          <w:color w:val="auto"/>
          <w:kern w:val="2"/>
          <w:szCs w:val="21"/>
        </w:rPr>
        <w:t>1</w:t>
      </w:r>
      <w:r>
        <w:rPr>
          <w:rFonts w:hint="default" w:ascii="宋体" w:hAnsi="宋体" w:eastAsia="宋体" w:cs="Times New Roman"/>
          <w:color w:val="auto"/>
          <w:kern w:val="2"/>
          <w:szCs w:val="21"/>
        </w:rPr>
        <w:t>.4供应商需与包括工人在内的所有人员签订劳动合同，明确劳动报酬等内容，并严格履行、及时足额支付工资等劳动报酬。对采购人支付的</w:t>
      </w:r>
      <w:r>
        <w:rPr>
          <w:rFonts w:hint="eastAsia" w:ascii="宋体" w:hAnsi="宋体" w:eastAsia="宋体" w:cs="Times New Roman"/>
          <w:color w:val="auto"/>
          <w:kern w:val="2"/>
          <w:szCs w:val="21"/>
        </w:rPr>
        <w:t>项目</w:t>
      </w:r>
      <w:r>
        <w:rPr>
          <w:rFonts w:hint="default" w:ascii="宋体" w:hAnsi="宋体" w:eastAsia="宋体" w:cs="Times New Roman"/>
          <w:color w:val="auto"/>
          <w:kern w:val="2"/>
          <w:szCs w:val="21"/>
        </w:rPr>
        <w:t>款，供应商须优先用于支付工人劳动报酬，严禁出现供应商因支付工人工资不足额、不及时，工人干扰</w:t>
      </w:r>
      <w:r>
        <w:rPr>
          <w:rFonts w:hint="eastAsia" w:ascii="宋体" w:hAnsi="宋体" w:eastAsia="宋体" w:cs="Times New Roman"/>
          <w:color w:val="auto"/>
          <w:kern w:val="2"/>
          <w:szCs w:val="21"/>
        </w:rPr>
        <w:t>道路交通秩序</w:t>
      </w:r>
      <w:r>
        <w:rPr>
          <w:rFonts w:hint="default" w:ascii="宋体" w:hAnsi="宋体" w:eastAsia="宋体" w:cs="Times New Roman"/>
          <w:color w:val="auto"/>
          <w:kern w:val="2"/>
          <w:szCs w:val="21"/>
        </w:rPr>
        <w:t>、办公场所的情况，若出现此类情况对采购人造成不利影响，采购人可视情节恶劣程度，对</w:t>
      </w:r>
      <w:r>
        <w:rPr>
          <w:rFonts w:hint="eastAsia" w:ascii="宋体" w:hAnsi="宋体" w:eastAsia="宋体" w:cs="Times New Roman"/>
          <w:color w:val="auto"/>
          <w:kern w:val="2"/>
          <w:szCs w:val="21"/>
        </w:rPr>
        <w:t>供应商处以人民币10万</w:t>
      </w:r>
      <w:r>
        <w:rPr>
          <w:rFonts w:hint="default" w:ascii="宋体" w:hAnsi="宋体" w:eastAsia="宋体" w:cs="Times New Roman"/>
          <w:color w:val="auto"/>
          <w:kern w:val="2"/>
          <w:szCs w:val="21"/>
        </w:rPr>
        <w:t>元/次的</w:t>
      </w:r>
      <w:r>
        <w:rPr>
          <w:rFonts w:hint="eastAsia" w:ascii="宋体" w:hAnsi="宋体" w:eastAsia="宋体" w:cs="Times New Roman"/>
          <w:color w:val="auto"/>
          <w:kern w:val="2"/>
          <w:szCs w:val="21"/>
        </w:rPr>
        <w:t>违约金</w:t>
      </w:r>
      <w:r>
        <w:rPr>
          <w:rFonts w:hint="default" w:ascii="宋体" w:hAnsi="宋体" w:eastAsia="宋体" w:cs="Times New Roman"/>
          <w:color w:val="auto"/>
          <w:kern w:val="2"/>
          <w:szCs w:val="21"/>
        </w:rPr>
        <w:t>，同时采购人有权在供应商</w:t>
      </w:r>
      <w:r>
        <w:rPr>
          <w:rFonts w:hint="eastAsia" w:ascii="宋体" w:hAnsi="宋体" w:eastAsia="宋体" w:cs="Times New Roman"/>
          <w:color w:val="auto"/>
          <w:kern w:val="2"/>
          <w:szCs w:val="21"/>
        </w:rPr>
        <w:t>项目</w:t>
      </w:r>
      <w:r>
        <w:rPr>
          <w:rFonts w:hint="default" w:ascii="宋体" w:hAnsi="宋体" w:eastAsia="宋体" w:cs="Times New Roman"/>
          <w:color w:val="auto"/>
          <w:kern w:val="2"/>
          <w:szCs w:val="21"/>
        </w:rPr>
        <w:t>款项中直接扣除相应款项，支付给供应商所属工人；</w:t>
      </w:r>
    </w:p>
    <w:p w14:paraId="02F1B5F6">
      <w:pPr>
        <w:widowControl w:val="0"/>
        <w:spacing w:line="400" w:lineRule="exact"/>
        <w:ind w:firstLine="420" w:firstLineChars="200"/>
        <w:rPr>
          <w:rFonts w:hint="default" w:ascii="宋体" w:hAnsi="宋体" w:eastAsia="宋体" w:cs="Times New Roman"/>
          <w:color w:val="auto"/>
          <w:kern w:val="2"/>
          <w:szCs w:val="21"/>
        </w:rPr>
      </w:pPr>
      <w:r>
        <w:rPr>
          <w:rFonts w:hint="eastAsia" w:ascii="宋体" w:hAnsi="宋体" w:eastAsia="宋体" w:cs="Times New Roman"/>
          <w:color w:val="auto"/>
          <w:kern w:val="2"/>
          <w:szCs w:val="21"/>
        </w:rPr>
        <w:t>1</w:t>
      </w:r>
      <w:r>
        <w:rPr>
          <w:rFonts w:hint="default" w:ascii="宋体" w:hAnsi="宋体" w:eastAsia="宋体" w:cs="Times New Roman"/>
          <w:color w:val="auto"/>
          <w:kern w:val="2"/>
          <w:szCs w:val="21"/>
        </w:rPr>
        <w:t>.5供应商必须按“南京市工程施工现场管理规定”(南京市人民政府文件第237号) 、《南京市扬尘污染防治管理办法》（南京市人民政府令第287号）、“市政府关于印发加强扬尘污染防控“十条措施”的通知”(宁政发（2013）32号)的要求规范管理，所发生的费用供应商自行承担；</w:t>
      </w:r>
    </w:p>
    <w:p w14:paraId="592BCA3B">
      <w:pPr>
        <w:widowControl w:val="0"/>
        <w:spacing w:line="400" w:lineRule="exact"/>
        <w:ind w:firstLine="420" w:firstLineChars="200"/>
        <w:rPr>
          <w:rFonts w:hint="default" w:ascii="宋体" w:hAnsi="宋体" w:eastAsia="宋体" w:cs="Times New Roman"/>
          <w:color w:val="auto"/>
          <w:kern w:val="2"/>
          <w:szCs w:val="21"/>
        </w:rPr>
      </w:pPr>
      <w:r>
        <w:rPr>
          <w:rFonts w:hint="eastAsia" w:ascii="宋体" w:hAnsi="宋体" w:eastAsia="宋体" w:cs="Times New Roman"/>
          <w:color w:val="auto"/>
          <w:kern w:val="2"/>
          <w:szCs w:val="21"/>
        </w:rPr>
        <w:t>1</w:t>
      </w:r>
      <w:r>
        <w:rPr>
          <w:rFonts w:hint="default" w:ascii="宋体" w:hAnsi="宋体" w:eastAsia="宋体" w:cs="Times New Roman"/>
          <w:color w:val="auto"/>
          <w:kern w:val="2"/>
          <w:szCs w:val="21"/>
        </w:rPr>
        <w:t>.6供应商应服从采购人的安排及时清理</w:t>
      </w:r>
      <w:r>
        <w:rPr>
          <w:rFonts w:hint="eastAsia" w:ascii="宋体" w:hAnsi="宋体" w:eastAsia="宋体" w:cs="Times New Roman"/>
          <w:color w:val="auto"/>
          <w:kern w:val="2"/>
          <w:szCs w:val="21"/>
        </w:rPr>
        <w:t>项目</w:t>
      </w:r>
      <w:r>
        <w:rPr>
          <w:rFonts w:hint="default" w:ascii="宋体" w:hAnsi="宋体" w:eastAsia="宋体" w:cs="Times New Roman"/>
          <w:color w:val="auto"/>
          <w:kern w:val="2"/>
          <w:szCs w:val="21"/>
        </w:rPr>
        <w:t>现场内的建筑垃圾、转移临时设施和机械、材料，不能在采购人规定期</w:t>
      </w:r>
      <w:r>
        <w:rPr>
          <w:rFonts w:hint="eastAsia" w:ascii="宋体" w:hAnsi="宋体" w:eastAsia="宋体" w:cs="Times New Roman"/>
          <w:color w:val="auto"/>
          <w:kern w:val="2"/>
          <w:szCs w:val="21"/>
        </w:rPr>
        <w:t>限内完成清理或转移的，每延迟一天，支付人民币5000元的违约金；</w:t>
      </w:r>
    </w:p>
    <w:p w14:paraId="69034F44">
      <w:pPr>
        <w:widowControl w:val="0"/>
        <w:spacing w:line="400" w:lineRule="exact"/>
        <w:ind w:firstLine="420" w:firstLineChars="200"/>
        <w:rPr>
          <w:rFonts w:hint="default" w:ascii="宋体" w:hAnsi="宋体" w:eastAsia="宋体" w:cs="Times New Roman"/>
          <w:color w:val="auto"/>
          <w:kern w:val="2"/>
          <w:szCs w:val="21"/>
        </w:rPr>
      </w:pPr>
      <w:r>
        <w:rPr>
          <w:rFonts w:hint="eastAsia" w:ascii="宋体" w:hAnsi="宋体" w:eastAsia="宋体" w:cs="Times New Roman"/>
          <w:color w:val="auto"/>
          <w:kern w:val="2"/>
          <w:szCs w:val="21"/>
        </w:rPr>
        <w:t>1</w:t>
      </w:r>
      <w:r>
        <w:rPr>
          <w:rFonts w:hint="default" w:ascii="宋体" w:hAnsi="宋体" w:eastAsia="宋体" w:cs="Times New Roman"/>
          <w:color w:val="auto"/>
          <w:kern w:val="2"/>
          <w:szCs w:val="21"/>
        </w:rPr>
        <w:t>.7供应商应协助采购人办理有关的报批、报建、取证的手续，共同承担有关责任；</w:t>
      </w:r>
    </w:p>
    <w:p w14:paraId="2EEA6085">
      <w:pPr>
        <w:widowControl w:val="0"/>
        <w:spacing w:line="400" w:lineRule="exact"/>
        <w:ind w:firstLine="420" w:firstLineChars="200"/>
        <w:rPr>
          <w:rFonts w:hint="default" w:ascii="宋体" w:hAnsi="宋体" w:eastAsia="宋体" w:cs="Times New Roman"/>
          <w:color w:val="auto"/>
          <w:kern w:val="2"/>
          <w:szCs w:val="21"/>
        </w:rPr>
      </w:pPr>
      <w:r>
        <w:rPr>
          <w:rFonts w:hint="eastAsia" w:ascii="宋体" w:hAnsi="宋体" w:eastAsia="宋体" w:cs="Times New Roman"/>
          <w:color w:val="auto"/>
          <w:kern w:val="2"/>
          <w:szCs w:val="21"/>
        </w:rPr>
        <w:t>1</w:t>
      </w:r>
      <w:r>
        <w:rPr>
          <w:rFonts w:hint="default" w:ascii="宋体" w:hAnsi="宋体" w:eastAsia="宋体" w:cs="Times New Roman"/>
          <w:color w:val="auto"/>
          <w:kern w:val="2"/>
          <w:szCs w:val="21"/>
        </w:rPr>
        <w:t>.8在</w:t>
      </w:r>
      <w:r>
        <w:rPr>
          <w:rFonts w:hint="eastAsia" w:ascii="宋体" w:hAnsi="宋体" w:eastAsia="宋体" w:cs="Times New Roman"/>
          <w:color w:val="auto"/>
          <w:kern w:val="2"/>
          <w:szCs w:val="21"/>
        </w:rPr>
        <w:t>项目实施</w:t>
      </w:r>
      <w:r>
        <w:rPr>
          <w:rFonts w:hint="default" w:ascii="宋体" w:hAnsi="宋体" w:eastAsia="宋体" w:cs="Times New Roman"/>
          <w:color w:val="auto"/>
          <w:kern w:val="2"/>
          <w:szCs w:val="21"/>
        </w:rPr>
        <w:t>过程中及保修期内，供应商不得以任何理由拒收采购人及监理人发出的联系单、通知单等往来函件，如拒收，采购人、监理人可通过发邮件或挂号信给供应商，函件发出即视为供应商已接收，且采购人向供应商收取人民币</w:t>
      </w:r>
      <w:r>
        <w:rPr>
          <w:rFonts w:hint="eastAsia" w:ascii="宋体" w:hAnsi="宋体" w:eastAsia="宋体" w:cs="Times New Roman"/>
          <w:color w:val="auto"/>
          <w:kern w:val="2"/>
          <w:szCs w:val="21"/>
        </w:rPr>
        <w:t>1000</w:t>
      </w:r>
      <w:r>
        <w:rPr>
          <w:rFonts w:hint="default" w:ascii="宋体" w:hAnsi="宋体" w:eastAsia="宋体" w:cs="Times New Roman"/>
          <w:color w:val="auto"/>
          <w:kern w:val="2"/>
          <w:szCs w:val="21"/>
        </w:rPr>
        <w:t>元/次的违约金；</w:t>
      </w:r>
    </w:p>
    <w:p w14:paraId="67A23F93">
      <w:pPr>
        <w:widowControl w:val="0"/>
        <w:spacing w:line="400" w:lineRule="exact"/>
        <w:ind w:firstLine="420" w:firstLineChars="200"/>
        <w:rPr>
          <w:rFonts w:hint="default" w:ascii="宋体" w:hAnsi="宋体" w:eastAsia="宋体" w:cs="Times New Roman"/>
          <w:color w:val="auto"/>
          <w:kern w:val="2"/>
          <w:szCs w:val="21"/>
        </w:rPr>
      </w:pPr>
      <w:r>
        <w:rPr>
          <w:rFonts w:hint="eastAsia" w:ascii="宋体" w:hAnsi="宋体" w:eastAsia="宋体" w:cs="Times New Roman"/>
          <w:color w:val="auto"/>
          <w:kern w:val="2"/>
          <w:szCs w:val="21"/>
        </w:rPr>
        <w:t>1</w:t>
      </w:r>
      <w:r>
        <w:rPr>
          <w:rFonts w:hint="default" w:ascii="宋体" w:hAnsi="宋体" w:eastAsia="宋体" w:cs="Times New Roman"/>
          <w:color w:val="auto"/>
          <w:kern w:val="2"/>
          <w:szCs w:val="21"/>
        </w:rPr>
        <w:t>.9在</w:t>
      </w:r>
      <w:r>
        <w:rPr>
          <w:rFonts w:hint="eastAsia" w:ascii="宋体" w:hAnsi="宋体" w:eastAsia="宋体" w:cs="Times New Roman"/>
          <w:color w:val="auto"/>
          <w:kern w:val="2"/>
          <w:szCs w:val="21"/>
        </w:rPr>
        <w:t>项目实施</w:t>
      </w:r>
      <w:r>
        <w:rPr>
          <w:rFonts w:hint="default" w:ascii="宋体" w:hAnsi="宋体" w:eastAsia="宋体" w:cs="Times New Roman"/>
          <w:color w:val="auto"/>
          <w:kern w:val="2"/>
          <w:szCs w:val="21"/>
        </w:rPr>
        <w:t>过程中及保修期内，由于供应商责任出现质量问题、安全事故或其它原因，受到报纸、电视等媒体的曝光或政府有关主管部门的批评，均会给</w:t>
      </w:r>
      <w:r>
        <w:rPr>
          <w:rFonts w:hint="eastAsia" w:ascii="宋体" w:hAnsi="宋体" w:eastAsia="宋体" w:cs="Times New Roman"/>
          <w:color w:val="auto"/>
          <w:kern w:val="2"/>
          <w:szCs w:val="21"/>
        </w:rPr>
        <w:t>本项目的社会形象造成损失，采购人将向供应商收取人民币5万元</w:t>
      </w:r>
      <w:r>
        <w:rPr>
          <w:rFonts w:hint="default" w:ascii="宋体" w:hAnsi="宋体" w:eastAsia="宋体" w:cs="Times New Roman"/>
          <w:color w:val="auto"/>
          <w:kern w:val="2"/>
          <w:szCs w:val="21"/>
        </w:rPr>
        <w:t>/次的违约金，采购人直接从供应商的进度款或保修款中扣除，情节严重的，采购人将书面上报政府有关主管部门，直至与供应商终止合同，采购人和供应商的所有损失均由供应商承担；</w:t>
      </w:r>
    </w:p>
    <w:p w14:paraId="161E66AF">
      <w:pPr>
        <w:widowControl w:val="0"/>
        <w:spacing w:line="400" w:lineRule="exact"/>
        <w:ind w:firstLine="420" w:firstLineChars="200"/>
        <w:rPr>
          <w:rFonts w:hint="default" w:ascii="宋体" w:hAnsi="宋体" w:eastAsia="宋体" w:cs="Times New Roman"/>
          <w:color w:val="auto"/>
          <w:kern w:val="2"/>
          <w:szCs w:val="21"/>
        </w:rPr>
      </w:pPr>
      <w:r>
        <w:rPr>
          <w:rFonts w:hint="eastAsia" w:ascii="宋体" w:hAnsi="宋体" w:eastAsia="宋体" w:cs="Times New Roman"/>
          <w:color w:val="auto"/>
          <w:kern w:val="2"/>
          <w:szCs w:val="21"/>
        </w:rPr>
        <w:t>1</w:t>
      </w:r>
      <w:r>
        <w:rPr>
          <w:rFonts w:hint="default" w:ascii="宋体" w:hAnsi="宋体" w:eastAsia="宋体" w:cs="Times New Roman"/>
          <w:color w:val="auto"/>
          <w:kern w:val="2"/>
          <w:szCs w:val="21"/>
        </w:rPr>
        <w:t>.10要求</w:t>
      </w:r>
      <w:r>
        <w:rPr>
          <w:rFonts w:hint="eastAsia" w:ascii="宋体" w:hAnsi="宋体" w:eastAsia="宋体" w:cs="Times New Roman"/>
          <w:color w:val="auto"/>
          <w:kern w:val="2"/>
          <w:szCs w:val="21"/>
        </w:rPr>
        <w:t>供应商</w:t>
      </w:r>
      <w:r>
        <w:rPr>
          <w:rFonts w:hint="default" w:ascii="宋体" w:hAnsi="宋体" w:eastAsia="宋体" w:cs="Times New Roman"/>
          <w:color w:val="auto"/>
          <w:kern w:val="2"/>
          <w:szCs w:val="21"/>
        </w:rPr>
        <w:t>在整个标段的不同单项</w:t>
      </w:r>
      <w:r>
        <w:rPr>
          <w:rFonts w:hint="eastAsia" w:ascii="宋体" w:hAnsi="宋体" w:eastAsia="宋体" w:cs="Times New Roman"/>
          <w:color w:val="auto"/>
          <w:kern w:val="2"/>
          <w:szCs w:val="21"/>
        </w:rPr>
        <w:t>工作</w:t>
      </w:r>
      <w:r>
        <w:rPr>
          <w:rFonts w:hint="default" w:ascii="宋体" w:hAnsi="宋体" w:eastAsia="宋体" w:cs="Times New Roman"/>
          <w:color w:val="auto"/>
          <w:kern w:val="2"/>
          <w:szCs w:val="21"/>
        </w:rPr>
        <w:t>中，针对相同子目报统一单价，如相同子目有不同的报价，结算时，相同子目全部按报价最低的单价进行结算；</w:t>
      </w:r>
    </w:p>
    <w:p w14:paraId="2AA8E8F9">
      <w:pPr>
        <w:widowControl w:val="0"/>
        <w:spacing w:line="400" w:lineRule="exact"/>
        <w:ind w:firstLine="420" w:firstLineChars="200"/>
        <w:rPr>
          <w:rFonts w:hint="default" w:ascii="宋体" w:hAnsi="宋体" w:eastAsia="宋体" w:cs="Times New Roman"/>
          <w:color w:val="auto"/>
          <w:kern w:val="2"/>
          <w:szCs w:val="21"/>
        </w:rPr>
      </w:pPr>
      <w:r>
        <w:rPr>
          <w:rFonts w:hint="eastAsia" w:ascii="宋体" w:hAnsi="宋体" w:eastAsia="宋体" w:cs="Times New Roman"/>
          <w:color w:val="auto"/>
          <w:kern w:val="2"/>
          <w:szCs w:val="21"/>
        </w:rPr>
        <w:t>1</w:t>
      </w:r>
      <w:r>
        <w:rPr>
          <w:rFonts w:hint="default" w:ascii="宋体" w:hAnsi="宋体" w:eastAsia="宋体" w:cs="Times New Roman"/>
          <w:color w:val="auto"/>
          <w:kern w:val="2"/>
          <w:szCs w:val="21"/>
        </w:rPr>
        <w:t>.11要求及注意事项</w:t>
      </w:r>
    </w:p>
    <w:p w14:paraId="119A67A7">
      <w:pPr>
        <w:widowControl w:val="0"/>
        <w:spacing w:line="400" w:lineRule="exact"/>
        <w:ind w:firstLine="420" w:firstLineChars="200"/>
        <w:rPr>
          <w:rFonts w:hint="default" w:ascii="宋体" w:hAnsi="宋体" w:eastAsia="宋体" w:cs="Times New Roman"/>
          <w:color w:val="auto"/>
          <w:kern w:val="2"/>
          <w:szCs w:val="21"/>
        </w:rPr>
      </w:pPr>
      <w:r>
        <w:rPr>
          <w:rFonts w:hint="eastAsia" w:ascii="宋体" w:hAnsi="宋体" w:eastAsia="宋体" w:cs="Times New Roman"/>
          <w:color w:val="auto"/>
          <w:kern w:val="2"/>
          <w:szCs w:val="21"/>
        </w:rPr>
        <w:t>1</w:t>
      </w:r>
      <w:r>
        <w:rPr>
          <w:rFonts w:hint="default" w:ascii="宋体" w:hAnsi="宋体" w:eastAsia="宋体" w:cs="Times New Roman"/>
          <w:color w:val="auto"/>
          <w:kern w:val="2"/>
          <w:szCs w:val="21"/>
        </w:rPr>
        <w:t>.1</w:t>
      </w:r>
      <w:r>
        <w:rPr>
          <w:rFonts w:hint="eastAsia" w:ascii="宋体" w:hAnsi="宋体" w:eastAsia="宋体" w:cs="Times New Roman"/>
          <w:color w:val="auto"/>
          <w:kern w:val="2"/>
          <w:szCs w:val="21"/>
        </w:rPr>
        <w:t>1.</w:t>
      </w:r>
      <w:r>
        <w:rPr>
          <w:rFonts w:hint="default" w:ascii="宋体" w:hAnsi="宋体" w:eastAsia="宋体" w:cs="Times New Roman"/>
          <w:color w:val="auto"/>
          <w:kern w:val="2"/>
          <w:szCs w:val="21"/>
        </w:rPr>
        <w:t>1、</w:t>
      </w:r>
      <w:r>
        <w:rPr>
          <w:rFonts w:hint="eastAsia" w:ascii="宋体" w:hAnsi="宋体" w:eastAsia="宋体" w:cs="Times New Roman"/>
          <w:color w:val="auto"/>
          <w:kern w:val="2"/>
          <w:szCs w:val="21"/>
        </w:rPr>
        <w:t>供应商</w:t>
      </w:r>
      <w:r>
        <w:rPr>
          <w:rFonts w:hint="default" w:ascii="宋体" w:hAnsi="宋体" w:eastAsia="宋体" w:cs="Times New Roman"/>
          <w:color w:val="auto"/>
          <w:kern w:val="2"/>
          <w:szCs w:val="21"/>
        </w:rPr>
        <w:t>必须按照有关技术规范及采购人提供的</w:t>
      </w:r>
      <w:r>
        <w:rPr>
          <w:rFonts w:hint="eastAsia" w:ascii="宋体" w:hAnsi="宋体" w:eastAsia="宋体" w:cs="Times New Roman"/>
          <w:color w:val="auto"/>
          <w:kern w:val="2"/>
          <w:szCs w:val="21"/>
        </w:rPr>
        <w:t>项目</w:t>
      </w:r>
      <w:r>
        <w:rPr>
          <w:rFonts w:hint="default" w:ascii="宋体" w:hAnsi="宋体" w:eastAsia="宋体" w:cs="Times New Roman"/>
          <w:color w:val="auto"/>
          <w:kern w:val="2"/>
          <w:szCs w:val="21"/>
        </w:rPr>
        <w:t>设计文件要求组织</w:t>
      </w:r>
      <w:r>
        <w:rPr>
          <w:rFonts w:hint="eastAsia" w:ascii="宋体" w:hAnsi="宋体" w:eastAsia="宋体" w:cs="Times New Roman"/>
          <w:color w:val="auto"/>
          <w:kern w:val="2"/>
          <w:szCs w:val="21"/>
        </w:rPr>
        <w:t>实施</w:t>
      </w:r>
      <w:r>
        <w:rPr>
          <w:rFonts w:hint="default" w:ascii="宋体" w:hAnsi="宋体" w:eastAsia="宋体" w:cs="Times New Roman"/>
          <w:color w:val="auto"/>
          <w:kern w:val="2"/>
          <w:szCs w:val="21"/>
        </w:rPr>
        <w:t>。采购人全权进行现场的监督和管理。</w:t>
      </w:r>
    </w:p>
    <w:p w14:paraId="41941B5B">
      <w:pPr>
        <w:widowControl w:val="0"/>
        <w:spacing w:line="400" w:lineRule="exact"/>
        <w:ind w:firstLine="420" w:firstLineChars="200"/>
        <w:rPr>
          <w:rFonts w:hint="default" w:ascii="宋体" w:hAnsi="宋体" w:eastAsia="宋体" w:cs="Times New Roman"/>
          <w:color w:val="auto"/>
          <w:kern w:val="2"/>
          <w:szCs w:val="21"/>
        </w:rPr>
      </w:pPr>
      <w:r>
        <w:rPr>
          <w:rFonts w:hint="eastAsia" w:ascii="宋体" w:hAnsi="宋体" w:eastAsia="宋体" w:cs="Times New Roman"/>
          <w:color w:val="auto"/>
          <w:kern w:val="2"/>
          <w:szCs w:val="21"/>
        </w:rPr>
        <w:t>1</w:t>
      </w:r>
      <w:r>
        <w:rPr>
          <w:rFonts w:hint="default" w:ascii="宋体" w:hAnsi="宋体" w:eastAsia="宋体" w:cs="Times New Roman"/>
          <w:color w:val="auto"/>
          <w:kern w:val="2"/>
          <w:szCs w:val="21"/>
        </w:rPr>
        <w:t>.1</w:t>
      </w:r>
      <w:r>
        <w:rPr>
          <w:rFonts w:hint="eastAsia" w:ascii="宋体" w:hAnsi="宋体" w:eastAsia="宋体" w:cs="Times New Roman"/>
          <w:color w:val="auto"/>
          <w:kern w:val="2"/>
          <w:szCs w:val="21"/>
        </w:rPr>
        <w:t>1.</w:t>
      </w:r>
      <w:r>
        <w:rPr>
          <w:rFonts w:hint="default" w:ascii="宋体" w:hAnsi="宋体" w:eastAsia="宋体" w:cs="Times New Roman"/>
          <w:color w:val="auto"/>
          <w:kern w:val="2"/>
          <w:szCs w:val="21"/>
        </w:rPr>
        <w:t>2、供应商必须按照合同工期按时、保质、保量地完成任务。签订合同的同时，须提供本</w:t>
      </w:r>
      <w:r>
        <w:rPr>
          <w:rFonts w:hint="eastAsia" w:ascii="宋体" w:hAnsi="宋体" w:eastAsia="宋体" w:cs="Times New Roman"/>
          <w:color w:val="auto"/>
          <w:kern w:val="2"/>
          <w:szCs w:val="21"/>
        </w:rPr>
        <w:t>项目</w:t>
      </w:r>
      <w:r>
        <w:rPr>
          <w:rFonts w:hint="default" w:ascii="宋体" w:hAnsi="宋体" w:eastAsia="宋体" w:cs="Times New Roman"/>
          <w:color w:val="auto"/>
          <w:kern w:val="2"/>
          <w:szCs w:val="21"/>
        </w:rPr>
        <w:t>具体的</w:t>
      </w:r>
      <w:r>
        <w:rPr>
          <w:rFonts w:hint="eastAsia" w:ascii="宋体" w:hAnsi="宋体" w:eastAsia="宋体" w:cs="Times New Roman"/>
          <w:color w:val="auto"/>
          <w:kern w:val="2"/>
          <w:szCs w:val="21"/>
        </w:rPr>
        <w:t>技术</w:t>
      </w:r>
      <w:r>
        <w:rPr>
          <w:rFonts w:hint="default" w:ascii="宋体" w:hAnsi="宋体" w:eastAsia="宋体" w:cs="Times New Roman"/>
          <w:color w:val="auto"/>
          <w:kern w:val="2"/>
          <w:szCs w:val="21"/>
        </w:rPr>
        <w:t>方案；对某些易发</w:t>
      </w:r>
      <w:r>
        <w:rPr>
          <w:rFonts w:hint="eastAsia" w:ascii="宋体" w:hAnsi="宋体" w:eastAsia="宋体" w:cs="Times New Roman"/>
          <w:color w:val="auto"/>
          <w:kern w:val="2"/>
          <w:szCs w:val="21"/>
        </w:rPr>
        <w:t>性病害的治理应提供专项的技术方案。完工后应按照月进度提交每月的养护管理计划及上月养护管理小结。供应商不得将本项目分包或转包。</w:t>
      </w:r>
    </w:p>
    <w:p w14:paraId="314C6359">
      <w:pPr>
        <w:widowControl w:val="0"/>
        <w:spacing w:line="400" w:lineRule="exact"/>
        <w:ind w:firstLine="420" w:firstLineChars="200"/>
        <w:rPr>
          <w:rFonts w:hint="default" w:ascii="宋体" w:hAnsi="宋体" w:eastAsia="宋体" w:cs="Times New Roman"/>
          <w:color w:val="auto"/>
          <w:kern w:val="2"/>
          <w:szCs w:val="21"/>
        </w:rPr>
      </w:pPr>
      <w:r>
        <w:rPr>
          <w:rFonts w:hint="eastAsia" w:ascii="宋体" w:hAnsi="宋体" w:eastAsia="宋体" w:cs="Times New Roman"/>
          <w:color w:val="auto"/>
          <w:kern w:val="2"/>
          <w:szCs w:val="21"/>
        </w:rPr>
        <w:t>1</w:t>
      </w:r>
      <w:r>
        <w:rPr>
          <w:rFonts w:hint="default" w:ascii="宋体" w:hAnsi="宋体" w:eastAsia="宋体" w:cs="Times New Roman"/>
          <w:color w:val="auto"/>
          <w:kern w:val="2"/>
          <w:szCs w:val="21"/>
        </w:rPr>
        <w:t>.1</w:t>
      </w:r>
      <w:r>
        <w:rPr>
          <w:rFonts w:hint="eastAsia" w:ascii="宋体" w:hAnsi="宋体" w:eastAsia="宋体" w:cs="Times New Roman"/>
          <w:color w:val="auto"/>
          <w:kern w:val="2"/>
          <w:szCs w:val="21"/>
        </w:rPr>
        <w:t>1.</w:t>
      </w:r>
      <w:r>
        <w:rPr>
          <w:rFonts w:hint="default" w:ascii="宋体" w:hAnsi="宋体" w:eastAsia="宋体" w:cs="Times New Roman"/>
          <w:color w:val="auto"/>
          <w:kern w:val="2"/>
          <w:szCs w:val="21"/>
        </w:rPr>
        <w:t>3、供应商必须严格按照采购人提供的图纸和相关技术规定进行</w:t>
      </w:r>
      <w:r>
        <w:rPr>
          <w:rFonts w:hint="eastAsia" w:ascii="宋体" w:hAnsi="宋体" w:eastAsia="宋体" w:cs="Times New Roman"/>
          <w:color w:val="auto"/>
          <w:kern w:val="2"/>
          <w:szCs w:val="21"/>
        </w:rPr>
        <w:t>工作</w:t>
      </w:r>
      <w:r>
        <w:rPr>
          <w:rFonts w:hint="default" w:ascii="宋体" w:hAnsi="宋体" w:eastAsia="宋体" w:cs="Times New Roman"/>
          <w:color w:val="auto"/>
          <w:kern w:val="2"/>
          <w:szCs w:val="21"/>
        </w:rPr>
        <w:t>；未经采购人批准，不得擅自改变原有设计与有关的要求和规定，若因现场实际需要，确需对原设计内容作调整或补充的，应经采购人批准并办理书面手续后方可实施。</w:t>
      </w:r>
    </w:p>
    <w:p w14:paraId="6DF6180D">
      <w:pPr>
        <w:widowControl w:val="0"/>
        <w:spacing w:line="400" w:lineRule="exact"/>
        <w:ind w:firstLine="420" w:firstLineChars="200"/>
        <w:rPr>
          <w:rFonts w:hint="default" w:ascii="宋体" w:hAnsi="宋体" w:eastAsia="宋体" w:cs="Times New Roman"/>
          <w:color w:val="auto"/>
          <w:kern w:val="2"/>
          <w:szCs w:val="21"/>
        </w:rPr>
      </w:pPr>
      <w:r>
        <w:rPr>
          <w:rFonts w:hint="eastAsia" w:ascii="宋体" w:hAnsi="宋体" w:eastAsia="宋体" w:cs="Times New Roman"/>
          <w:color w:val="auto"/>
          <w:kern w:val="2"/>
          <w:szCs w:val="21"/>
        </w:rPr>
        <w:t>1</w:t>
      </w:r>
      <w:r>
        <w:rPr>
          <w:rFonts w:hint="default" w:ascii="宋体" w:hAnsi="宋体" w:eastAsia="宋体" w:cs="Times New Roman"/>
          <w:color w:val="auto"/>
          <w:kern w:val="2"/>
          <w:szCs w:val="21"/>
        </w:rPr>
        <w:t>.1</w:t>
      </w:r>
      <w:r>
        <w:rPr>
          <w:rFonts w:hint="eastAsia" w:ascii="宋体" w:hAnsi="宋体" w:eastAsia="宋体" w:cs="Times New Roman"/>
          <w:color w:val="auto"/>
          <w:kern w:val="2"/>
          <w:szCs w:val="21"/>
        </w:rPr>
        <w:t>1.</w:t>
      </w:r>
      <w:r>
        <w:rPr>
          <w:rFonts w:hint="default" w:ascii="宋体" w:hAnsi="宋体" w:eastAsia="宋体" w:cs="Times New Roman"/>
          <w:color w:val="auto"/>
          <w:kern w:val="2"/>
          <w:szCs w:val="21"/>
        </w:rPr>
        <w:t>4、供应商在</w:t>
      </w:r>
      <w:r>
        <w:rPr>
          <w:rFonts w:hint="eastAsia" w:ascii="宋体" w:hAnsi="宋体" w:eastAsia="宋体" w:cs="Times New Roman"/>
          <w:color w:val="auto"/>
          <w:kern w:val="2"/>
          <w:szCs w:val="21"/>
        </w:rPr>
        <w:t>实施</w:t>
      </w:r>
      <w:r>
        <w:rPr>
          <w:rFonts w:hint="default" w:ascii="宋体" w:hAnsi="宋体" w:eastAsia="宋体" w:cs="Times New Roman"/>
          <w:color w:val="auto"/>
          <w:kern w:val="2"/>
          <w:szCs w:val="21"/>
        </w:rPr>
        <w:t>过程中有义务进行成品保护，若有破坏或损坏，采购人有权要求供应商恢复或</w:t>
      </w:r>
      <w:r>
        <w:rPr>
          <w:rFonts w:hint="eastAsia" w:ascii="宋体" w:hAnsi="宋体" w:eastAsia="宋体" w:cs="Times New Roman"/>
          <w:color w:val="auto"/>
          <w:kern w:val="2"/>
          <w:szCs w:val="21"/>
        </w:rPr>
        <w:t>支付违约金</w:t>
      </w:r>
      <w:r>
        <w:rPr>
          <w:rFonts w:hint="default" w:ascii="宋体" w:hAnsi="宋体" w:eastAsia="宋体" w:cs="Times New Roman"/>
          <w:color w:val="auto"/>
          <w:kern w:val="2"/>
          <w:szCs w:val="21"/>
        </w:rPr>
        <w:t>。</w:t>
      </w:r>
    </w:p>
    <w:p w14:paraId="1B174B05">
      <w:pPr>
        <w:widowControl w:val="0"/>
        <w:spacing w:line="400" w:lineRule="exact"/>
        <w:ind w:firstLine="420" w:firstLineChars="200"/>
        <w:rPr>
          <w:rFonts w:hint="default" w:ascii="宋体" w:hAnsi="宋体" w:eastAsia="宋体" w:cs="Times New Roman"/>
          <w:color w:val="auto"/>
          <w:kern w:val="2"/>
          <w:szCs w:val="21"/>
        </w:rPr>
      </w:pPr>
      <w:r>
        <w:rPr>
          <w:rFonts w:hint="eastAsia" w:ascii="宋体" w:hAnsi="宋体" w:eastAsia="宋体" w:cs="Times New Roman"/>
          <w:color w:val="auto"/>
          <w:kern w:val="2"/>
          <w:szCs w:val="21"/>
        </w:rPr>
        <w:t>1</w:t>
      </w:r>
      <w:r>
        <w:rPr>
          <w:rFonts w:hint="default" w:ascii="宋体" w:hAnsi="宋体" w:eastAsia="宋体" w:cs="Times New Roman"/>
          <w:color w:val="auto"/>
          <w:kern w:val="2"/>
          <w:szCs w:val="21"/>
        </w:rPr>
        <w:t>.1</w:t>
      </w:r>
      <w:r>
        <w:rPr>
          <w:rFonts w:hint="eastAsia" w:ascii="宋体" w:hAnsi="宋体" w:eastAsia="宋体" w:cs="Times New Roman"/>
          <w:color w:val="auto"/>
          <w:kern w:val="2"/>
          <w:szCs w:val="21"/>
        </w:rPr>
        <w:t>1.</w:t>
      </w:r>
      <w:r>
        <w:rPr>
          <w:rFonts w:hint="default" w:ascii="宋体" w:hAnsi="宋体" w:eastAsia="宋体" w:cs="Times New Roman"/>
          <w:color w:val="auto"/>
          <w:kern w:val="2"/>
          <w:szCs w:val="21"/>
        </w:rPr>
        <w:t>5、采购人全权进行现场的监督和管理，采购人一旦发现供应商</w:t>
      </w:r>
      <w:r>
        <w:rPr>
          <w:rFonts w:hint="eastAsia" w:ascii="宋体" w:hAnsi="宋体" w:eastAsia="宋体" w:cs="Times New Roman"/>
          <w:color w:val="auto"/>
          <w:kern w:val="2"/>
          <w:szCs w:val="21"/>
        </w:rPr>
        <w:t>不符合本合同规定的质量要求的，采购人有权对供应商所报验的工序质量单、材料进场报验单、计量报审单等书面文件不予报批，并有权指令供应商进行限期整改，供应商必须无条件执行，否则采购人可指令第三方来进行，直至采购人认为达到质量要求为止，由此发生的一切费用由供应商承担，若因供应商原因项目出现重大质量问题，并不服从采购人提出的整改要求，情节严重的，采购人有权终止合同，因此所发生的一切损失由供应商承担。</w:t>
      </w:r>
    </w:p>
    <w:p w14:paraId="78E44F1F">
      <w:pPr>
        <w:widowControl w:val="0"/>
        <w:spacing w:line="400" w:lineRule="exact"/>
        <w:ind w:firstLine="420" w:firstLineChars="200"/>
        <w:rPr>
          <w:rFonts w:hint="default" w:ascii="宋体" w:hAnsi="宋体" w:eastAsia="宋体" w:cs="Times New Roman"/>
          <w:color w:val="auto"/>
          <w:kern w:val="2"/>
          <w:szCs w:val="21"/>
        </w:rPr>
      </w:pPr>
      <w:r>
        <w:rPr>
          <w:rFonts w:hint="eastAsia" w:ascii="宋体" w:hAnsi="宋体" w:eastAsia="宋体" w:cs="Times New Roman"/>
          <w:color w:val="auto"/>
          <w:kern w:val="2"/>
          <w:szCs w:val="21"/>
        </w:rPr>
        <w:t>1</w:t>
      </w:r>
      <w:r>
        <w:rPr>
          <w:rFonts w:hint="default" w:ascii="宋体" w:hAnsi="宋体" w:eastAsia="宋体" w:cs="Times New Roman"/>
          <w:color w:val="auto"/>
          <w:kern w:val="2"/>
          <w:szCs w:val="21"/>
        </w:rPr>
        <w:t>.1</w:t>
      </w:r>
      <w:r>
        <w:rPr>
          <w:rFonts w:hint="eastAsia" w:ascii="宋体" w:hAnsi="宋体" w:eastAsia="宋体" w:cs="Times New Roman"/>
          <w:color w:val="auto"/>
          <w:kern w:val="2"/>
          <w:szCs w:val="21"/>
        </w:rPr>
        <w:t>1.</w:t>
      </w:r>
      <w:r>
        <w:rPr>
          <w:rFonts w:hint="default" w:ascii="宋体" w:hAnsi="宋体" w:eastAsia="宋体" w:cs="Times New Roman"/>
          <w:color w:val="auto"/>
          <w:kern w:val="2"/>
          <w:szCs w:val="21"/>
        </w:rPr>
        <w:t>6、采购人尽可能为供应商提供</w:t>
      </w:r>
      <w:r>
        <w:rPr>
          <w:rFonts w:hint="eastAsia" w:ascii="宋体" w:hAnsi="宋体" w:eastAsia="宋体" w:cs="Times New Roman"/>
          <w:color w:val="auto"/>
          <w:kern w:val="2"/>
          <w:szCs w:val="21"/>
        </w:rPr>
        <w:t>工作</w:t>
      </w:r>
      <w:r>
        <w:rPr>
          <w:rFonts w:hint="default" w:ascii="宋体" w:hAnsi="宋体" w:eastAsia="宋体" w:cs="Times New Roman"/>
          <w:color w:val="auto"/>
          <w:kern w:val="2"/>
          <w:szCs w:val="21"/>
        </w:rPr>
        <w:t>方便，协助供应商协调好与其他有关</w:t>
      </w:r>
      <w:r>
        <w:rPr>
          <w:rFonts w:hint="eastAsia" w:ascii="宋体" w:hAnsi="宋体" w:eastAsia="宋体" w:cs="Times New Roman"/>
          <w:color w:val="auto"/>
          <w:kern w:val="2"/>
          <w:szCs w:val="21"/>
        </w:rPr>
        <w:t>工作</w:t>
      </w:r>
      <w:r>
        <w:rPr>
          <w:rFonts w:hint="default" w:ascii="宋体" w:hAnsi="宋体" w:eastAsia="宋体" w:cs="Times New Roman"/>
          <w:color w:val="auto"/>
          <w:kern w:val="2"/>
          <w:szCs w:val="21"/>
        </w:rPr>
        <w:t>单位和地方的关系。</w:t>
      </w:r>
    </w:p>
    <w:p w14:paraId="627B2660">
      <w:pPr>
        <w:widowControl w:val="0"/>
        <w:spacing w:line="400" w:lineRule="exact"/>
        <w:ind w:firstLine="420" w:firstLineChars="200"/>
        <w:rPr>
          <w:rFonts w:hint="default" w:ascii="宋体" w:hAnsi="宋体" w:eastAsia="宋体" w:cs="Times New Roman"/>
          <w:color w:val="auto"/>
          <w:kern w:val="2"/>
          <w:szCs w:val="21"/>
        </w:rPr>
      </w:pPr>
      <w:r>
        <w:rPr>
          <w:rFonts w:hint="eastAsia" w:ascii="宋体" w:hAnsi="宋体" w:eastAsia="宋体" w:cs="Times New Roman"/>
          <w:color w:val="auto"/>
          <w:kern w:val="2"/>
          <w:szCs w:val="21"/>
        </w:rPr>
        <w:t>1</w:t>
      </w:r>
      <w:r>
        <w:rPr>
          <w:rFonts w:hint="default" w:ascii="宋体" w:hAnsi="宋体" w:eastAsia="宋体" w:cs="Times New Roman"/>
          <w:color w:val="auto"/>
          <w:kern w:val="2"/>
          <w:szCs w:val="21"/>
        </w:rPr>
        <w:t>.1</w:t>
      </w:r>
      <w:r>
        <w:rPr>
          <w:rFonts w:hint="eastAsia" w:ascii="宋体" w:hAnsi="宋体" w:eastAsia="宋体" w:cs="Times New Roman"/>
          <w:color w:val="auto"/>
          <w:kern w:val="2"/>
          <w:szCs w:val="21"/>
        </w:rPr>
        <w:t>1.</w:t>
      </w:r>
      <w:r>
        <w:rPr>
          <w:rFonts w:hint="default" w:ascii="宋体" w:hAnsi="宋体" w:eastAsia="宋体" w:cs="Times New Roman"/>
          <w:color w:val="auto"/>
          <w:kern w:val="2"/>
          <w:szCs w:val="21"/>
        </w:rPr>
        <w:t>7、供应商应考虑到本标段现场取水、搬运及</w:t>
      </w:r>
      <w:r>
        <w:rPr>
          <w:rFonts w:hint="eastAsia" w:ascii="宋体" w:hAnsi="宋体" w:eastAsia="宋体" w:cs="Times New Roman"/>
          <w:color w:val="auto"/>
          <w:kern w:val="2"/>
          <w:szCs w:val="21"/>
        </w:rPr>
        <w:t>人为影响等不利因素。</w:t>
      </w:r>
    </w:p>
    <w:p w14:paraId="3F6E5907">
      <w:pPr>
        <w:widowControl w:val="0"/>
        <w:spacing w:line="400" w:lineRule="exact"/>
        <w:ind w:firstLine="420" w:firstLineChars="200"/>
        <w:rPr>
          <w:rFonts w:hint="default" w:ascii="宋体" w:hAnsi="宋体" w:eastAsia="宋体" w:cs="Times New Roman"/>
          <w:color w:val="auto"/>
          <w:kern w:val="2"/>
          <w:szCs w:val="21"/>
        </w:rPr>
      </w:pPr>
      <w:r>
        <w:rPr>
          <w:rFonts w:hint="eastAsia" w:ascii="宋体" w:hAnsi="宋体" w:eastAsia="宋体" w:cs="Times New Roman"/>
          <w:color w:val="auto"/>
          <w:kern w:val="2"/>
          <w:szCs w:val="21"/>
        </w:rPr>
        <w:t>1</w:t>
      </w:r>
      <w:r>
        <w:rPr>
          <w:rFonts w:hint="default" w:ascii="宋体" w:hAnsi="宋体" w:eastAsia="宋体" w:cs="Times New Roman"/>
          <w:color w:val="auto"/>
          <w:kern w:val="2"/>
          <w:szCs w:val="21"/>
        </w:rPr>
        <w:t>.1</w:t>
      </w:r>
      <w:r>
        <w:rPr>
          <w:rFonts w:hint="eastAsia" w:ascii="宋体" w:hAnsi="宋体" w:eastAsia="宋体" w:cs="Times New Roman"/>
          <w:color w:val="auto"/>
          <w:kern w:val="2"/>
          <w:szCs w:val="21"/>
        </w:rPr>
        <w:t>1.8</w:t>
      </w:r>
      <w:r>
        <w:rPr>
          <w:rFonts w:hint="default" w:ascii="宋体" w:hAnsi="宋体" w:eastAsia="宋体" w:cs="Times New Roman"/>
          <w:color w:val="auto"/>
          <w:kern w:val="2"/>
          <w:szCs w:val="21"/>
        </w:rPr>
        <w:t>、本</w:t>
      </w:r>
      <w:r>
        <w:rPr>
          <w:rFonts w:hint="eastAsia" w:ascii="宋体" w:hAnsi="宋体" w:eastAsia="宋体" w:cs="Times New Roman"/>
          <w:color w:val="auto"/>
          <w:kern w:val="2"/>
          <w:szCs w:val="21"/>
        </w:rPr>
        <w:t>项目</w:t>
      </w:r>
      <w:r>
        <w:rPr>
          <w:rFonts w:hint="default" w:ascii="宋体" w:hAnsi="宋体" w:eastAsia="宋体" w:cs="Times New Roman"/>
          <w:color w:val="auto"/>
          <w:kern w:val="2"/>
          <w:szCs w:val="21"/>
        </w:rPr>
        <w:t>现场不提供住宿及办公场所，</w:t>
      </w:r>
      <w:r>
        <w:rPr>
          <w:rFonts w:hint="eastAsia" w:ascii="宋体" w:hAnsi="宋体" w:eastAsia="宋体" w:cs="Times New Roman"/>
          <w:color w:val="auto"/>
          <w:kern w:val="2"/>
          <w:szCs w:val="21"/>
        </w:rPr>
        <w:t>供应商</w:t>
      </w:r>
      <w:r>
        <w:rPr>
          <w:rFonts w:hint="default" w:ascii="宋体" w:hAnsi="宋体" w:eastAsia="宋体" w:cs="Times New Roman"/>
          <w:color w:val="auto"/>
          <w:kern w:val="2"/>
          <w:szCs w:val="21"/>
        </w:rPr>
        <w:t>自行解决，该部分费用请在投标报价中综合考虑。</w:t>
      </w:r>
    </w:p>
    <w:p w14:paraId="69E5F16F">
      <w:pPr>
        <w:widowControl w:val="0"/>
        <w:spacing w:line="400" w:lineRule="exact"/>
        <w:ind w:firstLine="420" w:firstLineChars="200"/>
        <w:rPr>
          <w:rFonts w:hint="default" w:ascii="宋体" w:hAnsi="宋体" w:eastAsia="宋体" w:cs="Times New Roman"/>
          <w:color w:val="auto"/>
          <w:kern w:val="2"/>
          <w:szCs w:val="21"/>
        </w:rPr>
      </w:pPr>
      <w:r>
        <w:rPr>
          <w:rFonts w:hint="eastAsia" w:ascii="宋体" w:hAnsi="宋体" w:eastAsia="宋体" w:cs="Times New Roman"/>
          <w:color w:val="auto"/>
          <w:kern w:val="2"/>
          <w:szCs w:val="21"/>
        </w:rPr>
        <w:t>1</w:t>
      </w:r>
      <w:r>
        <w:rPr>
          <w:rFonts w:hint="default" w:ascii="宋体" w:hAnsi="宋体" w:eastAsia="宋体" w:cs="Times New Roman"/>
          <w:color w:val="auto"/>
          <w:kern w:val="2"/>
          <w:szCs w:val="21"/>
        </w:rPr>
        <w:t>.1</w:t>
      </w:r>
      <w:r>
        <w:rPr>
          <w:rFonts w:hint="eastAsia" w:ascii="宋体" w:hAnsi="宋体" w:eastAsia="宋体" w:cs="Times New Roman"/>
          <w:color w:val="auto"/>
          <w:kern w:val="2"/>
          <w:szCs w:val="21"/>
        </w:rPr>
        <w:t>1.9</w:t>
      </w:r>
      <w:r>
        <w:rPr>
          <w:rFonts w:hint="default" w:ascii="宋体" w:hAnsi="宋体" w:eastAsia="宋体" w:cs="Times New Roman"/>
          <w:color w:val="auto"/>
          <w:kern w:val="2"/>
          <w:szCs w:val="21"/>
        </w:rPr>
        <w:t>、</w:t>
      </w:r>
      <w:r>
        <w:rPr>
          <w:rFonts w:hint="eastAsia" w:ascii="宋体" w:hAnsi="宋体" w:eastAsia="宋体" w:cs="Times New Roman"/>
          <w:color w:val="auto"/>
          <w:kern w:val="2"/>
          <w:szCs w:val="21"/>
        </w:rPr>
        <w:t>供应商</w:t>
      </w:r>
      <w:r>
        <w:rPr>
          <w:rFonts w:hint="default" w:ascii="宋体" w:hAnsi="宋体" w:eastAsia="宋体" w:cs="Times New Roman"/>
          <w:color w:val="auto"/>
          <w:kern w:val="2"/>
          <w:szCs w:val="21"/>
        </w:rPr>
        <w:t>应充分考虑在</w:t>
      </w:r>
      <w:r>
        <w:rPr>
          <w:rFonts w:hint="eastAsia" w:ascii="宋体" w:hAnsi="宋体" w:eastAsia="宋体" w:cs="Times New Roman"/>
          <w:color w:val="auto"/>
          <w:kern w:val="2"/>
          <w:szCs w:val="21"/>
        </w:rPr>
        <w:t>实施</w:t>
      </w:r>
      <w:r>
        <w:rPr>
          <w:rFonts w:hint="default" w:ascii="宋体" w:hAnsi="宋体" w:eastAsia="宋体" w:cs="Times New Roman"/>
          <w:color w:val="auto"/>
          <w:kern w:val="2"/>
          <w:szCs w:val="21"/>
        </w:rPr>
        <w:t>期间与市政、电力、自来水等专业单位的配合、协调及相互的</w:t>
      </w:r>
      <w:r>
        <w:rPr>
          <w:rFonts w:hint="eastAsia" w:ascii="宋体" w:hAnsi="宋体" w:eastAsia="宋体" w:cs="Times New Roman"/>
          <w:color w:val="auto"/>
          <w:kern w:val="2"/>
          <w:szCs w:val="21"/>
        </w:rPr>
        <w:t>干扰等因素，增加的费用在投标时自行考虑列入投标报价中。</w:t>
      </w:r>
    </w:p>
    <w:p w14:paraId="05C60FE6">
      <w:pPr>
        <w:widowControl w:val="0"/>
        <w:spacing w:line="400" w:lineRule="exact"/>
        <w:ind w:firstLine="420" w:firstLineChars="200"/>
        <w:rPr>
          <w:rFonts w:hint="default" w:ascii="宋体" w:hAnsi="宋体" w:eastAsia="宋体" w:cs="Times New Roman"/>
          <w:color w:val="auto"/>
          <w:kern w:val="2"/>
          <w:szCs w:val="21"/>
        </w:rPr>
      </w:pPr>
      <w:r>
        <w:rPr>
          <w:rFonts w:hint="eastAsia" w:ascii="宋体" w:hAnsi="宋体" w:eastAsia="宋体" w:cs="Times New Roman"/>
          <w:color w:val="auto"/>
          <w:kern w:val="2"/>
          <w:szCs w:val="21"/>
        </w:rPr>
        <w:t>1</w:t>
      </w:r>
      <w:r>
        <w:rPr>
          <w:rFonts w:hint="default" w:ascii="宋体" w:hAnsi="宋体" w:eastAsia="宋体" w:cs="Times New Roman"/>
          <w:color w:val="auto"/>
          <w:kern w:val="2"/>
          <w:szCs w:val="21"/>
        </w:rPr>
        <w:t>.1</w:t>
      </w:r>
      <w:r>
        <w:rPr>
          <w:rFonts w:hint="eastAsia" w:ascii="宋体" w:hAnsi="宋体" w:eastAsia="宋体" w:cs="Times New Roman"/>
          <w:color w:val="auto"/>
          <w:kern w:val="2"/>
          <w:szCs w:val="21"/>
        </w:rPr>
        <w:t>1.</w:t>
      </w:r>
      <w:r>
        <w:rPr>
          <w:rFonts w:hint="default" w:ascii="宋体" w:hAnsi="宋体" w:eastAsia="宋体" w:cs="Times New Roman"/>
          <w:color w:val="auto"/>
          <w:kern w:val="2"/>
          <w:szCs w:val="21"/>
        </w:rPr>
        <w:t>1</w:t>
      </w:r>
      <w:r>
        <w:rPr>
          <w:rFonts w:hint="eastAsia" w:ascii="宋体" w:hAnsi="宋体" w:eastAsia="宋体" w:cs="Times New Roman"/>
          <w:color w:val="auto"/>
          <w:kern w:val="2"/>
          <w:szCs w:val="21"/>
        </w:rPr>
        <w:t>0</w:t>
      </w:r>
      <w:r>
        <w:rPr>
          <w:rFonts w:hint="default" w:ascii="宋体" w:hAnsi="宋体" w:eastAsia="宋体" w:cs="Times New Roman"/>
          <w:color w:val="auto"/>
          <w:kern w:val="2"/>
          <w:szCs w:val="21"/>
        </w:rPr>
        <w:t>、</w:t>
      </w:r>
      <w:r>
        <w:rPr>
          <w:rFonts w:hint="eastAsia" w:ascii="宋体" w:hAnsi="宋体" w:eastAsia="宋体" w:cs="Times New Roman"/>
          <w:color w:val="auto"/>
          <w:kern w:val="2"/>
          <w:szCs w:val="21"/>
        </w:rPr>
        <w:t>采购人</w:t>
      </w:r>
      <w:r>
        <w:rPr>
          <w:rFonts w:hint="default" w:ascii="宋体" w:hAnsi="宋体" w:eastAsia="宋体" w:cs="Times New Roman"/>
          <w:color w:val="auto"/>
          <w:kern w:val="2"/>
          <w:szCs w:val="21"/>
        </w:rPr>
        <w:t>有权在</w:t>
      </w:r>
      <w:r>
        <w:rPr>
          <w:rFonts w:hint="eastAsia" w:ascii="宋体" w:hAnsi="宋体" w:eastAsia="宋体" w:cs="Times New Roman"/>
          <w:color w:val="auto"/>
          <w:kern w:val="2"/>
          <w:szCs w:val="21"/>
        </w:rPr>
        <w:t>实施过程</w:t>
      </w:r>
      <w:r>
        <w:rPr>
          <w:rFonts w:hint="default" w:ascii="宋体" w:hAnsi="宋体" w:eastAsia="宋体" w:cs="Times New Roman"/>
          <w:color w:val="auto"/>
          <w:kern w:val="2"/>
          <w:szCs w:val="21"/>
        </w:rPr>
        <w:t>中对</w:t>
      </w:r>
      <w:r>
        <w:rPr>
          <w:rFonts w:hint="eastAsia" w:ascii="宋体" w:hAnsi="宋体" w:eastAsia="宋体" w:cs="Times New Roman"/>
          <w:color w:val="auto"/>
          <w:kern w:val="2"/>
          <w:szCs w:val="21"/>
        </w:rPr>
        <w:t>工作</w:t>
      </w:r>
      <w:r>
        <w:rPr>
          <w:rFonts w:hint="default" w:ascii="宋体" w:hAnsi="宋体" w:eastAsia="宋体" w:cs="Times New Roman"/>
          <w:color w:val="auto"/>
          <w:kern w:val="2"/>
          <w:szCs w:val="21"/>
        </w:rPr>
        <w:t>量和</w:t>
      </w:r>
      <w:r>
        <w:rPr>
          <w:rFonts w:hint="eastAsia" w:ascii="宋体" w:hAnsi="宋体" w:eastAsia="宋体" w:cs="Times New Roman"/>
          <w:color w:val="auto"/>
          <w:kern w:val="2"/>
          <w:szCs w:val="21"/>
        </w:rPr>
        <w:t>工作</w:t>
      </w:r>
      <w:r>
        <w:rPr>
          <w:rFonts w:hint="default" w:ascii="宋体" w:hAnsi="宋体" w:eastAsia="宋体" w:cs="Times New Roman"/>
          <w:color w:val="auto"/>
          <w:kern w:val="2"/>
          <w:szCs w:val="21"/>
        </w:rPr>
        <w:t>内容进行调整，供应商应无条件</w:t>
      </w:r>
      <w:r>
        <w:rPr>
          <w:rFonts w:hint="eastAsia" w:ascii="宋体" w:hAnsi="宋体" w:eastAsia="宋体" w:cs="Times New Roman"/>
          <w:color w:val="auto"/>
          <w:kern w:val="2"/>
          <w:szCs w:val="21"/>
        </w:rPr>
        <w:t>响</w:t>
      </w:r>
      <w:r>
        <w:rPr>
          <w:rFonts w:hint="default" w:ascii="宋体" w:hAnsi="宋体" w:eastAsia="宋体" w:cs="Times New Roman"/>
          <w:color w:val="auto"/>
          <w:kern w:val="2"/>
          <w:szCs w:val="21"/>
        </w:rPr>
        <w:t>应，在合同执行中按约定的价格进行调整，并不得</w:t>
      </w:r>
      <w:r>
        <w:rPr>
          <w:rFonts w:hint="eastAsia" w:ascii="宋体" w:hAnsi="宋体" w:eastAsia="宋体" w:cs="Times New Roman"/>
          <w:color w:val="auto"/>
          <w:kern w:val="2"/>
          <w:szCs w:val="21"/>
        </w:rPr>
        <w:t>收取违约金</w:t>
      </w:r>
      <w:r>
        <w:rPr>
          <w:rFonts w:hint="default" w:ascii="宋体" w:hAnsi="宋体" w:eastAsia="宋体" w:cs="Times New Roman"/>
          <w:color w:val="auto"/>
          <w:kern w:val="2"/>
          <w:szCs w:val="21"/>
        </w:rPr>
        <w:t>。</w:t>
      </w:r>
    </w:p>
    <w:p w14:paraId="454AE9C3">
      <w:pPr>
        <w:widowControl w:val="0"/>
        <w:spacing w:line="400" w:lineRule="exact"/>
        <w:ind w:firstLine="420" w:firstLineChars="200"/>
        <w:rPr>
          <w:rFonts w:hint="default" w:ascii="宋体" w:hAnsi="宋体" w:eastAsia="宋体" w:cs="Times New Roman"/>
          <w:color w:val="auto"/>
          <w:kern w:val="2"/>
          <w:szCs w:val="21"/>
        </w:rPr>
      </w:pPr>
      <w:r>
        <w:rPr>
          <w:rFonts w:hint="eastAsia" w:ascii="宋体" w:hAnsi="宋体" w:eastAsia="宋体" w:cs="Times New Roman"/>
          <w:color w:val="auto"/>
          <w:kern w:val="2"/>
          <w:szCs w:val="21"/>
        </w:rPr>
        <w:t>1.12供应商须严格按照指令或方案审批意见开展工作，服从采购人、监理方的管理，确保安全、文明和进度、质量达到要求。</w:t>
      </w:r>
    </w:p>
    <w:p w14:paraId="79483AE4">
      <w:pPr>
        <w:widowControl w:val="0"/>
        <w:spacing w:line="400" w:lineRule="exact"/>
        <w:ind w:firstLine="420" w:firstLineChars="200"/>
        <w:rPr>
          <w:rFonts w:hint="default" w:ascii="宋体" w:hAnsi="宋体" w:eastAsia="宋体" w:cs="Times New Roman"/>
          <w:color w:val="auto"/>
          <w:kern w:val="2"/>
          <w:szCs w:val="21"/>
        </w:rPr>
      </w:pPr>
      <w:r>
        <w:rPr>
          <w:rFonts w:hint="eastAsia" w:ascii="宋体" w:hAnsi="宋体" w:eastAsia="宋体" w:cs="Times New Roman"/>
          <w:color w:val="auto"/>
          <w:kern w:val="2"/>
          <w:szCs w:val="21"/>
        </w:rPr>
        <w:t>1.13本项目实行季度考核（见附表），考核满分100分。季度考核得分90到100分不做处罚；得分80到89分，扣款2万元；得分60到79分，扣款4万元；得分60分以下为不合格，扣款8万元，并计黄牌一次；招标文件和合同中单独约定的扣款和计牌处罚与考核处罚可并罚。</w:t>
      </w:r>
    </w:p>
    <w:p w14:paraId="47EE68BE">
      <w:pPr>
        <w:widowControl w:val="0"/>
        <w:spacing w:line="400" w:lineRule="exact"/>
        <w:ind w:firstLine="420" w:firstLineChars="200"/>
        <w:rPr>
          <w:rFonts w:hint="default" w:ascii="宋体" w:hAnsi="宋体" w:eastAsia="宋体" w:cs="Times New Roman"/>
          <w:color w:val="auto"/>
          <w:kern w:val="2"/>
          <w:szCs w:val="21"/>
        </w:rPr>
      </w:pPr>
      <w:r>
        <w:rPr>
          <w:rFonts w:hint="eastAsia" w:ascii="宋体" w:hAnsi="宋体" w:eastAsia="宋体" w:cs="Times New Roman"/>
          <w:color w:val="auto"/>
          <w:kern w:val="2"/>
          <w:szCs w:val="21"/>
        </w:rPr>
        <w:t>1.14供应商在项目过程中存在较大安全文明事故隐患的，计黄牌一次；发生安全生产事故，或不文明工作影响恶劣的，计红牌一次。</w:t>
      </w:r>
    </w:p>
    <w:p w14:paraId="095F98B6">
      <w:pPr>
        <w:widowControl w:val="0"/>
        <w:spacing w:line="400" w:lineRule="exact"/>
        <w:ind w:firstLine="420" w:firstLineChars="200"/>
        <w:rPr>
          <w:rFonts w:hint="default" w:ascii="宋体" w:hAnsi="宋体" w:eastAsia="宋体" w:cs="Times New Roman"/>
          <w:color w:val="auto"/>
          <w:kern w:val="2"/>
          <w:szCs w:val="21"/>
        </w:rPr>
      </w:pPr>
      <w:r>
        <w:rPr>
          <w:rFonts w:hint="eastAsia" w:ascii="宋体" w:hAnsi="宋体" w:eastAsia="宋体" w:cs="Times New Roman"/>
          <w:color w:val="auto"/>
          <w:kern w:val="2"/>
          <w:szCs w:val="21"/>
        </w:rPr>
        <w:t>1.15 两次黄牌等同一次红牌，供应商被挂红牌后，采购人有权与供应商终止合同，由此产生的所有损失由供应商承担。</w:t>
      </w:r>
    </w:p>
    <w:p w14:paraId="3A4ACCB2">
      <w:pPr>
        <w:widowControl w:val="0"/>
        <w:spacing w:line="400" w:lineRule="exact"/>
        <w:ind w:firstLine="420" w:firstLineChars="200"/>
        <w:jc w:val="left"/>
        <w:rPr>
          <w:rFonts w:hint="default" w:ascii="宋体" w:hAnsi="宋体" w:eastAsia="宋体" w:cs="Times New Roman"/>
          <w:color w:val="auto"/>
          <w:kern w:val="2"/>
          <w:szCs w:val="21"/>
        </w:rPr>
      </w:pPr>
      <w:r>
        <w:rPr>
          <w:rFonts w:hint="eastAsia" w:ascii="宋体" w:hAnsi="宋体" w:eastAsia="宋体" w:cs="Times New Roman"/>
          <w:color w:val="auto"/>
          <w:kern w:val="2"/>
          <w:szCs w:val="21"/>
        </w:rPr>
        <w:t>1.16本项目合同期限为壹年。</w:t>
      </w:r>
    </w:p>
    <w:p w14:paraId="3D63498B">
      <w:pPr>
        <w:widowControl w:val="0"/>
        <w:spacing w:line="400" w:lineRule="exact"/>
        <w:ind w:firstLine="420" w:firstLineChars="200"/>
        <w:jc w:val="left"/>
        <w:rPr>
          <w:rFonts w:hint="default" w:ascii="宋体" w:hAnsi="宋体" w:eastAsia="宋体" w:cs="宋体"/>
          <w:color w:val="auto"/>
          <w:kern w:val="2"/>
          <w:sz w:val="24"/>
          <w:szCs w:val="20"/>
        </w:rPr>
      </w:pPr>
      <w:r>
        <w:rPr>
          <w:rFonts w:hint="eastAsia" w:ascii="宋体" w:hAnsi="宋体" w:eastAsia="宋体" w:cs="Times New Roman"/>
          <w:color w:val="auto"/>
          <w:kern w:val="2"/>
          <w:szCs w:val="21"/>
        </w:rPr>
        <w:t>1.17采购人对供应商进行季度考核，季度考核均分为年度考核分值。若供应商经采购人年度考核不合格，则采购人有权解除合同，由此产生的相关费用、给采购人造成的损失由供应商承担，供应商不得对此提出任何费用申请及相关赔偿。</w:t>
      </w:r>
    </w:p>
    <w:p w14:paraId="7FBB7FC9">
      <w:pPr>
        <w:widowControl w:val="0"/>
        <w:spacing w:line="720" w:lineRule="auto"/>
        <w:ind w:firstLine="630" w:firstLineChars="300"/>
        <w:rPr>
          <w:rFonts w:hint="default" w:ascii="宋体" w:hAnsi="宋体" w:eastAsia="宋体" w:cs="Times New Roman"/>
          <w:color w:val="auto"/>
          <w:kern w:val="2"/>
          <w:szCs w:val="20"/>
        </w:rPr>
      </w:pPr>
      <w:r>
        <w:rPr>
          <w:rFonts w:hint="eastAsia" w:ascii="宋体" w:hAnsi="宋体" w:eastAsia="宋体" w:cs="Times New Roman"/>
          <w:color w:val="auto"/>
          <w:kern w:val="2"/>
          <w:szCs w:val="20"/>
        </w:rPr>
        <w:t>采  购  人</w:t>
      </w:r>
      <w:r>
        <w:rPr>
          <w:rFonts w:hint="default" w:ascii="宋体" w:hAnsi="宋体" w:eastAsia="宋体" w:cs="Times New Roman"/>
          <w:color w:val="auto"/>
          <w:kern w:val="2"/>
          <w:szCs w:val="20"/>
        </w:rPr>
        <w:t xml:space="preserve">：（盖章）      </w:t>
      </w:r>
      <w:r>
        <w:rPr>
          <w:rFonts w:hint="eastAsia" w:ascii="宋体" w:hAnsi="宋体" w:eastAsia="宋体" w:cs="Times New Roman"/>
          <w:color w:val="auto"/>
          <w:kern w:val="2"/>
          <w:szCs w:val="20"/>
        </w:rPr>
        <w:t xml:space="preserve">               供  应  商</w:t>
      </w:r>
      <w:r>
        <w:rPr>
          <w:rFonts w:hint="default" w:ascii="宋体" w:hAnsi="宋体" w:eastAsia="宋体" w:cs="Times New Roman"/>
          <w:color w:val="auto"/>
          <w:kern w:val="2"/>
          <w:szCs w:val="20"/>
        </w:rPr>
        <w:t xml:space="preserve">：（盖章）      </w:t>
      </w:r>
    </w:p>
    <w:p w14:paraId="33CEC1EA">
      <w:pPr>
        <w:widowControl w:val="0"/>
        <w:spacing w:line="720" w:lineRule="auto"/>
        <w:ind w:firstLine="630" w:firstLineChars="300"/>
        <w:rPr>
          <w:rFonts w:hint="default" w:ascii="宋体" w:hAnsi="宋体" w:eastAsia="宋体" w:cs="Times New Roman"/>
          <w:color w:val="auto"/>
          <w:kern w:val="2"/>
          <w:szCs w:val="20"/>
        </w:rPr>
      </w:pPr>
      <w:r>
        <w:rPr>
          <w:rFonts w:hint="eastAsia" w:ascii="宋体" w:hAnsi="宋体" w:eastAsia="宋体" w:cs="Times New Roman"/>
          <w:color w:val="auto"/>
          <w:kern w:val="2"/>
          <w:szCs w:val="20"/>
        </w:rPr>
        <w:t>法定代表人或</w:t>
      </w:r>
      <w:r>
        <w:rPr>
          <w:rFonts w:hint="default" w:ascii="宋体" w:hAnsi="宋体" w:eastAsia="宋体" w:cs="Times New Roman"/>
          <w:color w:val="auto"/>
          <w:kern w:val="2"/>
          <w:szCs w:val="20"/>
        </w:rPr>
        <w:t xml:space="preserve">              </w:t>
      </w:r>
      <w:r>
        <w:rPr>
          <w:rFonts w:hint="eastAsia" w:ascii="宋体" w:hAnsi="宋体" w:eastAsia="宋体" w:cs="Times New Roman"/>
          <w:color w:val="auto"/>
          <w:kern w:val="2"/>
          <w:szCs w:val="20"/>
        </w:rPr>
        <w:t xml:space="preserve">              </w:t>
      </w:r>
      <w:r>
        <w:rPr>
          <w:rFonts w:hint="default" w:ascii="宋体" w:hAnsi="宋体" w:eastAsia="宋体" w:cs="Times New Roman"/>
          <w:color w:val="auto"/>
          <w:kern w:val="2"/>
          <w:szCs w:val="20"/>
        </w:rPr>
        <w:t xml:space="preserve"> 法定代表人或               </w:t>
      </w:r>
    </w:p>
    <w:p w14:paraId="6C110758">
      <w:pPr>
        <w:widowControl w:val="0"/>
        <w:spacing w:line="720" w:lineRule="auto"/>
        <w:ind w:firstLine="630" w:firstLineChars="300"/>
        <w:rPr>
          <w:rFonts w:hint="default" w:ascii="宋体" w:hAnsi="宋体" w:eastAsia="宋体" w:cs="Times New Roman"/>
          <w:color w:val="auto"/>
          <w:kern w:val="2"/>
          <w:szCs w:val="20"/>
        </w:rPr>
      </w:pPr>
      <w:r>
        <w:rPr>
          <w:rFonts w:hint="eastAsia" w:ascii="宋体" w:hAnsi="宋体" w:eastAsia="宋体" w:cs="Times New Roman"/>
          <w:color w:val="auto"/>
          <w:kern w:val="2"/>
          <w:szCs w:val="20"/>
        </w:rPr>
        <w:t>授权代理人（签字）：</w:t>
      </w:r>
      <w:r>
        <w:rPr>
          <w:rFonts w:hint="default" w:ascii="宋体" w:hAnsi="宋体" w:eastAsia="宋体" w:cs="Times New Roman"/>
          <w:color w:val="auto"/>
          <w:kern w:val="2"/>
          <w:szCs w:val="20"/>
        </w:rPr>
        <w:t xml:space="preserve">      </w:t>
      </w:r>
      <w:r>
        <w:rPr>
          <w:rFonts w:hint="eastAsia" w:ascii="宋体" w:hAnsi="宋体" w:eastAsia="宋体" w:cs="Times New Roman"/>
          <w:color w:val="auto"/>
          <w:kern w:val="2"/>
          <w:szCs w:val="20"/>
        </w:rPr>
        <w:t xml:space="preserve">               </w:t>
      </w:r>
      <w:r>
        <w:rPr>
          <w:rFonts w:hint="default" w:ascii="宋体" w:hAnsi="宋体" w:eastAsia="宋体" w:cs="Times New Roman"/>
          <w:color w:val="auto"/>
          <w:kern w:val="2"/>
          <w:szCs w:val="20"/>
        </w:rPr>
        <w:t xml:space="preserve">授权代理人（签字）：      </w:t>
      </w:r>
    </w:p>
    <w:p w14:paraId="5FF6A495">
      <w:pPr>
        <w:widowControl w:val="0"/>
        <w:spacing w:line="720" w:lineRule="auto"/>
        <w:ind w:firstLine="630" w:firstLineChars="300"/>
        <w:rPr>
          <w:rFonts w:hint="default" w:ascii="宋体" w:hAnsi="宋体" w:eastAsia="宋体" w:cs="Times New Roman"/>
          <w:color w:val="auto"/>
          <w:kern w:val="2"/>
          <w:szCs w:val="20"/>
        </w:rPr>
      </w:pPr>
      <w:r>
        <w:rPr>
          <w:rFonts w:hint="eastAsia" w:ascii="宋体" w:hAnsi="宋体" w:eastAsia="宋体" w:cs="Times New Roman"/>
          <w:color w:val="auto"/>
          <w:kern w:val="2"/>
          <w:szCs w:val="20"/>
        </w:rPr>
        <w:t>部门负责人（签字）：</w:t>
      </w:r>
      <w:r>
        <w:rPr>
          <w:rFonts w:hint="default" w:ascii="宋体" w:hAnsi="宋体" w:eastAsia="宋体" w:cs="Times New Roman"/>
          <w:color w:val="auto"/>
          <w:kern w:val="2"/>
          <w:szCs w:val="20"/>
        </w:rPr>
        <w:t xml:space="preserve">      </w:t>
      </w:r>
      <w:r>
        <w:rPr>
          <w:rFonts w:hint="eastAsia" w:ascii="宋体" w:hAnsi="宋体" w:eastAsia="宋体" w:cs="Times New Roman"/>
          <w:color w:val="auto"/>
          <w:kern w:val="2"/>
          <w:szCs w:val="20"/>
        </w:rPr>
        <w:t xml:space="preserve">               </w:t>
      </w:r>
      <w:r>
        <w:rPr>
          <w:rFonts w:hint="default" w:ascii="宋体" w:hAnsi="宋体" w:eastAsia="宋体" w:cs="Times New Roman"/>
          <w:color w:val="auto"/>
          <w:kern w:val="2"/>
          <w:szCs w:val="20"/>
        </w:rPr>
        <w:t>部门负责</w:t>
      </w:r>
      <w:r>
        <w:rPr>
          <w:rFonts w:hint="eastAsia" w:ascii="宋体" w:hAnsi="宋体" w:eastAsia="宋体" w:cs="Times New Roman"/>
          <w:color w:val="auto"/>
          <w:kern w:val="2"/>
          <w:szCs w:val="20"/>
        </w:rPr>
        <w:t>人（签字）：</w:t>
      </w:r>
      <w:r>
        <w:rPr>
          <w:rFonts w:hint="default" w:ascii="宋体" w:hAnsi="宋体" w:eastAsia="宋体" w:cs="Times New Roman"/>
          <w:color w:val="auto"/>
          <w:kern w:val="2"/>
          <w:szCs w:val="20"/>
        </w:rPr>
        <w:t xml:space="preserve">       </w:t>
      </w:r>
    </w:p>
    <w:p w14:paraId="6EA13E58">
      <w:pPr>
        <w:widowControl w:val="0"/>
        <w:spacing w:line="720" w:lineRule="auto"/>
        <w:ind w:firstLine="630" w:firstLineChars="300"/>
        <w:rPr>
          <w:rFonts w:hint="default" w:ascii="宋体" w:hAnsi="宋体" w:eastAsia="宋体" w:cs="Times New Roman"/>
          <w:color w:val="auto"/>
          <w:kern w:val="2"/>
          <w:szCs w:val="20"/>
        </w:rPr>
      </w:pPr>
      <w:r>
        <w:rPr>
          <w:rFonts w:hint="eastAsia" w:ascii="宋体" w:hAnsi="宋体" w:eastAsia="宋体" w:cs="Times New Roman"/>
          <w:color w:val="auto"/>
          <w:kern w:val="2"/>
          <w:szCs w:val="20"/>
        </w:rPr>
        <w:t>项目负责人（签字）：</w:t>
      </w:r>
      <w:r>
        <w:rPr>
          <w:rFonts w:hint="default" w:ascii="宋体" w:hAnsi="宋体" w:eastAsia="宋体" w:cs="Times New Roman"/>
          <w:color w:val="auto"/>
          <w:kern w:val="2"/>
          <w:szCs w:val="20"/>
        </w:rPr>
        <w:t xml:space="preserve">      </w:t>
      </w:r>
      <w:r>
        <w:rPr>
          <w:rFonts w:hint="eastAsia" w:ascii="宋体" w:hAnsi="宋体" w:eastAsia="宋体" w:cs="Times New Roman"/>
          <w:color w:val="auto"/>
          <w:kern w:val="2"/>
          <w:szCs w:val="20"/>
        </w:rPr>
        <w:t xml:space="preserve">               项目</w:t>
      </w:r>
      <w:r>
        <w:rPr>
          <w:rFonts w:hint="default" w:ascii="宋体" w:hAnsi="宋体" w:eastAsia="宋体" w:cs="Times New Roman"/>
          <w:color w:val="auto"/>
          <w:kern w:val="2"/>
          <w:szCs w:val="20"/>
        </w:rPr>
        <w:t>负责</w:t>
      </w:r>
      <w:r>
        <w:rPr>
          <w:rFonts w:hint="eastAsia" w:ascii="宋体" w:hAnsi="宋体" w:eastAsia="宋体" w:cs="Times New Roman"/>
          <w:color w:val="auto"/>
          <w:kern w:val="2"/>
          <w:szCs w:val="20"/>
        </w:rPr>
        <w:t>人（签字）：</w:t>
      </w:r>
      <w:r>
        <w:rPr>
          <w:rFonts w:hint="default" w:ascii="宋体" w:hAnsi="宋体" w:eastAsia="宋体" w:cs="Times New Roman"/>
          <w:color w:val="auto"/>
          <w:kern w:val="2"/>
          <w:szCs w:val="20"/>
        </w:rPr>
        <w:t xml:space="preserve">      </w:t>
      </w:r>
    </w:p>
    <w:p w14:paraId="434C3D86">
      <w:pPr>
        <w:widowControl w:val="0"/>
        <w:spacing w:line="400" w:lineRule="exact"/>
        <w:ind w:firstLine="480"/>
        <w:jc w:val="center"/>
        <w:rPr>
          <w:rFonts w:hint="default" w:ascii="宋体" w:hAnsi="宋体" w:eastAsia="宋体" w:cs="方正仿宋_GBK"/>
          <w:b/>
          <w:color w:val="auto"/>
          <w:kern w:val="2"/>
          <w:sz w:val="24"/>
          <w:szCs w:val="21"/>
        </w:rPr>
      </w:pPr>
    </w:p>
    <w:p w14:paraId="44B31703">
      <w:pPr>
        <w:widowControl w:val="0"/>
        <w:spacing w:line="400" w:lineRule="exact"/>
        <w:ind w:firstLine="480"/>
        <w:jc w:val="center"/>
        <w:rPr>
          <w:rFonts w:hint="default" w:ascii="宋体" w:hAnsi="宋体" w:eastAsia="宋体" w:cs="方正仿宋_GBK"/>
          <w:b/>
          <w:color w:val="auto"/>
          <w:kern w:val="2"/>
          <w:sz w:val="24"/>
          <w:szCs w:val="21"/>
        </w:rPr>
      </w:pPr>
    </w:p>
    <w:p w14:paraId="7E2A8E3B">
      <w:pPr>
        <w:widowControl w:val="0"/>
        <w:spacing w:line="400" w:lineRule="exact"/>
        <w:ind w:firstLine="480"/>
        <w:jc w:val="center"/>
        <w:rPr>
          <w:rFonts w:hint="default" w:ascii="宋体" w:hAnsi="宋体" w:eastAsia="宋体" w:cs="方正仿宋_GBK"/>
          <w:b/>
          <w:color w:val="auto"/>
          <w:kern w:val="2"/>
          <w:sz w:val="24"/>
          <w:szCs w:val="21"/>
        </w:rPr>
      </w:pPr>
    </w:p>
    <w:p w14:paraId="67A14B8F">
      <w:pPr>
        <w:widowControl w:val="0"/>
        <w:spacing w:line="400" w:lineRule="exact"/>
        <w:ind w:firstLine="480"/>
        <w:jc w:val="center"/>
        <w:rPr>
          <w:rFonts w:hint="default" w:ascii="宋体" w:hAnsi="宋体" w:eastAsia="宋体" w:cs="方正仿宋_GBK"/>
          <w:b/>
          <w:color w:val="auto"/>
          <w:kern w:val="2"/>
          <w:sz w:val="24"/>
          <w:szCs w:val="21"/>
        </w:rPr>
      </w:pPr>
    </w:p>
    <w:p w14:paraId="0FCCA343">
      <w:pPr>
        <w:widowControl w:val="0"/>
        <w:spacing w:line="400" w:lineRule="exact"/>
        <w:ind w:firstLine="480"/>
        <w:jc w:val="center"/>
        <w:rPr>
          <w:rFonts w:hint="default" w:ascii="宋体" w:hAnsi="宋体" w:eastAsia="宋体" w:cs="方正仿宋_GBK"/>
          <w:b/>
          <w:color w:val="auto"/>
          <w:kern w:val="2"/>
          <w:sz w:val="24"/>
          <w:szCs w:val="21"/>
        </w:rPr>
      </w:pPr>
    </w:p>
    <w:p w14:paraId="75A58341">
      <w:pPr>
        <w:rPr>
          <w:rFonts w:hint="eastAsia" w:ascii="Times New Roman" w:hAnsi="Times New Roman" w:eastAsia="宋体" w:cs="Times New Roman"/>
          <w:color w:val="auto"/>
          <w:kern w:val="2"/>
          <w:sz w:val="24"/>
          <w:szCs w:val="24"/>
        </w:rPr>
      </w:pPr>
      <w:r>
        <w:rPr>
          <w:rFonts w:hint="eastAsia" w:ascii="Times New Roman" w:hAnsi="Times New Roman" w:eastAsia="宋体" w:cs="Times New Roman"/>
          <w:color w:val="auto"/>
          <w:kern w:val="2"/>
          <w:sz w:val="24"/>
          <w:szCs w:val="24"/>
        </w:rPr>
        <w:br w:type="page"/>
      </w:r>
    </w:p>
    <w:p w14:paraId="73BF7B2F">
      <w:pPr>
        <w:widowControl w:val="0"/>
        <w:spacing w:line="360" w:lineRule="auto"/>
        <w:jc w:val="left"/>
        <w:rPr>
          <w:rFonts w:hint="default" w:ascii="宋体" w:hAnsi="宋体" w:eastAsia="宋体" w:cs="宋体"/>
          <w:color w:val="auto"/>
          <w:kern w:val="2"/>
          <w:sz w:val="24"/>
          <w:szCs w:val="24"/>
        </w:rPr>
      </w:pPr>
      <w:r>
        <w:rPr>
          <w:rFonts w:hint="eastAsia" w:ascii="Times New Roman" w:hAnsi="Times New Roman" w:eastAsia="宋体" w:cs="Times New Roman"/>
          <w:color w:val="auto"/>
          <w:kern w:val="2"/>
          <w:sz w:val="24"/>
          <w:szCs w:val="24"/>
        </w:rPr>
        <w:t>附件1、</w:t>
      </w:r>
      <w:r>
        <w:rPr>
          <w:rFonts w:hint="default" w:ascii="宋体" w:hAnsi="宋体" w:eastAsia="宋体" w:cs="宋体"/>
          <w:color w:val="auto"/>
          <w:kern w:val="2"/>
          <w:sz w:val="24"/>
          <w:szCs w:val="24"/>
        </w:rPr>
        <w:t>市政雨水管道维护及应急抢修</w:t>
      </w:r>
      <w:r>
        <w:rPr>
          <w:rFonts w:hint="eastAsia" w:ascii="宋体" w:hAnsi="宋体" w:eastAsia="宋体" w:cs="宋体"/>
          <w:color w:val="auto"/>
          <w:kern w:val="2"/>
          <w:sz w:val="24"/>
          <w:szCs w:val="24"/>
        </w:rPr>
        <w:t>季度</w:t>
      </w:r>
      <w:r>
        <w:rPr>
          <w:rFonts w:hint="default" w:ascii="宋体" w:hAnsi="宋体" w:eastAsia="宋体" w:cs="宋体"/>
          <w:color w:val="auto"/>
          <w:kern w:val="2"/>
          <w:sz w:val="24"/>
          <w:szCs w:val="24"/>
        </w:rPr>
        <w:t>考核表</w:t>
      </w:r>
    </w:p>
    <w:tbl>
      <w:tblPr>
        <w:tblStyle w:val="403"/>
        <w:tblW w:w="9002"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76"/>
        <w:gridCol w:w="4895"/>
        <w:gridCol w:w="1298"/>
        <w:gridCol w:w="664"/>
        <w:gridCol w:w="682"/>
        <w:gridCol w:w="687"/>
      </w:tblGrid>
      <w:tr w14:paraId="511A3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7" w:hRule="atLeast"/>
        </w:trPr>
        <w:tc>
          <w:tcPr>
            <w:tcW w:w="776" w:type="dxa"/>
          </w:tcPr>
          <w:p w14:paraId="32D47FE3">
            <w:pPr>
              <w:widowControl w:val="0"/>
              <w:spacing w:before="172" w:line="184" w:lineRule="auto"/>
              <w:ind w:firstLine="183"/>
              <w:rPr>
                <w:rFonts w:hint="default" w:ascii="宋体" w:hAnsi="宋体" w:eastAsia="宋体" w:cs="宋体"/>
                <w:color w:val="auto"/>
                <w:kern w:val="2"/>
                <w:szCs w:val="21"/>
              </w:rPr>
            </w:pPr>
            <w:r>
              <w:rPr>
                <w:rFonts w:hint="default" w:ascii="宋体" w:hAnsi="宋体" w:eastAsia="宋体" w:cs="宋体"/>
                <w:color w:val="auto"/>
                <w:spacing w:val="-5"/>
                <w:kern w:val="2"/>
                <w:szCs w:val="21"/>
              </w:rPr>
              <w:t>类别</w:t>
            </w:r>
          </w:p>
        </w:tc>
        <w:tc>
          <w:tcPr>
            <w:tcW w:w="4895" w:type="dxa"/>
          </w:tcPr>
          <w:p w14:paraId="1CD2843B">
            <w:pPr>
              <w:widowControl w:val="0"/>
              <w:spacing w:before="172" w:line="184" w:lineRule="auto"/>
              <w:ind w:firstLine="2183"/>
              <w:rPr>
                <w:rFonts w:hint="default" w:ascii="宋体" w:hAnsi="宋体" w:eastAsia="宋体" w:cs="宋体"/>
                <w:color w:val="auto"/>
                <w:kern w:val="2"/>
                <w:szCs w:val="21"/>
              </w:rPr>
            </w:pPr>
            <w:r>
              <w:rPr>
                <w:rFonts w:hint="default" w:ascii="宋体" w:hAnsi="宋体" w:eastAsia="宋体" w:cs="宋体"/>
                <w:color w:val="auto"/>
                <w:spacing w:val="-18"/>
                <w:kern w:val="2"/>
                <w:szCs w:val="21"/>
              </w:rPr>
              <w:t>内容</w:t>
            </w:r>
          </w:p>
        </w:tc>
        <w:tc>
          <w:tcPr>
            <w:tcW w:w="1298" w:type="dxa"/>
          </w:tcPr>
          <w:p w14:paraId="495232E6">
            <w:pPr>
              <w:widowControl w:val="0"/>
              <w:spacing w:before="172" w:line="184" w:lineRule="auto"/>
              <w:ind w:firstLine="323"/>
              <w:rPr>
                <w:rFonts w:hint="default" w:ascii="宋体" w:hAnsi="宋体" w:eastAsia="宋体" w:cs="宋体"/>
                <w:color w:val="auto"/>
                <w:kern w:val="2"/>
                <w:szCs w:val="21"/>
              </w:rPr>
            </w:pPr>
            <w:r>
              <w:rPr>
                <w:rFonts w:hint="default" w:ascii="宋体" w:hAnsi="宋体" w:eastAsia="宋体" w:cs="宋体"/>
                <w:color w:val="auto"/>
                <w:spacing w:val="-3"/>
                <w:kern w:val="2"/>
                <w:szCs w:val="21"/>
              </w:rPr>
              <w:t>单项扣分</w:t>
            </w:r>
          </w:p>
        </w:tc>
        <w:tc>
          <w:tcPr>
            <w:tcW w:w="664" w:type="dxa"/>
          </w:tcPr>
          <w:p w14:paraId="15B4008E">
            <w:pPr>
              <w:widowControl w:val="0"/>
              <w:spacing w:before="172" w:line="184" w:lineRule="auto"/>
              <w:ind w:firstLine="131"/>
              <w:rPr>
                <w:rFonts w:hint="default" w:ascii="宋体" w:hAnsi="宋体" w:eastAsia="宋体" w:cs="宋体"/>
                <w:color w:val="auto"/>
                <w:kern w:val="2"/>
                <w:szCs w:val="21"/>
              </w:rPr>
            </w:pPr>
            <w:r>
              <w:rPr>
                <w:rFonts w:hint="default" w:ascii="宋体" w:hAnsi="宋体" w:eastAsia="宋体" w:cs="宋体"/>
                <w:color w:val="auto"/>
                <w:spacing w:val="-6"/>
                <w:kern w:val="2"/>
                <w:szCs w:val="21"/>
              </w:rPr>
              <w:t>分值</w:t>
            </w:r>
          </w:p>
        </w:tc>
        <w:tc>
          <w:tcPr>
            <w:tcW w:w="682" w:type="dxa"/>
          </w:tcPr>
          <w:p w14:paraId="27870C1C">
            <w:pPr>
              <w:widowControl w:val="0"/>
              <w:spacing w:before="172" w:line="184" w:lineRule="auto"/>
              <w:ind w:firstLine="142"/>
              <w:rPr>
                <w:rFonts w:hint="default" w:ascii="宋体" w:hAnsi="宋体" w:eastAsia="宋体" w:cs="宋体"/>
                <w:color w:val="auto"/>
                <w:kern w:val="2"/>
                <w:szCs w:val="21"/>
              </w:rPr>
            </w:pPr>
            <w:r>
              <w:rPr>
                <w:rFonts w:hint="default" w:ascii="宋体" w:hAnsi="宋体" w:eastAsia="宋体" w:cs="宋体"/>
                <w:color w:val="auto"/>
                <w:spacing w:val="-7"/>
                <w:kern w:val="2"/>
                <w:szCs w:val="21"/>
              </w:rPr>
              <w:t>扣分</w:t>
            </w:r>
          </w:p>
        </w:tc>
        <w:tc>
          <w:tcPr>
            <w:tcW w:w="687" w:type="dxa"/>
          </w:tcPr>
          <w:p w14:paraId="26840763">
            <w:pPr>
              <w:widowControl w:val="0"/>
              <w:spacing w:before="172" w:line="184" w:lineRule="auto"/>
              <w:ind w:firstLine="139"/>
              <w:rPr>
                <w:rFonts w:hint="default" w:ascii="宋体" w:hAnsi="宋体" w:eastAsia="宋体" w:cs="宋体"/>
                <w:color w:val="auto"/>
                <w:kern w:val="2"/>
                <w:szCs w:val="21"/>
              </w:rPr>
            </w:pPr>
            <w:r>
              <w:rPr>
                <w:rFonts w:hint="default" w:ascii="宋体" w:hAnsi="宋体" w:eastAsia="宋体" w:cs="宋体"/>
                <w:color w:val="auto"/>
                <w:spacing w:val="-5"/>
                <w:kern w:val="2"/>
                <w:szCs w:val="21"/>
              </w:rPr>
              <w:t>得分</w:t>
            </w:r>
          </w:p>
        </w:tc>
      </w:tr>
      <w:tr w14:paraId="0678A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25" w:hRule="atLeast"/>
        </w:trPr>
        <w:tc>
          <w:tcPr>
            <w:tcW w:w="776" w:type="dxa"/>
          </w:tcPr>
          <w:p w14:paraId="059ABBAA">
            <w:pPr>
              <w:widowControl w:val="0"/>
              <w:spacing w:before="306" w:line="312" w:lineRule="exact"/>
              <w:ind w:firstLine="186"/>
              <w:rPr>
                <w:rFonts w:hint="default" w:ascii="宋体" w:hAnsi="宋体" w:eastAsia="宋体" w:cs="宋体"/>
                <w:color w:val="auto"/>
                <w:kern w:val="2"/>
                <w:szCs w:val="21"/>
              </w:rPr>
            </w:pPr>
            <w:r>
              <w:rPr>
                <w:rFonts w:hint="default" w:ascii="宋体" w:hAnsi="宋体" w:eastAsia="宋体" w:cs="宋体"/>
                <w:color w:val="auto"/>
                <w:spacing w:val="-7"/>
                <w:kern w:val="2"/>
                <w:position w:val="6"/>
                <w:szCs w:val="21"/>
              </w:rPr>
              <w:t>力量</w:t>
            </w:r>
          </w:p>
          <w:p w14:paraId="1AA435BC">
            <w:pPr>
              <w:widowControl w:val="0"/>
              <w:spacing w:line="204" w:lineRule="auto"/>
              <w:ind w:firstLine="183"/>
              <w:rPr>
                <w:rFonts w:hint="default" w:ascii="宋体" w:hAnsi="宋体" w:eastAsia="宋体" w:cs="宋体"/>
                <w:color w:val="auto"/>
                <w:kern w:val="2"/>
                <w:szCs w:val="21"/>
              </w:rPr>
            </w:pPr>
            <w:r>
              <w:rPr>
                <w:rFonts w:hint="default" w:ascii="宋体" w:hAnsi="宋体" w:eastAsia="宋体" w:cs="宋体"/>
                <w:color w:val="auto"/>
                <w:spacing w:val="-5"/>
                <w:kern w:val="2"/>
                <w:szCs w:val="21"/>
              </w:rPr>
              <w:t>配备</w:t>
            </w:r>
          </w:p>
        </w:tc>
        <w:tc>
          <w:tcPr>
            <w:tcW w:w="4895" w:type="dxa"/>
          </w:tcPr>
          <w:p w14:paraId="679A5F38">
            <w:pPr>
              <w:widowControl w:val="0"/>
              <w:spacing w:before="190" w:line="239" w:lineRule="auto"/>
              <w:ind w:left="21" w:right="91" w:firstLine="13"/>
              <w:rPr>
                <w:rFonts w:hint="default" w:ascii="宋体" w:hAnsi="宋体" w:eastAsia="宋体" w:cs="宋体"/>
                <w:color w:val="auto"/>
                <w:kern w:val="2"/>
                <w:szCs w:val="21"/>
              </w:rPr>
            </w:pPr>
            <w:r>
              <w:rPr>
                <w:rFonts w:hint="default" w:ascii="宋体" w:hAnsi="宋体" w:eastAsia="宋体" w:cs="宋体"/>
                <w:color w:val="auto"/>
                <w:spacing w:val="-8"/>
                <w:kern w:val="2"/>
                <w:szCs w:val="21"/>
              </w:rPr>
              <w:t>1.管理人员：供应商须按投标文件承诺为本项目配</w:t>
            </w:r>
            <w:r>
              <w:rPr>
                <w:rFonts w:hint="default" w:ascii="宋体" w:hAnsi="宋体" w:eastAsia="宋体" w:cs="宋体"/>
                <w:color w:val="auto"/>
                <w:spacing w:val="-1"/>
                <w:kern w:val="2"/>
                <w:szCs w:val="21"/>
              </w:rPr>
              <w:t>备足够的管理人员，现场每个点位须配备一名管理</w:t>
            </w:r>
            <w:r>
              <w:rPr>
                <w:rFonts w:hint="default" w:ascii="宋体" w:hAnsi="宋体" w:eastAsia="宋体" w:cs="宋体"/>
                <w:color w:val="auto"/>
                <w:spacing w:val="-2"/>
                <w:kern w:val="2"/>
                <w:szCs w:val="21"/>
              </w:rPr>
              <w:t>人员和一名安全员。</w:t>
            </w:r>
          </w:p>
        </w:tc>
        <w:tc>
          <w:tcPr>
            <w:tcW w:w="1298" w:type="dxa"/>
          </w:tcPr>
          <w:p w14:paraId="0E0D6E8E">
            <w:pPr>
              <w:widowControl w:val="0"/>
              <w:spacing w:before="150" w:line="184" w:lineRule="auto"/>
              <w:ind w:firstLine="323"/>
              <w:rPr>
                <w:rFonts w:hint="default" w:ascii="宋体" w:hAnsi="宋体" w:eastAsia="宋体" w:cs="宋体"/>
                <w:color w:val="auto"/>
                <w:kern w:val="2"/>
                <w:szCs w:val="21"/>
              </w:rPr>
            </w:pPr>
            <w:r>
              <w:rPr>
                <w:rFonts w:hint="default" w:ascii="宋体" w:hAnsi="宋体" w:eastAsia="宋体" w:cs="宋体"/>
                <w:color w:val="auto"/>
                <w:spacing w:val="-3"/>
                <w:kern w:val="2"/>
                <w:szCs w:val="21"/>
              </w:rPr>
              <w:t>人员配备</w:t>
            </w:r>
          </w:p>
          <w:p w14:paraId="5419697A">
            <w:pPr>
              <w:widowControl w:val="0"/>
              <w:spacing w:before="102" w:line="184" w:lineRule="auto"/>
              <w:ind w:firstLine="324"/>
              <w:rPr>
                <w:rFonts w:hint="default" w:ascii="宋体" w:hAnsi="宋体" w:eastAsia="宋体" w:cs="宋体"/>
                <w:color w:val="auto"/>
                <w:kern w:val="2"/>
                <w:szCs w:val="21"/>
              </w:rPr>
            </w:pPr>
            <w:r>
              <w:rPr>
                <w:rFonts w:hint="default" w:ascii="宋体" w:hAnsi="宋体" w:eastAsia="宋体" w:cs="宋体"/>
                <w:color w:val="auto"/>
                <w:spacing w:val="-4"/>
                <w:kern w:val="2"/>
                <w:szCs w:val="21"/>
              </w:rPr>
              <w:t>未达要求</w:t>
            </w:r>
          </w:p>
          <w:p w14:paraId="1CA46DE2">
            <w:pPr>
              <w:widowControl w:val="0"/>
              <w:spacing w:before="102" w:line="184" w:lineRule="auto"/>
              <w:ind w:firstLine="272"/>
              <w:rPr>
                <w:rFonts w:hint="default" w:ascii="宋体" w:hAnsi="宋体" w:eastAsia="宋体" w:cs="宋体"/>
                <w:color w:val="auto"/>
                <w:kern w:val="2"/>
                <w:szCs w:val="21"/>
              </w:rPr>
            </w:pPr>
            <w:r>
              <w:rPr>
                <w:rFonts w:hint="default" w:ascii="宋体" w:hAnsi="宋体" w:eastAsia="宋体" w:cs="宋体"/>
                <w:color w:val="auto"/>
                <w:spacing w:val="-10"/>
                <w:kern w:val="2"/>
                <w:szCs w:val="21"/>
              </w:rPr>
              <w:t>扣</w:t>
            </w:r>
            <w:r>
              <w:rPr>
                <w:rFonts w:hint="default" w:ascii="宋体" w:hAnsi="宋体" w:eastAsia="宋体" w:cs="宋体"/>
                <w:color w:val="auto"/>
                <w:spacing w:val="-26"/>
                <w:kern w:val="2"/>
                <w:szCs w:val="21"/>
              </w:rPr>
              <w:t xml:space="preserve"> </w:t>
            </w:r>
            <w:r>
              <w:rPr>
                <w:rFonts w:hint="default" w:ascii="宋体" w:hAnsi="宋体" w:eastAsia="宋体" w:cs="宋体"/>
                <w:color w:val="auto"/>
                <w:spacing w:val="-10"/>
                <w:kern w:val="2"/>
                <w:szCs w:val="21"/>
              </w:rPr>
              <w:t>1</w:t>
            </w:r>
            <w:r>
              <w:rPr>
                <w:rFonts w:hint="default" w:ascii="宋体" w:hAnsi="宋体" w:eastAsia="宋体" w:cs="宋体"/>
                <w:color w:val="auto"/>
                <w:spacing w:val="-40"/>
                <w:kern w:val="2"/>
                <w:szCs w:val="21"/>
              </w:rPr>
              <w:t xml:space="preserve"> </w:t>
            </w:r>
            <w:r>
              <w:rPr>
                <w:rFonts w:hint="default" w:ascii="宋体" w:hAnsi="宋体" w:eastAsia="宋体" w:cs="宋体"/>
                <w:color w:val="auto"/>
                <w:spacing w:val="-10"/>
                <w:kern w:val="2"/>
                <w:szCs w:val="21"/>
              </w:rPr>
              <w:t>分/次</w:t>
            </w:r>
          </w:p>
        </w:tc>
        <w:tc>
          <w:tcPr>
            <w:tcW w:w="664" w:type="dxa"/>
          </w:tcPr>
          <w:p w14:paraId="27464447">
            <w:pPr>
              <w:widowControl w:val="0"/>
              <w:spacing w:line="346" w:lineRule="auto"/>
              <w:rPr>
                <w:rFonts w:hint="default" w:ascii="宋体" w:hAnsi="Times New Roman" w:eastAsia="宋体" w:cs="Times New Roman"/>
                <w:color w:val="auto"/>
                <w:kern w:val="2"/>
                <w:szCs w:val="20"/>
              </w:rPr>
            </w:pPr>
          </w:p>
          <w:p w14:paraId="5D41580C">
            <w:pPr>
              <w:widowControl w:val="0"/>
              <w:spacing w:before="69" w:line="184" w:lineRule="auto"/>
              <w:ind w:firstLine="159"/>
              <w:rPr>
                <w:rFonts w:hint="default" w:ascii="宋体" w:hAnsi="宋体" w:eastAsia="宋体" w:cs="宋体"/>
                <w:color w:val="auto"/>
                <w:kern w:val="2"/>
                <w:szCs w:val="21"/>
              </w:rPr>
            </w:pPr>
            <w:r>
              <w:rPr>
                <w:rFonts w:hint="default" w:ascii="宋体" w:hAnsi="宋体" w:eastAsia="宋体" w:cs="宋体"/>
                <w:color w:val="auto"/>
                <w:spacing w:val="-7"/>
                <w:kern w:val="2"/>
                <w:szCs w:val="21"/>
              </w:rPr>
              <w:t>5</w:t>
            </w:r>
            <w:r>
              <w:rPr>
                <w:rFonts w:hint="default" w:ascii="宋体" w:hAnsi="宋体" w:eastAsia="宋体" w:cs="宋体"/>
                <w:color w:val="auto"/>
                <w:spacing w:val="-40"/>
                <w:kern w:val="2"/>
                <w:szCs w:val="21"/>
              </w:rPr>
              <w:t xml:space="preserve"> </w:t>
            </w:r>
            <w:r>
              <w:rPr>
                <w:rFonts w:hint="default" w:ascii="宋体" w:hAnsi="宋体" w:eastAsia="宋体" w:cs="宋体"/>
                <w:color w:val="auto"/>
                <w:spacing w:val="-7"/>
                <w:kern w:val="2"/>
                <w:szCs w:val="21"/>
              </w:rPr>
              <w:t>分</w:t>
            </w:r>
          </w:p>
        </w:tc>
        <w:tc>
          <w:tcPr>
            <w:tcW w:w="682" w:type="dxa"/>
          </w:tcPr>
          <w:p w14:paraId="7BE8FB67">
            <w:pPr>
              <w:widowControl w:val="0"/>
              <w:rPr>
                <w:rFonts w:hint="default" w:ascii="宋体" w:hAnsi="Times New Roman" w:eastAsia="宋体" w:cs="Times New Roman"/>
                <w:color w:val="auto"/>
                <w:kern w:val="2"/>
                <w:szCs w:val="20"/>
              </w:rPr>
            </w:pPr>
          </w:p>
        </w:tc>
        <w:tc>
          <w:tcPr>
            <w:tcW w:w="687" w:type="dxa"/>
          </w:tcPr>
          <w:p w14:paraId="0241BE2F">
            <w:pPr>
              <w:widowControl w:val="0"/>
              <w:rPr>
                <w:rFonts w:hint="default" w:ascii="宋体" w:hAnsi="Times New Roman" w:eastAsia="宋体" w:cs="Times New Roman"/>
                <w:color w:val="auto"/>
                <w:kern w:val="2"/>
                <w:szCs w:val="20"/>
              </w:rPr>
            </w:pPr>
          </w:p>
        </w:tc>
      </w:tr>
      <w:tr w14:paraId="4406E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56" w:hRule="atLeast"/>
        </w:trPr>
        <w:tc>
          <w:tcPr>
            <w:tcW w:w="776" w:type="dxa"/>
            <w:vMerge w:val="restart"/>
          </w:tcPr>
          <w:p w14:paraId="6B0989B7">
            <w:pPr>
              <w:widowControl w:val="0"/>
              <w:spacing w:line="252" w:lineRule="auto"/>
              <w:rPr>
                <w:rFonts w:hint="default" w:ascii="宋体" w:hAnsi="Times New Roman" w:eastAsia="宋体" w:cs="Times New Roman"/>
                <w:color w:val="auto"/>
                <w:kern w:val="2"/>
                <w:szCs w:val="20"/>
              </w:rPr>
            </w:pPr>
          </w:p>
          <w:p w14:paraId="40301E9B">
            <w:pPr>
              <w:widowControl w:val="0"/>
              <w:spacing w:line="253" w:lineRule="auto"/>
              <w:rPr>
                <w:rFonts w:hint="default" w:ascii="宋体" w:hAnsi="Times New Roman" w:eastAsia="宋体" w:cs="Times New Roman"/>
                <w:color w:val="auto"/>
                <w:kern w:val="2"/>
                <w:szCs w:val="20"/>
              </w:rPr>
            </w:pPr>
          </w:p>
          <w:p w14:paraId="3898929A">
            <w:pPr>
              <w:widowControl w:val="0"/>
              <w:spacing w:line="253" w:lineRule="auto"/>
              <w:rPr>
                <w:rFonts w:hint="default" w:ascii="宋体" w:hAnsi="Times New Roman" w:eastAsia="宋体" w:cs="Times New Roman"/>
                <w:color w:val="auto"/>
                <w:kern w:val="2"/>
                <w:szCs w:val="20"/>
              </w:rPr>
            </w:pPr>
          </w:p>
          <w:p w14:paraId="7A6569C4">
            <w:pPr>
              <w:widowControl w:val="0"/>
              <w:spacing w:line="253" w:lineRule="auto"/>
              <w:rPr>
                <w:rFonts w:hint="default" w:ascii="宋体" w:hAnsi="Times New Roman" w:eastAsia="宋体" w:cs="Times New Roman"/>
                <w:color w:val="auto"/>
                <w:kern w:val="2"/>
                <w:szCs w:val="20"/>
              </w:rPr>
            </w:pPr>
          </w:p>
          <w:p w14:paraId="50782A72">
            <w:pPr>
              <w:widowControl w:val="0"/>
              <w:spacing w:line="253" w:lineRule="auto"/>
              <w:rPr>
                <w:rFonts w:hint="default" w:ascii="宋体" w:hAnsi="Times New Roman" w:eastAsia="宋体" w:cs="Times New Roman"/>
                <w:color w:val="auto"/>
                <w:kern w:val="2"/>
                <w:szCs w:val="20"/>
              </w:rPr>
            </w:pPr>
          </w:p>
          <w:p w14:paraId="7109F9FF">
            <w:pPr>
              <w:widowControl w:val="0"/>
              <w:spacing w:line="253" w:lineRule="auto"/>
              <w:rPr>
                <w:rFonts w:hint="default" w:ascii="宋体" w:hAnsi="Times New Roman" w:eastAsia="宋体" w:cs="Times New Roman"/>
                <w:color w:val="auto"/>
                <w:kern w:val="2"/>
                <w:szCs w:val="20"/>
              </w:rPr>
            </w:pPr>
          </w:p>
          <w:p w14:paraId="2171B364">
            <w:pPr>
              <w:widowControl w:val="0"/>
              <w:spacing w:line="253" w:lineRule="auto"/>
              <w:rPr>
                <w:rFonts w:hint="default" w:ascii="宋体" w:hAnsi="Times New Roman" w:eastAsia="宋体" w:cs="Times New Roman"/>
                <w:color w:val="auto"/>
                <w:kern w:val="2"/>
                <w:szCs w:val="20"/>
              </w:rPr>
            </w:pPr>
          </w:p>
          <w:p w14:paraId="222A48EE">
            <w:pPr>
              <w:widowControl w:val="0"/>
              <w:spacing w:line="253" w:lineRule="auto"/>
              <w:rPr>
                <w:rFonts w:hint="default" w:ascii="宋体" w:hAnsi="Times New Roman" w:eastAsia="宋体" w:cs="Times New Roman"/>
                <w:color w:val="auto"/>
                <w:kern w:val="2"/>
                <w:szCs w:val="20"/>
              </w:rPr>
            </w:pPr>
          </w:p>
          <w:p w14:paraId="7920FBEC">
            <w:pPr>
              <w:widowControl w:val="0"/>
              <w:spacing w:line="253" w:lineRule="auto"/>
              <w:rPr>
                <w:rFonts w:hint="default" w:ascii="宋体" w:hAnsi="Times New Roman" w:eastAsia="宋体" w:cs="Times New Roman"/>
                <w:color w:val="auto"/>
                <w:kern w:val="2"/>
                <w:szCs w:val="20"/>
              </w:rPr>
            </w:pPr>
          </w:p>
          <w:p w14:paraId="5D407B39">
            <w:pPr>
              <w:widowControl w:val="0"/>
              <w:spacing w:line="253" w:lineRule="auto"/>
              <w:rPr>
                <w:rFonts w:hint="default" w:ascii="宋体" w:hAnsi="Times New Roman" w:eastAsia="宋体" w:cs="Times New Roman"/>
                <w:color w:val="auto"/>
                <w:kern w:val="2"/>
                <w:szCs w:val="20"/>
              </w:rPr>
            </w:pPr>
          </w:p>
          <w:p w14:paraId="36B99300">
            <w:pPr>
              <w:widowControl w:val="0"/>
              <w:spacing w:line="253" w:lineRule="auto"/>
              <w:rPr>
                <w:rFonts w:hint="default" w:ascii="宋体" w:hAnsi="Times New Roman" w:eastAsia="宋体" w:cs="Times New Roman"/>
                <w:color w:val="auto"/>
                <w:kern w:val="2"/>
                <w:szCs w:val="20"/>
              </w:rPr>
            </w:pPr>
          </w:p>
          <w:p w14:paraId="7E7AC461">
            <w:pPr>
              <w:widowControl w:val="0"/>
              <w:spacing w:line="253" w:lineRule="auto"/>
              <w:rPr>
                <w:rFonts w:hint="default" w:ascii="宋体" w:hAnsi="Times New Roman" w:eastAsia="宋体" w:cs="Times New Roman"/>
                <w:color w:val="auto"/>
                <w:kern w:val="2"/>
                <w:szCs w:val="20"/>
              </w:rPr>
            </w:pPr>
          </w:p>
          <w:p w14:paraId="432E0FC0">
            <w:pPr>
              <w:widowControl w:val="0"/>
              <w:spacing w:line="253" w:lineRule="auto"/>
              <w:rPr>
                <w:rFonts w:hint="default" w:ascii="宋体" w:hAnsi="Times New Roman" w:eastAsia="宋体" w:cs="Times New Roman"/>
                <w:color w:val="auto"/>
                <w:kern w:val="2"/>
                <w:szCs w:val="20"/>
              </w:rPr>
            </w:pPr>
          </w:p>
          <w:p w14:paraId="1B4F4452">
            <w:pPr>
              <w:widowControl w:val="0"/>
              <w:spacing w:line="253" w:lineRule="auto"/>
              <w:rPr>
                <w:rFonts w:hint="default" w:ascii="宋体" w:hAnsi="Times New Roman" w:eastAsia="宋体" w:cs="Times New Roman"/>
                <w:color w:val="auto"/>
                <w:kern w:val="2"/>
                <w:szCs w:val="20"/>
              </w:rPr>
            </w:pPr>
          </w:p>
          <w:p w14:paraId="2027B495">
            <w:pPr>
              <w:widowControl w:val="0"/>
              <w:spacing w:line="253" w:lineRule="auto"/>
              <w:rPr>
                <w:rFonts w:hint="default" w:ascii="宋体" w:hAnsi="Times New Roman" w:eastAsia="宋体" w:cs="Times New Roman"/>
                <w:color w:val="auto"/>
                <w:kern w:val="2"/>
                <w:szCs w:val="20"/>
              </w:rPr>
            </w:pPr>
          </w:p>
          <w:p w14:paraId="21B204D4">
            <w:pPr>
              <w:widowControl w:val="0"/>
              <w:spacing w:before="68" w:line="312" w:lineRule="exact"/>
              <w:ind w:firstLine="186"/>
              <w:rPr>
                <w:rFonts w:hint="default" w:ascii="宋体" w:hAnsi="宋体" w:eastAsia="宋体" w:cs="宋体"/>
                <w:color w:val="auto"/>
                <w:kern w:val="2"/>
                <w:szCs w:val="21"/>
              </w:rPr>
            </w:pPr>
            <w:r>
              <w:rPr>
                <w:rFonts w:hint="default" w:ascii="宋体" w:hAnsi="宋体" w:eastAsia="宋体" w:cs="宋体"/>
                <w:color w:val="auto"/>
                <w:spacing w:val="-6"/>
                <w:kern w:val="2"/>
                <w:position w:val="6"/>
                <w:szCs w:val="21"/>
              </w:rPr>
              <w:t>工作</w:t>
            </w:r>
          </w:p>
          <w:p w14:paraId="0E2AC17B">
            <w:pPr>
              <w:widowControl w:val="0"/>
              <w:spacing w:line="204" w:lineRule="auto"/>
              <w:ind w:firstLine="187"/>
              <w:rPr>
                <w:rFonts w:hint="default" w:ascii="宋体" w:hAnsi="宋体" w:eastAsia="宋体" w:cs="宋体"/>
                <w:color w:val="auto"/>
                <w:kern w:val="2"/>
                <w:szCs w:val="21"/>
              </w:rPr>
            </w:pPr>
            <w:r>
              <w:rPr>
                <w:rFonts w:hint="default" w:ascii="宋体" w:hAnsi="宋体" w:eastAsia="宋体" w:cs="宋体"/>
                <w:color w:val="auto"/>
                <w:spacing w:val="-7"/>
                <w:kern w:val="2"/>
                <w:szCs w:val="21"/>
              </w:rPr>
              <w:t>管理</w:t>
            </w:r>
          </w:p>
        </w:tc>
        <w:tc>
          <w:tcPr>
            <w:tcW w:w="4895" w:type="dxa"/>
          </w:tcPr>
          <w:p w14:paraId="01F9BA98">
            <w:pPr>
              <w:widowControl w:val="0"/>
              <w:spacing w:before="223" w:line="274" w:lineRule="auto"/>
              <w:ind w:left="24" w:hanging="2"/>
              <w:rPr>
                <w:rFonts w:hint="default" w:ascii="宋体" w:hAnsi="宋体" w:eastAsia="宋体" w:cs="宋体"/>
                <w:color w:val="auto"/>
                <w:kern w:val="2"/>
                <w:szCs w:val="21"/>
              </w:rPr>
            </w:pPr>
            <w:r>
              <w:rPr>
                <w:rFonts w:hint="default" w:ascii="宋体" w:hAnsi="宋体" w:eastAsia="宋体" w:cs="宋体"/>
                <w:color w:val="auto"/>
                <w:spacing w:val="-5"/>
                <w:kern w:val="2"/>
                <w:szCs w:val="21"/>
              </w:rPr>
              <w:t>2、计划申报。供应商须及时上报本</w:t>
            </w:r>
            <w:r>
              <w:rPr>
                <w:rFonts w:hint="eastAsia" w:ascii="宋体" w:hAnsi="宋体" w:eastAsia="宋体" w:cs="宋体"/>
                <w:color w:val="auto"/>
                <w:spacing w:val="-5"/>
                <w:kern w:val="2"/>
                <w:szCs w:val="21"/>
              </w:rPr>
              <w:t>季度</w:t>
            </w:r>
            <w:r>
              <w:rPr>
                <w:rFonts w:hint="default" w:ascii="宋体" w:hAnsi="宋体" w:eastAsia="宋体" w:cs="宋体"/>
                <w:color w:val="auto"/>
                <w:spacing w:val="-5"/>
                <w:kern w:val="2"/>
                <w:szCs w:val="21"/>
              </w:rPr>
              <w:t>维护情况及下</w:t>
            </w:r>
            <w:r>
              <w:rPr>
                <w:rFonts w:hint="eastAsia" w:ascii="宋体" w:hAnsi="宋体" w:eastAsia="宋体" w:cs="宋体"/>
                <w:color w:val="auto"/>
                <w:spacing w:val="-6"/>
                <w:kern w:val="2"/>
                <w:szCs w:val="21"/>
              </w:rPr>
              <w:t>季度</w:t>
            </w:r>
            <w:r>
              <w:rPr>
                <w:rFonts w:hint="default" w:ascii="宋体" w:hAnsi="宋体" w:eastAsia="宋体" w:cs="宋体"/>
                <w:color w:val="auto"/>
                <w:spacing w:val="-6"/>
                <w:kern w:val="2"/>
                <w:szCs w:val="21"/>
              </w:rPr>
              <w:t>维护计划，根据甲方下达的指令单及时开展工作。</w:t>
            </w:r>
          </w:p>
        </w:tc>
        <w:tc>
          <w:tcPr>
            <w:tcW w:w="1298" w:type="dxa"/>
          </w:tcPr>
          <w:p w14:paraId="0B590945">
            <w:pPr>
              <w:widowControl w:val="0"/>
              <w:spacing w:before="67" w:line="184" w:lineRule="auto"/>
              <w:ind w:firstLine="321"/>
              <w:rPr>
                <w:rFonts w:hint="default" w:ascii="宋体" w:hAnsi="宋体" w:eastAsia="宋体" w:cs="宋体"/>
                <w:color w:val="auto"/>
                <w:kern w:val="2"/>
                <w:szCs w:val="21"/>
              </w:rPr>
            </w:pPr>
            <w:r>
              <w:rPr>
                <w:rFonts w:hint="default" w:ascii="宋体" w:hAnsi="宋体" w:eastAsia="宋体" w:cs="宋体"/>
                <w:color w:val="auto"/>
                <w:spacing w:val="-3"/>
                <w:kern w:val="2"/>
                <w:szCs w:val="21"/>
              </w:rPr>
              <w:t>计划申报</w:t>
            </w:r>
          </w:p>
          <w:p w14:paraId="68A1A7A2">
            <w:pPr>
              <w:widowControl w:val="0"/>
              <w:spacing w:before="102" w:line="184" w:lineRule="auto"/>
              <w:ind w:firstLine="324"/>
              <w:rPr>
                <w:rFonts w:hint="default" w:ascii="宋体" w:hAnsi="宋体" w:eastAsia="宋体" w:cs="宋体"/>
                <w:color w:val="auto"/>
                <w:kern w:val="2"/>
                <w:szCs w:val="21"/>
              </w:rPr>
            </w:pPr>
            <w:r>
              <w:rPr>
                <w:rFonts w:hint="default" w:ascii="宋体" w:hAnsi="宋体" w:eastAsia="宋体" w:cs="宋体"/>
                <w:color w:val="auto"/>
                <w:spacing w:val="-4"/>
                <w:kern w:val="2"/>
                <w:szCs w:val="21"/>
              </w:rPr>
              <w:t>未达要求</w:t>
            </w:r>
          </w:p>
          <w:p w14:paraId="797357AE">
            <w:pPr>
              <w:widowControl w:val="0"/>
              <w:spacing w:before="102" w:line="184" w:lineRule="auto"/>
              <w:ind w:firstLine="272"/>
              <w:rPr>
                <w:rFonts w:hint="default" w:ascii="宋体" w:hAnsi="宋体" w:eastAsia="宋体" w:cs="宋体"/>
                <w:color w:val="auto"/>
                <w:kern w:val="2"/>
                <w:szCs w:val="21"/>
              </w:rPr>
            </w:pPr>
            <w:r>
              <w:rPr>
                <w:rFonts w:hint="default" w:ascii="宋体" w:hAnsi="宋体" w:eastAsia="宋体" w:cs="宋体"/>
                <w:color w:val="auto"/>
                <w:spacing w:val="-7"/>
                <w:kern w:val="2"/>
                <w:szCs w:val="21"/>
              </w:rPr>
              <w:t>扣</w:t>
            </w:r>
            <w:r>
              <w:rPr>
                <w:rFonts w:hint="default" w:ascii="宋体" w:hAnsi="宋体" w:eastAsia="宋体" w:cs="宋体"/>
                <w:color w:val="auto"/>
                <w:spacing w:val="-41"/>
                <w:kern w:val="2"/>
                <w:szCs w:val="21"/>
              </w:rPr>
              <w:t xml:space="preserve"> </w:t>
            </w:r>
            <w:r>
              <w:rPr>
                <w:rFonts w:hint="default" w:ascii="宋体" w:hAnsi="宋体" w:eastAsia="宋体" w:cs="宋体"/>
                <w:color w:val="auto"/>
                <w:spacing w:val="-7"/>
                <w:kern w:val="2"/>
                <w:szCs w:val="21"/>
              </w:rPr>
              <w:t>2</w:t>
            </w:r>
            <w:r>
              <w:rPr>
                <w:rFonts w:hint="default" w:ascii="宋体" w:hAnsi="宋体" w:eastAsia="宋体" w:cs="宋体"/>
                <w:color w:val="auto"/>
                <w:spacing w:val="-40"/>
                <w:kern w:val="2"/>
                <w:szCs w:val="21"/>
              </w:rPr>
              <w:t xml:space="preserve"> </w:t>
            </w:r>
            <w:r>
              <w:rPr>
                <w:rFonts w:hint="default" w:ascii="宋体" w:hAnsi="宋体" w:eastAsia="宋体" w:cs="宋体"/>
                <w:color w:val="auto"/>
                <w:spacing w:val="-7"/>
                <w:kern w:val="2"/>
                <w:szCs w:val="21"/>
              </w:rPr>
              <w:t>分/次</w:t>
            </w:r>
          </w:p>
        </w:tc>
        <w:tc>
          <w:tcPr>
            <w:tcW w:w="664" w:type="dxa"/>
          </w:tcPr>
          <w:p w14:paraId="7FF2580D">
            <w:pPr>
              <w:widowControl w:val="0"/>
              <w:spacing w:line="273" w:lineRule="auto"/>
              <w:rPr>
                <w:rFonts w:hint="default" w:ascii="宋体" w:hAnsi="Times New Roman" w:eastAsia="宋体" w:cs="Times New Roman"/>
                <w:color w:val="auto"/>
                <w:kern w:val="2"/>
                <w:szCs w:val="20"/>
              </w:rPr>
            </w:pPr>
          </w:p>
          <w:p w14:paraId="52C82926">
            <w:pPr>
              <w:widowControl w:val="0"/>
              <w:spacing w:before="68" w:line="184" w:lineRule="auto"/>
              <w:ind w:firstLine="120"/>
              <w:rPr>
                <w:rFonts w:hint="default" w:ascii="宋体" w:hAnsi="宋体" w:eastAsia="宋体" w:cs="宋体"/>
                <w:color w:val="auto"/>
                <w:kern w:val="2"/>
                <w:szCs w:val="21"/>
              </w:rPr>
            </w:pPr>
            <w:r>
              <w:rPr>
                <w:rFonts w:hint="default" w:ascii="宋体" w:hAnsi="宋体" w:eastAsia="宋体" w:cs="宋体"/>
                <w:color w:val="auto"/>
                <w:spacing w:val="-8"/>
                <w:kern w:val="2"/>
                <w:szCs w:val="21"/>
              </w:rPr>
              <w:t>10</w:t>
            </w:r>
            <w:r>
              <w:rPr>
                <w:rFonts w:hint="default" w:ascii="宋体" w:hAnsi="宋体" w:eastAsia="宋体" w:cs="宋体"/>
                <w:color w:val="auto"/>
                <w:spacing w:val="-43"/>
                <w:kern w:val="2"/>
                <w:szCs w:val="21"/>
              </w:rPr>
              <w:t xml:space="preserve"> </w:t>
            </w:r>
            <w:r>
              <w:rPr>
                <w:rFonts w:hint="default" w:ascii="宋体" w:hAnsi="宋体" w:eastAsia="宋体" w:cs="宋体"/>
                <w:color w:val="auto"/>
                <w:spacing w:val="-8"/>
                <w:kern w:val="2"/>
                <w:szCs w:val="21"/>
              </w:rPr>
              <w:t>分</w:t>
            </w:r>
          </w:p>
        </w:tc>
        <w:tc>
          <w:tcPr>
            <w:tcW w:w="682" w:type="dxa"/>
          </w:tcPr>
          <w:p w14:paraId="22402033">
            <w:pPr>
              <w:widowControl w:val="0"/>
              <w:rPr>
                <w:rFonts w:hint="default" w:ascii="宋体" w:hAnsi="Times New Roman" w:eastAsia="宋体" w:cs="Times New Roman"/>
                <w:color w:val="auto"/>
                <w:kern w:val="2"/>
                <w:szCs w:val="20"/>
              </w:rPr>
            </w:pPr>
          </w:p>
        </w:tc>
        <w:tc>
          <w:tcPr>
            <w:tcW w:w="687" w:type="dxa"/>
          </w:tcPr>
          <w:p w14:paraId="2BA2B72D">
            <w:pPr>
              <w:widowControl w:val="0"/>
              <w:rPr>
                <w:rFonts w:hint="default" w:ascii="宋体" w:hAnsi="Times New Roman" w:eastAsia="宋体" w:cs="Times New Roman"/>
                <w:color w:val="auto"/>
                <w:kern w:val="2"/>
                <w:szCs w:val="20"/>
              </w:rPr>
            </w:pPr>
          </w:p>
        </w:tc>
      </w:tr>
      <w:tr w14:paraId="08B36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67" w:hRule="atLeast"/>
        </w:trPr>
        <w:tc>
          <w:tcPr>
            <w:tcW w:w="776" w:type="dxa"/>
            <w:vMerge w:val="continue"/>
          </w:tcPr>
          <w:p w14:paraId="663615DD">
            <w:pPr>
              <w:widowControl w:val="0"/>
              <w:rPr>
                <w:rFonts w:hint="default" w:ascii="宋体" w:hAnsi="Times New Roman" w:eastAsia="宋体" w:cs="Times New Roman"/>
                <w:color w:val="auto"/>
                <w:kern w:val="2"/>
                <w:szCs w:val="20"/>
              </w:rPr>
            </w:pPr>
          </w:p>
        </w:tc>
        <w:tc>
          <w:tcPr>
            <w:tcW w:w="4895" w:type="dxa"/>
          </w:tcPr>
          <w:p w14:paraId="0F87338A">
            <w:pPr>
              <w:widowControl w:val="0"/>
              <w:spacing w:before="65" w:line="252" w:lineRule="auto"/>
              <w:ind w:left="21" w:right="12" w:firstLine="2"/>
              <w:rPr>
                <w:rFonts w:hint="default" w:ascii="宋体" w:hAnsi="宋体" w:eastAsia="宋体" w:cs="宋体"/>
                <w:color w:val="auto"/>
                <w:kern w:val="2"/>
                <w:szCs w:val="21"/>
              </w:rPr>
            </w:pPr>
            <w:r>
              <w:rPr>
                <w:rFonts w:hint="default" w:ascii="宋体" w:hAnsi="宋体" w:eastAsia="宋体" w:cs="宋体"/>
                <w:color w:val="auto"/>
                <w:spacing w:val="-2"/>
                <w:kern w:val="2"/>
                <w:szCs w:val="21"/>
              </w:rPr>
              <w:t>3、指令落实。供应商须严格按照甲方指令单或审批</w:t>
            </w:r>
            <w:r>
              <w:rPr>
                <w:rFonts w:hint="default" w:ascii="宋体" w:hAnsi="宋体" w:eastAsia="宋体" w:cs="宋体"/>
                <w:color w:val="auto"/>
                <w:spacing w:val="3"/>
                <w:kern w:val="2"/>
                <w:szCs w:val="21"/>
              </w:rPr>
              <w:t>的实施方案开展工作，不得随意更改维护计划和方</w:t>
            </w:r>
            <w:r>
              <w:rPr>
                <w:rFonts w:hint="default" w:ascii="宋体" w:hAnsi="宋体" w:eastAsia="宋体" w:cs="宋体"/>
                <w:color w:val="auto"/>
                <w:spacing w:val="1"/>
                <w:kern w:val="2"/>
                <w:szCs w:val="21"/>
              </w:rPr>
              <w:t xml:space="preserve"> </w:t>
            </w:r>
            <w:r>
              <w:rPr>
                <w:rFonts w:hint="default" w:ascii="宋体" w:hAnsi="宋体" w:eastAsia="宋体" w:cs="宋体"/>
                <w:color w:val="auto"/>
                <w:spacing w:val="3"/>
                <w:kern w:val="2"/>
                <w:szCs w:val="21"/>
              </w:rPr>
              <w:t>案，如遇特殊情况无法按计划和方案实施的，需及</w:t>
            </w:r>
            <w:r>
              <w:rPr>
                <w:rFonts w:hint="default" w:ascii="宋体" w:hAnsi="宋体" w:eastAsia="宋体" w:cs="宋体"/>
                <w:color w:val="auto"/>
                <w:spacing w:val="-2"/>
                <w:kern w:val="2"/>
                <w:szCs w:val="21"/>
              </w:rPr>
              <w:t>时向采购人反馈。</w:t>
            </w:r>
          </w:p>
        </w:tc>
        <w:tc>
          <w:tcPr>
            <w:tcW w:w="1298" w:type="dxa"/>
          </w:tcPr>
          <w:p w14:paraId="0FAF0687">
            <w:pPr>
              <w:widowControl w:val="0"/>
              <w:spacing w:before="222" w:line="184" w:lineRule="auto"/>
              <w:ind w:firstLine="324"/>
              <w:rPr>
                <w:rFonts w:hint="default" w:ascii="宋体" w:hAnsi="宋体" w:eastAsia="宋体" w:cs="宋体"/>
                <w:color w:val="auto"/>
                <w:kern w:val="2"/>
                <w:szCs w:val="21"/>
              </w:rPr>
            </w:pPr>
            <w:r>
              <w:rPr>
                <w:rFonts w:hint="default" w:ascii="宋体" w:hAnsi="宋体" w:eastAsia="宋体" w:cs="宋体"/>
                <w:color w:val="auto"/>
                <w:spacing w:val="-3"/>
                <w:kern w:val="2"/>
                <w:szCs w:val="21"/>
              </w:rPr>
              <w:t>指令落实</w:t>
            </w:r>
          </w:p>
          <w:p w14:paraId="14426CFC">
            <w:pPr>
              <w:widowControl w:val="0"/>
              <w:spacing w:before="102" w:line="184" w:lineRule="auto"/>
              <w:ind w:firstLine="324"/>
              <w:rPr>
                <w:rFonts w:hint="default" w:ascii="宋体" w:hAnsi="宋体" w:eastAsia="宋体" w:cs="宋体"/>
                <w:color w:val="auto"/>
                <w:kern w:val="2"/>
                <w:szCs w:val="21"/>
              </w:rPr>
            </w:pPr>
            <w:r>
              <w:rPr>
                <w:rFonts w:hint="default" w:ascii="宋体" w:hAnsi="宋体" w:eastAsia="宋体" w:cs="宋体"/>
                <w:color w:val="auto"/>
                <w:spacing w:val="-4"/>
                <w:kern w:val="2"/>
                <w:szCs w:val="21"/>
              </w:rPr>
              <w:t>未达要求</w:t>
            </w:r>
          </w:p>
          <w:p w14:paraId="25AE1082">
            <w:pPr>
              <w:widowControl w:val="0"/>
              <w:spacing w:before="102" w:line="184" w:lineRule="auto"/>
              <w:ind w:firstLine="272"/>
              <w:rPr>
                <w:rFonts w:hint="default" w:ascii="宋体" w:hAnsi="宋体" w:eastAsia="宋体" w:cs="宋体"/>
                <w:color w:val="auto"/>
                <w:kern w:val="2"/>
                <w:szCs w:val="21"/>
              </w:rPr>
            </w:pPr>
            <w:r>
              <w:rPr>
                <w:rFonts w:hint="default" w:ascii="宋体" w:hAnsi="宋体" w:eastAsia="宋体" w:cs="宋体"/>
                <w:color w:val="auto"/>
                <w:spacing w:val="-7"/>
                <w:kern w:val="2"/>
                <w:szCs w:val="21"/>
              </w:rPr>
              <w:t>扣</w:t>
            </w:r>
            <w:r>
              <w:rPr>
                <w:rFonts w:hint="default" w:ascii="宋体" w:hAnsi="宋体" w:eastAsia="宋体" w:cs="宋体"/>
                <w:color w:val="auto"/>
                <w:spacing w:val="-41"/>
                <w:kern w:val="2"/>
                <w:szCs w:val="21"/>
              </w:rPr>
              <w:t xml:space="preserve"> </w:t>
            </w:r>
            <w:r>
              <w:rPr>
                <w:rFonts w:hint="default" w:ascii="宋体" w:hAnsi="宋体" w:eastAsia="宋体" w:cs="宋体"/>
                <w:color w:val="auto"/>
                <w:spacing w:val="-7"/>
                <w:kern w:val="2"/>
                <w:szCs w:val="21"/>
              </w:rPr>
              <w:t>2</w:t>
            </w:r>
            <w:r>
              <w:rPr>
                <w:rFonts w:hint="default" w:ascii="宋体" w:hAnsi="宋体" w:eastAsia="宋体" w:cs="宋体"/>
                <w:color w:val="auto"/>
                <w:spacing w:val="-40"/>
                <w:kern w:val="2"/>
                <w:szCs w:val="21"/>
              </w:rPr>
              <w:t xml:space="preserve"> </w:t>
            </w:r>
            <w:r>
              <w:rPr>
                <w:rFonts w:hint="default" w:ascii="宋体" w:hAnsi="宋体" w:eastAsia="宋体" w:cs="宋体"/>
                <w:color w:val="auto"/>
                <w:spacing w:val="-7"/>
                <w:kern w:val="2"/>
                <w:szCs w:val="21"/>
              </w:rPr>
              <w:t>分/次</w:t>
            </w:r>
          </w:p>
        </w:tc>
        <w:tc>
          <w:tcPr>
            <w:tcW w:w="664" w:type="dxa"/>
          </w:tcPr>
          <w:p w14:paraId="5EB2F12A">
            <w:pPr>
              <w:widowControl w:val="0"/>
              <w:spacing w:line="409" w:lineRule="auto"/>
              <w:rPr>
                <w:rFonts w:hint="default" w:ascii="宋体" w:hAnsi="Times New Roman" w:eastAsia="宋体" w:cs="Times New Roman"/>
                <w:color w:val="auto"/>
                <w:kern w:val="2"/>
                <w:szCs w:val="20"/>
              </w:rPr>
            </w:pPr>
          </w:p>
          <w:p w14:paraId="2C720647">
            <w:pPr>
              <w:widowControl w:val="0"/>
              <w:spacing w:before="69" w:line="184" w:lineRule="auto"/>
              <w:ind w:firstLine="120"/>
              <w:rPr>
                <w:rFonts w:hint="default" w:ascii="宋体" w:hAnsi="宋体" w:eastAsia="宋体" w:cs="宋体"/>
                <w:color w:val="auto"/>
                <w:kern w:val="2"/>
                <w:szCs w:val="21"/>
              </w:rPr>
            </w:pPr>
            <w:r>
              <w:rPr>
                <w:rFonts w:hint="default" w:ascii="宋体" w:hAnsi="宋体" w:eastAsia="宋体" w:cs="宋体"/>
                <w:color w:val="auto"/>
                <w:spacing w:val="-8"/>
                <w:kern w:val="2"/>
                <w:szCs w:val="21"/>
              </w:rPr>
              <w:t>10</w:t>
            </w:r>
            <w:r>
              <w:rPr>
                <w:rFonts w:hint="default" w:ascii="宋体" w:hAnsi="宋体" w:eastAsia="宋体" w:cs="宋体"/>
                <w:color w:val="auto"/>
                <w:spacing w:val="-43"/>
                <w:kern w:val="2"/>
                <w:szCs w:val="21"/>
              </w:rPr>
              <w:t xml:space="preserve"> </w:t>
            </w:r>
            <w:r>
              <w:rPr>
                <w:rFonts w:hint="default" w:ascii="宋体" w:hAnsi="宋体" w:eastAsia="宋体" w:cs="宋体"/>
                <w:color w:val="auto"/>
                <w:spacing w:val="-8"/>
                <w:kern w:val="2"/>
                <w:szCs w:val="21"/>
              </w:rPr>
              <w:t>分</w:t>
            </w:r>
          </w:p>
        </w:tc>
        <w:tc>
          <w:tcPr>
            <w:tcW w:w="682" w:type="dxa"/>
          </w:tcPr>
          <w:p w14:paraId="370F245E">
            <w:pPr>
              <w:widowControl w:val="0"/>
              <w:rPr>
                <w:rFonts w:hint="default" w:ascii="宋体" w:hAnsi="Times New Roman" w:eastAsia="宋体" w:cs="Times New Roman"/>
                <w:color w:val="auto"/>
                <w:kern w:val="2"/>
                <w:szCs w:val="20"/>
              </w:rPr>
            </w:pPr>
          </w:p>
        </w:tc>
        <w:tc>
          <w:tcPr>
            <w:tcW w:w="687" w:type="dxa"/>
          </w:tcPr>
          <w:p w14:paraId="291919E4">
            <w:pPr>
              <w:widowControl w:val="0"/>
              <w:rPr>
                <w:rFonts w:hint="default" w:ascii="宋体" w:hAnsi="Times New Roman" w:eastAsia="宋体" w:cs="Times New Roman"/>
                <w:color w:val="auto"/>
                <w:kern w:val="2"/>
                <w:szCs w:val="20"/>
              </w:rPr>
            </w:pPr>
          </w:p>
        </w:tc>
      </w:tr>
      <w:tr w14:paraId="1F05A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35" w:hRule="atLeast"/>
        </w:trPr>
        <w:tc>
          <w:tcPr>
            <w:tcW w:w="776" w:type="dxa"/>
            <w:vMerge w:val="continue"/>
          </w:tcPr>
          <w:p w14:paraId="570D4C76">
            <w:pPr>
              <w:widowControl w:val="0"/>
              <w:rPr>
                <w:rFonts w:hint="default" w:ascii="宋体" w:hAnsi="Times New Roman" w:eastAsia="宋体" w:cs="Times New Roman"/>
                <w:color w:val="auto"/>
                <w:kern w:val="2"/>
                <w:szCs w:val="20"/>
              </w:rPr>
            </w:pPr>
          </w:p>
        </w:tc>
        <w:tc>
          <w:tcPr>
            <w:tcW w:w="4895" w:type="dxa"/>
          </w:tcPr>
          <w:p w14:paraId="25FD55B8">
            <w:pPr>
              <w:widowControl w:val="0"/>
              <w:spacing w:before="263" w:line="274" w:lineRule="auto"/>
              <w:ind w:left="19" w:hanging="1"/>
              <w:rPr>
                <w:rFonts w:hint="default" w:ascii="宋体" w:hAnsi="宋体" w:eastAsia="宋体" w:cs="宋体"/>
                <w:color w:val="auto"/>
                <w:kern w:val="2"/>
                <w:szCs w:val="21"/>
              </w:rPr>
            </w:pPr>
            <w:r>
              <w:rPr>
                <w:rFonts w:hint="default" w:ascii="宋体" w:hAnsi="宋体" w:eastAsia="宋体" w:cs="宋体"/>
                <w:color w:val="auto"/>
                <w:spacing w:val="-10"/>
                <w:kern w:val="2"/>
                <w:szCs w:val="21"/>
              </w:rPr>
              <w:t>4、质量达标。供应商的所有维护质量必须满足规范、</w:t>
            </w:r>
            <w:r>
              <w:rPr>
                <w:rFonts w:hint="default" w:ascii="宋体" w:hAnsi="宋体" w:eastAsia="宋体" w:cs="宋体"/>
                <w:color w:val="auto"/>
                <w:spacing w:val="-4"/>
                <w:kern w:val="2"/>
                <w:szCs w:val="21"/>
              </w:rPr>
              <w:t>合同、清单要求。</w:t>
            </w:r>
          </w:p>
        </w:tc>
        <w:tc>
          <w:tcPr>
            <w:tcW w:w="1298" w:type="dxa"/>
          </w:tcPr>
          <w:p w14:paraId="24377AF0">
            <w:pPr>
              <w:widowControl w:val="0"/>
              <w:spacing w:before="107" w:line="184" w:lineRule="auto"/>
              <w:ind w:firstLine="531"/>
              <w:rPr>
                <w:rFonts w:hint="default" w:ascii="宋体" w:hAnsi="宋体" w:eastAsia="宋体" w:cs="宋体"/>
                <w:color w:val="auto"/>
                <w:kern w:val="2"/>
                <w:szCs w:val="21"/>
              </w:rPr>
            </w:pPr>
            <w:r>
              <w:rPr>
                <w:rFonts w:hint="default" w:ascii="宋体" w:hAnsi="宋体" w:eastAsia="宋体" w:cs="宋体"/>
                <w:color w:val="auto"/>
                <w:spacing w:val="-5"/>
                <w:kern w:val="2"/>
                <w:szCs w:val="21"/>
              </w:rPr>
              <w:t>质量</w:t>
            </w:r>
          </w:p>
          <w:p w14:paraId="3B4CFC1F">
            <w:pPr>
              <w:widowControl w:val="0"/>
              <w:spacing w:before="102" w:line="184" w:lineRule="auto"/>
              <w:ind w:firstLine="324"/>
              <w:rPr>
                <w:rFonts w:hint="default" w:ascii="宋体" w:hAnsi="宋体" w:eastAsia="宋体" w:cs="宋体"/>
                <w:color w:val="auto"/>
                <w:kern w:val="2"/>
                <w:szCs w:val="21"/>
              </w:rPr>
            </w:pPr>
            <w:r>
              <w:rPr>
                <w:rFonts w:hint="default" w:ascii="宋体" w:hAnsi="宋体" w:eastAsia="宋体" w:cs="宋体"/>
                <w:color w:val="auto"/>
                <w:spacing w:val="-4"/>
                <w:kern w:val="2"/>
                <w:szCs w:val="21"/>
              </w:rPr>
              <w:t>未达要求</w:t>
            </w:r>
          </w:p>
          <w:p w14:paraId="11F2ED93">
            <w:pPr>
              <w:widowControl w:val="0"/>
              <w:spacing w:before="102" w:line="184" w:lineRule="auto"/>
              <w:ind w:firstLine="272"/>
              <w:rPr>
                <w:rFonts w:hint="default" w:ascii="宋体" w:hAnsi="宋体" w:eastAsia="宋体" w:cs="宋体"/>
                <w:color w:val="auto"/>
                <w:kern w:val="2"/>
                <w:szCs w:val="21"/>
              </w:rPr>
            </w:pPr>
            <w:r>
              <w:rPr>
                <w:rFonts w:hint="default" w:ascii="宋体" w:hAnsi="宋体" w:eastAsia="宋体" w:cs="宋体"/>
                <w:color w:val="auto"/>
                <w:spacing w:val="-10"/>
                <w:kern w:val="2"/>
                <w:szCs w:val="21"/>
              </w:rPr>
              <w:t>扣</w:t>
            </w:r>
            <w:r>
              <w:rPr>
                <w:rFonts w:hint="default" w:ascii="宋体" w:hAnsi="宋体" w:eastAsia="宋体" w:cs="宋体"/>
                <w:color w:val="auto"/>
                <w:spacing w:val="-26"/>
                <w:kern w:val="2"/>
                <w:szCs w:val="21"/>
              </w:rPr>
              <w:t xml:space="preserve"> </w:t>
            </w:r>
            <w:r>
              <w:rPr>
                <w:rFonts w:hint="default" w:ascii="宋体" w:hAnsi="宋体" w:eastAsia="宋体" w:cs="宋体"/>
                <w:color w:val="auto"/>
                <w:spacing w:val="-10"/>
                <w:kern w:val="2"/>
                <w:szCs w:val="21"/>
              </w:rPr>
              <w:t>1</w:t>
            </w:r>
            <w:r>
              <w:rPr>
                <w:rFonts w:hint="default" w:ascii="宋体" w:hAnsi="宋体" w:eastAsia="宋体" w:cs="宋体"/>
                <w:color w:val="auto"/>
                <w:spacing w:val="-40"/>
                <w:kern w:val="2"/>
                <w:szCs w:val="21"/>
              </w:rPr>
              <w:t xml:space="preserve"> </w:t>
            </w:r>
            <w:r>
              <w:rPr>
                <w:rFonts w:hint="default" w:ascii="宋体" w:hAnsi="宋体" w:eastAsia="宋体" w:cs="宋体"/>
                <w:color w:val="auto"/>
                <w:spacing w:val="-10"/>
                <w:kern w:val="2"/>
                <w:szCs w:val="21"/>
              </w:rPr>
              <w:t>分/处</w:t>
            </w:r>
          </w:p>
        </w:tc>
        <w:tc>
          <w:tcPr>
            <w:tcW w:w="664" w:type="dxa"/>
          </w:tcPr>
          <w:p w14:paraId="73164062">
            <w:pPr>
              <w:widowControl w:val="0"/>
              <w:spacing w:line="308" w:lineRule="auto"/>
              <w:rPr>
                <w:rFonts w:hint="default" w:ascii="宋体" w:hAnsi="Times New Roman" w:eastAsia="宋体" w:cs="Times New Roman"/>
                <w:color w:val="auto"/>
                <w:kern w:val="2"/>
                <w:szCs w:val="20"/>
              </w:rPr>
            </w:pPr>
          </w:p>
          <w:p w14:paraId="2AB48EBF">
            <w:pPr>
              <w:widowControl w:val="0"/>
              <w:spacing w:before="68" w:line="184" w:lineRule="auto"/>
              <w:ind w:firstLine="159"/>
              <w:rPr>
                <w:rFonts w:hint="default" w:ascii="宋体" w:hAnsi="宋体" w:eastAsia="宋体" w:cs="宋体"/>
                <w:color w:val="auto"/>
                <w:kern w:val="2"/>
                <w:szCs w:val="21"/>
              </w:rPr>
            </w:pPr>
            <w:r>
              <w:rPr>
                <w:rFonts w:hint="default" w:ascii="宋体" w:hAnsi="宋体" w:eastAsia="宋体" w:cs="宋体"/>
                <w:color w:val="auto"/>
                <w:spacing w:val="-7"/>
                <w:kern w:val="2"/>
                <w:szCs w:val="21"/>
              </w:rPr>
              <w:t>5</w:t>
            </w:r>
            <w:r>
              <w:rPr>
                <w:rFonts w:hint="default" w:ascii="宋体" w:hAnsi="宋体" w:eastAsia="宋体" w:cs="宋体"/>
                <w:color w:val="auto"/>
                <w:spacing w:val="-40"/>
                <w:kern w:val="2"/>
                <w:szCs w:val="21"/>
              </w:rPr>
              <w:t xml:space="preserve"> </w:t>
            </w:r>
            <w:r>
              <w:rPr>
                <w:rFonts w:hint="default" w:ascii="宋体" w:hAnsi="宋体" w:eastAsia="宋体" w:cs="宋体"/>
                <w:color w:val="auto"/>
                <w:spacing w:val="-7"/>
                <w:kern w:val="2"/>
                <w:szCs w:val="21"/>
              </w:rPr>
              <w:t>分</w:t>
            </w:r>
          </w:p>
        </w:tc>
        <w:tc>
          <w:tcPr>
            <w:tcW w:w="682" w:type="dxa"/>
          </w:tcPr>
          <w:p w14:paraId="1527683B">
            <w:pPr>
              <w:widowControl w:val="0"/>
              <w:rPr>
                <w:rFonts w:hint="default" w:ascii="宋体" w:hAnsi="Times New Roman" w:eastAsia="宋体" w:cs="Times New Roman"/>
                <w:color w:val="auto"/>
                <w:kern w:val="2"/>
                <w:szCs w:val="20"/>
              </w:rPr>
            </w:pPr>
          </w:p>
        </w:tc>
        <w:tc>
          <w:tcPr>
            <w:tcW w:w="687" w:type="dxa"/>
          </w:tcPr>
          <w:p w14:paraId="2C74FFF5">
            <w:pPr>
              <w:widowControl w:val="0"/>
              <w:rPr>
                <w:rFonts w:hint="default" w:ascii="宋体" w:hAnsi="Times New Roman" w:eastAsia="宋体" w:cs="Times New Roman"/>
                <w:color w:val="auto"/>
                <w:kern w:val="2"/>
                <w:szCs w:val="20"/>
              </w:rPr>
            </w:pPr>
          </w:p>
        </w:tc>
      </w:tr>
      <w:tr w14:paraId="0DDAD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67" w:hRule="atLeast"/>
        </w:trPr>
        <w:tc>
          <w:tcPr>
            <w:tcW w:w="776" w:type="dxa"/>
            <w:vMerge w:val="continue"/>
          </w:tcPr>
          <w:p w14:paraId="05F967EE">
            <w:pPr>
              <w:widowControl w:val="0"/>
              <w:rPr>
                <w:rFonts w:hint="default" w:ascii="宋体" w:hAnsi="Times New Roman" w:eastAsia="宋体" w:cs="Times New Roman"/>
                <w:color w:val="auto"/>
                <w:kern w:val="2"/>
                <w:szCs w:val="20"/>
              </w:rPr>
            </w:pPr>
          </w:p>
        </w:tc>
        <w:tc>
          <w:tcPr>
            <w:tcW w:w="4895" w:type="dxa"/>
          </w:tcPr>
          <w:p w14:paraId="5841D3CD">
            <w:pPr>
              <w:widowControl w:val="0"/>
              <w:spacing w:before="66" w:line="252" w:lineRule="auto"/>
              <w:ind w:left="19" w:right="10" w:firstLine="4"/>
              <w:rPr>
                <w:rFonts w:hint="default" w:ascii="宋体" w:hAnsi="宋体" w:eastAsia="宋体" w:cs="宋体"/>
                <w:color w:val="auto"/>
                <w:kern w:val="2"/>
                <w:szCs w:val="21"/>
              </w:rPr>
            </w:pPr>
            <w:r>
              <w:rPr>
                <w:rFonts w:hint="default" w:ascii="宋体" w:hAnsi="宋体" w:eastAsia="宋体" w:cs="宋体"/>
                <w:color w:val="auto"/>
                <w:spacing w:val="-2"/>
                <w:kern w:val="2"/>
                <w:szCs w:val="21"/>
              </w:rPr>
              <w:t>5、应急响应。遇突发情况，供应商须在接到通知后</w:t>
            </w:r>
            <w:r>
              <w:rPr>
                <w:rFonts w:hint="default" w:ascii="宋体" w:hAnsi="宋体" w:eastAsia="宋体" w:cs="宋体"/>
                <w:color w:val="auto"/>
                <w:spacing w:val="1"/>
                <w:kern w:val="2"/>
                <w:szCs w:val="21"/>
              </w:rPr>
              <w:t>半小时内赶到现场，零星问题</w:t>
            </w:r>
            <w:r>
              <w:rPr>
                <w:rFonts w:hint="default" w:ascii="宋体" w:hAnsi="宋体" w:eastAsia="宋体" w:cs="宋体"/>
                <w:color w:val="auto"/>
                <w:spacing w:val="-21"/>
                <w:kern w:val="2"/>
                <w:szCs w:val="21"/>
              </w:rPr>
              <w:t xml:space="preserve"> </w:t>
            </w:r>
            <w:r>
              <w:rPr>
                <w:rFonts w:hint="default" w:ascii="宋体" w:hAnsi="宋体" w:eastAsia="宋体" w:cs="宋体"/>
                <w:color w:val="auto"/>
                <w:spacing w:val="1"/>
                <w:kern w:val="2"/>
                <w:szCs w:val="21"/>
              </w:rPr>
              <w:t>2</w:t>
            </w:r>
            <w:r>
              <w:rPr>
                <w:rFonts w:hint="default" w:ascii="宋体" w:hAnsi="宋体" w:eastAsia="宋体" w:cs="宋体"/>
                <w:color w:val="auto"/>
                <w:spacing w:val="-35"/>
                <w:kern w:val="2"/>
                <w:szCs w:val="21"/>
              </w:rPr>
              <w:t xml:space="preserve"> </w:t>
            </w:r>
            <w:r>
              <w:rPr>
                <w:rFonts w:hint="default" w:ascii="宋体" w:hAnsi="宋体" w:eastAsia="宋体" w:cs="宋体"/>
                <w:color w:val="auto"/>
                <w:spacing w:val="1"/>
                <w:kern w:val="2"/>
                <w:szCs w:val="21"/>
              </w:rPr>
              <w:t>小时内处理完毕，</w:t>
            </w:r>
            <w:r>
              <w:rPr>
                <w:rFonts w:hint="default" w:ascii="宋体" w:hAnsi="宋体" w:eastAsia="宋体" w:cs="宋体"/>
                <w:color w:val="auto"/>
                <w:spacing w:val="3"/>
                <w:kern w:val="2"/>
                <w:szCs w:val="21"/>
              </w:rPr>
              <w:t>重大问题无法立即处理的，需及时编制工作方案和</w:t>
            </w:r>
            <w:r>
              <w:rPr>
                <w:rFonts w:hint="default" w:ascii="宋体" w:hAnsi="宋体" w:eastAsia="宋体" w:cs="宋体"/>
                <w:color w:val="auto"/>
                <w:spacing w:val="-1"/>
                <w:kern w:val="2"/>
                <w:szCs w:val="21"/>
              </w:rPr>
              <w:t>计划上报给采购人。</w:t>
            </w:r>
          </w:p>
        </w:tc>
        <w:tc>
          <w:tcPr>
            <w:tcW w:w="1298" w:type="dxa"/>
          </w:tcPr>
          <w:p w14:paraId="056908A3">
            <w:pPr>
              <w:widowControl w:val="0"/>
              <w:spacing w:before="223" w:line="184" w:lineRule="auto"/>
              <w:ind w:firstLine="321"/>
              <w:rPr>
                <w:rFonts w:hint="default" w:ascii="宋体" w:hAnsi="宋体" w:eastAsia="宋体" w:cs="宋体"/>
                <w:color w:val="auto"/>
                <w:kern w:val="2"/>
                <w:szCs w:val="21"/>
              </w:rPr>
            </w:pPr>
            <w:r>
              <w:rPr>
                <w:rFonts w:hint="default" w:ascii="宋体" w:hAnsi="宋体" w:eastAsia="宋体" w:cs="宋体"/>
                <w:color w:val="auto"/>
                <w:spacing w:val="-3"/>
                <w:kern w:val="2"/>
                <w:szCs w:val="21"/>
              </w:rPr>
              <w:t>应急响应</w:t>
            </w:r>
          </w:p>
          <w:p w14:paraId="7396DF11">
            <w:pPr>
              <w:widowControl w:val="0"/>
              <w:spacing w:before="102" w:line="184" w:lineRule="auto"/>
              <w:ind w:firstLine="324"/>
              <w:rPr>
                <w:rFonts w:hint="default" w:ascii="宋体" w:hAnsi="宋体" w:eastAsia="宋体" w:cs="宋体"/>
                <w:color w:val="auto"/>
                <w:kern w:val="2"/>
                <w:szCs w:val="21"/>
              </w:rPr>
            </w:pPr>
            <w:r>
              <w:rPr>
                <w:rFonts w:hint="default" w:ascii="宋体" w:hAnsi="宋体" w:eastAsia="宋体" w:cs="宋体"/>
                <w:color w:val="auto"/>
                <w:spacing w:val="-4"/>
                <w:kern w:val="2"/>
                <w:szCs w:val="21"/>
              </w:rPr>
              <w:t>未达要求</w:t>
            </w:r>
          </w:p>
          <w:p w14:paraId="42D30A31">
            <w:pPr>
              <w:widowControl w:val="0"/>
              <w:spacing w:before="102" w:line="184" w:lineRule="auto"/>
              <w:ind w:firstLine="272"/>
              <w:rPr>
                <w:rFonts w:hint="default" w:ascii="宋体" w:hAnsi="宋体" w:eastAsia="宋体" w:cs="宋体"/>
                <w:color w:val="auto"/>
                <w:kern w:val="2"/>
                <w:szCs w:val="21"/>
              </w:rPr>
            </w:pPr>
            <w:r>
              <w:rPr>
                <w:rFonts w:hint="default" w:ascii="宋体" w:hAnsi="宋体" w:eastAsia="宋体" w:cs="宋体"/>
                <w:color w:val="auto"/>
                <w:spacing w:val="-10"/>
                <w:kern w:val="2"/>
                <w:szCs w:val="21"/>
              </w:rPr>
              <w:t>扣</w:t>
            </w:r>
            <w:r>
              <w:rPr>
                <w:rFonts w:hint="default" w:ascii="宋体" w:hAnsi="宋体" w:eastAsia="宋体" w:cs="宋体"/>
                <w:color w:val="auto"/>
                <w:spacing w:val="-26"/>
                <w:kern w:val="2"/>
                <w:szCs w:val="21"/>
              </w:rPr>
              <w:t xml:space="preserve"> </w:t>
            </w:r>
            <w:r>
              <w:rPr>
                <w:rFonts w:hint="default" w:ascii="宋体" w:hAnsi="宋体" w:eastAsia="宋体" w:cs="宋体"/>
                <w:color w:val="auto"/>
                <w:spacing w:val="-10"/>
                <w:kern w:val="2"/>
                <w:szCs w:val="21"/>
              </w:rPr>
              <w:t>1</w:t>
            </w:r>
            <w:r>
              <w:rPr>
                <w:rFonts w:hint="default" w:ascii="宋体" w:hAnsi="宋体" w:eastAsia="宋体" w:cs="宋体"/>
                <w:color w:val="auto"/>
                <w:spacing w:val="-40"/>
                <w:kern w:val="2"/>
                <w:szCs w:val="21"/>
              </w:rPr>
              <w:t xml:space="preserve"> </w:t>
            </w:r>
            <w:r>
              <w:rPr>
                <w:rFonts w:hint="default" w:ascii="宋体" w:hAnsi="宋体" w:eastAsia="宋体" w:cs="宋体"/>
                <w:color w:val="auto"/>
                <w:spacing w:val="-10"/>
                <w:kern w:val="2"/>
                <w:szCs w:val="21"/>
              </w:rPr>
              <w:t>分/次</w:t>
            </w:r>
          </w:p>
        </w:tc>
        <w:tc>
          <w:tcPr>
            <w:tcW w:w="664" w:type="dxa"/>
          </w:tcPr>
          <w:p w14:paraId="6045219D">
            <w:pPr>
              <w:widowControl w:val="0"/>
              <w:spacing w:line="411" w:lineRule="auto"/>
              <w:rPr>
                <w:rFonts w:hint="default" w:ascii="宋体" w:hAnsi="Times New Roman" w:eastAsia="宋体" w:cs="Times New Roman"/>
                <w:color w:val="auto"/>
                <w:kern w:val="2"/>
                <w:szCs w:val="20"/>
              </w:rPr>
            </w:pPr>
          </w:p>
          <w:p w14:paraId="303EEF1F">
            <w:pPr>
              <w:widowControl w:val="0"/>
              <w:spacing w:before="68" w:line="184" w:lineRule="auto"/>
              <w:ind w:firstLine="159"/>
              <w:rPr>
                <w:rFonts w:hint="default" w:ascii="宋体" w:hAnsi="宋体" w:eastAsia="宋体" w:cs="宋体"/>
                <w:color w:val="auto"/>
                <w:kern w:val="2"/>
                <w:szCs w:val="21"/>
              </w:rPr>
            </w:pPr>
            <w:r>
              <w:rPr>
                <w:rFonts w:hint="default" w:ascii="宋体" w:hAnsi="宋体" w:eastAsia="宋体" w:cs="宋体"/>
                <w:color w:val="auto"/>
                <w:spacing w:val="-7"/>
                <w:kern w:val="2"/>
                <w:szCs w:val="21"/>
              </w:rPr>
              <w:t>5</w:t>
            </w:r>
            <w:r>
              <w:rPr>
                <w:rFonts w:hint="default" w:ascii="宋体" w:hAnsi="宋体" w:eastAsia="宋体" w:cs="宋体"/>
                <w:color w:val="auto"/>
                <w:spacing w:val="-40"/>
                <w:kern w:val="2"/>
                <w:szCs w:val="21"/>
              </w:rPr>
              <w:t xml:space="preserve"> </w:t>
            </w:r>
            <w:r>
              <w:rPr>
                <w:rFonts w:hint="default" w:ascii="宋体" w:hAnsi="宋体" w:eastAsia="宋体" w:cs="宋体"/>
                <w:color w:val="auto"/>
                <w:spacing w:val="-7"/>
                <w:kern w:val="2"/>
                <w:szCs w:val="21"/>
              </w:rPr>
              <w:t>分</w:t>
            </w:r>
          </w:p>
        </w:tc>
        <w:tc>
          <w:tcPr>
            <w:tcW w:w="682" w:type="dxa"/>
          </w:tcPr>
          <w:p w14:paraId="755927A5">
            <w:pPr>
              <w:widowControl w:val="0"/>
              <w:rPr>
                <w:rFonts w:hint="default" w:ascii="宋体" w:hAnsi="Times New Roman" w:eastAsia="宋体" w:cs="Times New Roman"/>
                <w:color w:val="auto"/>
                <w:kern w:val="2"/>
                <w:szCs w:val="20"/>
              </w:rPr>
            </w:pPr>
          </w:p>
        </w:tc>
        <w:tc>
          <w:tcPr>
            <w:tcW w:w="687" w:type="dxa"/>
          </w:tcPr>
          <w:p w14:paraId="6363CDA9">
            <w:pPr>
              <w:widowControl w:val="0"/>
              <w:rPr>
                <w:rFonts w:hint="default" w:ascii="宋体" w:hAnsi="Times New Roman" w:eastAsia="宋体" w:cs="Times New Roman"/>
                <w:color w:val="auto"/>
                <w:kern w:val="2"/>
                <w:szCs w:val="20"/>
              </w:rPr>
            </w:pPr>
          </w:p>
        </w:tc>
      </w:tr>
      <w:tr w14:paraId="6E696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56" w:hRule="atLeast"/>
        </w:trPr>
        <w:tc>
          <w:tcPr>
            <w:tcW w:w="776" w:type="dxa"/>
            <w:vMerge w:val="continue"/>
          </w:tcPr>
          <w:p w14:paraId="4AAFD075">
            <w:pPr>
              <w:widowControl w:val="0"/>
              <w:rPr>
                <w:rFonts w:hint="default" w:ascii="宋体" w:hAnsi="Times New Roman" w:eastAsia="宋体" w:cs="Times New Roman"/>
                <w:color w:val="auto"/>
                <w:kern w:val="2"/>
                <w:szCs w:val="20"/>
              </w:rPr>
            </w:pPr>
          </w:p>
        </w:tc>
        <w:tc>
          <w:tcPr>
            <w:tcW w:w="4895" w:type="dxa"/>
          </w:tcPr>
          <w:p w14:paraId="7E5E1473">
            <w:pPr>
              <w:widowControl w:val="0"/>
              <w:spacing w:before="241" w:line="241" w:lineRule="auto"/>
              <w:ind w:left="24" w:right="12" w:hanging="3"/>
              <w:rPr>
                <w:rFonts w:hint="default" w:ascii="宋体" w:hAnsi="宋体" w:eastAsia="宋体" w:cs="宋体"/>
                <w:color w:val="auto"/>
                <w:kern w:val="2"/>
                <w:szCs w:val="21"/>
              </w:rPr>
            </w:pPr>
            <w:r>
              <w:rPr>
                <w:rFonts w:hint="default" w:ascii="宋体" w:hAnsi="宋体" w:eastAsia="宋体" w:cs="宋体"/>
                <w:color w:val="auto"/>
                <w:spacing w:val="-2"/>
                <w:kern w:val="2"/>
                <w:szCs w:val="21"/>
              </w:rPr>
              <w:t>6、安全教育。供应商须确保做好项目各类安全生产</w:t>
            </w:r>
            <w:r>
              <w:rPr>
                <w:rFonts w:hint="default" w:ascii="宋体" w:hAnsi="宋体" w:eastAsia="宋体" w:cs="宋体"/>
                <w:color w:val="auto"/>
                <w:spacing w:val="-6"/>
                <w:kern w:val="2"/>
                <w:szCs w:val="21"/>
              </w:rPr>
              <w:t>教育和会议，并保留记录和影像资料。</w:t>
            </w:r>
          </w:p>
        </w:tc>
        <w:tc>
          <w:tcPr>
            <w:tcW w:w="1298" w:type="dxa"/>
          </w:tcPr>
          <w:p w14:paraId="1F8FC2D7">
            <w:pPr>
              <w:widowControl w:val="0"/>
              <w:spacing w:before="67" w:line="184" w:lineRule="auto"/>
              <w:ind w:firstLine="325"/>
              <w:rPr>
                <w:rFonts w:hint="default" w:ascii="宋体" w:hAnsi="宋体" w:eastAsia="宋体" w:cs="宋体"/>
                <w:color w:val="auto"/>
                <w:kern w:val="2"/>
                <w:szCs w:val="21"/>
              </w:rPr>
            </w:pPr>
            <w:r>
              <w:rPr>
                <w:rFonts w:hint="default" w:ascii="宋体" w:hAnsi="宋体" w:eastAsia="宋体" w:cs="宋体"/>
                <w:color w:val="auto"/>
                <w:spacing w:val="-4"/>
                <w:kern w:val="2"/>
                <w:szCs w:val="21"/>
              </w:rPr>
              <w:t>安全教育</w:t>
            </w:r>
          </w:p>
          <w:p w14:paraId="229E1D87">
            <w:pPr>
              <w:widowControl w:val="0"/>
              <w:spacing w:before="102" w:line="184" w:lineRule="auto"/>
              <w:ind w:firstLine="324"/>
              <w:rPr>
                <w:rFonts w:hint="default" w:ascii="宋体" w:hAnsi="宋体" w:eastAsia="宋体" w:cs="宋体"/>
                <w:color w:val="auto"/>
                <w:kern w:val="2"/>
                <w:szCs w:val="21"/>
              </w:rPr>
            </w:pPr>
            <w:r>
              <w:rPr>
                <w:rFonts w:hint="default" w:ascii="宋体" w:hAnsi="宋体" w:eastAsia="宋体" w:cs="宋体"/>
                <w:color w:val="auto"/>
                <w:spacing w:val="-4"/>
                <w:kern w:val="2"/>
                <w:szCs w:val="21"/>
              </w:rPr>
              <w:t>未达要求</w:t>
            </w:r>
          </w:p>
          <w:p w14:paraId="30F68E37">
            <w:pPr>
              <w:widowControl w:val="0"/>
              <w:spacing w:before="102" w:line="184" w:lineRule="auto"/>
              <w:ind w:firstLine="272"/>
              <w:rPr>
                <w:rFonts w:hint="default" w:ascii="宋体" w:hAnsi="宋体" w:eastAsia="宋体" w:cs="宋体"/>
                <w:color w:val="auto"/>
                <w:kern w:val="2"/>
                <w:szCs w:val="21"/>
              </w:rPr>
            </w:pPr>
            <w:r>
              <w:rPr>
                <w:rFonts w:hint="default" w:ascii="宋体" w:hAnsi="宋体" w:eastAsia="宋体" w:cs="宋体"/>
                <w:color w:val="auto"/>
                <w:spacing w:val="-10"/>
                <w:kern w:val="2"/>
                <w:szCs w:val="21"/>
              </w:rPr>
              <w:t>扣</w:t>
            </w:r>
            <w:r>
              <w:rPr>
                <w:rFonts w:hint="default" w:ascii="宋体" w:hAnsi="宋体" w:eastAsia="宋体" w:cs="宋体"/>
                <w:color w:val="auto"/>
                <w:spacing w:val="-26"/>
                <w:kern w:val="2"/>
                <w:szCs w:val="21"/>
              </w:rPr>
              <w:t xml:space="preserve"> </w:t>
            </w:r>
            <w:r>
              <w:rPr>
                <w:rFonts w:hint="default" w:ascii="宋体" w:hAnsi="宋体" w:eastAsia="宋体" w:cs="宋体"/>
                <w:color w:val="auto"/>
                <w:spacing w:val="-10"/>
                <w:kern w:val="2"/>
                <w:szCs w:val="21"/>
              </w:rPr>
              <w:t>1</w:t>
            </w:r>
            <w:r>
              <w:rPr>
                <w:rFonts w:hint="default" w:ascii="宋体" w:hAnsi="宋体" w:eastAsia="宋体" w:cs="宋体"/>
                <w:color w:val="auto"/>
                <w:spacing w:val="-40"/>
                <w:kern w:val="2"/>
                <w:szCs w:val="21"/>
              </w:rPr>
              <w:t xml:space="preserve"> </w:t>
            </w:r>
            <w:r>
              <w:rPr>
                <w:rFonts w:hint="default" w:ascii="宋体" w:hAnsi="宋体" w:eastAsia="宋体" w:cs="宋体"/>
                <w:color w:val="auto"/>
                <w:spacing w:val="-10"/>
                <w:kern w:val="2"/>
                <w:szCs w:val="21"/>
              </w:rPr>
              <w:t>分/次</w:t>
            </w:r>
          </w:p>
        </w:tc>
        <w:tc>
          <w:tcPr>
            <w:tcW w:w="664" w:type="dxa"/>
          </w:tcPr>
          <w:p w14:paraId="369B1CCB">
            <w:pPr>
              <w:widowControl w:val="0"/>
              <w:spacing w:line="274" w:lineRule="auto"/>
              <w:rPr>
                <w:rFonts w:hint="default" w:ascii="宋体" w:hAnsi="Times New Roman" w:eastAsia="宋体" w:cs="Times New Roman"/>
                <w:color w:val="auto"/>
                <w:kern w:val="2"/>
                <w:szCs w:val="20"/>
              </w:rPr>
            </w:pPr>
          </w:p>
          <w:p w14:paraId="6B5CEC7C">
            <w:pPr>
              <w:widowControl w:val="0"/>
              <w:spacing w:before="68" w:line="184" w:lineRule="auto"/>
              <w:ind w:firstLine="159"/>
              <w:rPr>
                <w:rFonts w:hint="default" w:ascii="宋体" w:hAnsi="宋体" w:eastAsia="宋体" w:cs="宋体"/>
                <w:color w:val="auto"/>
                <w:kern w:val="2"/>
                <w:szCs w:val="21"/>
              </w:rPr>
            </w:pPr>
            <w:r>
              <w:rPr>
                <w:rFonts w:hint="default" w:ascii="宋体" w:hAnsi="宋体" w:eastAsia="宋体" w:cs="宋体"/>
                <w:color w:val="auto"/>
                <w:spacing w:val="-7"/>
                <w:kern w:val="2"/>
                <w:szCs w:val="21"/>
              </w:rPr>
              <w:t>5</w:t>
            </w:r>
            <w:r>
              <w:rPr>
                <w:rFonts w:hint="default" w:ascii="宋体" w:hAnsi="宋体" w:eastAsia="宋体" w:cs="宋体"/>
                <w:color w:val="auto"/>
                <w:spacing w:val="-40"/>
                <w:kern w:val="2"/>
                <w:szCs w:val="21"/>
              </w:rPr>
              <w:t xml:space="preserve"> </w:t>
            </w:r>
            <w:r>
              <w:rPr>
                <w:rFonts w:hint="default" w:ascii="宋体" w:hAnsi="宋体" w:eastAsia="宋体" w:cs="宋体"/>
                <w:color w:val="auto"/>
                <w:spacing w:val="-7"/>
                <w:kern w:val="2"/>
                <w:szCs w:val="21"/>
              </w:rPr>
              <w:t>分</w:t>
            </w:r>
          </w:p>
        </w:tc>
        <w:tc>
          <w:tcPr>
            <w:tcW w:w="682" w:type="dxa"/>
          </w:tcPr>
          <w:p w14:paraId="0F3C1884">
            <w:pPr>
              <w:widowControl w:val="0"/>
              <w:rPr>
                <w:rFonts w:hint="default" w:ascii="宋体" w:hAnsi="Times New Roman" w:eastAsia="宋体" w:cs="Times New Roman"/>
                <w:color w:val="auto"/>
                <w:kern w:val="2"/>
                <w:szCs w:val="20"/>
              </w:rPr>
            </w:pPr>
          </w:p>
        </w:tc>
        <w:tc>
          <w:tcPr>
            <w:tcW w:w="687" w:type="dxa"/>
          </w:tcPr>
          <w:p w14:paraId="6253CB21">
            <w:pPr>
              <w:widowControl w:val="0"/>
              <w:rPr>
                <w:rFonts w:hint="default" w:ascii="宋体" w:hAnsi="Times New Roman" w:eastAsia="宋体" w:cs="Times New Roman"/>
                <w:color w:val="auto"/>
                <w:kern w:val="2"/>
                <w:szCs w:val="20"/>
              </w:rPr>
            </w:pPr>
          </w:p>
        </w:tc>
      </w:tr>
      <w:tr w14:paraId="457ED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44" w:hRule="atLeast"/>
        </w:trPr>
        <w:tc>
          <w:tcPr>
            <w:tcW w:w="776" w:type="dxa"/>
            <w:vMerge w:val="continue"/>
          </w:tcPr>
          <w:p w14:paraId="1755FF9A">
            <w:pPr>
              <w:widowControl w:val="0"/>
              <w:rPr>
                <w:rFonts w:hint="default" w:ascii="宋体" w:hAnsi="Times New Roman" w:eastAsia="宋体" w:cs="Times New Roman"/>
                <w:color w:val="auto"/>
                <w:kern w:val="2"/>
                <w:szCs w:val="20"/>
              </w:rPr>
            </w:pPr>
          </w:p>
        </w:tc>
        <w:tc>
          <w:tcPr>
            <w:tcW w:w="4895" w:type="dxa"/>
          </w:tcPr>
          <w:p w14:paraId="050567E5">
            <w:pPr>
              <w:widowControl w:val="0"/>
              <w:spacing w:before="163" w:line="274" w:lineRule="auto"/>
              <w:ind w:left="20" w:right="10" w:firstLine="4"/>
              <w:rPr>
                <w:rFonts w:hint="default" w:ascii="宋体" w:hAnsi="宋体" w:eastAsia="宋体" w:cs="宋体"/>
                <w:color w:val="auto"/>
                <w:kern w:val="2"/>
                <w:szCs w:val="21"/>
              </w:rPr>
            </w:pPr>
            <w:r>
              <w:rPr>
                <w:rFonts w:hint="default" w:ascii="宋体" w:hAnsi="宋体" w:eastAsia="宋体" w:cs="宋体"/>
                <w:color w:val="auto"/>
                <w:spacing w:val="-2"/>
                <w:kern w:val="2"/>
                <w:szCs w:val="21"/>
              </w:rPr>
              <w:t>7、安全。供应商须确保做好工作前技术交底，特种</w:t>
            </w:r>
            <w:r>
              <w:rPr>
                <w:rFonts w:hint="default" w:ascii="宋体" w:hAnsi="宋体" w:eastAsia="宋体" w:cs="宋体"/>
                <w:color w:val="auto"/>
                <w:spacing w:val="3"/>
                <w:kern w:val="2"/>
                <w:szCs w:val="21"/>
              </w:rPr>
              <w:t>作业人员持证上岗、规范操作，现场安全措施符合</w:t>
            </w:r>
            <w:r>
              <w:rPr>
                <w:rFonts w:hint="default" w:ascii="宋体" w:hAnsi="宋体" w:eastAsia="宋体" w:cs="宋体"/>
                <w:color w:val="auto"/>
                <w:spacing w:val="-1"/>
                <w:kern w:val="2"/>
                <w:szCs w:val="21"/>
              </w:rPr>
              <w:t>规范、方案和审批要求。</w:t>
            </w:r>
          </w:p>
        </w:tc>
        <w:tc>
          <w:tcPr>
            <w:tcW w:w="1298" w:type="dxa"/>
          </w:tcPr>
          <w:p w14:paraId="27EA7875">
            <w:pPr>
              <w:widowControl w:val="0"/>
              <w:spacing w:before="318" w:line="184" w:lineRule="auto"/>
              <w:ind w:firstLine="220"/>
              <w:rPr>
                <w:rFonts w:hint="default" w:ascii="宋体" w:hAnsi="宋体" w:eastAsia="宋体" w:cs="宋体"/>
                <w:color w:val="auto"/>
                <w:kern w:val="2"/>
                <w:szCs w:val="21"/>
              </w:rPr>
            </w:pPr>
            <w:r>
              <w:rPr>
                <w:rFonts w:hint="default" w:ascii="宋体" w:hAnsi="宋体" w:eastAsia="宋体" w:cs="宋体"/>
                <w:color w:val="auto"/>
                <w:spacing w:val="-3"/>
                <w:kern w:val="2"/>
                <w:szCs w:val="21"/>
              </w:rPr>
              <w:t>安全风险点</w:t>
            </w:r>
          </w:p>
          <w:p w14:paraId="099C42BC">
            <w:pPr>
              <w:widowControl w:val="0"/>
              <w:spacing w:before="102" w:line="184" w:lineRule="auto"/>
              <w:ind w:firstLine="272"/>
              <w:rPr>
                <w:rFonts w:hint="default" w:ascii="宋体" w:hAnsi="宋体" w:eastAsia="宋体" w:cs="宋体"/>
                <w:color w:val="auto"/>
                <w:kern w:val="2"/>
                <w:szCs w:val="21"/>
              </w:rPr>
            </w:pPr>
            <w:r>
              <w:rPr>
                <w:rFonts w:hint="default" w:ascii="宋体" w:hAnsi="宋体" w:eastAsia="宋体" w:cs="宋体"/>
                <w:color w:val="auto"/>
                <w:spacing w:val="-8"/>
                <w:kern w:val="2"/>
                <w:szCs w:val="21"/>
              </w:rPr>
              <w:t>扣</w:t>
            </w:r>
            <w:r>
              <w:rPr>
                <w:rFonts w:hint="default" w:ascii="宋体" w:hAnsi="宋体" w:eastAsia="宋体" w:cs="宋体"/>
                <w:color w:val="auto"/>
                <w:spacing w:val="-36"/>
                <w:kern w:val="2"/>
                <w:szCs w:val="21"/>
              </w:rPr>
              <w:t xml:space="preserve"> </w:t>
            </w:r>
            <w:r>
              <w:rPr>
                <w:rFonts w:hint="default" w:ascii="宋体" w:hAnsi="宋体" w:eastAsia="宋体" w:cs="宋体"/>
                <w:color w:val="auto"/>
                <w:spacing w:val="-8"/>
                <w:kern w:val="2"/>
                <w:szCs w:val="21"/>
              </w:rPr>
              <w:t>3</w:t>
            </w:r>
            <w:r>
              <w:rPr>
                <w:rFonts w:hint="default" w:ascii="宋体" w:hAnsi="宋体" w:eastAsia="宋体" w:cs="宋体"/>
                <w:color w:val="auto"/>
                <w:spacing w:val="-40"/>
                <w:kern w:val="2"/>
                <w:szCs w:val="21"/>
              </w:rPr>
              <w:t xml:space="preserve"> </w:t>
            </w:r>
            <w:r>
              <w:rPr>
                <w:rFonts w:hint="default" w:ascii="宋体" w:hAnsi="宋体" w:eastAsia="宋体" w:cs="宋体"/>
                <w:color w:val="auto"/>
                <w:spacing w:val="-8"/>
                <w:kern w:val="2"/>
                <w:szCs w:val="21"/>
              </w:rPr>
              <w:t>分/处</w:t>
            </w:r>
          </w:p>
        </w:tc>
        <w:tc>
          <w:tcPr>
            <w:tcW w:w="664" w:type="dxa"/>
          </w:tcPr>
          <w:p w14:paraId="0054666B">
            <w:pPr>
              <w:widowControl w:val="0"/>
              <w:spacing w:line="357" w:lineRule="auto"/>
              <w:rPr>
                <w:rFonts w:hint="default" w:ascii="宋体" w:hAnsi="Times New Roman" w:eastAsia="宋体" w:cs="Times New Roman"/>
                <w:color w:val="auto"/>
                <w:kern w:val="2"/>
                <w:szCs w:val="20"/>
              </w:rPr>
            </w:pPr>
          </w:p>
          <w:p w14:paraId="11CDF4B5">
            <w:pPr>
              <w:widowControl w:val="0"/>
              <w:spacing w:before="68" w:line="184" w:lineRule="auto"/>
              <w:ind w:firstLine="109"/>
              <w:rPr>
                <w:rFonts w:hint="default" w:ascii="宋体" w:hAnsi="宋体" w:eastAsia="宋体" w:cs="宋体"/>
                <w:color w:val="auto"/>
                <w:kern w:val="2"/>
                <w:szCs w:val="21"/>
              </w:rPr>
            </w:pPr>
            <w:r>
              <w:rPr>
                <w:rFonts w:hint="default" w:ascii="宋体" w:hAnsi="宋体" w:eastAsia="宋体" w:cs="宋体"/>
                <w:color w:val="auto"/>
                <w:spacing w:val="-5"/>
                <w:kern w:val="2"/>
                <w:szCs w:val="21"/>
              </w:rPr>
              <w:t>30</w:t>
            </w:r>
            <w:r>
              <w:rPr>
                <w:rFonts w:hint="default" w:ascii="宋体" w:hAnsi="宋体" w:eastAsia="宋体" w:cs="宋体"/>
                <w:color w:val="auto"/>
                <w:spacing w:val="-41"/>
                <w:kern w:val="2"/>
                <w:szCs w:val="21"/>
              </w:rPr>
              <w:t xml:space="preserve"> </w:t>
            </w:r>
            <w:r>
              <w:rPr>
                <w:rFonts w:hint="default" w:ascii="宋体" w:hAnsi="宋体" w:eastAsia="宋体" w:cs="宋体"/>
                <w:color w:val="auto"/>
                <w:spacing w:val="-5"/>
                <w:kern w:val="2"/>
                <w:szCs w:val="21"/>
              </w:rPr>
              <w:t>分</w:t>
            </w:r>
          </w:p>
        </w:tc>
        <w:tc>
          <w:tcPr>
            <w:tcW w:w="682" w:type="dxa"/>
          </w:tcPr>
          <w:p w14:paraId="19B4C4C9">
            <w:pPr>
              <w:widowControl w:val="0"/>
              <w:rPr>
                <w:rFonts w:hint="default" w:ascii="宋体" w:hAnsi="Times New Roman" w:eastAsia="宋体" w:cs="Times New Roman"/>
                <w:color w:val="auto"/>
                <w:kern w:val="2"/>
                <w:szCs w:val="20"/>
              </w:rPr>
            </w:pPr>
          </w:p>
        </w:tc>
        <w:tc>
          <w:tcPr>
            <w:tcW w:w="687" w:type="dxa"/>
          </w:tcPr>
          <w:p w14:paraId="36179CA3">
            <w:pPr>
              <w:widowControl w:val="0"/>
              <w:rPr>
                <w:rFonts w:hint="default" w:ascii="宋体" w:hAnsi="Times New Roman" w:eastAsia="宋体" w:cs="Times New Roman"/>
                <w:color w:val="auto"/>
                <w:kern w:val="2"/>
                <w:szCs w:val="20"/>
              </w:rPr>
            </w:pPr>
          </w:p>
        </w:tc>
      </w:tr>
      <w:tr w14:paraId="1844B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94" w:hRule="atLeast"/>
        </w:trPr>
        <w:tc>
          <w:tcPr>
            <w:tcW w:w="776" w:type="dxa"/>
            <w:vMerge w:val="continue"/>
          </w:tcPr>
          <w:p w14:paraId="3CDAA788">
            <w:pPr>
              <w:widowControl w:val="0"/>
              <w:rPr>
                <w:rFonts w:hint="default" w:ascii="宋体" w:hAnsi="Times New Roman" w:eastAsia="宋体" w:cs="Times New Roman"/>
                <w:color w:val="auto"/>
                <w:kern w:val="2"/>
                <w:szCs w:val="20"/>
              </w:rPr>
            </w:pPr>
          </w:p>
        </w:tc>
        <w:tc>
          <w:tcPr>
            <w:tcW w:w="4895" w:type="dxa"/>
          </w:tcPr>
          <w:p w14:paraId="7851771C">
            <w:pPr>
              <w:widowControl w:val="0"/>
              <w:spacing w:before="188" w:line="274" w:lineRule="auto"/>
              <w:ind w:left="17" w:firstLine="2"/>
              <w:rPr>
                <w:rFonts w:hint="default" w:ascii="宋体" w:hAnsi="宋体" w:eastAsia="宋体" w:cs="宋体"/>
                <w:color w:val="auto"/>
                <w:kern w:val="2"/>
                <w:szCs w:val="21"/>
              </w:rPr>
            </w:pPr>
            <w:r>
              <w:rPr>
                <w:rFonts w:hint="default" w:ascii="宋体" w:hAnsi="宋体" w:eastAsia="宋体" w:cs="宋体"/>
                <w:color w:val="auto"/>
                <w:spacing w:val="-10"/>
                <w:kern w:val="2"/>
                <w:szCs w:val="21"/>
              </w:rPr>
              <w:t>8、文明工作。供应商需确保现场文明有序，按规范、</w:t>
            </w:r>
            <w:r>
              <w:rPr>
                <w:rFonts w:hint="default" w:ascii="宋体" w:hAnsi="宋体" w:eastAsia="宋体" w:cs="宋体"/>
                <w:color w:val="auto"/>
                <w:kern w:val="2"/>
                <w:szCs w:val="21"/>
              </w:rPr>
              <w:t>方案和审批要求设置围挡、做好降尘减噪，合理放</w:t>
            </w:r>
            <w:r>
              <w:rPr>
                <w:rFonts w:hint="default" w:ascii="宋体" w:hAnsi="宋体" w:eastAsia="宋体" w:cs="宋体"/>
                <w:color w:val="auto"/>
                <w:spacing w:val="-4"/>
                <w:kern w:val="2"/>
                <w:szCs w:val="21"/>
              </w:rPr>
              <w:t>置车辆、机械、材料等。</w:t>
            </w:r>
          </w:p>
        </w:tc>
        <w:tc>
          <w:tcPr>
            <w:tcW w:w="1298" w:type="dxa"/>
          </w:tcPr>
          <w:p w14:paraId="0FCCF09E">
            <w:pPr>
              <w:widowControl w:val="0"/>
              <w:spacing w:line="242" w:lineRule="auto"/>
              <w:rPr>
                <w:rFonts w:hint="default" w:ascii="宋体" w:hAnsi="Times New Roman" w:eastAsia="宋体" w:cs="Times New Roman"/>
                <w:color w:val="auto"/>
                <w:kern w:val="2"/>
                <w:szCs w:val="20"/>
              </w:rPr>
            </w:pPr>
          </w:p>
          <w:p w14:paraId="5AE9AD41">
            <w:pPr>
              <w:widowControl w:val="0"/>
              <w:spacing w:before="68" w:line="184" w:lineRule="auto"/>
              <w:ind w:firstLine="219"/>
              <w:rPr>
                <w:rFonts w:hint="default" w:ascii="宋体" w:hAnsi="宋体" w:eastAsia="宋体" w:cs="宋体"/>
                <w:color w:val="auto"/>
                <w:kern w:val="2"/>
                <w:szCs w:val="21"/>
              </w:rPr>
            </w:pPr>
            <w:r>
              <w:rPr>
                <w:rFonts w:hint="default" w:ascii="宋体" w:hAnsi="宋体" w:eastAsia="宋体" w:cs="宋体"/>
                <w:color w:val="auto"/>
                <w:spacing w:val="-3"/>
                <w:kern w:val="2"/>
                <w:szCs w:val="21"/>
              </w:rPr>
              <w:t>不文明工作</w:t>
            </w:r>
          </w:p>
          <w:p w14:paraId="20F58B19">
            <w:pPr>
              <w:widowControl w:val="0"/>
              <w:spacing w:before="102" w:line="184" w:lineRule="auto"/>
              <w:ind w:firstLine="272"/>
              <w:rPr>
                <w:rFonts w:hint="default" w:ascii="宋体" w:hAnsi="宋体" w:eastAsia="宋体" w:cs="宋体"/>
                <w:color w:val="auto"/>
                <w:kern w:val="2"/>
                <w:szCs w:val="21"/>
              </w:rPr>
            </w:pPr>
            <w:r>
              <w:rPr>
                <w:rFonts w:hint="default" w:ascii="宋体" w:hAnsi="宋体" w:eastAsia="宋体" w:cs="宋体"/>
                <w:color w:val="auto"/>
                <w:spacing w:val="-7"/>
                <w:kern w:val="2"/>
                <w:szCs w:val="21"/>
              </w:rPr>
              <w:t>扣</w:t>
            </w:r>
            <w:r>
              <w:rPr>
                <w:rFonts w:hint="default" w:ascii="宋体" w:hAnsi="宋体" w:eastAsia="宋体" w:cs="宋体"/>
                <w:color w:val="auto"/>
                <w:spacing w:val="-41"/>
                <w:kern w:val="2"/>
                <w:szCs w:val="21"/>
              </w:rPr>
              <w:t xml:space="preserve"> </w:t>
            </w:r>
            <w:r>
              <w:rPr>
                <w:rFonts w:hint="default" w:ascii="宋体" w:hAnsi="宋体" w:eastAsia="宋体" w:cs="宋体"/>
                <w:color w:val="auto"/>
                <w:spacing w:val="-7"/>
                <w:kern w:val="2"/>
                <w:szCs w:val="21"/>
              </w:rPr>
              <w:t>2</w:t>
            </w:r>
            <w:r>
              <w:rPr>
                <w:rFonts w:hint="default" w:ascii="宋体" w:hAnsi="宋体" w:eastAsia="宋体" w:cs="宋体"/>
                <w:color w:val="auto"/>
                <w:spacing w:val="-40"/>
                <w:kern w:val="2"/>
                <w:szCs w:val="21"/>
              </w:rPr>
              <w:t xml:space="preserve"> </w:t>
            </w:r>
            <w:r>
              <w:rPr>
                <w:rFonts w:hint="default" w:ascii="宋体" w:hAnsi="宋体" w:eastAsia="宋体" w:cs="宋体"/>
                <w:color w:val="auto"/>
                <w:spacing w:val="-7"/>
                <w:kern w:val="2"/>
                <w:szCs w:val="21"/>
              </w:rPr>
              <w:t>分/次</w:t>
            </w:r>
          </w:p>
        </w:tc>
        <w:tc>
          <w:tcPr>
            <w:tcW w:w="664" w:type="dxa"/>
          </w:tcPr>
          <w:p w14:paraId="4A1F0024">
            <w:pPr>
              <w:widowControl w:val="0"/>
              <w:spacing w:line="379" w:lineRule="auto"/>
              <w:rPr>
                <w:rFonts w:hint="default" w:ascii="宋体" w:hAnsi="Times New Roman" w:eastAsia="宋体" w:cs="Times New Roman"/>
                <w:color w:val="auto"/>
                <w:kern w:val="2"/>
                <w:szCs w:val="20"/>
              </w:rPr>
            </w:pPr>
          </w:p>
          <w:p w14:paraId="496C023A">
            <w:pPr>
              <w:widowControl w:val="0"/>
              <w:spacing w:before="68" w:line="184" w:lineRule="auto"/>
              <w:ind w:firstLine="120"/>
              <w:rPr>
                <w:rFonts w:hint="default" w:ascii="宋体" w:hAnsi="宋体" w:eastAsia="宋体" w:cs="宋体"/>
                <w:color w:val="auto"/>
                <w:kern w:val="2"/>
                <w:szCs w:val="21"/>
              </w:rPr>
            </w:pPr>
            <w:r>
              <w:rPr>
                <w:rFonts w:hint="default" w:ascii="宋体" w:hAnsi="宋体" w:eastAsia="宋体" w:cs="宋体"/>
                <w:color w:val="auto"/>
                <w:spacing w:val="-8"/>
                <w:kern w:val="2"/>
                <w:szCs w:val="21"/>
              </w:rPr>
              <w:t>10</w:t>
            </w:r>
            <w:r>
              <w:rPr>
                <w:rFonts w:hint="default" w:ascii="宋体" w:hAnsi="宋体" w:eastAsia="宋体" w:cs="宋体"/>
                <w:color w:val="auto"/>
                <w:spacing w:val="-43"/>
                <w:kern w:val="2"/>
                <w:szCs w:val="21"/>
              </w:rPr>
              <w:t xml:space="preserve"> </w:t>
            </w:r>
            <w:r>
              <w:rPr>
                <w:rFonts w:hint="default" w:ascii="宋体" w:hAnsi="宋体" w:eastAsia="宋体" w:cs="宋体"/>
                <w:color w:val="auto"/>
                <w:spacing w:val="-8"/>
                <w:kern w:val="2"/>
                <w:szCs w:val="21"/>
              </w:rPr>
              <w:t>分</w:t>
            </w:r>
          </w:p>
        </w:tc>
        <w:tc>
          <w:tcPr>
            <w:tcW w:w="682" w:type="dxa"/>
          </w:tcPr>
          <w:p w14:paraId="0FE21999">
            <w:pPr>
              <w:widowControl w:val="0"/>
              <w:rPr>
                <w:rFonts w:hint="default" w:ascii="宋体" w:hAnsi="Times New Roman" w:eastAsia="宋体" w:cs="Times New Roman"/>
                <w:color w:val="auto"/>
                <w:kern w:val="2"/>
                <w:szCs w:val="20"/>
              </w:rPr>
            </w:pPr>
          </w:p>
        </w:tc>
        <w:tc>
          <w:tcPr>
            <w:tcW w:w="687" w:type="dxa"/>
          </w:tcPr>
          <w:p w14:paraId="75283F7C">
            <w:pPr>
              <w:widowControl w:val="0"/>
              <w:rPr>
                <w:rFonts w:hint="default" w:ascii="宋体" w:hAnsi="Times New Roman" w:eastAsia="宋体" w:cs="Times New Roman"/>
                <w:color w:val="auto"/>
                <w:kern w:val="2"/>
                <w:szCs w:val="20"/>
              </w:rPr>
            </w:pPr>
          </w:p>
        </w:tc>
      </w:tr>
      <w:tr w14:paraId="429BE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21" w:hRule="atLeast"/>
        </w:trPr>
        <w:tc>
          <w:tcPr>
            <w:tcW w:w="776" w:type="dxa"/>
            <w:vMerge w:val="continue"/>
          </w:tcPr>
          <w:p w14:paraId="59C41221">
            <w:pPr>
              <w:widowControl w:val="0"/>
              <w:rPr>
                <w:rFonts w:hint="default" w:ascii="宋体" w:hAnsi="Times New Roman" w:eastAsia="宋体" w:cs="Times New Roman"/>
                <w:color w:val="auto"/>
                <w:kern w:val="2"/>
                <w:szCs w:val="20"/>
              </w:rPr>
            </w:pPr>
          </w:p>
        </w:tc>
        <w:tc>
          <w:tcPr>
            <w:tcW w:w="4895" w:type="dxa"/>
          </w:tcPr>
          <w:p w14:paraId="2B926CAE">
            <w:pPr>
              <w:widowControl w:val="0"/>
              <w:spacing w:before="148" w:line="274" w:lineRule="auto"/>
              <w:ind w:left="19" w:right="10"/>
              <w:rPr>
                <w:rFonts w:hint="default" w:ascii="宋体" w:hAnsi="宋体" w:eastAsia="宋体" w:cs="宋体"/>
                <w:color w:val="auto"/>
                <w:kern w:val="2"/>
                <w:szCs w:val="21"/>
              </w:rPr>
            </w:pPr>
            <w:r>
              <w:rPr>
                <w:rFonts w:hint="default" w:ascii="宋体" w:hAnsi="宋体" w:eastAsia="宋体" w:cs="宋体"/>
                <w:color w:val="auto"/>
                <w:spacing w:val="1"/>
                <w:kern w:val="2"/>
                <w:szCs w:val="21"/>
              </w:rPr>
              <w:t>9、资料管理。供应商须在每月</w:t>
            </w:r>
            <w:r>
              <w:rPr>
                <w:rFonts w:hint="default" w:ascii="宋体" w:hAnsi="宋体" w:eastAsia="宋体" w:cs="宋体"/>
                <w:color w:val="auto"/>
                <w:spacing w:val="-23"/>
                <w:kern w:val="2"/>
                <w:szCs w:val="21"/>
              </w:rPr>
              <w:t xml:space="preserve"> </w:t>
            </w:r>
            <w:r>
              <w:rPr>
                <w:rFonts w:hint="default" w:ascii="宋体" w:hAnsi="宋体" w:eastAsia="宋体" w:cs="宋体"/>
                <w:color w:val="auto"/>
                <w:spacing w:val="1"/>
                <w:kern w:val="2"/>
                <w:szCs w:val="21"/>
              </w:rPr>
              <w:t>15</w:t>
            </w:r>
            <w:r>
              <w:rPr>
                <w:rFonts w:hint="default" w:ascii="宋体" w:hAnsi="宋体" w:eastAsia="宋体" w:cs="宋体"/>
                <w:color w:val="auto"/>
                <w:spacing w:val="-35"/>
                <w:kern w:val="2"/>
                <w:szCs w:val="21"/>
              </w:rPr>
              <w:t xml:space="preserve"> </w:t>
            </w:r>
            <w:r>
              <w:rPr>
                <w:rFonts w:hint="default" w:ascii="宋体" w:hAnsi="宋体" w:eastAsia="宋体" w:cs="宋体"/>
                <w:color w:val="auto"/>
                <w:spacing w:val="1"/>
                <w:kern w:val="2"/>
                <w:szCs w:val="21"/>
              </w:rPr>
              <w:t>号前（非工作日</w:t>
            </w:r>
            <w:r>
              <w:rPr>
                <w:rFonts w:hint="default" w:ascii="宋体" w:hAnsi="宋体" w:eastAsia="宋体" w:cs="宋体"/>
                <w:color w:val="auto"/>
                <w:spacing w:val="-3"/>
                <w:kern w:val="2"/>
                <w:szCs w:val="21"/>
              </w:rPr>
              <w:t>顺延）将上一个月已完工作的台账、计量整理汇总</w:t>
            </w:r>
            <w:r>
              <w:rPr>
                <w:rFonts w:hint="default" w:ascii="宋体" w:hAnsi="宋体" w:eastAsia="宋体" w:cs="宋体"/>
                <w:color w:val="auto"/>
                <w:kern w:val="2"/>
                <w:szCs w:val="21"/>
              </w:rPr>
              <w:t xml:space="preserve"> </w:t>
            </w:r>
            <w:r>
              <w:rPr>
                <w:rFonts w:hint="default" w:ascii="宋体" w:hAnsi="宋体" w:eastAsia="宋体" w:cs="宋体"/>
                <w:color w:val="auto"/>
                <w:spacing w:val="3"/>
                <w:kern w:val="2"/>
                <w:szCs w:val="21"/>
              </w:rPr>
              <w:t>（资料需完整、齐全，每个部位维修必须有事前、</w:t>
            </w:r>
            <w:r>
              <w:rPr>
                <w:rFonts w:hint="default" w:ascii="宋体" w:hAnsi="宋体" w:eastAsia="宋体" w:cs="宋体"/>
                <w:color w:val="auto"/>
                <w:spacing w:val="-6"/>
                <w:kern w:val="2"/>
                <w:szCs w:val="21"/>
              </w:rPr>
              <w:t>事中、事后的影像资料）上报监理和采购人审核。</w:t>
            </w:r>
          </w:p>
        </w:tc>
        <w:tc>
          <w:tcPr>
            <w:tcW w:w="1298" w:type="dxa"/>
          </w:tcPr>
          <w:p w14:paraId="72436A6D">
            <w:pPr>
              <w:widowControl w:val="0"/>
              <w:spacing w:before="303" w:line="184" w:lineRule="auto"/>
              <w:ind w:firstLine="330"/>
              <w:rPr>
                <w:rFonts w:hint="default" w:ascii="宋体" w:hAnsi="宋体" w:eastAsia="宋体" w:cs="宋体"/>
                <w:color w:val="auto"/>
                <w:kern w:val="2"/>
                <w:szCs w:val="21"/>
              </w:rPr>
            </w:pPr>
            <w:r>
              <w:rPr>
                <w:rFonts w:hint="default" w:ascii="宋体" w:hAnsi="宋体" w:eastAsia="宋体" w:cs="宋体"/>
                <w:color w:val="auto"/>
                <w:spacing w:val="-5"/>
                <w:kern w:val="2"/>
                <w:szCs w:val="21"/>
              </w:rPr>
              <w:t>资料管理</w:t>
            </w:r>
          </w:p>
          <w:p w14:paraId="19980826">
            <w:pPr>
              <w:widowControl w:val="0"/>
              <w:spacing w:before="102" w:line="184" w:lineRule="auto"/>
              <w:ind w:firstLine="324"/>
              <w:rPr>
                <w:rFonts w:hint="default" w:ascii="宋体" w:hAnsi="宋体" w:eastAsia="宋体" w:cs="宋体"/>
                <w:color w:val="auto"/>
                <w:kern w:val="2"/>
                <w:szCs w:val="21"/>
              </w:rPr>
            </w:pPr>
            <w:r>
              <w:rPr>
                <w:rFonts w:hint="default" w:ascii="宋体" w:hAnsi="宋体" w:eastAsia="宋体" w:cs="宋体"/>
                <w:color w:val="auto"/>
                <w:spacing w:val="-4"/>
                <w:kern w:val="2"/>
                <w:szCs w:val="21"/>
              </w:rPr>
              <w:t>未达要求</w:t>
            </w:r>
          </w:p>
          <w:p w14:paraId="08E2966F">
            <w:pPr>
              <w:widowControl w:val="0"/>
              <w:spacing w:before="102" w:line="184" w:lineRule="auto"/>
              <w:ind w:firstLine="272"/>
              <w:rPr>
                <w:rFonts w:hint="default" w:ascii="宋体" w:hAnsi="宋体" w:eastAsia="宋体" w:cs="宋体"/>
                <w:color w:val="auto"/>
                <w:kern w:val="2"/>
                <w:szCs w:val="21"/>
              </w:rPr>
            </w:pPr>
            <w:r>
              <w:rPr>
                <w:rFonts w:hint="default" w:ascii="宋体" w:hAnsi="宋体" w:eastAsia="宋体" w:cs="宋体"/>
                <w:color w:val="auto"/>
                <w:spacing w:val="-7"/>
                <w:kern w:val="2"/>
                <w:szCs w:val="21"/>
              </w:rPr>
              <w:t>扣</w:t>
            </w:r>
            <w:r>
              <w:rPr>
                <w:rFonts w:hint="default" w:ascii="宋体" w:hAnsi="宋体" w:eastAsia="宋体" w:cs="宋体"/>
                <w:color w:val="auto"/>
                <w:spacing w:val="-41"/>
                <w:kern w:val="2"/>
                <w:szCs w:val="21"/>
              </w:rPr>
              <w:t xml:space="preserve"> </w:t>
            </w:r>
            <w:r>
              <w:rPr>
                <w:rFonts w:hint="default" w:ascii="宋体" w:hAnsi="宋体" w:eastAsia="宋体" w:cs="宋体"/>
                <w:color w:val="auto"/>
                <w:spacing w:val="-7"/>
                <w:kern w:val="2"/>
                <w:szCs w:val="21"/>
              </w:rPr>
              <w:t>2</w:t>
            </w:r>
            <w:r>
              <w:rPr>
                <w:rFonts w:hint="default" w:ascii="宋体" w:hAnsi="宋体" w:eastAsia="宋体" w:cs="宋体"/>
                <w:color w:val="auto"/>
                <w:spacing w:val="-40"/>
                <w:kern w:val="2"/>
                <w:szCs w:val="21"/>
              </w:rPr>
              <w:t xml:space="preserve"> </w:t>
            </w:r>
            <w:r>
              <w:rPr>
                <w:rFonts w:hint="default" w:ascii="宋体" w:hAnsi="宋体" w:eastAsia="宋体" w:cs="宋体"/>
                <w:color w:val="auto"/>
                <w:spacing w:val="-7"/>
                <w:kern w:val="2"/>
                <w:szCs w:val="21"/>
              </w:rPr>
              <w:t>分/次</w:t>
            </w:r>
          </w:p>
        </w:tc>
        <w:tc>
          <w:tcPr>
            <w:tcW w:w="664" w:type="dxa"/>
          </w:tcPr>
          <w:p w14:paraId="60E4BA4F">
            <w:pPr>
              <w:widowControl w:val="0"/>
              <w:rPr>
                <w:rFonts w:hint="default" w:ascii="宋体" w:hAnsi="Times New Roman" w:eastAsia="宋体" w:cs="Times New Roman"/>
                <w:color w:val="auto"/>
                <w:kern w:val="2"/>
                <w:szCs w:val="20"/>
              </w:rPr>
            </w:pPr>
          </w:p>
          <w:p w14:paraId="09E15B3D">
            <w:pPr>
              <w:widowControl w:val="0"/>
              <w:spacing w:line="241" w:lineRule="auto"/>
              <w:rPr>
                <w:rFonts w:hint="default" w:ascii="宋体" w:hAnsi="Times New Roman" w:eastAsia="宋体" w:cs="Times New Roman"/>
                <w:color w:val="auto"/>
                <w:kern w:val="2"/>
                <w:szCs w:val="20"/>
              </w:rPr>
            </w:pPr>
          </w:p>
          <w:p w14:paraId="3DA55AA8">
            <w:pPr>
              <w:widowControl w:val="0"/>
              <w:spacing w:before="68" w:line="184" w:lineRule="auto"/>
              <w:ind w:firstLine="120"/>
              <w:rPr>
                <w:rFonts w:hint="default" w:ascii="宋体" w:hAnsi="宋体" w:eastAsia="宋体" w:cs="宋体"/>
                <w:color w:val="auto"/>
                <w:kern w:val="2"/>
                <w:szCs w:val="21"/>
              </w:rPr>
            </w:pPr>
            <w:r>
              <w:rPr>
                <w:rFonts w:hint="default" w:ascii="宋体" w:hAnsi="宋体" w:eastAsia="宋体" w:cs="宋体"/>
                <w:color w:val="auto"/>
                <w:spacing w:val="-8"/>
                <w:kern w:val="2"/>
                <w:szCs w:val="21"/>
              </w:rPr>
              <w:t>10</w:t>
            </w:r>
            <w:r>
              <w:rPr>
                <w:rFonts w:hint="default" w:ascii="宋体" w:hAnsi="宋体" w:eastAsia="宋体" w:cs="宋体"/>
                <w:color w:val="auto"/>
                <w:spacing w:val="-43"/>
                <w:kern w:val="2"/>
                <w:szCs w:val="21"/>
              </w:rPr>
              <w:t xml:space="preserve"> </w:t>
            </w:r>
            <w:r>
              <w:rPr>
                <w:rFonts w:hint="default" w:ascii="宋体" w:hAnsi="宋体" w:eastAsia="宋体" w:cs="宋体"/>
                <w:color w:val="auto"/>
                <w:spacing w:val="-8"/>
                <w:kern w:val="2"/>
                <w:szCs w:val="21"/>
              </w:rPr>
              <w:t>分</w:t>
            </w:r>
          </w:p>
        </w:tc>
        <w:tc>
          <w:tcPr>
            <w:tcW w:w="682" w:type="dxa"/>
          </w:tcPr>
          <w:p w14:paraId="53AB4A7F">
            <w:pPr>
              <w:widowControl w:val="0"/>
              <w:rPr>
                <w:rFonts w:hint="default" w:ascii="宋体" w:hAnsi="Times New Roman" w:eastAsia="宋体" w:cs="Times New Roman"/>
                <w:color w:val="auto"/>
                <w:kern w:val="2"/>
                <w:szCs w:val="20"/>
              </w:rPr>
            </w:pPr>
          </w:p>
        </w:tc>
        <w:tc>
          <w:tcPr>
            <w:tcW w:w="687" w:type="dxa"/>
          </w:tcPr>
          <w:p w14:paraId="742B20E8">
            <w:pPr>
              <w:widowControl w:val="0"/>
              <w:rPr>
                <w:rFonts w:hint="default" w:ascii="宋体" w:hAnsi="Times New Roman" w:eastAsia="宋体" w:cs="Times New Roman"/>
                <w:color w:val="auto"/>
                <w:kern w:val="2"/>
                <w:szCs w:val="20"/>
              </w:rPr>
            </w:pPr>
          </w:p>
        </w:tc>
      </w:tr>
      <w:tr w14:paraId="50225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4" w:hRule="atLeast"/>
        </w:trPr>
        <w:tc>
          <w:tcPr>
            <w:tcW w:w="776" w:type="dxa"/>
            <w:vMerge w:val="restart"/>
          </w:tcPr>
          <w:p w14:paraId="7E117453">
            <w:pPr>
              <w:widowControl w:val="0"/>
              <w:spacing w:line="286" w:lineRule="auto"/>
              <w:rPr>
                <w:rFonts w:hint="default" w:ascii="宋体" w:hAnsi="Times New Roman" w:eastAsia="宋体" w:cs="Times New Roman"/>
                <w:color w:val="auto"/>
                <w:kern w:val="2"/>
                <w:szCs w:val="20"/>
              </w:rPr>
            </w:pPr>
          </w:p>
          <w:p w14:paraId="36F0E69B">
            <w:pPr>
              <w:widowControl w:val="0"/>
              <w:spacing w:line="287" w:lineRule="auto"/>
              <w:rPr>
                <w:rFonts w:hint="default" w:ascii="宋体" w:hAnsi="Times New Roman" w:eastAsia="宋体" w:cs="Times New Roman"/>
                <w:color w:val="auto"/>
                <w:kern w:val="2"/>
                <w:szCs w:val="20"/>
              </w:rPr>
            </w:pPr>
          </w:p>
          <w:p w14:paraId="468C3AEB">
            <w:pPr>
              <w:widowControl w:val="0"/>
              <w:spacing w:before="68" w:line="312" w:lineRule="exact"/>
              <w:ind w:firstLine="191"/>
              <w:rPr>
                <w:rFonts w:hint="default" w:ascii="宋体" w:hAnsi="宋体" w:eastAsia="宋体" w:cs="宋体"/>
                <w:color w:val="auto"/>
                <w:kern w:val="2"/>
                <w:szCs w:val="21"/>
              </w:rPr>
            </w:pPr>
            <w:r>
              <w:rPr>
                <w:rFonts w:hint="default" w:ascii="宋体" w:hAnsi="宋体" w:eastAsia="宋体" w:cs="宋体"/>
                <w:color w:val="auto"/>
                <w:spacing w:val="-9"/>
                <w:kern w:val="2"/>
                <w:position w:val="6"/>
                <w:szCs w:val="21"/>
              </w:rPr>
              <w:t>负面</w:t>
            </w:r>
          </w:p>
          <w:p w14:paraId="16F41146">
            <w:pPr>
              <w:widowControl w:val="0"/>
              <w:spacing w:line="204" w:lineRule="auto"/>
              <w:ind w:firstLine="183"/>
              <w:rPr>
                <w:rFonts w:hint="default" w:ascii="宋体" w:hAnsi="宋体" w:eastAsia="宋体" w:cs="宋体"/>
                <w:color w:val="auto"/>
                <w:kern w:val="2"/>
                <w:szCs w:val="21"/>
              </w:rPr>
            </w:pPr>
            <w:r>
              <w:rPr>
                <w:rFonts w:hint="default" w:ascii="宋体" w:hAnsi="宋体" w:eastAsia="宋体" w:cs="宋体"/>
                <w:color w:val="auto"/>
                <w:spacing w:val="-5"/>
                <w:kern w:val="2"/>
                <w:szCs w:val="21"/>
              </w:rPr>
              <w:t>影响</w:t>
            </w:r>
          </w:p>
        </w:tc>
        <w:tc>
          <w:tcPr>
            <w:tcW w:w="4895" w:type="dxa"/>
          </w:tcPr>
          <w:p w14:paraId="283359F5">
            <w:pPr>
              <w:widowControl w:val="0"/>
              <w:spacing w:before="70" w:line="229" w:lineRule="auto"/>
              <w:ind w:left="18" w:right="10" w:firstLine="16"/>
              <w:rPr>
                <w:rFonts w:hint="default" w:ascii="宋体" w:hAnsi="宋体" w:eastAsia="宋体" w:cs="宋体"/>
                <w:color w:val="auto"/>
                <w:kern w:val="2"/>
                <w:szCs w:val="21"/>
              </w:rPr>
            </w:pPr>
            <w:r>
              <w:rPr>
                <w:rFonts w:hint="default" w:ascii="宋体" w:hAnsi="宋体" w:eastAsia="宋体" w:cs="宋体"/>
                <w:color w:val="auto"/>
                <w:kern w:val="2"/>
                <w:szCs w:val="21"/>
              </w:rPr>
              <w:t>10、因供应商工作、管理过失造成</w:t>
            </w:r>
            <w:r>
              <w:rPr>
                <w:rFonts w:hint="default" w:ascii="宋体" w:hAnsi="宋体" w:eastAsia="宋体" w:cs="宋体"/>
                <w:color w:val="auto"/>
                <w:spacing w:val="-13"/>
                <w:kern w:val="2"/>
                <w:szCs w:val="21"/>
              </w:rPr>
              <w:t xml:space="preserve"> </w:t>
            </w:r>
            <w:r>
              <w:rPr>
                <w:rFonts w:hint="default" w:ascii="宋体" w:hAnsi="宋体" w:eastAsia="宋体" w:cs="宋体"/>
                <w:color w:val="auto"/>
                <w:kern w:val="2"/>
                <w:szCs w:val="21"/>
              </w:rPr>
              <w:t>12345</w:t>
            </w:r>
            <w:r>
              <w:rPr>
                <w:rFonts w:hint="default" w:ascii="宋体" w:hAnsi="宋体" w:eastAsia="宋体" w:cs="宋体"/>
                <w:color w:val="auto"/>
                <w:spacing w:val="-37"/>
                <w:kern w:val="2"/>
                <w:szCs w:val="21"/>
              </w:rPr>
              <w:t xml:space="preserve"> </w:t>
            </w:r>
            <w:r>
              <w:rPr>
                <w:rFonts w:hint="default" w:ascii="宋体" w:hAnsi="宋体" w:eastAsia="宋体" w:cs="宋体"/>
                <w:color w:val="auto"/>
                <w:kern w:val="2"/>
                <w:szCs w:val="21"/>
              </w:rPr>
              <w:t>等有效投</w:t>
            </w:r>
            <w:r>
              <w:rPr>
                <w:rFonts w:hint="default" w:ascii="宋体" w:hAnsi="宋体" w:eastAsia="宋体" w:cs="宋体"/>
                <w:color w:val="auto"/>
                <w:spacing w:val="-5"/>
                <w:kern w:val="2"/>
                <w:szCs w:val="21"/>
              </w:rPr>
              <w:t>诉。</w:t>
            </w:r>
          </w:p>
        </w:tc>
        <w:tc>
          <w:tcPr>
            <w:tcW w:w="1298" w:type="dxa"/>
          </w:tcPr>
          <w:p w14:paraId="7C6FDFD9">
            <w:pPr>
              <w:widowControl w:val="0"/>
              <w:spacing w:before="70" w:line="229" w:lineRule="auto"/>
              <w:ind w:left="272" w:right="258" w:firstLine="50"/>
              <w:rPr>
                <w:rFonts w:hint="default" w:ascii="宋体" w:hAnsi="宋体" w:eastAsia="宋体" w:cs="宋体"/>
                <w:color w:val="auto"/>
                <w:kern w:val="2"/>
                <w:szCs w:val="21"/>
              </w:rPr>
            </w:pPr>
            <w:r>
              <w:rPr>
                <w:rFonts w:hint="default" w:ascii="宋体" w:hAnsi="宋体" w:eastAsia="宋体" w:cs="宋体"/>
                <w:color w:val="auto"/>
                <w:spacing w:val="-3"/>
                <w:kern w:val="2"/>
                <w:szCs w:val="21"/>
              </w:rPr>
              <w:t>有效投诉</w:t>
            </w:r>
            <w:r>
              <w:rPr>
                <w:rFonts w:hint="default" w:ascii="宋体" w:hAnsi="宋体" w:eastAsia="宋体" w:cs="宋体"/>
                <w:color w:val="auto"/>
                <w:kern w:val="2"/>
                <w:szCs w:val="21"/>
              </w:rPr>
              <w:t xml:space="preserve"> </w:t>
            </w:r>
            <w:r>
              <w:rPr>
                <w:rFonts w:hint="default" w:ascii="宋体" w:hAnsi="宋体" w:eastAsia="宋体" w:cs="宋体"/>
                <w:color w:val="auto"/>
                <w:spacing w:val="-10"/>
                <w:kern w:val="2"/>
                <w:szCs w:val="21"/>
              </w:rPr>
              <w:t>扣</w:t>
            </w:r>
            <w:r>
              <w:rPr>
                <w:rFonts w:hint="default" w:ascii="宋体" w:hAnsi="宋体" w:eastAsia="宋体" w:cs="宋体"/>
                <w:color w:val="auto"/>
                <w:spacing w:val="-28"/>
                <w:kern w:val="2"/>
                <w:szCs w:val="21"/>
              </w:rPr>
              <w:t xml:space="preserve"> </w:t>
            </w:r>
            <w:r>
              <w:rPr>
                <w:rFonts w:hint="default" w:ascii="宋体" w:hAnsi="宋体" w:eastAsia="宋体" w:cs="宋体"/>
                <w:color w:val="auto"/>
                <w:spacing w:val="-10"/>
                <w:kern w:val="2"/>
                <w:szCs w:val="21"/>
              </w:rPr>
              <w:t>1</w:t>
            </w:r>
            <w:r>
              <w:rPr>
                <w:rFonts w:hint="default" w:ascii="宋体" w:hAnsi="宋体" w:eastAsia="宋体" w:cs="宋体"/>
                <w:color w:val="auto"/>
                <w:spacing w:val="-41"/>
                <w:kern w:val="2"/>
                <w:szCs w:val="21"/>
              </w:rPr>
              <w:t xml:space="preserve"> </w:t>
            </w:r>
            <w:r>
              <w:rPr>
                <w:rFonts w:hint="default" w:ascii="宋体" w:hAnsi="宋体" w:eastAsia="宋体" w:cs="宋体"/>
                <w:color w:val="auto"/>
                <w:spacing w:val="-10"/>
                <w:kern w:val="2"/>
                <w:szCs w:val="21"/>
              </w:rPr>
              <w:t>分/条</w:t>
            </w:r>
          </w:p>
        </w:tc>
        <w:tc>
          <w:tcPr>
            <w:tcW w:w="664" w:type="dxa"/>
          </w:tcPr>
          <w:p w14:paraId="44E31123">
            <w:pPr>
              <w:widowControl w:val="0"/>
              <w:spacing w:before="226" w:line="184" w:lineRule="auto"/>
              <w:ind w:firstLine="157"/>
              <w:rPr>
                <w:rFonts w:hint="default" w:ascii="宋体" w:hAnsi="宋体" w:eastAsia="宋体" w:cs="宋体"/>
                <w:color w:val="auto"/>
                <w:kern w:val="2"/>
                <w:szCs w:val="21"/>
              </w:rPr>
            </w:pPr>
            <w:r>
              <w:rPr>
                <w:rFonts w:hint="default" w:ascii="宋体" w:hAnsi="宋体" w:eastAsia="宋体" w:cs="宋体"/>
                <w:color w:val="auto"/>
                <w:spacing w:val="-6"/>
                <w:kern w:val="2"/>
                <w:szCs w:val="21"/>
              </w:rPr>
              <w:t>2</w:t>
            </w:r>
            <w:r>
              <w:rPr>
                <w:rFonts w:hint="default" w:ascii="宋体" w:hAnsi="宋体" w:eastAsia="宋体" w:cs="宋体"/>
                <w:color w:val="auto"/>
                <w:spacing w:val="-40"/>
                <w:kern w:val="2"/>
                <w:szCs w:val="21"/>
              </w:rPr>
              <w:t xml:space="preserve"> </w:t>
            </w:r>
            <w:r>
              <w:rPr>
                <w:rFonts w:hint="default" w:ascii="宋体" w:hAnsi="宋体" w:eastAsia="宋体" w:cs="宋体"/>
                <w:color w:val="auto"/>
                <w:spacing w:val="-6"/>
                <w:kern w:val="2"/>
                <w:szCs w:val="21"/>
              </w:rPr>
              <w:t>分</w:t>
            </w:r>
          </w:p>
        </w:tc>
        <w:tc>
          <w:tcPr>
            <w:tcW w:w="682" w:type="dxa"/>
          </w:tcPr>
          <w:p w14:paraId="55CE1F00">
            <w:pPr>
              <w:widowControl w:val="0"/>
              <w:rPr>
                <w:rFonts w:hint="default" w:ascii="宋体" w:hAnsi="Times New Roman" w:eastAsia="宋体" w:cs="Times New Roman"/>
                <w:color w:val="auto"/>
                <w:kern w:val="2"/>
                <w:szCs w:val="20"/>
              </w:rPr>
            </w:pPr>
          </w:p>
        </w:tc>
        <w:tc>
          <w:tcPr>
            <w:tcW w:w="687" w:type="dxa"/>
          </w:tcPr>
          <w:p w14:paraId="6178AF72">
            <w:pPr>
              <w:widowControl w:val="0"/>
              <w:rPr>
                <w:rFonts w:hint="default" w:ascii="宋体" w:hAnsi="Times New Roman" w:eastAsia="宋体" w:cs="Times New Roman"/>
                <w:color w:val="auto"/>
                <w:kern w:val="2"/>
                <w:szCs w:val="20"/>
              </w:rPr>
            </w:pPr>
          </w:p>
        </w:tc>
      </w:tr>
      <w:tr w14:paraId="19C7A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4" w:hRule="atLeast"/>
        </w:trPr>
        <w:tc>
          <w:tcPr>
            <w:tcW w:w="776" w:type="dxa"/>
            <w:vMerge w:val="continue"/>
          </w:tcPr>
          <w:p w14:paraId="1361BFAA">
            <w:pPr>
              <w:widowControl w:val="0"/>
              <w:rPr>
                <w:rFonts w:hint="default" w:ascii="宋体" w:hAnsi="Times New Roman" w:eastAsia="宋体" w:cs="Times New Roman"/>
                <w:color w:val="auto"/>
                <w:kern w:val="2"/>
                <w:szCs w:val="20"/>
              </w:rPr>
            </w:pPr>
          </w:p>
        </w:tc>
        <w:tc>
          <w:tcPr>
            <w:tcW w:w="4895" w:type="dxa"/>
          </w:tcPr>
          <w:p w14:paraId="63458B11">
            <w:pPr>
              <w:widowControl w:val="0"/>
              <w:spacing w:before="227" w:line="184" w:lineRule="auto"/>
              <w:ind w:firstLine="35"/>
              <w:rPr>
                <w:rFonts w:hint="default" w:ascii="宋体" w:hAnsi="宋体" w:eastAsia="宋体" w:cs="宋体"/>
                <w:color w:val="auto"/>
                <w:kern w:val="2"/>
                <w:szCs w:val="21"/>
              </w:rPr>
            </w:pPr>
            <w:r>
              <w:rPr>
                <w:rFonts w:hint="default" w:ascii="宋体" w:hAnsi="宋体" w:eastAsia="宋体" w:cs="宋体"/>
                <w:color w:val="auto"/>
                <w:spacing w:val="-2"/>
                <w:kern w:val="2"/>
                <w:szCs w:val="21"/>
              </w:rPr>
              <w:t>11、因供应商工作、管理过失造成第三方事故。</w:t>
            </w:r>
          </w:p>
        </w:tc>
        <w:tc>
          <w:tcPr>
            <w:tcW w:w="1298" w:type="dxa"/>
          </w:tcPr>
          <w:p w14:paraId="68A0E6D8">
            <w:pPr>
              <w:widowControl w:val="0"/>
              <w:spacing w:before="71" w:line="184" w:lineRule="auto"/>
              <w:ind w:firstLine="215"/>
              <w:rPr>
                <w:rFonts w:hint="default" w:ascii="宋体" w:hAnsi="宋体" w:eastAsia="宋体" w:cs="宋体"/>
                <w:color w:val="auto"/>
                <w:kern w:val="2"/>
                <w:szCs w:val="21"/>
              </w:rPr>
            </w:pPr>
            <w:r>
              <w:rPr>
                <w:rFonts w:hint="default" w:ascii="宋体" w:hAnsi="宋体" w:eastAsia="宋体" w:cs="宋体"/>
                <w:color w:val="auto"/>
                <w:spacing w:val="-2"/>
                <w:kern w:val="2"/>
                <w:szCs w:val="21"/>
              </w:rPr>
              <w:t>第三方事故</w:t>
            </w:r>
          </w:p>
          <w:p w14:paraId="29A5595E">
            <w:pPr>
              <w:widowControl w:val="0"/>
              <w:spacing w:before="102" w:line="184" w:lineRule="auto"/>
              <w:ind w:firstLine="272"/>
              <w:rPr>
                <w:rFonts w:hint="default" w:ascii="宋体" w:hAnsi="宋体" w:eastAsia="宋体" w:cs="宋体"/>
                <w:color w:val="auto"/>
                <w:kern w:val="2"/>
                <w:szCs w:val="21"/>
              </w:rPr>
            </w:pPr>
            <w:r>
              <w:rPr>
                <w:rFonts w:hint="default" w:ascii="宋体" w:hAnsi="宋体" w:eastAsia="宋体" w:cs="宋体"/>
                <w:color w:val="auto"/>
                <w:spacing w:val="-10"/>
                <w:kern w:val="2"/>
                <w:szCs w:val="21"/>
              </w:rPr>
              <w:t>扣</w:t>
            </w:r>
            <w:r>
              <w:rPr>
                <w:rFonts w:hint="default" w:ascii="宋体" w:hAnsi="宋体" w:eastAsia="宋体" w:cs="宋体"/>
                <w:color w:val="auto"/>
                <w:spacing w:val="-26"/>
                <w:kern w:val="2"/>
                <w:szCs w:val="21"/>
              </w:rPr>
              <w:t xml:space="preserve"> </w:t>
            </w:r>
            <w:r>
              <w:rPr>
                <w:rFonts w:hint="default" w:ascii="宋体" w:hAnsi="宋体" w:eastAsia="宋体" w:cs="宋体"/>
                <w:color w:val="auto"/>
                <w:spacing w:val="-10"/>
                <w:kern w:val="2"/>
                <w:szCs w:val="21"/>
              </w:rPr>
              <w:t>1</w:t>
            </w:r>
            <w:r>
              <w:rPr>
                <w:rFonts w:hint="default" w:ascii="宋体" w:hAnsi="宋体" w:eastAsia="宋体" w:cs="宋体"/>
                <w:color w:val="auto"/>
                <w:spacing w:val="-40"/>
                <w:kern w:val="2"/>
                <w:szCs w:val="21"/>
              </w:rPr>
              <w:t xml:space="preserve"> </w:t>
            </w:r>
            <w:r>
              <w:rPr>
                <w:rFonts w:hint="default" w:ascii="宋体" w:hAnsi="宋体" w:eastAsia="宋体" w:cs="宋体"/>
                <w:color w:val="auto"/>
                <w:spacing w:val="-10"/>
                <w:kern w:val="2"/>
                <w:szCs w:val="21"/>
              </w:rPr>
              <w:t>分/次</w:t>
            </w:r>
          </w:p>
        </w:tc>
        <w:tc>
          <w:tcPr>
            <w:tcW w:w="664" w:type="dxa"/>
          </w:tcPr>
          <w:p w14:paraId="09DE6682">
            <w:pPr>
              <w:widowControl w:val="0"/>
              <w:spacing w:before="227" w:line="184" w:lineRule="auto"/>
              <w:ind w:firstLine="157"/>
              <w:rPr>
                <w:rFonts w:hint="default" w:ascii="宋体" w:hAnsi="宋体" w:eastAsia="宋体" w:cs="宋体"/>
                <w:color w:val="auto"/>
                <w:kern w:val="2"/>
                <w:szCs w:val="21"/>
              </w:rPr>
            </w:pPr>
            <w:r>
              <w:rPr>
                <w:rFonts w:hint="default" w:ascii="宋体" w:hAnsi="宋体" w:eastAsia="宋体" w:cs="宋体"/>
                <w:color w:val="auto"/>
                <w:spacing w:val="-6"/>
                <w:kern w:val="2"/>
                <w:szCs w:val="21"/>
              </w:rPr>
              <w:t>2</w:t>
            </w:r>
            <w:r>
              <w:rPr>
                <w:rFonts w:hint="default" w:ascii="宋体" w:hAnsi="宋体" w:eastAsia="宋体" w:cs="宋体"/>
                <w:color w:val="auto"/>
                <w:spacing w:val="-40"/>
                <w:kern w:val="2"/>
                <w:szCs w:val="21"/>
              </w:rPr>
              <w:t xml:space="preserve"> </w:t>
            </w:r>
            <w:r>
              <w:rPr>
                <w:rFonts w:hint="default" w:ascii="宋体" w:hAnsi="宋体" w:eastAsia="宋体" w:cs="宋体"/>
                <w:color w:val="auto"/>
                <w:spacing w:val="-6"/>
                <w:kern w:val="2"/>
                <w:szCs w:val="21"/>
              </w:rPr>
              <w:t>分</w:t>
            </w:r>
          </w:p>
        </w:tc>
        <w:tc>
          <w:tcPr>
            <w:tcW w:w="682" w:type="dxa"/>
          </w:tcPr>
          <w:p w14:paraId="0C55801D">
            <w:pPr>
              <w:widowControl w:val="0"/>
              <w:rPr>
                <w:rFonts w:hint="default" w:ascii="宋体" w:hAnsi="Times New Roman" w:eastAsia="宋体" w:cs="Times New Roman"/>
                <w:color w:val="auto"/>
                <w:kern w:val="2"/>
                <w:szCs w:val="20"/>
              </w:rPr>
            </w:pPr>
          </w:p>
        </w:tc>
        <w:tc>
          <w:tcPr>
            <w:tcW w:w="687" w:type="dxa"/>
          </w:tcPr>
          <w:p w14:paraId="23C91A29">
            <w:pPr>
              <w:widowControl w:val="0"/>
              <w:rPr>
                <w:rFonts w:hint="default" w:ascii="宋体" w:hAnsi="Times New Roman" w:eastAsia="宋体" w:cs="Times New Roman"/>
                <w:color w:val="auto"/>
                <w:kern w:val="2"/>
                <w:szCs w:val="20"/>
              </w:rPr>
            </w:pPr>
          </w:p>
        </w:tc>
      </w:tr>
      <w:tr w14:paraId="3814B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6" w:hRule="atLeast"/>
        </w:trPr>
        <w:tc>
          <w:tcPr>
            <w:tcW w:w="776" w:type="dxa"/>
            <w:vMerge w:val="continue"/>
          </w:tcPr>
          <w:p w14:paraId="09187FEC">
            <w:pPr>
              <w:widowControl w:val="0"/>
              <w:rPr>
                <w:rFonts w:hint="default" w:ascii="宋体" w:hAnsi="Times New Roman" w:eastAsia="宋体" w:cs="Times New Roman"/>
                <w:color w:val="auto"/>
                <w:kern w:val="2"/>
                <w:szCs w:val="20"/>
              </w:rPr>
            </w:pPr>
          </w:p>
        </w:tc>
        <w:tc>
          <w:tcPr>
            <w:tcW w:w="4895" w:type="dxa"/>
          </w:tcPr>
          <w:p w14:paraId="293BAF18">
            <w:pPr>
              <w:widowControl w:val="0"/>
              <w:spacing w:before="226" w:line="184" w:lineRule="auto"/>
              <w:ind w:firstLine="35"/>
              <w:rPr>
                <w:rFonts w:hint="default" w:ascii="宋体" w:hAnsi="宋体" w:eastAsia="宋体" w:cs="宋体"/>
                <w:color w:val="auto"/>
                <w:kern w:val="2"/>
                <w:szCs w:val="21"/>
              </w:rPr>
            </w:pPr>
            <w:r>
              <w:rPr>
                <w:rFonts w:hint="default" w:ascii="宋体" w:hAnsi="宋体" w:eastAsia="宋体" w:cs="宋体"/>
                <w:color w:val="auto"/>
                <w:spacing w:val="-2"/>
                <w:kern w:val="2"/>
                <w:szCs w:val="21"/>
              </w:rPr>
              <w:t>12、因供应商工作、管理过失造成媒体负面曝光。</w:t>
            </w:r>
          </w:p>
        </w:tc>
        <w:tc>
          <w:tcPr>
            <w:tcW w:w="1298" w:type="dxa"/>
          </w:tcPr>
          <w:p w14:paraId="7AB0596E">
            <w:pPr>
              <w:widowControl w:val="0"/>
              <w:spacing w:before="71" w:line="229" w:lineRule="auto"/>
              <w:ind w:left="272" w:right="258" w:firstLine="49"/>
              <w:rPr>
                <w:rFonts w:hint="default" w:ascii="宋体" w:hAnsi="宋体" w:eastAsia="宋体" w:cs="宋体"/>
                <w:color w:val="auto"/>
                <w:kern w:val="2"/>
                <w:szCs w:val="21"/>
              </w:rPr>
            </w:pPr>
            <w:r>
              <w:rPr>
                <w:rFonts w:hint="default" w:ascii="宋体" w:hAnsi="宋体" w:eastAsia="宋体" w:cs="宋体"/>
                <w:color w:val="auto"/>
                <w:spacing w:val="-3"/>
                <w:kern w:val="2"/>
                <w:szCs w:val="21"/>
              </w:rPr>
              <w:t>媒体曝光</w:t>
            </w:r>
            <w:r>
              <w:rPr>
                <w:rFonts w:hint="default" w:ascii="宋体" w:hAnsi="宋体" w:eastAsia="宋体" w:cs="宋体"/>
                <w:color w:val="auto"/>
                <w:spacing w:val="1"/>
                <w:kern w:val="2"/>
                <w:szCs w:val="21"/>
              </w:rPr>
              <w:t xml:space="preserve"> </w:t>
            </w:r>
            <w:r>
              <w:rPr>
                <w:rFonts w:hint="default" w:ascii="宋体" w:hAnsi="宋体" w:eastAsia="宋体" w:cs="宋体"/>
                <w:color w:val="auto"/>
                <w:spacing w:val="-8"/>
                <w:kern w:val="2"/>
                <w:szCs w:val="21"/>
              </w:rPr>
              <w:t>扣</w:t>
            </w:r>
            <w:r>
              <w:rPr>
                <w:rFonts w:hint="default" w:ascii="宋体" w:hAnsi="宋体" w:eastAsia="宋体" w:cs="宋体"/>
                <w:color w:val="auto"/>
                <w:spacing w:val="-38"/>
                <w:kern w:val="2"/>
                <w:szCs w:val="21"/>
              </w:rPr>
              <w:t xml:space="preserve"> </w:t>
            </w:r>
            <w:r>
              <w:rPr>
                <w:rFonts w:hint="default" w:ascii="宋体" w:hAnsi="宋体" w:eastAsia="宋体" w:cs="宋体"/>
                <w:color w:val="auto"/>
                <w:spacing w:val="-8"/>
                <w:kern w:val="2"/>
                <w:szCs w:val="21"/>
              </w:rPr>
              <w:t>2</w:t>
            </w:r>
            <w:r>
              <w:rPr>
                <w:rFonts w:hint="default" w:ascii="宋体" w:hAnsi="宋体" w:eastAsia="宋体" w:cs="宋体"/>
                <w:color w:val="auto"/>
                <w:spacing w:val="-41"/>
                <w:kern w:val="2"/>
                <w:szCs w:val="21"/>
              </w:rPr>
              <w:t xml:space="preserve"> </w:t>
            </w:r>
            <w:r>
              <w:rPr>
                <w:rFonts w:hint="default" w:ascii="宋体" w:hAnsi="宋体" w:eastAsia="宋体" w:cs="宋体"/>
                <w:color w:val="auto"/>
                <w:spacing w:val="-8"/>
                <w:kern w:val="2"/>
                <w:szCs w:val="21"/>
              </w:rPr>
              <w:t>分/次</w:t>
            </w:r>
          </w:p>
        </w:tc>
        <w:tc>
          <w:tcPr>
            <w:tcW w:w="664" w:type="dxa"/>
          </w:tcPr>
          <w:p w14:paraId="49E45E0C">
            <w:pPr>
              <w:widowControl w:val="0"/>
              <w:spacing w:before="226" w:line="184" w:lineRule="auto"/>
              <w:ind w:firstLine="154"/>
              <w:rPr>
                <w:rFonts w:hint="default" w:ascii="宋体" w:hAnsi="宋体" w:eastAsia="宋体" w:cs="宋体"/>
                <w:color w:val="auto"/>
                <w:kern w:val="2"/>
                <w:szCs w:val="21"/>
              </w:rPr>
            </w:pPr>
            <w:r>
              <w:rPr>
                <w:rFonts w:hint="default" w:ascii="宋体" w:hAnsi="宋体" w:eastAsia="宋体" w:cs="宋体"/>
                <w:color w:val="auto"/>
                <w:spacing w:val="-4"/>
                <w:kern w:val="2"/>
                <w:szCs w:val="21"/>
              </w:rPr>
              <w:t>4</w:t>
            </w:r>
            <w:r>
              <w:rPr>
                <w:rFonts w:hint="default" w:ascii="宋体" w:hAnsi="宋体" w:eastAsia="宋体" w:cs="宋体"/>
                <w:color w:val="auto"/>
                <w:spacing w:val="-41"/>
                <w:kern w:val="2"/>
                <w:szCs w:val="21"/>
              </w:rPr>
              <w:t xml:space="preserve"> </w:t>
            </w:r>
            <w:r>
              <w:rPr>
                <w:rFonts w:hint="default" w:ascii="宋体" w:hAnsi="宋体" w:eastAsia="宋体" w:cs="宋体"/>
                <w:color w:val="auto"/>
                <w:spacing w:val="-4"/>
                <w:kern w:val="2"/>
                <w:szCs w:val="21"/>
              </w:rPr>
              <w:t>分</w:t>
            </w:r>
          </w:p>
        </w:tc>
        <w:tc>
          <w:tcPr>
            <w:tcW w:w="682" w:type="dxa"/>
          </w:tcPr>
          <w:p w14:paraId="1E7AE483">
            <w:pPr>
              <w:widowControl w:val="0"/>
              <w:rPr>
                <w:rFonts w:hint="default" w:ascii="宋体" w:hAnsi="Times New Roman" w:eastAsia="宋体" w:cs="Times New Roman"/>
                <w:color w:val="auto"/>
                <w:kern w:val="2"/>
                <w:szCs w:val="20"/>
              </w:rPr>
            </w:pPr>
          </w:p>
        </w:tc>
        <w:tc>
          <w:tcPr>
            <w:tcW w:w="687" w:type="dxa"/>
          </w:tcPr>
          <w:p w14:paraId="7AD9E91C">
            <w:pPr>
              <w:widowControl w:val="0"/>
              <w:rPr>
                <w:rFonts w:hint="default" w:ascii="宋体" w:hAnsi="Times New Roman" w:eastAsia="宋体" w:cs="Times New Roman"/>
                <w:color w:val="auto"/>
                <w:kern w:val="2"/>
                <w:szCs w:val="20"/>
              </w:rPr>
            </w:pPr>
          </w:p>
        </w:tc>
      </w:tr>
      <w:tr w14:paraId="7C804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6" w:hRule="atLeast"/>
        </w:trPr>
        <w:tc>
          <w:tcPr>
            <w:tcW w:w="776" w:type="dxa"/>
            <w:vMerge w:val="continue"/>
          </w:tcPr>
          <w:p w14:paraId="5022B63C">
            <w:pPr>
              <w:widowControl w:val="0"/>
              <w:rPr>
                <w:rFonts w:hint="default" w:ascii="宋体" w:hAnsi="Times New Roman" w:eastAsia="宋体" w:cs="Times New Roman"/>
                <w:color w:val="auto"/>
                <w:kern w:val="2"/>
                <w:szCs w:val="20"/>
              </w:rPr>
            </w:pPr>
          </w:p>
        </w:tc>
        <w:tc>
          <w:tcPr>
            <w:tcW w:w="4895" w:type="dxa"/>
          </w:tcPr>
          <w:p w14:paraId="379F1C13">
            <w:pPr>
              <w:widowControl w:val="0"/>
              <w:spacing w:before="226" w:line="184" w:lineRule="auto"/>
              <w:ind w:firstLine="35"/>
              <w:rPr>
                <w:rFonts w:hint="default" w:ascii="宋体" w:hAnsi="宋体" w:eastAsia="宋体" w:cs="宋体"/>
                <w:color w:val="auto"/>
                <w:spacing w:val="-2"/>
                <w:kern w:val="2"/>
                <w:szCs w:val="21"/>
              </w:rPr>
            </w:pPr>
            <w:r>
              <w:rPr>
                <w:rFonts w:hint="default" w:ascii="宋体" w:hAnsi="宋体" w:eastAsia="宋体" w:cs="宋体"/>
                <w:color w:val="auto"/>
                <w:spacing w:val="2"/>
                <w:kern w:val="2"/>
                <w:szCs w:val="21"/>
              </w:rPr>
              <w:t>13、因供应商工作、管理过失在各类检查中（如环</w:t>
            </w:r>
            <w:r>
              <w:rPr>
                <w:rFonts w:hint="default" w:ascii="宋体" w:hAnsi="宋体" w:eastAsia="宋体" w:cs="宋体"/>
                <w:color w:val="auto"/>
                <w:spacing w:val="-15"/>
                <w:kern w:val="2"/>
                <w:szCs w:val="21"/>
              </w:rPr>
              <w:t>保督查等）</w:t>
            </w:r>
            <w:r>
              <w:rPr>
                <w:rFonts w:hint="default" w:ascii="宋体" w:hAnsi="宋体" w:eastAsia="宋体" w:cs="宋体"/>
                <w:color w:val="auto"/>
                <w:spacing w:val="18"/>
                <w:kern w:val="2"/>
                <w:szCs w:val="21"/>
              </w:rPr>
              <w:t xml:space="preserve"> </w:t>
            </w:r>
            <w:r>
              <w:rPr>
                <w:rFonts w:hint="default" w:ascii="宋体" w:hAnsi="宋体" w:eastAsia="宋体" w:cs="宋体"/>
                <w:color w:val="auto"/>
                <w:spacing w:val="-15"/>
                <w:kern w:val="2"/>
                <w:szCs w:val="21"/>
              </w:rPr>
              <w:t>被通报。</w:t>
            </w:r>
          </w:p>
        </w:tc>
        <w:tc>
          <w:tcPr>
            <w:tcW w:w="1298" w:type="dxa"/>
          </w:tcPr>
          <w:p w14:paraId="0DD5B3F9">
            <w:pPr>
              <w:widowControl w:val="0"/>
              <w:spacing w:before="71" w:line="229" w:lineRule="auto"/>
              <w:ind w:left="272" w:right="258" w:firstLine="49"/>
              <w:rPr>
                <w:rFonts w:hint="default" w:ascii="宋体" w:hAnsi="宋体" w:eastAsia="宋体" w:cs="宋体"/>
                <w:color w:val="auto"/>
                <w:spacing w:val="-3"/>
                <w:kern w:val="2"/>
                <w:szCs w:val="21"/>
              </w:rPr>
            </w:pPr>
            <w:r>
              <w:rPr>
                <w:rFonts w:hint="default" w:ascii="宋体" w:hAnsi="宋体" w:eastAsia="宋体" w:cs="宋体"/>
                <w:color w:val="auto"/>
                <w:spacing w:val="-9"/>
                <w:kern w:val="2"/>
                <w:szCs w:val="21"/>
              </w:rPr>
              <w:t>问题通报</w:t>
            </w:r>
            <w:r>
              <w:rPr>
                <w:rFonts w:hint="default" w:ascii="宋体" w:hAnsi="宋体" w:eastAsia="宋体" w:cs="宋体"/>
                <w:color w:val="auto"/>
                <w:spacing w:val="2"/>
                <w:kern w:val="2"/>
                <w:szCs w:val="21"/>
              </w:rPr>
              <w:t xml:space="preserve"> </w:t>
            </w:r>
            <w:r>
              <w:rPr>
                <w:rFonts w:hint="default" w:ascii="宋体" w:hAnsi="宋体" w:eastAsia="宋体" w:cs="宋体"/>
                <w:color w:val="auto"/>
                <w:spacing w:val="-8"/>
                <w:kern w:val="2"/>
                <w:szCs w:val="21"/>
              </w:rPr>
              <w:t>扣</w:t>
            </w:r>
            <w:r>
              <w:rPr>
                <w:rFonts w:hint="default" w:ascii="宋体" w:hAnsi="宋体" w:eastAsia="宋体" w:cs="宋体"/>
                <w:color w:val="auto"/>
                <w:spacing w:val="-38"/>
                <w:kern w:val="2"/>
                <w:szCs w:val="21"/>
              </w:rPr>
              <w:t xml:space="preserve"> </w:t>
            </w:r>
            <w:r>
              <w:rPr>
                <w:rFonts w:hint="default" w:ascii="宋体" w:hAnsi="宋体" w:eastAsia="宋体" w:cs="宋体"/>
                <w:color w:val="auto"/>
                <w:spacing w:val="-8"/>
                <w:kern w:val="2"/>
                <w:szCs w:val="21"/>
              </w:rPr>
              <w:t>2</w:t>
            </w:r>
            <w:r>
              <w:rPr>
                <w:rFonts w:hint="default" w:ascii="宋体" w:hAnsi="宋体" w:eastAsia="宋体" w:cs="宋体"/>
                <w:color w:val="auto"/>
                <w:spacing w:val="-41"/>
                <w:kern w:val="2"/>
                <w:szCs w:val="21"/>
              </w:rPr>
              <w:t xml:space="preserve"> </w:t>
            </w:r>
            <w:r>
              <w:rPr>
                <w:rFonts w:hint="default" w:ascii="宋体" w:hAnsi="宋体" w:eastAsia="宋体" w:cs="宋体"/>
                <w:color w:val="auto"/>
                <w:spacing w:val="-8"/>
                <w:kern w:val="2"/>
                <w:szCs w:val="21"/>
              </w:rPr>
              <w:t>分/处</w:t>
            </w:r>
          </w:p>
        </w:tc>
        <w:tc>
          <w:tcPr>
            <w:tcW w:w="664" w:type="dxa"/>
          </w:tcPr>
          <w:p w14:paraId="6ABD2D0C">
            <w:pPr>
              <w:widowControl w:val="0"/>
              <w:spacing w:before="226" w:line="184" w:lineRule="auto"/>
              <w:ind w:firstLine="154"/>
              <w:rPr>
                <w:rFonts w:hint="default" w:ascii="宋体" w:hAnsi="宋体" w:eastAsia="宋体" w:cs="宋体"/>
                <w:color w:val="auto"/>
                <w:spacing w:val="-4"/>
                <w:kern w:val="2"/>
                <w:szCs w:val="21"/>
              </w:rPr>
            </w:pPr>
            <w:r>
              <w:rPr>
                <w:rFonts w:hint="default" w:ascii="宋体" w:hAnsi="宋体" w:eastAsia="宋体" w:cs="宋体"/>
                <w:color w:val="auto"/>
                <w:spacing w:val="-6"/>
                <w:kern w:val="2"/>
                <w:szCs w:val="21"/>
              </w:rPr>
              <w:t>2</w:t>
            </w:r>
            <w:r>
              <w:rPr>
                <w:rFonts w:hint="default" w:ascii="宋体" w:hAnsi="宋体" w:eastAsia="宋体" w:cs="宋体"/>
                <w:color w:val="auto"/>
                <w:spacing w:val="-40"/>
                <w:kern w:val="2"/>
                <w:szCs w:val="21"/>
              </w:rPr>
              <w:t xml:space="preserve"> </w:t>
            </w:r>
            <w:r>
              <w:rPr>
                <w:rFonts w:hint="default" w:ascii="宋体" w:hAnsi="宋体" w:eastAsia="宋体" w:cs="宋体"/>
                <w:color w:val="auto"/>
                <w:spacing w:val="-6"/>
                <w:kern w:val="2"/>
                <w:szCs w:val="21"/>
              </w:rPr>
              <w:t>分</w:t>
            </w:r>
          </w:p>
        </w:tc>
        <w:tc>
          <w:tcPr>
            <w:tcW w:w="682" w:type="dxa"/>
          </w:tcPr>
          <w:p w14:paraId="7CEFA235">
            <w:pPr>
              <w:widowControl w:val="0"/>
              <w:rPr>
                <w:rFonts w:hint="default" w:ascii="宋体" w:hAnsi="Times New Roman" w:eastAsia="宋体" w:cs="Times New Roman"/>
                <w:color w:val="auto"/>
                <w:kern w:val="2"/>
                <w:szCs w:val="20"/>
              </w:rPr>
            </w:pPr>
          </w:p>
        </w:tc>
        <w:tc>
          <w:tcPr>
            <w:tcW w:w="687" w:type="dxa"/>
          </w:tcPr>
          <w:p w14:paraId="05A5AF68">
            <w:pPr>
              <w:widowControl w:val="0"/>
              <w:rPr>
                <w:rFonts w:hint="default" w:ascii="宋体" w:hAnsi="Times New Roman" w:eastAsia="宋体" w:cs="Times New Roman"/>
                <w:color w:val="auto"/>
                <w:kern w:val="2"/>
                <w:szCs w:val="20"/>
              </w:rPr>
            </w:pPr>
          </w:p>
        </w:tc>
      </w:tr>
      <w:tr w14:paraId="6D86F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6" w:hRule="atLeast"/>
        </w:trPr>
        <w:tc>
          <w:tcPr>
            <w:tcW w:w="9002" w:type="dxa"/>
            <w:gridSpan w:val="6"/>
          </w:tcPr>
          <w:p w14:paraId="4B40EFE2">
            <w:pPr>
              <w:widowControl w:val="0"/>
              <w:spacing w:before="45" w:line="184" w:lineRule="auto"/>
              <w:ind w:firstLine="118"/>
              <w:rPr>
                <w:rFonts w:hint="default" w:ascii="宋体" w:hAnsi="宋体" w:eastAsia="宋体" w:cs="宋体"/>
                <w:color w:val="auto"/>
                <w:kern w:val="2"/>
                <w:szCs w:val="21"/>
              </w:rPr>
            </w:pPr>
            <w:r>
              <w:rPr>
                <w:rFonts w:hint="default" w:ascii="宋体" w:hAnsi="宋体" w:eastAsia="宋体" w:cs="宋体"/>
                <w:color w:val="auto"/>
                <w:spacing w:val="-5"/>
                <w:kern w:val="2"/>
                <w:szCs w:val="21"/>
              </w:rPr>
              <w:t>备注：</w:t>
            </w:r>
          </w:p>
          <w:p w14:paraId="34E45066">
            <w:pPr>
              <w:widowControl w:val="0"/>
              <w:spacing w:before="71" w:line="184" w:lineRule="auto"/>
              <w:ind w:firstLine="121"/>
              <w:rPr>
                <w:rFonts w:hint="default" w:ascii="宋体" w:hAnsi="宋体" w:eastAsia="宋体" w:cs="宋体"/>
                <w:color w:val="auto"/>
                <w:kern w:val="2"/>
                <w:szCs w:val="21"/>
              </w:rPr>
            </w:pPr>
            <w:r>
              <w:rPr>
                <w:rFonts w:hint="eastAsia" w:ascii="宋体" w:hAnsi="宋体" w:eastAsia="宋体" w:cs="宋体"/>
                <w:color w:val="auto"/>
                <w:spacing w:val="-1"/>
                <w:kern w:val="2"/>
                <w:szCs w:val="21"/>
              </w:rPr>
              <w:t>季度</w:t>
            </w:r>
            <w:r>
              <w:rPr>
                <w:rFonts w:hint="default" w:ascii="宋体" w:hAnsi="宋体" w:eastAsia="宋体" w:cs="宋体"/>
                <w:color w:val="auto"/>
                <w:spacing w:val="-1"/>
                <w:kern w:val="2"/>
                <w:szCs w:val="21"/>
              </w:rPr>
              <w:t>核得分90到100分，不做处罚；</w:t>
            </w:r>
          </w:p>
          <w:p w14:paraId="388AA9E0">
            <w:pPr>
              <w:widowControl w:val="0"/>
              <w:spacing w:before="71" w:line="184" w:lineRule="auto"/>
              <w:ind w:firstLine="121"/>
              <w:rPr>
                <w:rFonts w:hint="default" w:ascii="宋体" w:hAnsi="宋体" w:eastAsia="宋体" w:cs="宋体"/>
                <w:color w:val="auto"/>
                <w:kern w:val="2"/>
                <w:szCs w:val="21"/>
              </w:rPr>
            </w:pPr>
            <w:r>
              <w:rPr>
                <w:rFonts w:hint="eastAsia" w:ascii="宋体" w:hAnsi="宋体" w:eastAsia="宋体" w:cs="宋体"/>
                <w:color w:val="auto"/>
                <w:spacing w:val="-1"/>
                <w:kern w:val="2"/>
                <w:szCs w:val="21"/>
              </w:rPr>
              <w:t>季度</w:t>
            </w:r>
            <w:r>
              <w:rPr>
                <w:rFonts w:hint="default" w:ascii="宋体" w:hAnsi="宋体" w:eastAsia="宋体" w:cs="宋体"/>
                <w:color w:val="auto"/>
                <w:spacing w:val="-1"/>
                <w:kern w:val="2"/>
                <w:szCs w:val="21"/>
              </w:rPr>
              <w:t>核得分80到89分，扣款2万元；</w:t>
            </w:r>
          </w:p>
          <w:p w14:paraId="69DE9856">
            <w:pPr>
              <w:widowControl w:val="0"/>
              <w:spacing w:before="69" w:line="184" w:lineRule="auto"/>
              <w:ind w:firstLine="121"/>
              <w:rPr>
                <w:rFonts w:hint="default" w:ascii="宋体" w:hAnsi="宋体" w:eastAsia="宋体" w:cs="宋体"/>
                <w:color w:val="auto"/>
                <w:kern w:val="2"/>
                <w:szCs w:val="21"/>
              </w:rPr>
            </w:pPr>
            <w:r>
              <w:rPr>
                <w:rFonts w:hint="eastAsia" w:ascii="宋体" w:hAnsi="宋体" w:eastAsia="宋体" w:cs="宋体"/>
                <w:color w:val="auto"/>
                <w:spacing w:val="-1"/>
                <w:kern w:val="2"/>
                <w:szCs w:val="21"/>
              </w:rPr>
              <w:t>季度</w:t>
            </w:r>
            <w:r>
              <w:rPr>
                <w:rFonts w:hint="default" w:ascii="宋体" w:hAnsi="宋体" w:eastAsia="宋体" w:cs="宋体"/>
                <w:color w:val="auto"/>
                <w:spacing w:val="-1"/>
                <w:kern w:val="2"/>
                <w:szCs w:val="21"/>
              </w:rPr>
              <w:t>核得分60到79分，扣款4万元；</w:t>
            </w:r>
          </w:p>
          <w:p w14:paraId="0F2E3827">
            <w:pPr>
              <w:widowControl w:val="0"/>
              <w:rPr>
                <w:rFonts w:hint="default" w:ascii="宋体" w:hAnsi="Times New Roman" w:eastAsia="宋体" w:cs="Times New Roman"/>
                <w:color w:val="auto"/>
                <w:kern w:val="2"/>
                <w:szCs w:val="20"/>
              </w:rPr>
            </w:pPr>
            <w:r>
              <w:rPr>
                <w:rFonts w:hint="eastAsia" w:ascii="宋体" w:hAnsi="宋体" w:eastAsia="宋体" w:cs="宋体"/>
                <w:color w:val="auto"/>
                <w:spacing w:val="-1"/>
                <w:kern w:val="2"/>
                <w:szCs w:val="21"/>
              </w:rPr>
              <w:t>季度</w:t>
            </w:r>
            <w:r>
              <w:rPr>
                <w:rFonts w:hint="default" w:ascii="宋体" w:hAnsi="宋体" w:eastAsia="宋体" w:cs="宋体"/>
                <w:color w:val="auto"/>
                <w:spacing w:val="-1"/>
                <w:kern w:val="2"/>
                <w:szCs w:val="21"/>
              </w:rPr>
              <w:t>核得分60分以下为不合格，扣款8万元，并计黄牌一次。</w:t>
            </w:r>
          </w:p>
        </w:tc>
      </w:tr>
    </w:tbl>
    <w:p w14:paraId="5B975BF2">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rPr>
          <w:rFonts w:ascii="Times New Roman" w:hAnsi="Times New Roman" w:eastAsia="宋体" w:cs="Times New Roman"/>
          <w:color w:val="auto"/>
          <w:szCs w:val="24"/>
        </w:rPr>
      </w:pPr>
      <w:r>
        <w:rPr>
          <w:rFonts w:ascii="宋体" w:hAnsi="宋体" w:eastAsia="宋体" w:cs="宋体"/>
          <w:b/>
          <w:color w:val="auto"/>
          <w:sz w:val="36"/>
          <w:szCs w:val="24"/>
        </w:rPr>
        <w:t> </w:t>
      </w:r>
    </w:p>
    <w:p w14:paraId="59F21140">
      <w:pPr>
        <w:rPr>
          <w:rFonts w:ascii="宋体" w:hAnsi="宋体" w:eastAsia="宋体" w:cs="宋体"/>
          <w:b/>
          <w:color w:val="auto"/>
          <w:sz w:val="36"/>
        </w:rPr>
      </w:pPr>
      <w:r>
        <w:rPr>
          <w:rFonts w:ascii="宋体" w:hAnsi="宋体" w:eastAsia="宋体" w:cs="宋体"/>
          <w:b/>
          <w:color w:val="auto"/>
          <w:sz w:val="36"/>
        </w:rPr>
        <w:br w:type="page"/>
      </w:r>
    </w:p>
    <w:p w14:paraId="4BF6996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b/>
          <w:color w:val="auto"/>
          <w:sz w:val="36"/>
        </w:rPr>
        <w:t>第六章 附</w:t>
      </w:r>
      <w:r>
        <w:rPr>
          <w:rFonts w:ascii="Times New Roman" w:hAnsi="Times New Roman" w:eastAsia="Times New Roman" w:cs="Times New Roman"/>
          <w:b/>
          <w:color w:val="auto"/>
          <w:sz w:val="36"/>
        </w:rPr>
        <w:t>    </w:t>
      </w:r>
      <w:r>
        <w:rPr>
          <w:rFonts w:ascii="宋体" w:hAnsi="宋体" w:eastAsia="宋体" w:cs="宋体"/>
          <w:b/>
          <w:color w:val="auto"/>
          <w:sz w:val="36"/>
        </w:rPr>
        <w:t>件</w:t>
      </w:r>
    </w:p>
    <w:p w14:paraId="6DD39B58">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0"/>
        </w:rPr>
        <w:t> </w:t>
      </w:r>
    </w:p>
    <w:p w14:paraId="11DD318B">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0"/>
        </w:rPr>
        <w:t> </w:t>
      </w:r>
    </w:p>
    <w:p w14:paraId="0E4B29CD">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0"/>
        </w:rPr>
        <w:t> </w:t>
      </w:r>
    </w:p>
    <w:p w14:paraId="29FAD2FD">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0"/>
        </w:rPr>
        <w:t> </w:t>
      </w:r>
    </w:p>
    <w:p w14:paraId="65F0ED1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8"/>
        </w:rPr>
        <w:t>（项目名称、项目编号 ）</w:t>
      </w:r>
    </w:p>
    <w:p w14:paraId="36B88F9E">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0"/>
        </w:rPr>
        <w:t> </w:t>
      </w:r>
    </w:p>
    <w:p w14:paraId="5E194F0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44"/>
        </w:rPr>
        <w:t>投标文件</w:t>
      </w:r>
    </w:p>
    <w:p w14:paraId="0E13817F">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8"/>
        </w:rPr>
        <w:t> </w:t>
      </w:r>
    </w:p>
    <w:p w14:paraId="02AD3CC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8"/>
        </w:rPr>
        <w:t> </w:t>
      </w:r>
    </w:p>
    <w:p w14:paraId="0B54F81B">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8"/>
        </w:rPr>
        <w:t> </w:t>
      </w:r>
    </w:p>
    <w:p w14:paraId="61B3D12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8"/>
        </w:rPr>
        <w:t> </w:t>
      </w:r>
    </w:p>
    <w:p w14:paraId="3C43E085">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8"/>
        </w:rPr>
        <w:t> </w:t>
      </w:r>
    </w:p>
    <w:p w14:paraId="31DD79DD">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8"/>
        </w:rPr>
        <w:t> </w:t>
      </w:r>
    </w:p>
    <w:p w14:paraId="3EC94590">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8"/>
        </w:rPr>
        <w:t> </w:t>
      </w:r>
    </w:p>
    <w:p w14:paraId="3DDBCAB2">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8"/>
        </w:rPr>
        <w:t> </w:t>
      </w:r>
    </w:p>
    <w:p w14:paraId="3B6099E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8"/>
        </w:rPr>
        <w:t>投标人：（加盖电子公章）</w:t>
      </w:r>
    </w:p>
    <w:p w14:paraId="2A9A4FA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8"/>
        </w:rPr>
        <w:t>法定代表人或其委托代理人：（签字）</w:t>
      </w:r>
    </w:p>
    <w:p w14:paraId="257E0EB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8"/>
        </w:rPr>
        <w:t>年月日</w:t>
      </w:r>
    </w:p>
    <w:p w14:paraId="2D1EAEF9">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rPr>
      </w:pPr>
      <w:r>
        <w:rPr>
          <w:color w:val="auto"/>
        </w:rPr>
        <w:br w:type="page" w:clear="all"/>
      </w:r>
    </w:p>
    <w:p w14:paraId="5C71EFD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b/>
          <w:color w:val="auto"/>
          <w:sz w:val="32"/>
        </w:rPr>
        <w:t>目录</w:t>
      </w:r>
    </w:p>
    <w:p w14:paraId="23DF90B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b/>
          <w:color w:val="auto"/>
          <w:sz w:val="36"/>
        </w:rPr>
        <w:t> </w:t>
      </w:r>
    </w:p>
    <w:p w14:paraId="2F72F273">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Times New Roman" w:hAnsi="Times New Roman" w:eastAsia="Times New Roman" w:cs="Times New Roman"/>
          <w:b/>
          <w:color w:val="auto"/>
          <w:sz w:val="21"/>
        </w:rPr>
        <w:t> </w:t>
      </w:r>
    </w:p>
    <w:p w14:paraId="2C024D16">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color w:val="auto"/>
        </w:rPr>
        <w:br w:type="page" w:clear="all"/>
      </w:r>
    </w:p>
    <w:p w14:paraId="0679FC85">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b/>
          <w:color w:val="auto"/>
          <w:sz w:val="21"/>
        </w:rPr>
        <w:t>附件一、投标申请及声明格式</w:t>
      </w:r>
    </w:p>
    <w:p w14:paraId="060EA06E">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jc w:val="center"/>
        <w:rPr>
          <w:color w:val="auto"/>
        </w:rPr>
      </w:pPr>
      <w:r>
        <w:rPr>
          <w:rFonts w:ascii="宋体" w:hAnsi="宋体" w:eastAsia="宋体" w:cs="宋体"/>
          <w:color w:val="auto"/>
          <w:sz w:val="36"/>
        </w:rPr>
        <w:t>投标申请及声明</w:t>
      </w:r>
    </w:p>
    <w:p w14:paraId="650DB21C">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0"/>
        <w:jc w:val="both"/>
        <w:rPr>
          <w:rFonts w:hint="eastAsia" w:eastAsia="宋体"/>
          <w:color w:val="auto"/>
          <w:lang w:eastAsia="zh-CN"/>
        </w:rPr>
      </w:pPr>
      <w:r>
        <w:rPr>
          <w:rFonts w:ascii="宋体" w:hAnsi="宋体" w:eastAsia="宋体" w:cs="宋体"/>
          <w:color w:val="auto"/>
          <w:sz w:val="21"/>
        </w:rPr>
        <w:t> 致：</w:t>
      </w:r>
      <w:r>
        <w:rPr>
          <w:rFonts w:hint="eastAsia" w:ascii="宋体" w:hAnsi="宋体" w:cs="宋体"/>
          <w:color w:val="auto"/>
          <w:sz w:val="21"/>
          <w:lang w:eastAsia="zh-CN"/>
        </w:rPr>
        <w:t>南京市栖霞区水务局</w:t>
      </w:r>
    </w:p>
    <w:p w14:paraId="78E69E52">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根据贵方</w:t>
      </w:r>
      <w:r>
        <w:rPr>
          <w:rFonts w:ascii="宋体" w:hAnsi="宋体" w:eastAsia="宋体" w:cs="宋体"/>
          <w:color w:val="auto"/>
          <w:sz w:val="21"/>
          <w:u w:val="single"/>
        </w:rPr>
        <w:t>                   </w:t>
      </w:r>
      <w:r>
        <w:rPr>
          <w:rFonts w:ascii="宋体" w:hAnsi="宋体" w:eastAsia="宋体" w:cs="宋体"/>
          <w:b/>
          <w:color w:val="auto"/>
          <w:sz w:val="21"/>
          <w:u w:val="single"/>
        </w:rPr>
        <w:t>（</w:t>
      </w:r>
      <w:r>
        <w:rPr>
          <w:rFonts w:ascii="宋体" w:hAnsi="宋体" w:eastAsia="宋体" w:cs="宋体"/>
          <w:b/>
          <w:color w:val="auto"/>
          <w:sz w:val="21"/>
        </w:rPr>
        <w:t>项目名称</w:t>
      </w:r>
      <w:r>
        <w:rPr>
          <w:rFonts w:ascii="宋体" w:hAnsi="宋体" w:eastAsia="宋体" w:cs="宋体"/>
          <w:color w:val="auto"/>
          <w:sz w:val="21"/>
        </w:rPr>
        <w:t>） </w:t>
      </w:r>
      <w:r>
        <w:rPr>
          <w:rFonts w:ascii="宋体" w:hAnsi="宋体" w:eastAsia="宋体" w:cs="宋体"/>
          <w:color w:val="auto"/>
          <w:sz w:val="21"/>
          <w:u w:val="single"/>
        </w:rPr>
        <w:t>       </w:t>
      </w:r>
      <w:r>
        <w:rPr>
          <w:rFonts w:ascii="宋体" w:hAnsi="宋体" w:eastAsia="宋体" w:cs="宋体"/>
          <w:color w:val="auto"/>
          <w:sz w:val="21"/>
        </w:rPr>
        <w:t>（项目编号）投标邀请，正式授权下述签字人</w:t>
      </w:r>
      <w:r>
        <w:rPr>
          <w:rFonts w:ascii="宋体" w:hAnsi="宋体" w:eastAsia="宋体" w:cs="宋体"/>
          <w:color w:val="auto"/>
          <w:sz w:val="21"/>
          <w:u w:val="single"/>
        </w:rPr>
        <w:t>            </w:t>
      </w:r>
      <w:r>
        <w:rPr>
          <w:rFonts w:ascii="宋体" w:hAnsi="宋体" w:eastAsia="宋体" w:cs="宋体"/>
          <w:color w:val="auto"/>
          <w:sz w:val="21"/>
        </w:rPr>
        <w:t>(姓名和职务)代表投标人</w:t>
      </w:r>
      <w:r>
        <w:rPr>
          <w:rFonts w:ascii="宋体" w:hAnsi="宋体" w:eastAsia="宋体" w:cs="宋体"/>
          <w:color w:val="auto"/>
          <w:sz w:val="21"/>
          <w:u w:val="single"/>
        </w:rPr>
        <w:t>     </w:t>
      </w:r>
      <w:r>
        <w:rPr>
          <w:rFonts w:ascii="宋体" w:hAnsi="宋体" w:eastAsia="宋体" w:cs="宋体"/>
          <w:color w:val="auto"/>
          <w:sz w:val="21"/>
        </w:rPr>
        <w:t>（</w:t>
      </w:r>
      <w:r>
        <w:rPr>
          <w:rFonts w:hint="eastAsia" w:ascii="宋体" w:hAnsi="宋体" w:cs="宋体"/>
          <w:color w:val="auto"/>
          <w:sz w:val="21"/>
          <w:lang w:eastAsia="zh-CN"/>
        </w:rPr>
        <w:t>供应商名称</w:t>
      </w:r>
      <w:r>
        <w:rPr>
          <w:rFonts w:ascii="宋体" w:hAnsi="宋体" w:eastAsia="宋体" w:cs="宋体"/>
          <w:color w:val="auto"/>
          <w:sz w:val="21"/>
        </w:rPr>
        <w:t>），提交投标文件。</w:t>
      </w:r>
    </w:p>
    <w:p w14:paraId="764120C4">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据此函，签字人兹宣布声明和承诺如下：</w:t>
      </w:r>
    </w:p>
    <w:p w14:paraId="0541DEEE">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1、</w:t>
      </w:r>
      <w:r>
        <w:rPr>
          <w:rFonts w:ascii="宋体" w:hAnsi="宋体" w:eastAsia="宋体" w:cs="宋体"/>
          <w:b/>
          <w:color w:val="auto"/>
          <w:sz w:val="21"/>
        </w:rPr>
        <w:t>我们的资格条件完全符合政府采购法和本次招标要求</w:t>
      </w:r>
      <w:r>
        <w:rPr>
          <w:rFonts w:ascii="宋体" w:hAnsi="宋体" w:eastAsia="宋体" w:cs="宋体"/>
          <w:color w:val="auto"/>
          <w:sz w:val="21"/>
        </w:rPr>
        <w:t>，我们同意并向贵方提供了与投标有关的所有证据和资料。</w:t>
      </w:r>
    </w:p>
    <w:p w14:paraId="3C118C96">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420" w:right="0" w:firstLine="0"/>
        <w:jc w:val="both"/>
        <w:rPr>
          <w:color w:val="auto"/>
        </w:rPr>
      </w:pPr>
      <w:r>
        <w:rPr>
          <w:rFonts w:ascii="宋体" w:hAnsi="宋体" w:eastAsia="宋体" w:cs="宋体"/>
          <w:color w:val="auto"/>
          <w:sz w:val="21"/>
        </w:rPr>
        <w:t>2、按招标要求，我们的</w:t>
      </w:r>
      <w:r>
        <w:rPr>
          <w:rFonts w:ascii="宋体" w:hAnsi="宋体" w:eastAsia="宋体" w:cs="宋体"/>
          <w:color w:val="auto"/>
          <w:sz w:val="21"/>
          <w:u w:val="single"/>
        </w:rPr>
        <w:t>投标报价为</w:t>
      </w:r>
      <w:r>
        <w:rPr>
          <w:rFonts w:hint="eastAsia" w:ascii="宋体" w:hAnsi="宋体" w:cs="宋体"/>
          <w:color w:val="auto"/>
          <w:sz w:val="21"/>
          <w:u w:val="single"/>
          <w:lang w:val="en-US" w:eastAsia="zh-CN"/>
        </w:rPr>
        <w:t xml:space="preserve">      元</w:t>
      </w:r>
      <w:r>
        <w:rPr>
          <w:rFonts w:ascii="宋体" w:hAnsi="宋体" w:eastAsia="宋体" w:cs="宋体"/>
          <w:color w:val="auto"/>
          <w:sz w:val="21"/>
          <w:u w:val="single"/>
        </w:rPr>
        <w:t>。</w:t>
      </w:r>
      <w:r>
        <w:rPr>
          <w:rFonts w:ascii="宋体" w:hAnsi="宋体" w:eastAsia="宋体" w:cs="宋体"/>
          <w:color w:val="auto"/>
          <w:sz w:val="21"/>
        </w:rPr>
        <w:t> </w:t>
      </w:r>
    </w:p>
    <w:p w14:paraId="35D2CE0D">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3、合同履行期为</w:t>
      </w:r>
      <w:r>
        <w:rPr>
          <w:rFonts w:ascii="宋体" w:hAnsi="宋体" w:eastAsia="宋体" w:cs="宋体"/>
          <w:color w:val="auto"/>
          <w:sz w:val="21"/>
          <w:u w:val="single"/>
        </w:rPr>
        <w:t>：</w:t>
      </w:r>
      <w:r>
        <w:rPr>
          <w:rFonts w:hint="eastAsia" w:ascii="宋体" w:hAnsi="宋体" w:eastAsia="宋体" w:cs="宋体"/>
          <w:color w:val="auto"/>
          <w:sz w:val="21"/>
          <w:u w:val="single"/>
        </w:rPr>
        <w:t>自合同签订之日起至2026年12月31日止</w:t>
      </w:r>
      <w:r>
        <w:rPr>
          <w:rFonts w:ascii="宋体" w:hAnsi="宋体" w:eastAsia="宋体" w:cs="宋体"/>
          <w:color w:val="auto"/>
          <w:sz w:val="21"/>
          <w:u w:val="single"/>
        </w:rPr>
        <w:t>。</w:t>
      </w:r>
    </w:p>
    <w:p w14:paraId="67CAD811">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4、项目总负责人：</w:t>
      </w:r>
      <w:r>
        <w:rPr>
          <w:rFonts w:ascii="宋体" w:hAnsi="宋体" w:eastAsia="宋体" w:cs="宋体"/>
          <w:color w:val="auto"/>
          <w:sz w:val="21"/>
          <w:u w:val="single"/>
        </w:rPr>
        <w:t>           。</w:t>
      </w:r>
    </w:p>
    <w:p w14:paraId="16FA909A">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5、我们已详细审核全部招标文件及其有效补充文件，我们放弃对招标文件任何误解的权利，提交投标文件后，</w:t>
      </w:r>
      <w:r>
        <w:rPr>
          <w:rFonts w:ascii="宋体" w:hAnsi="宋体" w:eastAsia="宋体" w:cs="宋体"/>
          <w:b/>
          <w:color w:val="auto"/>
          <w:sz w:val="21"/>
        </w:rPr>
        <w:t>不对招标文件本身提出质疑</w:t>
      </w:r>
      <w:r>
        <w:rPr>
          <w:rFonts w:ascii="宋体" w:hAnsi="宋体" w:eastAsia="宋体" w:cs="宋体"/>
          <w:color w:val="auto"/>
          <w:sz w:val="21"/>
        </w:rPr>
        <w:t>。</w:t>
      </w:r>
    </w:p>
    <w:p w14:paraId="56275C90">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6、我们同意从规定的开标日期起遵循本投标文件，并在规定的投标有效期期满之前均具有约束力。</w:t>
      </w:r>
    </w:p>
    <w:p w14:paraId="50D2CC74">
      <w:pPr>
        <w:pBdr>
          <w:top w:val="none" w:color="000000" w:sz="0" w:space="0"/>
          <w:left w:val="none" w:color="000000" w:sz="0" w:space="0"/>
          <w:bottom w:val="none" w:color="000000" w:sz="0" w:space="0"/>
          <w:right w:val="none" w:color="000000" w:sz="0" w:space="0"/>
        </w:pBdr>
        <w:spacing w:before="0" w:after="0" w:line="360" w:lineRule="auto"/>
        <w:ind w:left="0" w:right="0" w:firstLine="420"/>
        <w:jc w:val="both"/>
        <w:rPr>
          <w:color w:val="auto"/>
        </w:rPr>
      </w:pPr>
      <w:r>
        <w:rPr>
          <w:rFonts w:ascii="宋体" w:hAnsi="宋体" w:eastAsia="宋体" w:cs="宋体"/>
          <w:color w:val="auto"/>
          <w:sz w:val="21"/>
        </w:rPr>
        <w:t>7、投标截止时间结束后参加投标的供应商不足三家的，或在评标期间出现符合专业条件的供应商或者对招标文件作出实质响应的供应商不足三家情形的，我们酌情决定是否参加贵方组织的其他采购方式采购。</w:t>
      </w:r>
    </w:p>
    <w:p w14:paraId="7C8FA386">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8、一旦我方中标，我方将根据招标文件的规定严格履行合同，并保证于承诺的时间完成服务，交付采购人验收、使用。</w:t>
      </w:r>
    </w:p>
    <w:p w14:paraId="4AC416E0">
      <w:pPr>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color w:val="auto"/>
        </w:rPr>
      </w:pPr>
      <w:r>
        <w:rPr>
          <w:rFonts w:ascii="宋体" w:hAnsi="宋体" w:eastAsia="宋体" w:cs="宋体"/>
          <w:color w:val="auto"/>
          <w:sz w:val="21"/>
        </w:rPr>
        <w:t>9、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6838CDEE">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20"/>
        <w:jc w:val="both"/>
        <w:rPr>
          <w:color w:val="auto"/>
        </w:rPr>
      </w:pPr>
      <w:r>
        <w:rPr>
          <w:rFonts w:ascii="宋体" w:hAnsi="宋体" w:eastAsia="宋体" w:cs="宋体"/>
          <w:color w:val="auto"/>
          <w:sz w:val="21"/>
        </w:rPr>
        <w:t>10、与本投标有关的正式联系方式为：</w:t>
      </w:r>
    </w:p>
    <w:p w14:paraId="1FE74DDA">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20"/>
        <w:jc w:val="both"/>
        <w:rPr>
          <w:color w:val="auto"/>
        </w:rPr>
      </w:pPr>
      <w:r>
        <w:rPr>
          <w:rFonts w:ascii="宋体" w:hAnsi="宋体" w:eastAsia="宋体" w:cs="宋体"/>
          <w:color w:val="auto"/>
          <w:sz w:val="21"/>
        </w:rPr>
        <w:t>地   址：</w:t>
      </w:r>
      <w:r>
        <w:rPr>
          <w:rFonts w:ascii="宋体" w:hAnsi="宋体" w:eastAsia="宋体" w:cs="宋体"/>
          <w:color w:val="auto"/>
          <w:sz w:val="21"/>
          <w:u w:val="single"/>
        </w:rPr>
        <w:t>                      </w:t>
      </w:r>
    </w:p>
    <w:p w14:paraId="338C7EB4">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20"/>
        <w:jc w:val="both"/>
        <w:rPr>
          <w:color w:val="auto"/>
        </w:rPr>
      </w:pPr>
      <w:r>
        <w:rPr>
          <w:rFonts w:ascii="宋体" w:hAnsi="宋体" w:eastAsia="宋体" w:cs="宋体"/>
          <w:color w:val="auto"/>
          <w:sz w:val="21"/>
        </w:rPr>
        <w:t>电   话：</w:t>
      </w:r>
      <w:r>
        <w:rPr>
          <w:rFonts w:ascii="宋体" w:hAnsi="宋体" w:eastAsia="宋体" w:cs="宋体"/>
          <w:color w:val="auto"/>
          <w:sz w:val="21"/>
          <w:u w:val="single"/>
        </w:rPr>
        <w:t>                      </w:t>
      </w:r>
    </w:p>
    <w:p w14:paraId="4296BF2D">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20"/>
        <w:jc w:val="both"/>
        <w:rPr>
          <w:color w:val="auto"/>
        </w:rPr>
      </w:pPr>
      <w:r>
        <w:rPr>
          <w:rFonts w:ascii="宋体" w:hAnsi="宋体" w:eastAsia="宋体" w:cs="宋体"/>
          <w:color w:val="auto"/>
          <w:sz w:val="21"/>
        </w:rPr>
        <w:t>传   真：</w:t>
      </w:r>
      <w:r>
        <w:rPr>
          <w:rFonts w:ascii="宋体" w:hAnsi="宋体" w:eastAsia="宋体" w:cs="宋体"/>
          <w:color w:val="auto"/>
          <w:sz w:val="21"/>
          <w:u w:val="single"/>
        </w:rPr>
        <w:t>                      </w:t>
      </w:r>
    </w:p>
    <w:p w14:paraId="266E0663">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20"/>
        <w:jc w:val="both"/>
        <w:rPr>
          <w:color w:val="auto"/>
        </w:rPr>
      </w:pPr>
      <w:r>
        <w:rPr>
          <w:rFonts w:ascii="宋体" w:hAnsi="宋体" w:eastAsia="宋体" w:cs="宋体"/>
          <w:color w:val="auto"/>
          <w:sz w:val="21"/>
        </w:rPr>
        <w:t>开户银行：</w:t>
      </w:r>
    </w:p>
    <w:p w14:paraId="3052ED9C">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20"/>
        <w:jc w:val="both"/>
        <w:rPr>
          <w:color w:val="auto"/>
        </w:rPr>
      </w:pPr>
      <w:r>
        <w:rPr>
          <w:rFonts w:ascii="宋体" w:hAnsi="宋体" w:eastAsia="宋体" w:cs="宋体"/>
          <w:color w:val="auto"/>
          <w:sz w:val="21"/>
        </w:rPr>
        <w:t>银行账号：</w:t>
      </w:r>
    </w:p>
    <w:p w14:paraId="2FE7BBCB">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20"/>
        <w:jc w:val="both"/>
        <w:rPr>
          <w:color w:val="auto"/>
        </w:rPr>
      </w:pPr>
      <w:r>
        <w:rPr>
          <w:rFonts w:ascii="宋体" w:hAnsi="宋体" w:eastAsia="宋体" w:cs="宋体"/>
          <w:color w:val="auto"/>
          <w:sz w:val="21"/>
        </w:rPr>
        <w:t>投标人授权代表姓名（签字）：</w:t>
      </w:r>
      <w:r>
        <w:rPr>
          <w:rFonts w:ascii="宋体" w:hAnsi="宋体" w:eastAsia="宋体" w:cs="宋体"/>
          <w:color w:val="auto"/>
          <w:sz w:val="21"/>
          <w:u w:val="single"/>
        </w:rPr>
        <w:t>        </w:t>
      </w:r>
    </w:p>
    <w:p w14:paraId="4B9E365B">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20"/>
        <w:jc w:val="both"/>
        <w:rPr>
          <w:color w:val="auto"/>
        </w:rPr>
      </w:pPr>
      <w:r>
        <w:rPr>
          <w:rFonts w:hint="eastAsia" w:ascii="宋体" w:hAnsi="宋体" w:cs="宋体"/>
          <w:color w:val="auto"/>
          <w:sz w:val="21"/>
          <w:lang w:eastAsia="zh-CN"/>
        </w:rPr>
        <w:t>供应商名称</w:t>
      </w:r>
      <w:r>
        <w:rPr>
          <w:rFonts w:ascii="宋体" w:hAnsi="宋体" w:eastAsia="宋体" w:cs="宋体"/>
          <w:color w:val="auto"/>
          <w:sz w:val="21"/>
        </w:rPr>
        <w:t>：</w:t>
      </w:r>
      <w:r>
        <w:rPr>
          <w:rFonts w:ascii="宋体" w:hAnsi="宋体" w:eastAsia="宋体" w:cs="宋体"/>
          <w:color w:val="auto"/>
          <w:sz w:val="21"/>
          <w:u w:val="single"/>
        </w:rPr>
        <w:t>                 </w:t>
      </w:r>
      <w:r>
        <w:rPr>
          <w:rFonts w:ascii="宋体" w:hAnsi="宋体" w:eastAsia="宋体" w:cs="宋体"/>
          <w:color w:val="auto"/>
          <w:sz w:val="21"/>
        </w:rPr>
        <w:t>（电子公章）</w:t>
      </w:r>
    </w:p>
    <w:p w14:paraId="1C59429A">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20"/>
        <w:jc w:val="both"/>
        <w:rPr>
          <w:color w:val="auto"/>
        </w:rPr>
      </w:pPr>
      <w:r>
        <w:rPr>
          <w:rFonts w:ascii="宋体" w:hAnsi="宋体" w:eastAsia="宋体" w:cs="宋体"/>
          <w:color w:val="auto"/>
          <w:sz w:val="21"/>
        </w:rPr>
        <w:t>日    期：</w:t>
      </w:r>
      <w:r>
        <w:rPr>
          <w:rFonts w:ascii="宋体" w:hAnsi="宋体" w:eastAsia="宋体" w:cs="宋体"/>
          <w:color w:val="auto"/>
          <w:sz w:val="21"/>
          <w:u w:val="single"/>
        </w:rPr>
        <w:t>       </w:t>
      </w:r>
      <w:r>
        <w:rPr>
          <w:rFonts w:ascii="宋体" w:hAnsi="宋体" w:eastAsia="宋体" w:cs="宋体"/>
          <w:color w:val="auto"/>
          <w:sz w:val="21"/>
        </w:rPr>
        <w:t>年</w:t>
      </w:r>
      <w:r>
        <w:rPr>
          <w:rFonts w:ascii="宋体" w:hAnsi="宋体" w:eastAsia="宋体" w:cs="宋体"/>
          <w:color w:val="auto"/>
          <w:sz w:val="21"/>
          <w:u w:val="single"/>
        </w:rPr>
        <w:t>    </w:t>
      </w:r>
      <w:r>
        <w:rPr>
          <w:rFonts w:ascii="宋体" w:hAnsi="宋体" w:eastAsia="宋体" w:cs="宋体"/>
          <w:color w:val="auto"/>
          <w:sz w:val="21"/>
        </w:rPr>
        <w:t>月</w:t>
      </w:r>
      <w:r>
        <w:rPr>
          <w:rFonts w:ascii="宋体" w:hAnsi="宋体" w:eastAsia="宋体" w:cs="宋体"/>
          <w:color w:val="auto"/>
          <w:sz w:val="21"/>
          <w:u w:val="single"/>
        </w:rPr>
        <w:t>    </w:t>
      </w:r>
      <w:r>
        <w:rPr>
          <w:rFonts w:ascii="宋体" w:hAnsi="宋体" w:eastAsia="宋体" w:cs="宋体"/>
          <w:color w:val="auto"/>
          <w:sz w:val="21"/>
        </w:rPr>
        <w:t>日</w:t>
      </w:r>
    </w:p>
    <w:p w14:paraId="5980D5D5">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20"/>
        <w:jc w:val="both"/>
        <w:rPr>
          <w:color w:val="auto"/>
        </w:rPr>
      </w:pPr>
      <w:r>
        <w:rPr>
          <w:rFonts w:ascii="宋体" w:hAnsi="宋体" w:eastAsia="宋体" w:cs="宋体"/>
          <w:color w:val="auto"/>
          <w:sz w:val="21"/>
        </w:rPr>
        <w:t> </w:t>
      </w:r>
    </w:p>
    <w:p w14:paraId="71177913">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20"/>
        <w:jc w:val="both"/>
        <w:rPr>
          <w:color w:val="auto"/>
        </w:rPr>
      </w:pPr>
      <w:r>
        <w:rPr>
          <w:rFonts w:ascii="宋体" w:hAnsi="宋体" w:eastAsia="宋体" w:cs="宋体"/>
          <w:color w:val="auto"/>
          <w:sz w:val="21"/>
        </w:rPr>
        <w:t> </w:t>
      </w:r>
    </w:p>
    <w:p w14:paraId="75CA0B41">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20"/>
        <w:jc w:val="both"/>
        <w:rPr>
          <w:color w:val="auto"/>
        </w:rPr>
      </w:pPr>
      <w:r>
        <w:rPr>
          <w:rFonts w:ascii="宋体" w:hAnsi="宋体" w:eastAsia="宋体" w:cs="宋体"/>
          <w:color w:val="auto"/>
          <w:sz w:val="21"/>
        </w:rPr>
        <w:t> </w:t>
      </w:r>
    </w:p>
    <w:p w14:paraId="773806F1">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20"/>
        <w:jc w:val="both"/>
        <w:rPr>
          <w:color w:val="auto"/>
        </w:rPr>
      </w:pPr>
      <w:r>
        <w:rPr>
          <w:rFonts w:ascii="宋体" w:hAnsi="宋体" w:eastAsia="宋体" w:cs="宋体"/>
          <w:color w:val="auto"/>
          <w:sz w:val="21"/>
        </w:rPr>
        <w:t> </w:t>
      </w:r>
    </w:p>
    <w:p w14:paraId="36E5AB53">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jc w:val="both"/>
        <w:rPr>
          <w:color w:val="auto"/>
        </w:rPr>
      </w:pPr>
      <w:r>
        <w:rPr>
          <w:color w:val="auto"/>
        </w:rPr>
        <w:br w:type="page" w:clear="all"/>
      </w:r>
    </w:p>
    <w:p w14:paraId="327705AA">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jc w:val="both"/>
        <w:rPr>
          <w:color w:val="auto"/>
        </w:rPr>
      </w:pPr>
      <w:r>
        <w:rPr>
          <w:rFonts w:ascii="宋体" w:hAnsi="宋体" w:eastAsia="宋体" w:cs="宋体"/>
          <w:b/>
          <w:color w:val="auto"/>
          <w:sz w:val="21"/>
        </w:rPr>
        <w:t>附件二、法定代表人授权委托书格式</w:t>
      </w:r>
    </w:p>
    <w:p w14:paraId="54FBCA56">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720"/>
        <w:jc w:val="center"/>
        <w:rPr>
          <w:color w:val="auto"/>
        </w:rPr>
      </w:pPr>
      <w:r>
        <w:rPr>
          <w:rFonts w:ascii="宋体" w:hAnsi="宋体" w:eastAsia="宋体" w:cs="宋体"/>
          <w:color w:val="auto"/>
          <w:sz w:val="36"/>
        </w:rPr>
        <w:t> </w:t>
      </w:r>
    </w:p>
    <w:p w14:paraId="166479BB">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720"/>
        <w:jc w:val="center"/>
        <w:rPr>
          <w:color w:val="auto"/>
        </w:rPr>
      </w:pPr>
      <w:r>
        <w:rPr>
          <w:rFonts w:ascii="宋体" w:hAnsi="宋体" w:eastAsia="宋体" w:cs="宋体"/>
          <w:color w:val="auto"/>
          <w:sz w:val="36"/>
        </w:rPr>
        <w:t>法定代表人授权委托书</w:t>
      </w:r>
    </w:p>
    <w:p w14:paraId="0B586316">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color w:val="auto"/>
        </w:rPr>
      </w:pPr>
      <w:r>
        <w:rPr>
          <w:rFonts w:ascii="宋体" w:hAnsi="宋体" w:eastAsia="宋体" w:cs="宋体"/>
          <w:color w:val="auto"/>
          <w:sz w:val="21"/>
        </w:rPr>
        <w:t> </w:t>
      </w:r>
    </w:p>
    <w:p w14:paraId="0DDBE920">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color w:val="auto"/>
        </w:rPr>
      </w:pPr>
      <w:r>
        <w:rPr>
          <w:rFonts w:ascii="宋体" w:hAnsi="宋体" w:eastAsia="宋体" w:cs="宋体"/>
          <w:color w:val="auto"/>
          <w:sz w:val="21"/>
        </w:rPr>
        <w:t>致：</w:t>
      </w:r>
    </w:p>
    <w:p w14:paraId="05B434EB">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20"/>
        <w:rPr>
          <w:color w:val="auto"/>
        </w:rPr>
      </w:pPr>
      <w:r>
        <w:rPr>
          <w:rFonts w:ascii="宋体" w:hAnsi="宋体" w:eastAsia="宋体" w:cs="宋体"/>
          <w:color w:val="auto"/>
          <w:sz w:val="21"/>
        </w:rPr>
        <w:t>本授权书声明：注册于</w:t>
      </w:r>
      <w:r>
        <w:rPr>
          <w:rFonts w:ascii="宋体" w:hAnsi="宋体" w:eastAsia="宋体" w:cs="宋体"/>
          <w:color w:val="auto"/>
          <w:sz w:val="21"/>
          <w:u w:val="single"/>
        </w:rPr>
        <w:t>             </w:t>
      </w:r>
      <w:r>
        <w:rPr>
          <w:rFonts w:ascii="宋体" w:hAnsi="宋体" w:eastAsia="宋体" w:cs="宋体"/>
          <w:color w:val="auto"/>
          <w:sz w:val="21"/>
        </w:rPr>
        <w:t>（投标人住址）的</w:t>
      </w:r>
      <w:r>
        <w:rPr>
          <w:rFonts w:ascii="宋体" w:hAnsi="宋体" w:eastAsia="宋体" w:cs="宋体"/>
          <w:color w:val="auto"/>
          <w:sz w:val="21"/>
          <w:u w:val="single"/>
        </w:rPr>
        <w:t>          </w:t>
      </w:r>
      <w:r>
        <w:rPr>
          <w:rFonts w:ascii="宋体" w:hAnsi="宋体" w:eastAsia="宋体" w:cs="宋体"/>
          <w:color w:val="auto"/>
          <w:sz w:val="21"/>
        </w:rPr>
        <w:t>（</w:t>
      </w:r>
      <w:r>
        <w:rPr>
          <w:rFonts w:hint="eastAsia" w:ascii="宋体" w:hAnsi="宋体" w:cs="宋体"/>
          <w:color w:val="auto"/>
          <w:sz w:val="21"/>
          <w:lang w:eastAsia="zh-CN"/>
        </w:rPr>
        <w:t>供应商名称</w:t>
      </w:r>
      <w:r>
        <w:rPr>
          <w:rFonts w:ascii="宋体" w:hAnsi="宋体" w:eastAsia="宋体" w:cs="宋体"/>
          <w:color w:val="auto"/>
          <w:sz w:val="21"/>
        </w:rPr>
        <w:t>）法定代表人</w:t>
      </w:r>
      <w:r>
        <w:rPr>
          <w:rFonts w:ascii="宋体" w:hAnsi="宋体" w:eastAsia="宋体" w:cs="宋体"/>
          <w:color w:val="auto"/>
          <w:sz w:val="21"/>
          <w:u w:val="single"/>
        </w:rPr>
        <w:t>                 </w:t>
      </w:r>
      <w:r>
        <w:rPr>
          <w:rFonts w:ascii="宋体" w:hAnsi="宋体" w:eastAsia="宋体" w:cs="宋体"/>
          <w:color w:val="auto"/>
          <w:sz w:val="21"/>
        </w:rPr>
        <w:t>（法定代表人姓名、职务）代表本公司授权在下面签字的</w:t>
      </w:r>
      <w:r>
        <w:rPr>
          <w:rFonts w:ascii="宋体" w:hAnsi="宋体" w:eastAsia="宋体" w:cs="宋体"/>
          <w:color w:val="auto"/>
          <w:sz w:val="21"/>
          <w:u w:val="single"/>
        </w:rPr>
        <w:t>            </w:t>
      </w:r>
      <w:r>
        <w:rPr>
          <w:rFonts w:ascii="宋体" w:hAnsi="宋体" w:eastAsia="宋体" w:cs="宋体"/>
          <w:color w:val="auto"/>
          <w:sz w:val="21"/>
        </w:rPr>
        <w:t>（投标人代表姓名、职务）为本公司的合法代理人，就贵方组织的</w:t>
      </w:r>
      <w:r>
        <w:rPr>
          <w:rFonts w:ascii="宋体" w:hAnsi="宋体" w:eastAsia="宋体" w:cs="宋体"/>
          <w:b/>
          <w:color w:val="auto"/>
          <w:sz w:val="21"/>
          <w:u w:val="single"/>
        </w:rPr>
        <w:t>                 </w:t>
      </w:r>
      <w:r>
        <w:rPr>
          <w:rFonts w:ascii="宋体" w:hAnsi="宋体" w:eastAsia="宋体" w:cs="宋体"/>
          <w:color w:val="auto"/>
          <w:sz w:val="21"/>
        </w:rPr>
        <w:t>（</w:t>
      </w:r>
      <w:r>
        <w:rPr>
          <w:rFonts w:ascii="宋体" w:hAnsi="宋体" w:eastAsia="宋体" w:cs="宋体"/>
          <w:b/>
          <w:color w:val="auto"/>
          <w:sz w:val="21"/>
        </w:rPr>
        <w:t>项目名称</w:t>
      </w:r>
      <w:r>
        <w:rPr>
          <w:rFonts w:ascii="宋体" w:hAnsi="宋体" w:eastAsia="宋体" w:cs="宋体"/>
          <w:color w:val="auto"/>
          <w:sz w:val="21"/>
        </w:rPr>
        <w:t>），</w:t>
      </w:r>
      <w:r>
        <w:rPr>
          <w:rFonts w:ascii="宋体" w:hAnsi="宋体" w:eastAsia="宋体" w:cs="宋体"/>
          <w:color w:val="auto"/>
          <w:sz w:val="21"/>
          <w:u w:val="single"/>
        </w:rPr>
        <w:t>               </w:t>
      </w:r>
      <w:r>
        <w:rPr>
          <w:rFonts w:ascii="宋体" w:hAnsi="宋体" w:eastAsia="宋体" w:cs="宋体"/>
          <w:color w:val="auto"/>
          <w:sz w:val="21"/>
        </w:rPr>
        <w:t>（项目编号）投标，以本公司名义处理一切与之有关的事务。</w:t>
      </w:r>
    </w:p>
    <w:p w14:paraId="3ABFEAA1">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color w:val="auto"/>
        </w:rPr>
      </w:pPr>
      <w:r>
        <w:rPr>
          <w:rFonts w:ascii="宋体" w:hAnsi="宋体" w:eastAsia="宋体" w:cs="宋体"/>
          <w:color w:val="auto"/>
          <w:sz w:val="21"/>
        </w:rPr>
        <w:t>    本授权书于    年  月  日签字生效，特此声明。</w:t>
      </w:r>
    </w:p>
    <w:p w14:paraId="61A9B6DB">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color w:val="auto"/>
        </w:rPr>
      </w:pPr>
      <w:r>
        <w:rPr>
          <w:rFonts w:ascii="宋体" w:hAnsi="宋体" w:eastAsia="宋体" w:cs="宋体"/>
          <w:color w:val="auto"/>
          <w:sz w:val="21"/>
        </w:rPr>
        <w:t>    法定代表人签字：</w:t>
      </w:r>
    </w:p>
    <w:p w14:paraId="04272917">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825"/>
        <w:rPr>
          <w:color w:val="auto"/>
        </w:rPr>
      </w:pPr>
      <w:r>
        <w:rPr>
          <w:rFonts w:ascii="宋体" w:hAnsi="宋体" w:eastAsia="宋体" w:cs="宋体"/>
          <w:color w:val="auto"/>
          <w:sz w:val="21"/>
        </w:rPr>
        <w:t>授权委托人签字：                   </w:t>
      </w:r>
    </w:p>
    <w:p w14:paraId="2B440E46">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840"/>
        <w:rPr>
          <w:color w:val="auto"/>
        </w:rPr>
      </w:pPr>
      <w:r>
        <w:rPr>
          <w:rFonts w:ascii="宋体" w:hAnsi="宋体" w:eastAsia="宋体" w:cs="宋体"/>
          <w:color w:val="auto"/>
          <w:sz w:val="21"/>
        </w:rPr>
        <w:t>日     期：        年    月    日</w:t>
      </w:r>
    </w:p>
    <w:p w14:paraId="4B2B46CB">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840"/>
        <w:rPr>
          <w:color w:val="auto"/>
        </w:rPr>
      </w:pPr>
      <w:r>
        <w:rPr>
          <w:rFonts w:ascii="宋体" w:hAnsi="宋体" w:eastAsia="宋体" w:cs="宋体"/>
          <w:color w:val="auto"/>
          <w:sz w:val="21"/>
        </w:rPr>
        <w:t> </w:t>
      </w:r>
    </w:p>
    <w:p w14:paraId="11050056">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color w:val="auto"/>
        </w:rPr>
      </w:pPr>
      <w:r>
        <w:rPr>
          <w:rFonts w:ascii="宋体" w:hAnsi="宋体" w:eastAsia="宋体" w:cs="宋体"/>
          <w:color w:val="auto"/>
          <w:sz w:val="21"/>
        </w:rPr>
        <w:t>法定代表人、委托代理人的身份证明文件：</w:t>
      </w:r>
    </w:p>
    <w:p w14:paraId="0BD7ED0F">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20"/>
        <w:rPr>
          <w:color w:val="auto"/>
        </w:rPr>
      </w:pPr>
      <w:r>
        <w:rPr>
          <w:rFonts w:ascii="宋体" w:hAnsi="宋体" w:eastAsia="宋体" w:cs="宋体"/>
          <w:color w:val="auto"/>
          <w:sz w:val="21"/>
        </w:rPr>
        <w:t> </w:t>
      </w:r>
    </w:p>
    <w:p w14:paraId="42BF7A7D">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20"/>
        <w:rPr>
          <w:color w:val="auto"/>
        </w:rPr>
      </w:pPr>
      <w:r>
        <w:rPr>
          <w:rFonts w:ascii="宋体" w:hAnsi="宋体" w:eastAsia="宋体" w:cs="宋体"/>
          <w:color w:val="auto"/>
          <w:sz w:val="21"/>
        </w:rPr>
        <w:t> </w:t>
      </w:r>
    </w:p>
    <w:p w14:paraId="7E942708">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color w:val="auto"/>
        </w:rPr>
      </w:pPr>
      <w:r>
        <w:rPr>
          <w:color w:val="auto"/>
        </w:rPr>
        <w:br w:type="page" w:clear="all"/>
      </w:r>
    </w:p>
    <w:p w14:paraId="5887DBC6">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color w:val="auto"/>
        </w:rPr>
      </w:pPr>
      <w:r>
        <w:rPr>
          <w:rFonts w:ascii="宋体" w:hAnsi="宋体" w:eastAsia="宋体" w:cs="宋体"/>
          <w:b/>
          <w:color w:val="auto"/>
          <w:sz w:val="21"/>
        </w:rPr>
        <w:t>附件三、开标一览表格式</w:t>
      </w:r>
    </w:p>
    <w:p w14:paraId="2E485F54">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color w:val="auto"/>
        </w:rPr>
      </w:pPr>
      <w:r>
        <w:rPr>
          <w:rFonts w:ascii="宋体" w:hAnsi="宋体" w:eastAsia="宋体" w:cs="宋体"/>
          <w:b/>
          <w:color w:val="auto"/>
          <w:sz w:val="21"/>
        </w:rPr>
        <w:t> </w:t>
      </w:r>
    </w:p>
    <w:p w14:paraId="248F1F34">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jc w:val="center"/>
        <w:rPr>
          <w:color w:val="auto"/>
        </w:rPr>
      </w:pPr>
      <w:r>
        <w:rPr>
          <w:rFonts w:ascii="宋体" w:hAnsi="宋体" w:eastAsia="宋体" w:cs="宋体"/>
          <w:b/>
          <w:color w:val="auto"/>
          <w:sz w:val="28"/>
        </w:rPr>
        <w:t>开标一览表</w:t>
      </w:r>
    </w:p>
    <w:tbl>
      <w:tblPr>
        <w:tblStyle w:val="28"/>
        <w:tblW w:w="4999" w:type="pct"/>
        <w:jc w:val="center"/>
        <w:tblLayout w:type="autofit"/>
        <w:tblCellMar>
          <w:top w:w="0" w:type="dxa"/>
          <w:left w:w="108" w:type="dxa"/>
          <w:bottom w:w="0" w:type="dxa"/>
          <w:right w:w="108" w:type="dxa"/>
        </w:tblCellMar>
      </w:tblPr>
      <w:tblGrid>
        <w:gridCol w:w="2863"/>
        <w:gridCol w:w="7097"/>
      </w:tblGrid>
      <w:tr w14:paraId="753B76E8">
        <w:tblPrEx>
          <w:tblCellMar>
            <w:top w:w="0" w:type="dxa"/>
            <w:left w:w="108" w:type="dxa"/>
            <w:bottom w:w="0" w:type="dxa"/>
            <w:right w:w="108" w:type="dxa"/>
          </w:tblCellMar>
        </w:tblPrEx>
        <w:trPr>
          <w:trHeight w:val="1425" w:hRule="atLeast"/>
          <w:jc w:val="center"/>
        </w:trPr>
        <w:tc>
          <w:tcPr>
            <w:tcW w:w="1437" w:type="pct"/>
            <w:tcBorders>
              <w:top w:val="single" w:color="000000" w:sz="4" w:space="0"/>
              <w:left w:val="single" w:color="auto" w:sz="4" w:space="0"/>
              <w:bottom w:val="single" w:color="auto" w:sz="4" w:space="0"/>
              <w:right w:val="single" w:color="auto" w:sz="4" w:space="0"/>
            </w:tcBorders>
            <w:vAlign w:val="center"/>
          </w:tcPr>
          <w:p w14:paraId="7EB14188">
            <w:pPr>
              <w:widowControl w:val="0"/>
              <w:jc w:val="center"/>
              <w:rPr>
                <w:rFonts w:hint="default"/>
                <w:b/>
                <w:color w:val="auto"/>
                <w:kern w:val="2"/>
                <w:sz w:val="21"/>
                <w:szCs w:val="21"/>
              </w:rPr>
            </w:pPr>
            <w:r>
              <w:rPr>
                <w:rFonts w:hint="eastAsia"/>
                <w:b/>
                <w:color w:val="auto"/>
                <w:kern w:val="2"/>
                <w:sz w:val="21"/>
                <w:szCs w:val="21"/>
              </w:rPr>
              <w:t>投标报价</w:t>
            </w:r>
          </w:p>
        </w:tc>
        <w:tc>
          <w:tcPr>
            <w:tcW w:w="3562" w:type="pct"/>
            <w:tcBorders>
              <w:top w:val="single" w:color="auto" w:sz="4" w:space="0"/>
              <w:left w:val="nil"/>
              <w:bottom w:val="single" w:color="auto" w:sz="4" w:space="0"/>
              <w:right w:val="single" w:color="auto" w:sz="4" w:space="0"/>
            </w:tcBorders>
            <w:vAlign w:val="center"/>
          </w:tcPr>
          <w:p w14:paraId="6E4B869D">
            <w:pPr>
              <w:widowControl w:val="0"/>
              <w:ind w:firstLine="840" w:firstLineChars="400"/>
              <w:textAlignment w:val="baseline"/>
              <w:rPr>
                <w:rFonts w:hint="default" w:ascii="宋体" w:hAnsi="宋体" w:cs="宋体"/>
                <w:color w:val="auto"/>
                <w:kern w:val="10"/>
                <w:sz w:val="21"/>
                <w:szCs w:val="21"/>
              </w:rPr>
            </w:pPr>
            <w:r>
              <w:rPr>
                <w:rFonts w:hint="eastAsia" w:ascii="宋体" w:hAnsi="宋体" w:cs="宋体"/>
                <w:color w:val="auto"/>
                <w:kern w:val="10"/>
                <w:sz w:val="21"/>
                <w:szCs w:val="21"/>
              </w:rPr>
              <w:t>元</w:t>
            </w:r>
          </w:p>
        </w:tc>
      </w:tr>
      <w:tr w14:paraId="0C247711">
        <w:tblPrEx>
          <w:tblCellMar>
            <w:top w:w="0" w:type="dxa"/>
            <w:left w:w="108" w:type="dxa"/>
            <w:bottom w:w="0" w:type="dxa"/>
            <w:right w:w="108" w:type="dxa"/>
          </w:tblCellMar>
        </w:tblPrEx>
        <w:trPr>
          <w:trHeight w:val="527" w:hRule="atLeast"/>
          <w:jc w:val="center"/>
        </w:trPr>
        <w:tc>
          <w:tcPr>
            <w:tcW w:w="1437" w:type="pct"/>
            <w:tcBorders>
              <w:top w:val="single" w:color="auto" w:sz="4" w:space="0"/>
              <w:left w:val="single" w:color="auto" w:sz="4" w:space="0"/>
              <w:right w:val="single" w:color="auto" w:sz="4" w:space="0"/>
            </w:tcBorders>
            <w:vAlign w:val="center"/>
          </w:tcPr>
          <w:p w14:paraId="007C914B">
            <w:pPr>
              <w:widowControl w:val="0"/>
              <w:jc w:val="center"/>
              <w:rPr>
                <w:rFonts w:hint="default"/>
                <w:b/>
                <w:color w:val="auto"/>
                <w:kern w:val="2"/>
                <w:sz w:val="21"/>
                <w:szCs w:val="21"/>
              </w:rPr>
            </w:pPr>
            <w:r>
              <w:rPr>
                <w:rFonts w:hint="eastAsia"/>
                <w:b/>
                <w:color w:val="auto"/>
                <w:kern w:val="2"/>
                <w:sz w:val="21"/>
                <w:szCs w:val="21"/>
              </w:rPr>
              <w:t>项目负责人</w:t>
            </w:r>
          </w:p>
        </w:tc>
        <w:tc>
          <w:tcPr>
            <w:tcW w:w="3562" w:type="pct"/>
            <w:tcBorders>
              <w:top w:val="single" w:color="auto" w:sz="4" w:space="0"/>
              <w:left w:val="nil"/>
              <w:bottom w:val="single" w:color="auto" w:sz="4" w:space="0"/>
              <w:right w:val="single" w:color="auto" w:sz="4" w:space="0"/>
            </w:tcBorders>
            <w:vAlign w:val="center"/>
          </w:tcPr>
          <w:p w14:paraId="64516405">
            <w:pPr>
              <w:widowControl w:val="0"/>
              <w:spacing w:line="600" w:lineRule="auto"/>
              <w:rPr>
                <w:rFonts w:hint="default" w:ascii="宋体" w:hAnsi="宋体" w:cs="宋体"/>
                <w:color w:val="auto"/>
                <w:kern w:val="2"/>
                <w:sz w:val="21"/>
                <w:szCs w:val="21"/>
              </w:rPr>
            </w:pPr>
          </w:p>
        </w:tc>
      </w:tr>
      <w:tr w14:paraId="6CE30068">
        <w:tblPrEx>
          <w:tblCellMar>
            <w:top w:w="0" w:type="dxa"/>
            <w:left w:w="108" w:type="dxa"/>
            <w:bottom w:w="0" w:type="dxa"/>
            <w:right w:w="108" w:type="dxa"/>
          </w:tblCellMar>
        </w:tblPrEx>
        <w:trPr>
          <w:trHeight w:val="1099" w:hRule="atLeast"/>
          <w:jc w:val="center"/>
        </w:trPr>
        <w:tc>
          <w:tcPr>
            <w:tcW w:w="1437" w:type="pct"/>
            <w:tcBorders>
              <w:top w:val="single" w:color="auto" w:sz="4" w:space="0"/>
              <w:left w:val="single" w:color="auto" w:sz="4" w:space="0"/>
              <w:bottom w:val="single" w:color="auto" w:sz="4" w:space="0"/>
              <w:right w:val="single" w:color="auto" w:sz="4" w:space="0"/>
            </w:tcBorders>
            <w:vAlign w:val="center"/>
          </w:tcPr>
          <w:p w14:paraId="74E55604">
            <w:pPr>
              <w:widowControl w:val="0"/>
              <w:jc w:val="center"/>
              <w:rPr>
                <w:rFonts w:hint="default"/>
                <w:b/>
                <w:color w:val="auto"/>
                <w:kern w:val="2"/>
                <w:sz w:val="21"/>
                <w:szCs w:val="21"/>
              </w:rPr>
            </w:pPr>
            <w:r>
              <w:rPr>
                <w:rFonts w:hint="eastAsia"/>
                <w:b/>
                <w:color w:val="auto"/>
                <w:kern w:val="2"/>
                <w:sz w:val="21"/>
                <w:szCs w:val="21"/>
              </w:rPr>
              <w:t>合同履行</w:t>
            </w:r>
            <w:r>
              <w:rPr>
                <w:rFonts w:hint="default"/>
                <w:b/>
                <w:color w:val="auto"/>
                <w:kern w:val="2"/>
                <w:sz w:val="21"/>
                <w:szCs w:val="21"/>
              </w:rPr>
              <w:t>期限</w:t>
            </w:r>
          </w:p>
        </w:tc>
        <w:tc>
          <w:tcPr>
            <w:tcW w:w="3562" w:type="pct"/>
            <w:tcBorders>
              <w:top w:val="single" w:color="auto" w:sz="4" w:space="0"/>
              <w:left w:val="nil"/>
              <w:bottom w:val="single" w:color="auto" w:sz="4" w:space="0"/>
              <w:right w:val="single" w:color="auto" w:sz="4" w:space="0"/>
            </w:tcBorders>
            <w:vAlign w:val="center"/>
          </w:tcPr>
          <w:p w14:paraId="48014398">
            <w:pPr>
              <w:widowControl w:val="0"/>
              <w:spacing w:line="480" w:lineRule="auto"/>
              <w:jc w:val="both"/>
              <w:rPr>
                <w:rFonts w:hint="default" w:ascii="Arial" w:hAnsi="Arial" w:eastAsia="宋体" w:cs="Times New Roman"/>
                <w:color w:val="auto"/>
                <w:kern w:val="2"/>
                <w:sz w:val="21"/>
                <w:szCs w:val="21"/>
                <w:lang w:val="en-US" w:eastAsia="zh-CN" w:bidi="ar-SA"/>
              </w:rPr>
            </w:pPr>
            <w:r>
              <w:rPr>
                <w:rFonts w:hint="eastAsia" w:ascii="Arial" w:hAnsi="Arial" w:eastAsia="宋体" w:cs="Times New Roman"/>
                <w:color w:val="auto"/>
                <w:kern w:val="2"/>
                <w:sz w:val="21"/>
                <w:szCs w:val="21"/>
                <w:lang w:val="en-US" w:eastAsia="zh-CN" w:bidi="ar-SA"/>
              </w:rPr>
              <w:t>自合同签订之日起至2026年12月31日止</w:t>
            </w:r>
            <w:r>
              <w:rPr>
                <w:rFonts w:hint="eastAsia" w:ascii="Arial" w:hAnsi="Arial" w:cs="Times New Roman"/>
                <w:color w:val="auto"/>
                <w:kern w:val="2"/>
                <w:sz w:val="21"/>
                <w:szCs w:val="21"/>
                <w:lang w:val="en-US" w:eastAsia="zh-CN" w:bidi="ar-SA"/>
              </w:rPr>
              <w:t>。</w:t>
            </w:r>
          </w:p>
        </w:tc>
      </w:tr>
      <w:tr w14:paraId="61973902">
        <w:tblPrEx>
          <w:tblCellMar>
            <w:top w:w="0" w:type="dxa"/>
            <w:left w:w="108" w:type="dxa"/>
            <w:bottom w:w="0" w:type="dxa"/>
            <w:right w:w="108" w:type="dxa"/>
          </w:tblCellMar>
        </w:tblPrEx>
        <w:trPr>
          <w:trHeight w:val="117" w:hRule="atLeast"/>
          <w:jc w:val="center"/>
        </w:trPr>
        <w:tc>
          <w:tcPr>
            <w:tcW w:w="1437" w:type="pct"/>
            <w:tcBorders>
              <w:top w:val="single" w:color="auto" w:sz="4" w:space="0"/>
              <w:left w:val="single" w:color="auto" w:sz="4" w:space="0"/>
              <w:bottom w:val="single" w:color="auto" w:sz="4" w:space="0"/>
              <w:right w:val="single" w:color="auto" w:sz="4" w:space="0"/>
            </w:tcBorders>
            <w:vAlign w:val="center"/>
          </w:tcPr>
          <w:p w14:paraId="3E618D1E">
            <w:pPr>
              <w:widowControl w:val="0"/>
              <w:jc w:val="center"/>
              <w:rPr>
                <w:rFonts w:hint="default"/>
                <w:b/>
                <w:color w:val="auto"/>
                <w:kern w:val="2"/>
                <w:sz w:val="21"/>
                <w:szCs w:val="21"/>
              </w:rPr>
            </w:pPr>
            <w:r>
              <w:rPr>
                <w:rFonts w:hint="eastAsia"/>
                <w:b/>
                <w:color w:val="auto"/>
                <w:kern w:val="2"/>
                <w:sz w:val="21"/>
                <w:szCs w:val="21"/>
              </w:rPr>
              <w:t>质量要求</w:t>
            </w:r>
          </w:p>
        </w:tc>
        <w:tc>
          <w:tcPr>
            <w:tcW w:w="3562" w:type="pct"/>
            <w:tcBorders>
              <w:top w:val="single" w:color="auto" w:sz="4" w:space="0"/>
              <w:left w:val="nil"/>
              <w:bottom w:val="single" w:color="auto" w:sz="4" w:space="0"/>
              <w:right w:val="single" w:color="auto" w:sz="4" w:space="0"/>
            </w:tcBorders>
            <w:vAlign w:val="center"/>
          </w:tcPr>
          <w:p w14:paraId="51E12BCC">
            <w:pPr>
              <w:widowControl w:val="0"/>
              <w:spacing w:line="360" w:lineRule="auto"/>
              <w:rPr>
                <w:rFonts w:hint="default" w:ascii="Arial" w:hAnsi="Arial"/>
                <w:color w:val="auto"/>
                <w:kern w:val="2"/>
                <w:sz w:val="21"/>
                <w:szCs w:val="21"/>
              </w:rPr>
            </w:pPr>
          </w:p>
        </w:tc>
      </w:tr>
      <w:tr w14:paraId="4D8ADA28">
        <w:tblPrEx>
          <w:tblCellMar>
            <w:top w:w="0" w:type="dxa"/>
            <w:left w:w="108" w:type="dxa"/>
            <w:bottom w:w="0" w:type="dxa"/>
            <w:right w:w="108" w:type="dxa"/>
          </w:tblCellMar>
        </w:tblPrEx>
        <w:trPr>
          <w:trHeight w:val="406" w:hRule="atLeast"/>
          <w:jc w:val="center"/>
        </w:trPr>
        <w:tc>
          <w:tcPr>
            <w:tcW w:w="1437" w:type="pct"/>
            <w:tcBorders>
              <w:top w:val="single" w:color="auto" w:sz="4" w:space="0"/>
              <w:left w:val="single" w:color="auto" w:sz="4" w:space="0"/>
              <w:bottom w:val="single" w:color="auto" w:sz="4" w:space="0"/>
              <w:right w:val="single" w:color="auto" w:sz="4" w:space="0"/>
            </w:tcBorders>
            <w:vAlign w:val="center"/>
          </w:tcPr>
          <w:p w14:paraId="2F64E1EF">
            <w:pPr>
              <w:widowControl w:val="0"/>
              <w:jc w:val="center"/>
              <w:rPr>
                <w:rFonts w:hint="default"/>
                <w:b/>
                <w:color w:val="auto"/>
                <w:kern w:val="2"/>
                <w:sz w:val="21"/>
                <w:szCs w:val="21"/>
              </w:rPr>
            </w:pPr>
            <w:r>
              <w:rPr>
                <w:rFonts w:hint="eastAsia"/>
                <w:b/>
                <w:color w:val="auto"/>
                <w:kern w:val="2"/>
                <w:sz w:val="21"/>
                <w:szCs w:val="21"/>
              </w:rPr>
              <w:t>是否小微企业</w:t>
            </w:r>
          </w:p>
        </w:tc>
        <w:tc>
          <w:tcPr>
            <w:tcW w:w="3562" w:type="pct"/>
            <w:tcBorders>
              <w:top w:val="single" w:color="auto" w:sz="4" w:space="0"/>
              <w:left w:val="nil"/>
              <w:bottom w:val="single" w:color="auto" w:sz="4" w:space="0"/>
              <w:right w:val="single" w:color="auto" w:sz="4" w:space="0"/>
            </w:tcBorders>
            <w:vAlign w:val="center"/>
          </w:tcPr>
          <w:p w14:paraId="30CF9414">
            <w:pPr>
              <w:widowControl w:val="0"/>
              <w:spacing w:line="360" w:lineRule="auto"/>
              <w:rPr>
                <w:rFonts w:hint="default" w:ascii="宋体" w:hAnsi="宋体"/>
                <w:color w:val="auto"/>
                <w:kern w:val="2"/>
                <w:sz w:val="21"/>
                <w:szCs w:val="21"/>
              </w:rPr>
            </w:pPr>
            <w:r>
              <w:rPr>
                <w:rFonts w:hint="eastAsia" w:ascii="宋体" w:hAnsi="宋体"/>
                <w:color w:val="auto"/>
                <w:kern w:val="2"/>
                <w:sz w:val="21"/>
                <w:szCs w:val="21"/>
              </w:rPr>
              <w:t>（</w:t>
            </w:r>
            <w:r>
              <w:rPr>
                <w:rFonts w:hint="eastAsia" w:ascii="宋体" w:hAnsi="宋体"/>
                <w:color w:val="auto"/>
                <w:kern w:val="2"/>
                <w:sz w:val="21"/>
                <w:szCs w:val="21"/>
                <w:lang w:val="zh-CN"/>
              </w:rPr>
              <w:t>填写“是”或“否”</w:t>
            </w:r>
            <w:r>
              <w:rPr>
                <w:rFonts w:hint="eastAsia" w:ascii="宋体" w:hAnsi="宋体"/>
                <w:color w:val="auto"/>
                <w:kern w:val="2"/>
                <w:sz w:val="21"/>
                <w:szCs w:val="21"/>
              </w:rPr>
              <w:t>）</w:t>
            </w:r>
          </w:p>
        </w:tc>
      </w:tr>
      <w:tr w14:paraId="4D0C919F">
        <w:tblPrEx>
          <w:tblCellMar>
            <w:top w:w="0" w:type="dxa"/>
            <w:left w:w="108" w:type="dxa"/>
            <w:bottom w:w="0" w:type="dxa"/>
            <w:right w:w="108" w:type="dxa"/>
          </w:tblCellMar>
        </w:tblPrEx>
        <w:trPr>
          <w:trHeight w:val="406" w:hRule="atLeast"/>
          <w:jc w:val="center"/>
        </w:trPr>
        <w:tc>
          <w:tcPr>
            <w:tcW w:w="1437" w:type="pct"/>
            <w:tcBorders>
              <w:top w:val="single" w:color="auto" w:sz="4" w:space="0"/>
              <w:left w:val="single" w:color="auto" w:sz="4" w:space="0"/>
              <w:bottom w:val="single" w:color="auto" w:sz="4" w:space="0"/>
              <w:right w:val="single" w:color="auto" w:sz="4" w:space="0"/>
            </w:tcBorders>
            <w:vAlign w:val="center"/>
          </w:tcPr>
          <w:p w14:paraId="33D5DAB0">
            <w:pPr>
              <w:widowControl w:val="0"/>
              <w:jc w:val="center"/>
              <w:rPr>
                <w:rFonts w:hint="default"/>
                <w:b/>
                <w:color w:val="auto"/>
                <w:kern w:val="2"/>
                <w:sz w:val="21"/>
                <w:szCs w:val="21"/>
              </w:rPr>
            </w:pPr>
            <w:r>
              <w:rPr>
                <w:rFonts w:hint="eastAsia"/>
                <w:b/>
                <w:color w:val="auto"/>
                <w:kern w:val="2"/>
                <w:sz w:val="21"/>
                <w:szCs w:val="21"/>
              </w:rPr>
              <w:t>是否残疾人福利性单位</w:t>
            </w:r>
          </w:p>
        </w:tc>
        <w:tc>
          <w:tcPr>
            <w:tcW w:w="3562" w:type="pct"/>
            <w:tcBorders>
              <w:top w:val="single" w:color="auto" w:sz="4" w:space="0"/>
              <w:left w:val="nil"/>
              <w:bottom w:val="single" w:color="auto" w:sz="4" w:space="0"/>
              <w:right w:val="single" w:color="auto" w:sz="4" w:space="0"/>
            </w:tcBorders>
            <w:vAlign w:val="center"/>
          </w:tcPr>
          <w:p w14:paraId="3CBAAD3D">
            <w:pPr>
              <w:widowControl w:val="0"/>
              <w:spacing w:line="360" w:lineRule="auto"/>
              <w:rPr>
                <w:rFonts w:hint="default" w:ascii="宋体" w:hAnsi="宋体"/>
                <w:color w:val="auto"/>
                <w:kern w:val="2"/>
                <w:sz w:val="21"/>
                <w:szCs w:val="21"/>
              </w:rPr>
            </w:pPr>
            <w:r>
              <w:rPr>
                <w:rFonts w:hint="eastAsia" w:ascii="宋体" w:hAnsi="宋体"/>
                <w:color w:val="auto"/>
                <w:kern w:val="2"/>
                <w:sz w:val="21"/>
                <w:szCs w:val="21"/>
              </w:rPr>
              <w:t>（</w:t>
            </w:r>
            <w:r>
              <w:rPr>
                <w:rFonts w:hint="eastAsia" w:ascii="宋体" w:hAnsi="宋体"/>
                <w:color w:val="auto"/>
                <w:kern w:val="2"/>
                <w:sz w:val="21"/>
                <w:szCs w:val="21"/>
                <w:lang w:val="zh-CN"/>
              </w:rPr>
              <w:t>填写“是”或“否”</w:t>
            </w:r>
            <w:r>
              <w:rPr>
                <w:rFonts w:hint="eastAsia" w:ascii="宋体" w:hAnsi="宋体"/>
                <w:color w:val="auto"/>
                <w:kern w:val="2"/>
                <w:sz w:val="21"/>
                <w:szCs w:val="21"/>
              </w:rPr>
              <w:t>）</w:t>
            </w:r>
          </w:p>
        </w:tc>
      </w:tr>
      <w:tr w14:paraId="51752A28">
        <w:tblPrEx>
          <w:tblCellMar>
            <w:top w:w="0" w:type="dxa"/>
            <w:left w:w="108" w:type="dxa"/>
            <w:bottom w:w="0" w:type="dxa"/>
            <w:right w:w="108" w:type="dxa"/>
          </w:tblCellMar>
        </w:tblPrEx>
        <w:trPr>
          <w:trHeight w:val="406" w:hRule="atLeast"/>
          <w:jc w:val="center"/>
        </w:trPr>
        <w:tc>
          <w:tcPr>
            <w:tcW w:w="1437" w:type="pct"/>
            <w:tcBorders>
              <w:top w:val="single" w:color="auto" w:sz="4" w:space="0"/>
              <w:left w:val="single" w:color="auto" w:sz="4" w:space="0"/>
              <w:bottom w:val="single" w:color="auto" w:sz="4" w:space="0"/>
              <w:right w:val="single" w:color="auto" w:sz="4" w:space="0"/>
            </w:tcBorders>
            <w:vAlign w:val="center"/>
          </w:tcPr>
          <w:p w14:paraId="101373B5">
            <w:pPr>
              <w:widowControl w:val="0"/>
              <w:jc w:val="center"/>
              <w:rPr>
                <w:rFonts w:hint="default"/>
                <w:b/>
                <w:color w:val="auto"/>
                <w:kern w:val="2"/>
                <w:sz w:val="21"/>
                <w:szCs w:val="21"/>
              </w:rPr>
            </w:pPr>
            <w:r>
              <w:rPr>
                <w:rFonts w:hint="eastAsia"/>
                <w:b/>
                <w:color w:val="auto"/>
                <w:kern w:val="2"/>
                <w:sz w:val="21"/>
                <w:szCs w:val="21"/>
              </w:rPr>
              <w:t>是否监狱企业</w:t>
            </w:r>
          </w:p>
        </w:tc>
        <w:tc>
          <w:tcPr>
            <w:tcW w:w="3562" w:type="pct"/>
            <w:tcBorders>
              <w:top w:val="single" w:color="auto" w:sz="4" w:space="0"/>
              <w:left w:val="nil"/>
              <w:bottom w:val="single" w:color="auto" w:sz="4" w:space="0"/>
              <w:right w:val="single" w:color="auto" w:sz="4" w:space="0"/>
            </w:tcBorders>
            <w:vAlign w:val="center"/>
          </w:tcPr>
          <w:p w14:paraId="1E9E3C67">
            <w:pPr>
              <w:widowControl w:val="0"/>
              <w:spacing w:line="360" w:lineRule="auto"/>
              <w:rPr>
                <w:rFonts w:hint="default" w:ascii="宋体" w:hAnsi="宋体"/>
                <w:color w:val="auto"/>
                <w:kern w:val="2"/>
                <w:sz w:val="21"/>
                <w:szCs w:val="21"/>
              </w:rPr>
            </w:pPr>
            <w:r>
              <w:rPr>
                <w:rFonts w:hint="eastAsia" w:ascii="宋体" w:hAnsi="宋体"/>
                <w:color w:val="auto"/>
                <w:kern w:val="2"/>
                <w:sz w:val="21"/>
                <w:szCs w:val="21"/>
              </w:rPr>
              <w:t>（</w:t>
            </w:r>
            <w:r>
              <w:rPr>
                <w:rFonts w:hint="eastAsia" w:ascii="宋体" w:hAnsi="宋体"/>
                <w:color w:val="auto"/>
                <w:kern w:val="2"/>
                <w:sz w:val="21"/>
                <w:szCs w:val="21"/>
                <w:lang w:val="zh-CN"/>
              </w:rPr>
              <w:t>填写“是”或“否”</w:t>
            </w:r>
            <w:r>
              <w:rPr>
                <w:rFonts w:hint="eastAsia" w:ascii="宋体" w:hAnsi="宋体"/>
                <w:color w:val="auto"/>
                <w:kern w:val="2"/>
                <w:sz w:val="21"/>
                <w:szCs w:val="21"/>
              </w:rPr>
              <w:t>）</w:t>
            </w:r>
          </w:p>
        </w:tc>
      </w:tr>
    </w:tbl>
    <w:p w14:paraId="16A411D8">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hint="eastAsia" w:ascii="宋体" w:hAnsi="宋体" w:cs="宋体"/>
          <w:color w:val="auto"/>
          <w:sz w:val="21"/>
          <w:lang w:eastAsia="zh-CN"/>
        </w:rPr>
        <w:t>供应商名称</w:t>
      </w:r>
      <w:r>
        <w:rPr>
          <w:rFonts w:ascii="宋体" w:hAnsi="宋体" w:eastAsia="宋体" w:cs="宋体"/>
          <w:color w:val="auto"/>
          <w:sz w:val="21"/>
        </w:rPr>
        <w:t>（电子公章）：</w:t>
      </w:r>
    </w:p>
    <w:p w14:paraId="4115BD0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法定代表人（或授权代表）（签字）：</w:t>
      </w:r>
    </w:p>
    <w:p w14:paraId="528483FD">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日期：</w:t>
      </w:r>
    </w:p>
    <w:p w14:paraId="6E0641A6">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color w:val="auto"/>
        </w:rPr>
      </w:pPr>
      <w:r>
        <w:rPr>
          <w:rFonts w:ascii="宋体" w:hAnsi="宋体" w:eastAsia="宋体" w:cs="宋体"/>
          <w:color w:val="auto"/>
          <w:sz w:val="21"/>
        </w:rPr>
        <w:t>说明：</w:t>
      </w:r>
    </w:p>
    <w:p w14:paraId="59323AFA">
      <w:pPr>
        <w:numPr>
          <w:ilvl w:val="0"/>
          <w:numId w:val="9"/>
        </w:numPr>
        <w:pBdr>
          <w:top w:val="none" w:color="000000" w:sz="0" w:space="0"/>
          <w:left w:val="none" w:color="000000" w:sz="0" w:space="0"/>
          <w:bottom w:val="none" w:color="000000" w:sz="0" w:space="0"/>
          <w:right w:val="none" w:color="000000" w:sz="0" w:space="0"/>
        </w:pBdr>
        <w:shd w:val="clear" w:color="FFFFFF" w:fill="FFFFFF"/>
        <w:spacing w:before="0" w:after="0" w:line="85" w:lineRule="atLeast"/>
        <w:rPr>
          <w:color w:val="auto"/>
        </w:rPr>
      </w:pPr>
      <w:r>
        <w:rPr>
          <w:rFonts w:ascii="宋体" w:hAnsi="宋体" w:eastAsia="宋体" w:cs="宋体"/>
          <w:color w:val="auto"/>
          <w:sz w:val="21"/>
        </w:rPr>
        <w:t>本项目仅接受一个价格，不得填报有选择性报价方案。</w:t>
      </w:r>
    </w:p>
    <w:p w14:paraId="2551493D">
      <w:pPr>
        <w:numPr>
          <w:ilvl w:val="0"/>
          <w:numId w:val="9"/>
        </w:numPr>
        <w:pBdr>
          <w:top w:val="none" w:color="000000" w:sz="0" w:space="0"/>
          <w:left w:val="none" w:color="000000" w:sz="0" w:space="0"/>
          <w:bottom w:val="none" w:color="000000" w:sz="0" w:space="0"/>
          <w:right w:val="none" w:color="000000" w:sz="0" w:space="0"/>
        </w:pBdr>
        <w:shd w:val="clear" w:color="FFFFFF" w:fill="FFFFFF"/>
        <w:spacing w:before="0" w:after="0" w:line="85" w:lineRule="atLeast"/>
        <w:rPr>
          <w:color w:val="auto"/>
        </w:rPr>
      </w:pPr>
      <w:r>
        <w:rPr>
          <w:rFonts w:ascii="宋体" w:hAnsi="宋体" w:eastAsia="宋体" w:cs="宋体"/>
          <w:color w:val="auto"/>
          <w:sz w:val="21"/>
        </w:rPr>
        <w:t>“投标供应商是否属于小微型企业”栏内填写“是”或“否”，非小微企业产品不享受价格扣除。</w:t>
      </w:r>
    </w:p>
    <w:p w14:paraId="5DFD7A18">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color w:val="auto"/>
        </w:rPr>
      </w:pPr>
      <w:r>
        <w:rPr>
          <w:rFonts w:ascii="宋体" w:hAnsi="宋体" w:eastAsia="宋体" w:cs="宋体"/>
          <w:b/>
          <w:color w:val="auto"/>
          <w:sz w:val="21"/>
        </w:rPr>
        <w:t> </w:t>
      </w:r>
    </w:p>
    <w:p w14:paraId="2F629C1F">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color w:val="auto"/>
        </w:rPr>
      </w:pPr>
      <w:r>
        <w:rPr>
          <w:rFonts w:ascii="宋体" w:hAnsi="宋体" w:eastAsia="宋体" w:cs="宋体"/>
          <w:color w:val="auto"/>
          <w:sz w:val="21"/>
        </w:rPr>
        <w:t> </w:t>
      </w:r>
    </w:p>
    <w:p w14:paraId="3D2839EB">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rPr>
      </w:pPr>
      <w:r>
        <w:rPr>
          <w:color w:val="auto"/>
        </w:rPr>
        <w:br w:type="page" w:clear="all"/>
      </w:r>
    </w:p>
    <w:p w14:paraId="427DBDDB">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jc w:val="both"/>
        <w:rPr>
          <w:color w:val="auto"/>
        </w:rPr>
      </w:pPr>
      <w:r>
        <w:rPr>
          <w:rFonts w:ascii="宋体" w:hAnsi="宋体" w:eastAsia="宋体" w:cs="宋体"/>
          <w:b/>
          <w:color w:val="auto"/>
          <w:sz w:val="21"/>
        </w:rPr>
        <w:t>附件四、分项报价表格式</w:t>
      </w:r>
    </w:p>
    <w:p w14:paraId="7B85FD4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b/>
          <w:color w:val="auto"/>
          <w:sz w:val="36"/>
        </w:rPr>
        <w:t>分项报价表</w:t>
      </w:r>
    </w:p>
    <w:p w14:paraId="59DB5BBA">
      <w:pPr>
        <w:pBdr>
          <w:top w:val="none" w:color="000000" w:sz="0" w:space="0"/>
          <w:left w:val="none" w:color="000000" w:sz="0" w:space="0"/>
          <w:bottom w:val="none" w:color="000000" w:sz="0" w:space="0"/>
          <w:right w:val="none" w:color="000000" w:sz="0" w:space="0"/>
        </w:pBdr>
        <w:spacing w:before="0" w:after="0" w:line="439" w:lineRule="atLeast"/>
        <w:ind w:right="0"/>
        <w:jc w:val="left"/>
        <w:rPr>
          <w:rFonts w:ascii="宋体" w:hAnsi="宋体" w:eastAsia="宋体" w:cs="宋体"/>
          <w:color w:val="auto"/>
          <w:sz w:val="22"/>
        </w:rPr>
      </w:pPr>
      <w:r>
        <w:rPr>
          <w:rFonts w:ascii="宋体" w:hAnsi="宋体" w:eastAsia="宋体" w:cs="宋体"/>
          <w:color w:val="auto"/>
          <w:sz w:val="22"/>
        </w:rPr>
        <w:t>项目编号：        </w:t>
      </w:r>
    </w:p>
    <w:p w14:paraId="1237BCB8">
      <w:pPr>
        <w:pBdr>
          <w:top w:val="none" w:color="000000" w:sz="0" w:space="0"/>
          <w:left w:val="none" w:color="000000" w:sz="0" w:space="0"/>
          <w:bottom w:val="none" w:color="000000" w:sz="0" w:space="0"/>
          <w:right w:val="none" w:color="000000" w:sz="0" w:space="0"/>
        </w:pBdr>
        <w:spacing w:before="0" w:after="0" w:line="439" w:lineRule="atLeast"/>
        <w:ind w:right="0"/>
        <w:jc w:val="left"/>
        <w:rPr>
          <w:color w:val="auto"/>
        </w:rPr>
      </w:pPr>
      <w:r>
        <w:rPr>
          <w:rFonts w:ascii="宋体" w:hAnsi="宋体" w:eastAsia="宋体" w:cs="宋体"/>
          <w:color w:val="auto"/>
          <w:sz w:val="22"/>
        </w:rPr>
        <w:t>项目名称： </w:t>
      </w:r>
    </w:p>
    <w:tbl>
      <w:tblPr>
        <w:tblStyle w:val="28"/>
        <w:tblW w:w="5000" w:type="pct"/>
        <w:tblInd w:w="0" w:type="dxa"/>
        <w:tblLayout w:type="fixed"/>
        <w:tblCellMar>
          <w:top w:w="0" w:type="dxa"/>
          <w:left w:w="108" w:type="dxa"/>
          <w:bottom w:w="0" w:type="dxa"/>
          <w:right w:w="108" w:type="dxa"/>
        </w:tblCellMar>
      </w:tblPr>
      <w:tblGrid>
        <w:gridCol w:w="706"/>
        <w:gridCol w:w="1506"/>
        <w:gridCol w:w="3020"/>
        <w:gridCol w:w="778"/>
        <w:gridCol w:w="1280"/>
        <w:gridCol w:w="1336"/>
        <w:gridCol w:w="1335"/>
      </w:tblGrid>
      <w:tr w14:paraId="7F0BC099">
        <w:tblPrEx>
          <w:tblCellMar>
            <w:top w:w="0" w:type="dxa"/>
            <w:left w:w="108" w:type="dxa"/>
            <w:bottom w:w="0" w:type="dxa"/>
            <w:right w:w="108" w:type="dxa"/>
          </w:tblCellMar>
        </w:tblPrEx>
        <w:trPr>
          <w:trHeight w:val="1001" w:hRule="atLeast"/>
        </w:trPr>
        <w:tc>
          <w:tcPr>
            <w:tcW w:w="354" w:type="pct"/>
            <w:tcBorders>
              <w:top w:val="single" w:color="000000" w:sz="4" w:space="0"/>
              <w:left w:val="single" w:color="000000" w:sz="4" w:space="0"/>
              <w:bottom w:val="single" w:color="000000" w:sz="4" w:space="0"/>
              <w:right w:val="single" w:color="000000" w:sz="4" w:space="0"/>
            </w:tcBorders>
            <w:noWrap/>
            <w:vAlign w:val="center"/>
          </w:tcPr>
          <w:p w14:paraId="22165890">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序号</w:t>
            </w:r>
          </w:p>
        </w:tc>
        <w:tc>
          <w:tcPr>
            <w:tcW w:w="755" w:type="pct"/>
            <w:tcBorders>
              <w:top w:val="single" w:color="000000" w:sz="4" w:space="0"/>
              <w:left w:val="nil"/>
              <w:bottom w:val="single" w:color="000000" w:sz="4" w:space="0"/>
              <w:right w:val="single" w:color="000000" w:sz="4" w:space="0"/>
            </w:tcBorders>
            <w:noWrap/>
            <w:vAlign w:val="center"/>
          </w:tcPr>
          <w:p w14:paraId="1BF742BA">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★名称</w:t>
            </w:r>
          </w:p>
        </w:tc>
        <w:tc>
          <w:tcPr>
            <w:tcW w:w="1516" w:type="pct"/>
            <w:tcBorders>
              <w:top w:val="single" w:color="000000" w:sz="4" w:space="0"/>
              <w:left w:val="nil"/>
              <w:bottom w:val="single" w:color="000000" w:sz="4" w:space="0"/>
              <w:right w:val="single" w:color="000000" w:sz="4" w:space="0"/>
            </w:tcBorders>
            <w:noWrap/>
            <w:vAlign w:val="center"/>
          </w:tcPr>
          <w:p w14:paraId="5AB8A228">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★特征描述</w:t>
            </w:r>
          </w:p>
        </w:tc>
        <w:tc>
          <w:tcPr>
            <w:tcW w:w="390" w:type="pct"/>
            <w:tcBorders>
              <w:top w:val="single" w:color="000000" w:sz="4" w:space="0"/>
              <w:left w:val="nil"/>
              <w:bottom w:val="single" w:color="000000" w:sz="4" w:space="0"/>
              <w:right w:val="single" w:color="000000" w:sz="4" w:space="0"/>
            </w:tcBorders>
            <w:noWrap/>
            <w:vAlign w:val="center"/>
          </w:tcPr>
          <w:p w14:paraId="7228B3A2">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★单位</w:t>
            </w:r>
          </w:p>
        </w:tc>
        <w:tc>
          <w:tcPr>
            <w:tcW w:w="642" w:type="pct"/>
            <w:tcBorders>
              <w:top w:val="single" w:color="000000" w:sz="4" w:space="0"/>
              <w:left w:val="nil"/>
              <w:bottom w:val="single" w:color="000000" w:sz="4" w:space="0"/>
              <w:right w:val="single" w:color="000000" w:sz="4" w:space="0"/>
            </w:tcBorders>
            <w:noWrap/>
            <w:vAlign w:val="center"/>
          </w:tcPr>
          <w:p w14:paraId="087AB96C">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★工程量</w:t>
            </w:r>
          </w:p>
        </w:tc>
        <w:tc>
          <w:tcPr>
            <w:tcW w:w="670" w:type="pct"/>
            <w:tcBorders>
              <w:top w:val="single" w:color="000000" w:sz="4" w:space="0"/>
              <w:left w:val="nil"/>
              <w:bottom w:val="single" w:color="000000" w:sz="4" w:space="0"/>
              <w:right w:val="single" w:color="000000" w:sz="4" w:space="0"/>
            </w:tcBorders>
            <w:noWrap w:val="0"/>
            <w:vAlign w:val="center"/>
          </w:tcPr>
          <w:p w14:paraId="3D218967">
            <w:pPr>
              <w:widowControl w:val="0"/>
              <w:jc w:val="left"/>
              <w:rPr>
                <w:rFonts w:hint="default" w:ascii="宋体" w:hAnsi="宋体" w:eastAsia="宋体" w:cs="宋体"/>
                <w:color w:val="auto"/>
                <w:kern w:val="0"/>
                <w:sz w:val="21"/>
                <w:szCs w:val="21"/>
                <w:lang w:val="en-US" w:eastAsia="zh-CN"/>
              </w:rPr>
            </w:pPr>
            <w:r>
              <w:rPr>
                <w:rFonts w:hint="eastAsia" w:ascii="宋体" w:hAnsi="宋体" w:eastAsia="宋体" w:cs="宋体"/>
                <w:color w:val="auto"/>
                <w:kern w:val="0"/>
                <w:sz w:val="21"/>
                <w:szCs w:val="21"/>
              </w:rPr>
              <w:t>★</w:t>
            </w:r>
            <w:r>
              <w:rPr>
                <w:rFonts w:hint="eastAsia" w:ascii="宋体" w:hAnsi="宋体" w:cs="宋体"/>
                <w:color w:val="auto"/>
                <w:kern w:val="0"/>
                <w:sz w:val="21"/>
                <w:szCs w:val="21"/>
                <w:lang w:val="en-US" w:eastAsia="zh-CN"/>
              </w:rPr>
              <w:t>全费用综合单价最高限价</w:t>
            </w:r>
          </w:p>
        </w:tc>
        <w:tc>
          <w:tcPr>
            <w:tcW w:w="670" w:type="pct"/>
            <w:tcBorders>
              <w:top w:val="single" w:color="000000" w:sz="4" w:space="0"/>
              <w:left w:val="nil"/>
              <w:bottom w:val="single" w:color="000000" w:sz="4" w:space="0"/>
              <w:right w:val="single" w:color="000000" w:sz="4" w:space="0"/>
            </w:tcBorders>
            <w:noWrap/>
            <w:vAlign w:val="center"/>
          </w:tcPr>
          <w:p w14:paraId="6E66D883">
            <w:pPr>
              <w:widowControl w:val="0"/>
              <w:jc w:val="left"/>
              <w:rPr>
                <w:rFonts w:hint="eastAsia" w:ascii="宋体" w:hAnsi="宋体" w:eastAsia="宋体" w:cs="宋体"/>
                <w:color w:val="auto"/>
                <w:kern w:val="0"/>
                <w:sz w:val="21"/>
                <w:szCs w:val="21"/>
                <w:lang w:eastAsia="zh-CN"/>
              </w:rPr>
            </w:pPr>
            <w:r>
              <w:rPr>
                <w:rFonts w:hint="eastAsia" w:ascii="宋体" w:hAnsi="宋体" w:cs="宋体"/>
                <w:color w:val="auto"/>
                <w:kern w:val="0"/>
                <w:sz w:val="21"/>
                <w:szCs w:val="21"/>
                <w:lang w:val="en-US" w:eastAsia="zh-CN"/>
              </w:rPr>
              <w:t>全费用综合单价（元）</w:t>
            </w:r>
          </w:p>
        </w:tc>
      </w:tr>
      <w:tr w14:paraId="48DCFA5D">
        <w:tblPrEx>
          <w:tblCellMar>
            <w:top w:w="0" w:type="dxa"/>
            <w:left w:w="108" w:type="dxa"/>
            <w:bottom w:w="0" w:type="dxa"/>
            <w:right w:w="108" w:type="dxa"/>
          </w:tblCellMar>
        </w:tblPrEx>
        <w:trPr>
          <w:trHeight w:val="4998" w:hRule="atLeast"/>
        </w:trPr>
        <w:tc>
          <w:tcPr>
            <w:tcW w:w="354" w:type="pct"/>
            <w:tcBorders>
              <w:top w:val="nil"/>
              <w:left w:val="single" w:color="000000" w:sz="4" w:space="0"/>
              <w:bottom w:val="single" w:color="000000" w:sz="4" w:space="0"/>
              <w:right w:val="single" w:color="000000" w:sz="4" w:space="0"/>
            </w:tcBorders>
            <w:noWrap w:val="0"/>
            <w:vAlign w:val="center"/>
          </w:tcPr>
          <w:p w14:paraId="7AC626F0">
            <w:pPr>
              <w:widowControl w:val="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w:t>
            </w:r>
          </w:p>
        </w:tc>
        <w:tc>
          <w:tcPr>
            <w:tcW w:w="755" w:type="pct"/>
            <w:tcBorders>
              <w:top w:val="nil"/>
              <w:left w:val="nil"/>
              <w:bottom w:val="single" w:color="000000" w:sz="8" w:space="0"/>
              <w:right w:val="single" w:color="000000" w:sz="4" w:space="0"/>
            </w:tcBorders>
            <w:noWrap w:val="0"/>
            <w:vAlign w:val="center"/>
          </w:tcPr>
          <w:p w14:paraId="5FC717BE">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管道清疏管径Φ600以上</w:t>
            </w:r>
          </w:p>
        </w:tc>
        <w:tc>
          <w:tcPr>
            <w:tcW w:w="1516" w:type="pct"/>
            <w:tcBorders>
              <w:top w:val="nil"/>
              <w:left w:val="nil"/>
              <w:bottom w:val="single" w:color="000000" w:sz="8" w:space="0"/>
              <w:right w:val="single" w:color="000000" w:sz="4" w:space="0"/>
            </w:tcBorders>
            <w:noWrap w:val="0"/>
            <w:vAlign w:val="center"/>
          </w:tcPr>
          <w:p w14:paraId="34FD36DA">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1.管道清疏管径Φ600以上含Φ600（含宽度50cm以上山体撇洪沟、明沟、盖板沟清理）清疏。</w:t>
            </w:r>
          </w:p>
          <w:p w14:paraId="5BC58378">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2.含清疏的所有垃圾外运</w:t>
            </w:r>
          </w:p>
          <w:p w14:paraId="51F0DA1A">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3.投标人结合CCTV检测报告自行报价，包含管道清疏中冲洗费用，综合考虑前期复测摸排、清疏所需的封堵、施工后拆除及调排水的费用、通气、毒气检测等</w:t>
            </w:r>
          </w:p>
          <w:p w14:paraId="08F498FF">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4.弃置运距 投标人自行勘察选择规定的弃置场所并自报运距,所有费用要求在综合单价中充分考虑（包含场地倒置费等），但必须根据南京市城市管理局相关规定，运至合法指定场地</w:t>
            </w:r>
          </w:p>
          <w:p w14:paraId="29405092">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5.保洁费、消纳费等所有费用须投标单位自行考虑，渣土费不予计取</w:t>
            </w:r>
          </w:p>
          <w:p w14:paraId="189283DA">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6.投标人自行报价，结算不予调整</w:t>
            </w:r>
          </w:p>
        </w:tc>
        <w:tc>
          <w:tcPr>
            <w:tcW w:w="390" w:type="pct"/>
            <w:tcBorders>
              <w:top w:val="nil"/>
              <w:left w:val="nil"/>
              <w:bottom w:val="single" w:color="000000" w:sz="8" w:space="0"/>
              <w:right w:val="single" w:color="000000" w:sz="4" w:space="0"/>
            </w:tcBorders>
            <w:noWrap w:val="0"/>
            <w:vAlign w:val="center"/>
          </w:tcPr>
          <w:p w14:paraId="59FF562D">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m</w:t>
            </w:r>
          </w:p>
        </w:tc>
        <w:tc>
          <w:tcPr>
            <w:tcW w:w="642" w:type="pct"/>
            <w:tcBorders>
              <w:top w:val="nil"/>
              <w:left w:val="nil"/>
              <w:bottom w:val="single" w:color="000000" w:sz="8" w:space="0"/>
              <w:right w:val="single" w:color="000000" w:sz="4" w:space="0"/>
            </w:tcBorders>
            <w:noWrap w:val="0"/>
            <w:vAlign w:val="center"/>
          </w:tcPr>
          <w:p w14:paraId="59026708">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59920.13</w:t>
            </w:r>
          </w:p>
        </w:tc>
        <w:tc>
          <w:tcPr>
            <w:tcW w:w="670" w:type="pct"/>
            <w:tcBorders>
              <w:top w:val="nil"/>
              <w:left w:val="nil"/>
              <w:bottom w:val="single" w:color="000000" w:sz="8" w:space="0"/>
              <w:right w:val="single" w:color="000000" w:sz="4" w:space="0"/>
            </w:tcBorders>
            <w:noWrap w:val="0"/>
            <w:vAlign w:val="center"/>
          </w:tcPr>
          <w:p w14:paraId="12F7967B">
            <w:pPr>
              <w:keepNext w:val="0"/>
              <w:keepLines w:val="0"/>
              <w:widowControl/>
              <w:suppressLineNumbers w:val="0"/>
              <w:jc w:val="center"/>
              <w:textAlignment w:val="center"/>
              <w:rPr>
                <w:rFonts w:hint="default"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t>21.5</w:t>
            </w:r>
          </w:p>
        </w:tc>
        <w:tc>
          <w:tcPr>
            <w:tcW w:w="670" w:type="pct"/>
            <w:tcBorders>
              <w:top w:val="nil"/>
              <w:left w:val="nil"/>
              <w:bottom w:val="single" w:color="000000" w:sz="4" w:space="0"/>
              <w:right w:val="single" w:color="000000" w:sz="4" w:space="0"/>
            </w:tcBorders>
            <w:noWrap w:val="0"/>
            <w:vAlign w:val="center"/>
          </w:tcPr>
          <w:p w14:paraId="08025BFC">
            <w:pPr>
              <w:widowControl w:val="0"/>
              <w:jc w:val="center"/>
              <w:rPr>
                <w:rFonts w:hint="eastAsia" w:ascii="宋体" w:hAnsi="宋体" w:eastAsia="宋体" w:cs="宋体"/>
                <w:color w:val="auto"/>
                <w:kern w:val="0"/>
                <w:sz w:val="21"/>
                <w:szCs w:val="21"/>
              </w:rPr>
            </w:pPr>
          </w:p>
        </w:tc>
      </w:tr>
      <w:tr w14:paraId="4A7C606F">
        <w:tblPrEx>
          <w:tblCellMar>
            <w:top w:w="0" w:type="dxa"/>
            <w:left w:w="108" w:type="dxa"/>
            <w:bottom w:w="0" w:type="dxa"/>
            <w:right w:w="108" w:type="dxa"/>
          </w:tblCellMar>
        </w:tblPrEx>
        <w:trPr>
          <w:trHeight w:val="4908" w:hRule="atLeast"/>
        </w:trPr>
        <w:tc>
          <w:tcPr>
            <w:tcW w:w="354" w:type="pct"/>
            <w:tcBorders>
              <w:top w:val="nil"/>
              <w:left w:val="single" w:color="000000" w:sz="4" w:space="0"/>
              <w:bottom w:val="single" w:color="000000" w:sz="4" w:space="0"/>
              <w:right w:val="single" w:color="000000" w:sz="4" w:space="0"/>
            </w:tcBorders>
            <w:noWrap w:val="0"/>
            <w:vAlign w:val="center"/>
          </w:tcPr>
          <w:p w14:paraId="4A8466CA">
            <w:pPr>
              <w:widowControl w:val="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w:t>
            </w:r>
          </w:p>
        </w:tc>
        <w:tc>
          <w:tcPr>
            <w:tcW w:w="755" w:type="pct"/>
            <w:tcBorders>
              <w:top w:val="single" w:color="000000" w:sz="4" w:space="0"/>
              <w:left w:val="nil"/>
              <w:bottom w:val="single" w:color="000000" w:sz="8" w:space="0"/>
              <w:right w:val="single" w:color="000000" w:sz="4" w:space="0"/>
            </w:tcBorders>
            <w:noWrap w:val="0"/>
            <w:vAlign w:val="center"/>
          </w:tcPr>
          <w:p w14:paraId="5D554F10">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管道清疏管径Φ600以下</w:t>
            </w:r>
          </w:p>
        </w:tc>
        <w:tc>
          <w:tcPr>
            <w:tcW w:w="1516" w:type="pct"/>
            <w:tcBorders>
              <w:top w:val="single" w:color="000000" w:sz="4" w:space="0"/>
              <w:left w:val="nil"/>
              <w:bottom w:val="single" w:color="000000" w:sz="8" w:space="0"/>
              <w:right w:val="single" w:color="000000" w:sz="4" w:space="0"/>
            </w:tcBorders>
            <w:noWrap w:val="0"/>
            <w:vAlign w:val="center"/>
          </w:tcPr>
          <w:p w14:paraId="03B7F78C">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1.管道清疏管径Φ600以下（含宽度50cm及以内山体撇洪沟、明沟、盖板沟清理）清疏。</w:t>
            </w:r>
          </w:p>
          <w:p w14:paraId="274F33BB">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2.含清疏的所有垃圾外运</w:t>
            </w:r>
          </w:p>
          <w:p w14:paraId="051A9DF6">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3.投标人结合CCTV检测报告自行报价，包含管道清疏中冲洗费用，综合考虑前期复测摸排、清疏所需的封堵、施工后拆除及调排水的费用、通气、毒气检测等</w:t>
            </w:r>
          </w:p>
          <w:p w14:paraId="4BA42794">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4.弃置运距 投标人自行勘察选择规定的弃置场所并自报运距,所有费用要求在综合单价中充分考虑（包含场地倒置费等），但必须根据南京市城市管理局相关规定，运至合法指定场地</w:t>
            </w:r>
          </w:p>
          <w:p w14:paraId="0A894AB0">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5.保洁费、消纳费等所有费用须投标单位自行考虑，渣土费不予计取</w:t>
            </w:r>
          </w:p>
          <w:p w14:paraId="529BCAFC">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6.投标人自行报价，结算不予调整</w:t>
            </w:r>
          </w:p>
        </w:tc>
        <w:tc>
          <w:tcPr>
            <w:tcW w:w="390" w:type="pct"/>
            <w:tcBorders>
              <w:top w:val="single" w:color="000000" w:sz="4" w:space="0"/>
              <w:left w:val="nil"/>
              <w:bottom w:val="single" w:color="000000" w:sz="8" w:space="0"/>
              <w:right w:val="single" w:color="000000" w:sz="4" w:space="0"/>
            </w:tcBorders>
            <w:noWrap w:val="0"/>
            <w:vAlign w:val="center"/>
          </w:tcPr>
          <w:p w14:paraId="485490FD">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m</w:t>
            </w:r>
          </w:p>
        </w:tc>
        <w:tc>
          <w:tcPr>
            <w:tcW w:w="642" w:type="pct"/>
            <w:tcBorders>
              <w:top w:val="single" w:color="000000" w:sz="4" w:space="0"/>
              <w:left w:val="nil"/>
              <w:bottom w:val="single" w:color="000000" w:sz="8" w:space="0"/>
              <w:right w:val="single" w:color="000000" w:sz="4" w:space="0"/>
            </w:tcBorders>
            <w:noWrap w:val="0"/>
            <w:vAlign w:val="center"/>
          </w:tcPr>
          <w:p w14:paraId="18D15F76">
            <w:pPr>
              <w:widowControl w:val="0"/>
              <w:jc w:val="left"/>
              <w:rPr>
                <w:rFonts w:hint="default"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39547.57</w:t>
            </w:r>
          </w:p>
        </w:tc>
        <w:tc>
          <w:tcPr>
            <w:tcW w:w="670" w:type="pct"/>
            <w:tcBorders>
              <w:top w:val="single" w:color="000000" w:sz="4" w:space="0"/>
              <w:left w:val="nil"/>
              <w:bottom w:val="single" w:color="000000" w:sz="8" w:space="0"/>
              <w:right w:val="single" w:color="000000" w:sz="4" w:space="0"/>
            </w:tcBorders>
            <w:noWrap w:val="0"/>
            <w:vAlign w:val="center"/>
          </w:tcPr>
          <w:p w14:paraId="67621564">
            <w:pPr>
              <w:keepNext w:val="0"/>
              <w:keepLines w:val="0"/>
              <w:widowControl/>
              <w:suppressLineNumbers w:val="0"/>
              <w:jc w:val="center"/>
              <w:textAlignment w:val="center"/>
              <w:rPr>
                <w:rFonts w:hint="default"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t>14.89</w:t>
            </w:r>
          </w:p>
        </w:tc>
        <w:tc>
          <w:tcPr>
            <w:tcW w:w="670" w:type="pct"/>
            <w:tcBorders>
              <w:top w:val="nil"/>
              <w:left w:val="nil"/>
              <w:bottom w:val="single" w:color="000000" w:sz="4" w:space="0"/>
              <w:right w:val="single" w:color="000000" w:sz="4" w:space="0"/>
            </w:tcBorders>
            <w:noWrap w:val="0"/>
            <w:vAlign w:val="center"/>
          </w:tcPr>
          <w:p w14:paraId="2ABDC883">
            <w:pPr>
              <w:widowControl w:val="0"/>
              <w:jc w:val="center"/>
              <w:rPr>
                <w:rFonts w:hint="eastAsia" w:ascii="宋体" w:hAnsi="宋体" w:eastAsia="宋体" w:cs="宋体"/>
                <w:color w:val="auto"/>
                <w:kern w:val="0"/>
                <w:sz w:val="21"/>
                <w:szCs w:val="21"/>
              </w:rPr>
            </w:pPr>
          </w:p>
        </w:tc>
      </w:tr>
      <w:tr w14:paraId="51ED10B7">
        <w:tblPrEx>
          <w:tblCellMar>
            <w:top w:w="0" w:type="dxa"/>
            <w:left w:w="108" w:type="dxa"/>
            <w:bottom w:w="0" w:type="dxa"/>
            <w:right w:w="108" w:type="dxa"/>
          </w:tblCellMar>
        </w:tblPrEx>
        <w:trPr>
          <w:trHeight w:val="4308" w:hRule="atLeast"/>
        </w:trPr>
        <w:tc>
          <w:tcPr>
            <w:tcW w:w="354" w:type="pct"/>
            <w:tcBorders>
              <w:top w:val="nil"/>
              <w:left w:val="single" w:color="000000" w:sz="4" w:space="0"/>
              <w:bottom w:val="single" w:color="000000" w:sz="4" w:space="0"/>
              <w:right w:val="single" w:color="000000" w:sz="4" w:space="0"/>
            </w:tcBorders>
            <w:noWrap w:val="0"/>
            <w:vAlign w:val="center"/>
          </w:tcPr>
          <w:p w14:paraId="3A50FE21">
            <w:pPr>
              <w:widowControl w:val="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w:t>
            </w:r>
          </w:p>
        </w:tc>
        <w:tc>
          <w:tcPr>
            <w:tcW w:w="755" w:type="pct"/>
            <w:tcBorders>
              <w:top w:val="single" w:color="000000" w:sz="4" w:space="0"/>
              <w:left w:val="nil"/>
              <w:bottom w:val="single" w:color="000000" w:sz="8" w:space="0"/>
              <w:right w:val="single" w:color="000000" w:sz="4" w:space="0"/>
            </w:tcBorders>
            <w:noWrap w:val="0"/>
            <w:vAlign w:val="center"/>
          </w:tcPr>
          <w:p w14:paraId="0E98BEF1">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雨水口清掏</w:t>
            </w:r>
          </w:p>
        </w:tc>
        <w:tc>
          <w:tcPr>
            <w:tcW w:w="1516" w:type="pct"/>
            <w:tcBorders>
              <w:top w:val="single" w:color="000000" w:sz="4" w:space="0"/>
              <w:left w:val="nil"/>
              <w:bottom w:val="single" w:color="000000" w:sz="8" w:space="0"/>
              <w:right w:val="single" w:color="000000" w:sz="4" w:space="0"/>
            </w:tcBorders>
            <w:noWrap w:val="0"/>
            <w:vAlign w:val="center"/>
          </w:tcPr>
          <w:p w14:paraId="092BD4BC">
            <w:pPr>
              <w:widowControl w:val="0"/>
              <w:numPr>
                <w:ilvl w:val="0"/>
                <w:numId w:val="6"/>
              </w:numPr>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对道路所有雨水口进行清掏，确保排水通畅</w:t>
            </w:r>
            <w:r>
              <w:rPr>
                <w:rFonts w:hint="eastAsia" w:ascii="宋体" w:hAnsi="宋体" w:cs="宋体"/>
                <w:color w:val="auto"/>
                <w:kern w:val="0"/>
                <w:sz w:val="21"/>
                <w:szCs w:val="21"/>
                <w:lang w:eastAsia="zh-CN"/>
              </w:rPr>
              <w:t>。</w:t>
            </w:r>
          </w:p>
          <w:p w14:paraId="555DB9DC">
            <w:pPr>
              <w:widowControl w:val="0"/>
              <w:numPr>
                <w:ilvl w:val="0"/>
                <w:numId w:val="0"/>
              </w:numPr>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2.含清掏垃圾外运</w:t>
            </w:r>
          </w:p>
          <w:p w14:paraId="32931532">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3.投标人结合CCTV检测报告自行报价，包含管道清疏中洗费用，综合考虑前期复测摸排、清疏所需的封堵、施工后拆除及调排水的费用、通气、毒气检测等</w:t>
            </w:r>
          </w:p>
          <w:p w14:paraId="453DF785">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4.弃置运距 投标人自行勘察选择规定的弃置场所并自报运距,所有费用要求在综合单价中充分考虑，结算时不得调整（包含场地倒置费等），但必须根据南京市城市管理局相关规定，运至合法指定场地</w:t>
            </w:r>
          </w:p>
          <w:p w14:paraId="7D74448F">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5.保洁费、消纳费等所有费用 须投标单位自行考虑  ，渣土费不予计取</w:t>
            </w:r>
          </w:p>
        </w:tc>
        <w:tc>
          <w:tcPr>
            <w:tcW w:w="390" w:type="pct"/>
            <w:tcBorders>
              <w:top w:val="single" w:color="000000" w:sz="4" w:space="0"/>
              <w:left w:val="nil"/>
              <w:bottom w:val="single" w:color="000000" w:sz="8" w:space="0"/>
              <w:right w:val="single" w:color="000000" w:sz="4" w:space="0"/>
            </w:tcBorders>
            <w:noWrap w:val="0"/>
            <w:vAlign w:val="center"/>
          </w:tcPr>
          <w:p w14:paraId="44F55412">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座</w:t>
            </w:r>
          </w:p>
        </w:tc>
        <w:tc>
          <w:tcPr>
            <w:tcW w:w="642" w:type="pct"/>
            <w:tcBorders>
              <w:top w:val="single" w:color="000000" w:sz="4" w:space="0"/>
              <w:left w:val="nil"/>
              <w:bottom w:val="single" w:color="000000" w:sz="8" w:space="0"/>
              <w:right w:val="single" w:color="000000" w:sz="4" w:space="0"/>
            </w:tcBorders>
            <w:noWrap w:val="0"/>
            <w:vAlign w:val="center"/>
          </w:tcPr>
          <w:p w14:paraId="4B9316A6">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3217</w:t>
            </w:r>
          </w:p>
        </w:tc>
        <w:tc>
          <w:tcPr>
            <w:tcW w:w="670" w:type="pct"/>
            <w:tcBorders>
              <w:top w:val="single" w:color="000000" w:sz="4" w:space="0"/>
              <w:left w:val="nil"/>
              <w:bottom w:val="single" w:color="000000" w:sz="8" w:space="0"/>
              <w:right w:val="single" w:color="000000" w:sz="4" w:space="0"/>
            </w:tcBorders>
            <w:noWrap w:val="0"/>
            <w:vAlign w:val="center"/>
          </w:tcPr>
          <w:p w14:paraId="55D61034">
            <w:pPr>
              <w:keepNext w:val="0"/>
              <w:keepLines w:val="0"/>
              <w:widowControl/>
              <w:suppressLineNumbers w:val="0"/>
              <w:jc w:val="center"/>
              <w:textAlignment w:val="center"/>
              <w:rPr>
                <w:rFonts w:hint="default"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t>23.2</w:t>
            </w:r>
          </w:p>
        </w:tc>
        <w:tc>
          <w:tcPr>
            <w:tcW w:w="670" w:type="pct"/>
            <w:tcBorders>
              <w:top w:val="nil"/>
              <w:left w:val="nil"/>
              <w:bottom w:val="single" w:color="000000" w:sz="4" w:space="0"/>
              <w:right w:val="single" w:color="000000" w:sz="4" w:space="0"/>
            </w:tcBorders>
            <w:noWrap w:val="0"/>
            <w:vAlign w:val="center"/>
          </w:tcPr>
          <w:p w14:paraId="0CDFD9E8">
            <w:pPr>
              <w:widowControl w:val="0"/>
              <w:jc w:val="center"/>
              <w:rPr>
                <w:rFonts w:hint="eastAsia" w:ascii="宋体" w:hAnsi="宋体" w:eastAsia="宋体" w:cs="宋体"/>
                <w:color w:val="auto"/>
                <w:kern w:val="0"/>
                <w:sz w:val="21"/>
                <w:szCs w:val="21"/>
              </w:rPr>
            </w:pPr>
          </w:p>
        </w:tc>
      </w:tr>
      <w:tr w14:paraId="12682A54">
        <w:tblPrEx>
          <w:tblCellMar>
            <w:top w:w="0" w:type="dxa"/>
            <w:left w:w="108" w:type="dxa"/>
            <w:bottom w:w="0" w:type="dxa"/>
            <w:right w:w="108" w:type="dxa"/>
          </w:tblCellMar>
        </w:tblPrEx>
        <w:trPr>
          <w:trHeight w:val="1290" w:hRule="atLeast"/>
        </w:trPr>
        <w:tc>
          <w:tcPr>
            <w:tcW w:w="354" w:type="pct"/>
            <w:tcBorders>
              <w:top w:val="nil"/>
              <w:left w:val="single" w:color="000000" w:sz="4" w:space="0"/>
              <w:bottom w:val="single" w:color="000000" w:sz="4" w:space="0"/>
              <w:right w:val="single" w:color="000000" w:sz="4" w:space="0"/>
            </w:tcBorders>
            <w:noWrap w:val="0"/>
            <w:vAlign w:val="center"/>
          </w:tcPr>
          <w:p w14:paraId="688E8267">
            <w:pPr>
              <w:widowControl w:val="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4</w:t>
            </w:r>
          </w:p>
        </w:tc>
        <w:tc>
          <w:tcPr>
            <w:tcW w:w="755" w:type="pct"/>
            <w:tcBorders>
              <w:top w:val="single" w:color="000000" w:sz="4" w:space="0"/>
              <w:left w:val="nil"/>
              <w:bottom w:val="single" w:color="000000" w:sz="4" w:space="0"/>
              <w:right w:val="single" w:color="000000" w:sz="4" w:space="0"/>
            </w:tcBorders>
            <w:noWrap w:val="0"/>
            <w:vAlign w:val="center"/>
          </w:tcPr>
          <w:p w14:paraId="43481554">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排口巡查、水质检测、水草清捞、垃圾清理等零星用工</w:t>
            </w:r>
          </w:p>
        </w:tc>
        <w:tc>
          <w:tcPr>
            <w:tcW w:w="1516" w:type="pct"/>
            <w:tcBorders>
              <w:top w:val="single" w:color="000000" w:sz="4" w:space="0"/>
              <w:left w:val="nil"/>
              <w:bottom w:val="single" w:color="000000" w:sz="4" w:space="0"/>
              <w:right w:val="single" w:color="000000" w:sz="4" w:space="0"/>
            </w:tcBorders>
            <w:noWrap w:val="0"/>
            <w:vAlign w:val="center"/>
          </w:tcPr>
          <w:p w14:paraId="06D21B9C">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1、用于排口巡查、水质检测、水草清捞、岸坡垃圾清理等零星用工，点工数量最终以指令单及计量单为准</w:t>
            </w:r>
          </w:p>
        </w:tc>
        <w:tc>
          <w:tcPr>
            <w:tcW w:w="390" w:type="pct"/>
            <w:tcBorders>
              <w:top w:val="single" w:color="000000" w:sz="4" w:space="0"/>
              <w:left w:val="nil"/>
              <w:bottom w:val="single" w:color="000000" w:sz="4" w:space="0"/>
              <w:right w:val="single" w:color="000000" w:sz="4" w:space="0"/>
            </w:tcBorders>
            <w:noWrap w:val="0"/>
            <w:vAlign w:val="center"/>
          </w:tcPr>
          <w:p w14:paraId="2CA5486A">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工日</w:t>
            </w:r>
          </w:p>
        </w:tc>
        <w:tc>
          <w:tcPr>
            <w:tcW w:w="642" w:type="pct"/>
            <w:tcBorders>
              <w:top w:val="single" w:color="000000" w:sz="4" w:space="0"/>
              <w:left w:val="nil"/>
              <w:bottom w:val="single" w:color="000000" w:sz="4" w:space="0"/>
              <w:right w:val="single" w:color="000000" w:sz="4" w:space="0"/>
            </w:tcBorders>
            <w:noWrap w:val="0"/>
            <w:vAlign w:val="center"/>
          </w:tcPr>
          <w:p w14:paraId="6BC713FA">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668</w:t>
            </w:r>
          </w:p>
        </w:tc>
        <w:tc>
          <w:tcPr>
            <w:tcW w:w="670" w:type="pct"/>
            <w:tcBorders>
              <w:top w:val="single" w:color="000000" w:sz="4" w:space="0"/>
              <w:left w:val="nil"/>
              <w:bottom w:val="single" w:color="000000" w:sz="4" w:space="0"/>
              <w:right w:val="single" w:color="000000" w:sz="4" w:space="0"/>
            </w:tcBorders>
            <w:noWrap w:val="0"/>
            <w:vAlign w:val="center"/>
          </w:tcPr>
          <w:p w14:paraId="54EB1368">
            <w:pPr>
              <w:keepNext w:val="0"/>
              <w:keepLines w:val="0"/>
              <w:widowControl/>
              <w:suppressLineNumbers w:val="0"/>
              <w:jc w:val="center"/>
              <w:textAlignment w:val="center"/>
              <w:rPr>
                <w:rFonts w:hint="default" w:ascii="宋体" w:hAnsi="宋体" w:eastAsia="宋体" w:cs="宋体"/>
                <w:i w:val="0"/>
                <w:iCs w:val="0"/>
                <w:color w:val="auto"/>
                <w:sz w:val="18"/>
                <w:szCs w:val="18"/>
                <w:u w:val="none"/>
                <w:lang w:val="en-US" w:eastAsia="zh-CN" w:bidi="ar-SA"/>
              </w:rPr>
            </w:pPr>
            <w:r>
              <w:rPr>
                <w:rFonts w:hint="eastAsia" w:ascii="宋体" w:hAnsi="宋体" w:eastAsia="宋体" w:cs="宋体"/>
                <w:i w:val="0"/>
                <w:iCs w:val="0"/>
                <w:color w:val="auto"/>
                <w:sz w:val="18"/>
                <w:szCs w:val="18"/>
                <w:u w:val="none"/>
                <w:lang w:val="en-US" w:eastAsia="zh-CN" w:bidi="ar-SA"/>
              </w:rPr>
              <w:t>157.72</w:t>
            </w:r>
          </w:p>
        </w:tc>
        <w:tc>
          <w:tcPr>
            <w:tcW w:w="670" w:type="pct"/>
            <w:tcBorders>
              <w:top w:val="nil"/>
              <w:left w:val="nil"/>
              <w:bottom w:val="single" w:color="000000" w:sz="4" w:space="0"/>
              <w:right w:val="single" w:color="000000" w:sz="4" w:space="0"/>
            </w:tcBorders>
            <w:noWrap w:val="0"/>
            <w:vAlign w:val="center"/>
          </w:tcPr>
          <w:p w14:paraId="20AD415F">
            <w:pPr>
              <w:widowControl w:val="0"/>
              <w:jc w:val="center"/>
              <w:rPr>
                <w:rFonts w:hint="eastAsia" w:ascii="宋体" w:hAnsi="宋体" w:eastAsia="宋体" w:cs="宋体"/>
                <w:color w:val="auto"/>
                <w:kern w:val="0"/>
                <w:sz w:val="21"/>
                <w:szCs w:val="21"/>
              </w:rPr>
            </w:pPr>
          </w:p>
        </w:tc>
      </w:tr>
      <w:tr w14:paraId="035682BF">
        <w:tblPrEx>
          <w:tblCellMar>
            <w:top w:w="0" w:type="dxa"/>
            <w:left w:w="108" w:type="dxa"/>
            <w:bottom w:w="0" w:type="dxa"/>
            <w:right w:w="108" w:type="dxa"/>
          </w:tblCellMar>
        </w:tblPrEx>
        <w:trPr>
          <w:trHeight w:val="1170" w:hRule="atLeast"/>
        </w:trPr>
        <w:tc>
          <w:tcPr>
            <w:tcW w:w="354" w:type="pct"/>
            <w:tcBorders>
              <w:top w:val="nil"/>
              <w:left w:val="single" w:color="000000" w:sz="4" w:space="0"/>
              <w:bottom w:val="single" w:color="000000" w:sz="4" w:space="0"/>
              <w:right w:val="single" w:color="000000" w:sz="4" w:space="0"/>
            </w:tcBorders>
            <w:noWrap w:val="0"/>
            <w:vAlign w:val="center"/>
          </w:tcPr>
          <w:p w14:paraId="0FF9134B">
            <w:pPr>
              <w:widowControl w:val="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5</w:t>
            </w:r>
          </w:p>
        </w:tc>
        <w:tc>
          <w:tcPr>
            <w:tcW w:w="755" w:type="pct"/>
            <w:tcBorders>
              <w:top w:val="nil"/>
              <w:left w:val="nil"/>
              <w:bottom w:val="single" w:color="000000" w:sz="4" w:space="0"/>
              <w:right w:val="single" w:color="000000" w:sz="4" w:space="0"/>
            </w:tcBorders>
            <w:noWrap w:val="0"/>
            <w:vAlign w:val="center"/>
          </w:tcPr>
          <w:p w14:paraId="7B9B5F1E">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排口巡查、水质检测、垃圾清理用车</w:t>
            </w:r>
          </w:p>
        </w:tc>
        <w:tc>
          <w:tcPr>
            <w:tcW w:w="1516" w:type="pct"/>
            <w:tcBorders>
              <w:top w:val="nil"/>
              <w:left w:val="nil"/>
              <w:bottom w:val="single" w:color="000000" w:sz="4" w:space="0"/>
              <w:right w:val="single" w:color="000000" w:sz="4" w:space="0"/>
            </w:tcBorders>
            <w:noWrap w:val="0"/>
            <w:vAlign w:val="center"/>
          </w:tcPr>
          <w:p w14:paraId="05942B10">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1、用于排口巡查、水质检测、岸坡垃圾清理等零星用车，台班数量最终以指令单及计量单为准</w:t>
            </w:r>
          </w:p>
        </w:tc>
        <w:tc>
          <w:tcPr>
            <w:tcW w:w="390" w:type="pct"/>
            <w:tcBorders>
              <w:top w:val="nil"/>
              <w:left w:val="nil"/>
              <w:bottom w:val="single" w:color="000000" w:sz="4" w:space="0"/>
              <w:right w:val="single" w:color="000000" w:sz="4" w:space="0"/>
            </w:tcBorders>
            <w:noWrap w:val="0"/>
            <w:vAlign w:val="center"/>
          </w:tcPr>
          <w:p w14:paraId="611AD542">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台班</w:t>
            </w:r>
          </w:p>
        </w:tc>
        <w:tc>
          <w:tcPr>
            <w:tcW w:w="642" w:type="pct"/>
            <w:tcBorders>
              <w:top w:val="nil"/>
              <w:left w:val="nil"/>
              <w:bottom w:val="single" w:color="000000" w:sz="4" w:space="0"/>
              <w:right w:val="single" w:color="000000" w:sz="4" w:space="0"/>
            </w:tcBorders>
            <w:noWrap w:val="0"/>
            <w:vAlign w:val="center"/>
          </w:tcPr>
          <w:p w14:paraId="79CFC36C">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212</w:t>
            </w:r>
          </w:p>
        </w:tc>
        <w:tc>
          <w:tcPr>
            <w:tcW w:w="670" w:type="pct"/>
            <w:tcBorders>
              <w:top w:val="nil"/>
              <w:left w:val="nil"/>
              <w:bottom w:val="single" w:color="000000" w:sz="4" w:space="0"/>
              <w:right w:val="single" w:color="000000" w:sz="4" w:space="0"/>
            </w:tcBorders>
            <w:noWrap w:val="0"/>
            <w:vAlign w:val="center"/>
          </w:tcPr>
          <w:p w14:paraId="16AE2FCC">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515.01</w:t>
            </w:r>
          </w:p>
        </w:tc>
        <w:tc>
          <w:tcPr>
            <w:tcW w:w="670" w:type="pct"/>
            <w:tcBorders>
              <w:top w:val="nil"/>
              <w:left w:val="nil"/>
              <w:bottom w:val="single" w:color="000000" w:sz="4" w:space="0"/>
              <w:right w:val="single" w:color="000000" w:sz="4" w:space="0"/>
            </w:tcBorders>
            <w:noWrap w:val="0"/>
            <w:vAlign w:val="center"/>
          </w:tcPr>
          <w:p w14:paraId="7972F38F">
            <w:pPr>
              <w:widowControl w:val="0"/>
              <w:jc w:val="center"/>
              <w:rPr>
                <w:rFonts w:hint="eastAsia" w:ascii="宋体" w:hAnsi="宋体" w:eastAsia="宋体" w:cs="宋体"/>
                <w:color w:val="auto"/>
                <w:kern w:val="0"/>
                <w:sz w:val="21"/>
                <w:szCs w:val="21"/>
              </w:rPr>
            </w:pPr>
          </w:p>
        </w:tc>
      </w:tr>
      <w:tr w14:paraId="4FEB4FF9">
        <w:tblPrEx>
          <w:tblCellMar>
            <w:top w:w="0" w:type="dxa"/>
            <w:left w:w="108" w:type="dxa"/>
            <w:bottom w:w="0" w:type="dxa"/>
            <w:right w:w="108" w:type="dxa"/>
          </w:tblCellMar>
        </w:tblPrEx>
        <w:trPr>
          <w:trHeight w:val="1110" w:hRule="atLeast"/>
        </w:trPr>
        <w:tc>
          <w:tcPr>
            <w:tcW w:w="354" w:type="pct"/>
            <w:tcBorders>
              <w:top w:val="nil"/>
              <w:left w:val="single" w:color="000000" w:sz="4" w:space="0"/>
              <w:bottom w:val="single" w:color="000000" w:sz="4" w:space="0"/>
              <w:right w:val="single" w:color="000000" w:sz="4" w:space="0"/>
            </w:tcBorders>
            <w:noWrap w:val="0"/>
            <w:vAlign w:val="center"/>
          </w:tcPr>
          <w:p w14:paraId="64145B18">
            <w:pPr>
              <w:widowControl w:val="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6</w:t>
            </w:r>
          </w:p>
        </w:tc>
        <w:tc>
          <w:tcPr>
            <w:tcW w:w="755" w:type="pct"/>
            <w:tcBorders>
              <w:top w:val="nil"/>
              <w:left w:val="nil"/>
              <w:bottom w:val="single" w:color="000000" w:sz="4" w:space="0"/>
              <w:right w:val="single" w:color="000000" w:sz="4" w:space="0"/>
            </w:tcBorders>
            <w:noWrap w:val="0"/>
            <w:vAlign w:val="center"/>
          </w:tcPr>
          <w:p w14:paraId="4B03777C">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潜水员班组水下、暗涵、污水井池内摸排</w:t>
            </w:r>
          </w:p>
        </w:tc>
        <w:tc>
          <w:tcPr>
            <w:tcW w:w="1516" w:type="pct"/>
            <w:tcBorders>
              <w:top w:val="nil"/>
              <w:left w:val="nil"/>
              <w:bottom w:val="single" w:color="000000" w:sz="4" w:space="0"/>
              <w:right w:val="single" w:color="000000" w:sz="4" w:space="0"/>
            </w:tcBorders>
            <w:noWrap w:val="0"/>
            <w:vAlign w:val="center"/>
          </w:tcPr>
          <w:p w14:paraId="78B12059">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1.用于水下及暗涵、管道等有限空间通风、有毒气体检测、摸排作业</w:t>
            </w:r>
          </w:p>
        </w:tc>
        <w:tc>
          <w:tcPr>
            <w:tcW w:w="390" w:type="pct"/>
            <w:tcBorders>
              <w:top w:val="nil"/>
              <w:left w:val="nil"/>
              <w:bottom w:val="single" w:color="000000" w:sz="4" w:space="0"/>
              <w:right w:val="single" w:color="000000" w:sz="4" w:space="0"/>
            </w:tcBorders>
            <w:noWrap w:val="0"/>
            <w:vAlign w:val="center"/>
          </w:tcPr>
          <w:p w14:paraId="70410786">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台班</w:t>
            </w:r>
          </w:p>
        </w:tc>
        <w:tc>
          <w:tcPr>
            <w:tcW w:w="642" w:type="pct"/>
            <w:tcBorders>
              <w:top w:val="nil"/>
              <w:left w:val="nil"/>
              <w:bottom w:val="single" w:color="000000" w:sz="4" w:space="0"/>
              <w:right w:val="single" w:color="000000" w:sz="4" w:space="0"/>
            </w:tcBorders>
            <w:noWrap w:val="0"/>
            <w:vAlign w:val="center"/>
          </w:tcPr>
          <w:p w14:paraId="03604057">
            <w:pPr>
              <w:widowControl w:val="0"/>
              <w:jc w:val="left"/>
              <w:rPr>
                <w:rFonts w:hint="eastAsia" w:ascii="宋体" w:hAnsi="宋体" w:eastAsia="宋体" w:cs="宋体"/>
                <w:color w:val="auto"/>
                <w:kern w:val="0"/>
                <w:sz w:val="21"/>
                <w:szCs w:val="21"/>
                <w:lang w:eastAsia="zh-CN"/>
              </w:rPr>
            </w:pPr>
            <w:r>
              <w:rPr>
                <w:rFonts w:hint="eastAsia" w:ascii="宋体" w:hAnsi="宋体" w:cs="宋体"/>
                <w:color w:val="auto"/>
                <w:kern w:val="0"/>
                <w:sz w:val="21"/>
                <w:szCs w:val="21"/>
                <w:lang w:val="en-US" w:eastAsia="zh-CN"/>
              </w:rPr>
              <w:t>2</w:t>
            </w:r>
          </w:p>
        </w:tc>
        <w:tc>
          <w:tcPr>
            <w:tcW w:w="670" w:type="pct"/>
            <w:tcBorders>
              <w:top w:val="nil"/>
              <w:left w:val="nil"/>
              <w:bottom w:val="single" w:color="000000" w:sz="4" w:space="0"/>
              <w:right w:val="single" w:color="000000" w:sz="4" w:space="0"/>
            </w:tcBorders>
            <w:noWrap w:val="0"/>
            <w:vAlign w:val="center"/>
          </w:tcPr>
          <w:p w14:paraId="6183860E">
            <w:pPr>
              <w:keepNext w:val="0"/>
              <w:keepLines w:val="0"/>
              <w:widowControl/>
              <w:suppressLineNumbers w:val="0"/>
              <w:jc w:val="center"/>
              <w:textAlignment w:val="center"/>
              <w:rPr>
                <w:rFonts w:hint="default" w:ascii="宋体" w:hAnsi="宋体" w:eastAsia="宋体" w:cs="宋体"/>
                <w:color w:val="auto"/>
                <w:kern w:val="0"/>
                <w:sz w:val="21"/>
                <w:szCs w:val="21"/>
                <w:lang w:val="en-US"/>
              </w:rPr>
            </w:pPr>
            <w:r>
              <w:rPr>
                <w:rFonts w:hint="eastAsia" w:ascii="宋体" w:hAnsi="宋体" w:cs="宋体"/>
                <w:i w:val="0"/>
                <w:iCs w:val="0"/>
                <w:color w:val="auto"/>
                <w:kern w:val="0"/>
                <w:sz w:val="18"/>
                <w:szCs w:val="18"/>
                <w:u w:val="none"/>
                <w:lang w:val="en-US" w:eastAsia="zh-CN" w:bidi="ar"/>
              </w:rPr>
              <w:t>5218.56</w:t>
            </w:r>
          </w:p>
        </w:tc>
        <w:tc>
          <w:tcPr>
            <w:tcW w:w="670" w:type="pct"/>
            <w:tcBorders>
              <w:top w:val="nil"/>
              <w:left w:val="nil"/>
              <w:bottom w:val="single" w:color="000000" w:sz="4" w:space="0"/>
              <w:right w:val="single" w:color="000000" w:sz="4" w:space="0"/>
            </w:tcBorders>
            <w:noWrap w:val="0"/>
            <w:vAlign w:val="center"/>
          </w:tcPr>
          <w:p w14:paraId="7BA55C7B">
            <w:pPr>
              <w:widowControl w:val="0"/>
              <w:jc w:val="center"/>
              <w:rPr>
                <w:rFonts w:hint="eastAsia" w:ascii="宋体" w:hAnsi="宋体" w:eastAsia="宋体" w:cs="宋体"/>
                <w:color w:val="auto"/>
                <w:kern w:val="0"/>
                <w:sz w:val="21"/>
                <w:szCs w:val="21"/>
              </w:rPr>
            </w:pPr>
          </w:p>
        </w:tc>
      </w:tr>
      <w:tr w14:paraId="657C0CA2">
        <w:tblPrEx>
          <w:tblCellMar>
            <w:top w:w="0" w:type="dxa"/>
            <w:left w:w="108" w:type="dxa"/>
            <w:bottom w:w="0" w:type="dxa"/>
            <w:right w:w="108" w:type="dxa"/>
          </w:tblCellMar>
        </w:tblPrEx>
        <w:trPr>
          <w:trHeight w:val="1065" w:hRule="atLeast"/>
        </w:trPr>
        <w:tc>
          <w:tcPr>
            <w:tcW w:w="354" w:type="pct"/>
            <w:tcBorders>
              <w:top w:val="nil"/>
              <w:left w:val="single" w:color="000000" w:sz="4" w:space="0"/>
              <w:bottom w:val="single" w:color="000000" w:sz="4" w:space="0"/>
              <w:right w:val="single" w:color="000000" w:sz="4" w:space="0"/>
            </w:tcBorders>
            <w:noWrap w:val="0"/>
            <w:vAlign w:val="center"/>
          </w:tcPr>
          <w:p w14:paraId="2E253A35">
            <w:pPr>
              <w:widowControl w:val="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7</w:t>
            </w:r>
          </w:p>
        </w:tc>
        <w:tc>
          <w:tcPr>
            <w:tcW w:w="755" w:type="pct"/>
            <w:tcBorders>
              <w:top w:val="nil"/>
              <w:left w:val="nil"/>
              <w:bottom w:val="single" w:color="000000" w:sz="4" w:space="0"/>
              <w:right w:val="single" w:color="000000" w:sz="4" w:space="0"/>
            </w:tcBorders>
            <w:noWrap w:val="0"/>
            <w:vAlign w:val="center"/>
          </w:tcPr>
          <w:p w14:paraId="056CC370">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暗涵、管道排查检测</w:t>
            </w:r>
          </w:p>
        </w:tc>
        <w:tc>
          <w:tcPr>
            <w:tcW w:w="1516" w:type="pct"/>
            <w:tcBorders>
              <w:top w:val="nil"/>
              <w:left w:val="nil"/>
              <w:bottom w:val="single" w:color="000000" w:sz="4" w:space="0"/>
              <w:right w:val="single" w:color="000000" w:sz="4" w:space="0"/>
            </w:tcBorders>
            <w:noWrap w:val="0"/>
            <w:vAlign w:val="center"/>
          </w:tcPr>
          <w:p w14:paraId="78A1AF40">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管道开井通风、有毒气体检测、采用潜望镜、机器人等视频检测、绘制简图、标记等，提供检测报告</w:t>
            </w:r>
          </w:p>
        </w:tc>
        <w:tc>
          <w:tcPr>
            <w:tcW w:w="390" w:type="pct"/>
            <w:tcBorders>
              <w:top w:val="nil"/>
              <w:left w:val="nil"/>
              <w:bottom w:val="single" w:color="000000" w:sz="4" w:space="0"/>
              <w:right w:val="single" w:color="000000" w:sz="4" w:space="0"/>
            </w:tcBorders>
            <w:noWrap w:val="0"/>
            <w:vAlign w:val="center"/>
          </w:tcPr>
          <w:p w14:paraId="303C2DF1">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m</w:t>
            </w:r>
          </w:p>
        </w:tc>
        <w:tc>
          <w:tcPr>
            <w:tcW w:w="642" w:type="pct"/>
            <w:tcBorders>
              <w:top w:val="nil"/>
              <w:left w:val="nil"/>
              <w:bottom w:val="single" w:color="000000" w:sz="4" w:space="0"/>
              <w:right w:val="single" w:color="000000" w:sz="4" w:space="0"/>
            </w:tcBorders>
            <w:noWrap w:val="0"/>
            <w:vAlign w:val="center"/>
          </w:tcPr>
          <w:p w14:paraId="42A1EC7E">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4020</w:t>
            </w:r>
          </w:p>
        </w:tc>
        <w:tc>
          <w:tcPr>
            <w:tcW w:w="670" w:type="pct"/>
            <w:tcBorders>
              <w:top w:val="nil"/>
              <w:left w:val="nil"/>
              <w:bottom w:val="single" w:color="000000" w:sz="4" w:space="0"/>
              <w:right w:val="single" w:color="000000" w:sz="4" w:space="0"/>
            </w:tcBorders>
            <w:noWrap w:val="0"/>
            <w:vAlign w:val="center"/>
          </w:tcPr>
          <w:p w14:paraId="31F275FA">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20.3</w:t>
            </w:r>
          </w:p>
        </w:tc>
        <w:tc>
          <w:tcPr>
            <w:tcW w:w="670" w:type="pct"/>
            <w:tcBorders>
              <w:top w:val="nil"/>
              <w:left w:val="nil"/>
              <w:bottom w:val="single" w:color="000000" w:sz="4" w:space="0"/>
              <w:right w:val="single" w:color="000000" w:sz="4" w:space="0"/>
            </w:tcBorders>
            <w:noWrap w:val="0"/>
            <w:vAlign w:val="center"/>
          </w:tcPr>
          <w:p w14:paraId="7CB3D2ED">
            <w:pPr>
              <w:widowControl w:val="0"/>
              <w:jc w:val="center"/>
              <w:rPr>
                <w:rFonts w:hint="eastAsia" w:ascii="宋体" w:hAnsi="宋体" w:eastAsia="宋体" w:cs="宋体"/>
                <w:color w:val="auto"/>
                <w:kern w:val="0"/>
                <w:sz w:val="21"/>
                <w:szCs w:val="21"/>
              </w:rPr>
            </w:pPr>
          </w:p>
        </w:tc>
      </w:tr>
      <w:tr w14:paraId="4163FB7F">
        <w:tblPrEx>
          <w:tblCellMar>
            <w:top w:w="0" w:type="dxa"/>
            <w:left w:w="108" w:type="dxa"/>
            <w:bottom w:w="0" w:type="dxa"/>
            <w:right w:w="108" w:type="dxa"/>
          </w:tblCellMar>
        </w:tblPrEx>
        <w:trPr>
          <w:trHeight w:val="1981" w:hRule="atLeast"/>
        </w:trPr>
        <w:tc>
          <w:tcPr>
            <w:tcW w:w="354" w:type="pct"/>
            <w:tcBorders>
              <w:top w:val="nil"/>
              <w:left w:val="single" w:color="000000" w:sz="4" w:space="0"/>
              <w:bottom w:val="single" w:color="000000" w:sz="4" w:space="0"/>
              <w:right w:val="single" w:color="000000" w:sz="4" w:space="0"/>
            </w:tcBorders>
            <w:noWrap w:val="0"/>
            <w:vAlign w:val="center"/>
          </w:tcPr>
          <w:p w14:paraId="7053750B">
            <w:pPr>
              <w:widowControl w:val="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8</w:t>
            </w:r>
          </w:p>
        </w:tc>
        <w:tc>
          <w:tcPr>
            <w:tcW w:w="755" w:type="pct"/>
            <w:tcBorders>
              <w:top w:val="nil"/>
              <w:left w:val="nil"/>
              <w:bottom w:val="single" w:color="000000" w:sz="4" w:space="0"/>
              <w:right w:val="single" w:color="000000" w:sz="4" w:space="0"/>
            </w:tcBorders>
            <w:noWrap w:val="0"/>
            <w:vAlign w:val="center"/>
          </w:tcPr>
          <w:p w14:paraId="4DDE08AA">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Φ800以内管道砖封堵</w:t>
            </w:r>
          </w:p>
        </w:tc>
        <w:tc>
          <w:tcPr>
            <w:tcW w:w="1516" w:type="pct"/>
            <w:tcBorders>
              <w:top w:val="nil"/>
              <w:left w:val="nil"/>
              <w:bottom w:val="single" w:color="000000" w:sz="4" w:space="0"/>
              <w:right w:val="single" w:color="000000" w:sz="4" w:space="0"/>
            </w:tcBorders>
            <w:noWrap w:val="0"/>
            <w:vAlign w:val="center"/>
          </w:tcPr>
          <w:p w14:paraId="68ED6439">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1.人工堵管口： 砖封Φ800及以内，含有毒气体测试、防护措施等费用</w:t>
            </w:r>
          </w:p>
          <w:p w14:paraId="322D3847">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2.满足施工安全要求，含封堵、拆除、清理，上下游调排水的费用、通气、毒气检测等，并考虑材料、机械运至施工现场及施工等所有费用，结算时不调整</w:t>
            </w:r>
          </w:p>
        </w:tc>
        <w:tc>
          <w:tcPr>
            <w:tcW w:w="390" w:type="pct"/>
            <w:tcBorders>
              <w:top w:val="nil"/>
              <w:left w:val="nil"/>
              <w:bottom w:val="single" w:color="000000" w:sz="4" w:space="0"/>
              <w:right w:val="single" w:color="000000" w:sz="4" w:space="0"/>
            </w:tcBorders>
            <w:noWrap w:val="0"/>
            <w:vAlign w:val="center"/>
          </w:tcPr>
          <w:p w14:paraId="74456477">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个</w:t>
            </w:r>
          </w:p>
        </w:tc>
        <w:tc>
          <w:tcPr>
            <w:tcW w:w="642" w:type="pct"/>
            <w:tcBorders>
              <w:top w:val="nil"/>
              <w:left w:val="nil"/>
              <w:bottom w:val="single" w:color="000000" w:sz="4" w:space="0"/>
              <w:right w:val="single" w:color="000000" w:sz="4" w:space="0"/>
            </w:tcBorders>
            <w:noWrap w:val="0"/>
            <w:vAlign w:val="center"/>
          </w:tcPr>
          <w:p w14:paraId="30CC7B6E">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11</w:t>
            </w:r>
          </w:p>
        </w:tc>
        <w:tc>
          <w:tcPr>
            <w:tcW w:w="670" w:type="pct"/>
            <w:tcBorders>
              <w:top w:val="nil"/>
              <w:left w:val="nil"/>
              <w:bottom w:val="single" w:color="000000" w:sz="4" w:space="0"/>
              <w:right w:val="single" w:color="000000" w:sz="4" w:space="0"/>
            </w:tcBorders>
            <w:noWrap w:val="0"/>
            <w:vAlign w:val="center"/>
          </w:tcPr>
          <w:p w14:paraId="37A372ED">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2709.9</w:t>
            </w:r>
          </w:p>
        </w:tc>
        <w:tc>
          <w:tcPr>
            <w:tcW w:w="670" w:type="pct"/>
            <w:tcBorders>
              <w:top w:val="nil"/>
              <w:left w:val="nil"/>
              <w:bottom w:val="single" w:color="000000" w:sz="4" w:space="0"/>
              <w:right w:val="single" w:color="000000" w:sz="4" w:space="0"/>
            </w:tcBorders>
            <w:noWrap w:val="0"/>
            <w:vAlign w:val="center"/>
          </w:tcPr>
          <w:p w14:paraId="64D32782">
            <w:pPr>
              <w:widowControl w:val="0"/>
              <w:jc w:val="center"/>
              <w:rPr>
                <w:rFonts w:hint="eastAsia" w:ascii="宋体" w:hAnsi="宋体" w:eastAsia="宋体" w:cs="宋体"/>
                <w:color w:val="auto"/>
                <w:kern w:val="0"/>
                <w:sz w:val="21"/>
                <w:szCs w:val="21"/>
              </w:rPr>
            </w:pPr>
          </w:p>
        </w:tc>
      </w:tr>
      <w:tr w14:paraId="0C4BCCC8">
        <w:tblPrEx>
          <w:tblCellMar>
            <w:top w:w="0" w:type="dxa"/>
            <w:left w:w="108" w:type="dxa"/>
            <w:bottom w:w="0" w:type="dxa"/>
            <w:right w:w="108" w:type="dxa"/>
          </w:tblCellMar>
        </w:tblPrEx>
        <w:trPr>
          <w:trHeight w:val="1996" w:hRule="atLeast"/>
        </w:trPr>
        <w:tc>
          <w:tcPr>
            <w:tcW w:w="354" w:type="pct"/>
            <w:tcBorders>
              <w:top w:val="nil"/>
              <w:left w:val="single" w:color="000000" w:sz="4" w:space="0"/>
              <w:bottom w:val="single" w:color="000000" w:sz="4" w:space="0"/>
              <w:right w:val="single" w:color="000000" w:sz="4" w:space="0"/>
            </w:tcBorders>
            <w:noWrap w:val="0"/>
            <w:vAlign w:val="center"/>
          </w:tcPr>
          <w:p w14:paraId="39C2A814">
            <w:pPr>
              <w:widowControl w:val="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9</w:t>
            </w:r>
          </w:p>
        </w:tc>
        <w:tc>
          <w:tcPr>
            <w:tcW w:w="755" w:type="pct"/>
            <w:tcBorders>
              <w:top w:val="nil"/>
              <w:left w:val="nil"/>
              <w:bottom w:val="single" w:color="000000" w:sz="4" w:space="0"/>
              <w:right w:val="single" w:color="000000" w:sz="4" w:space="0"/>
            </w:tcBorders>
            <w:noWrap w:val="0"/>
            <w:vAlign w:val="center"/>
          </w:tcPr>
          <w:p w14:paraId="568D2E3E">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Φ1000-φ1200管道砖封堵</w:t>
            </w:r>
          </w:p>
        </w:tc>
        <w:tc>
          <w:tcPr>
            <w:tcW w:w="1516" w:type="pct"/>
            <w:tcBorders>
              <w:top w:val="nil"/>
              <w:left w:val="nil"/>
              <w:bottom w:val="single" w:color="000000" w:sz="4" w:space="0"/>
              <w:right w:val="single" w:color="000000" w:sz="4" w:space="0"/>
            </w:tcBorders>
            <w:noWrap w:val="0"/>
            <w:vAlign w:val="center"/>
          </w:tcPr>
          <w:p w14:paraId="02A2FFB4">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1.人工堵管口： 砖封Φ1000-Φ1200，含有毒气体测试、防护措施等费用</w:t>
            </w:r>
          </w:p>
          <w:p w14:paraId="0A7BB3F2">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2.满足施工安全要求，含封堵、拆除、清理，上下游调排水的费用、通气、毒气检测等，并考虑材料、机械运至施工现场及施工等所有费用，结算时不调整</w:t>
            </w:r>
          </w:p>
        </w:tc>
        <w:tc>
          <w:tcPr>
            <w:tcW w:w="390" w:type="pct"/>
            <w:tcBorders>
              <w:top w:val="nil"/>
              <w:left w:val="nil"/>
              <w:bottom w:val="single" w:color="000000" w:sz="4" w:space="0"/>
              <w:right w:val="single" w:color="000000" w:sz="4" w:space="0"/>
            </w:tcBorders>
            <w:noWrap w:val="0"/>
            <w:vAlign w:val="center"/>
          </w:tcPr>
          <w:p w14:paraId="0DEF4108">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个</w:t>
            </w:r>
          </w:p>
        </w:tc>
        <w:tc>
          <w:tcPr>
            <w:tcW w:w="642" w:type="pct"/>
            <w:tcBorders>
              <w:top w:val="nil"/>
              <w:left w:val="nil"/>
              <w:bottom w:val="single" w:color="000000" w:sz="4" w:space="0"/>
              <w:right w:val="single" w:color="000000" w:sz="4" w:space="0"/>
            </w:tcBorders>
            <w:noWrap w:val="0"/>
            <w:vAlign w:val="center"/>
          </w:tcPr>
          <w:p w14:paraId="65BE6F82">
            <w:pPr>
              <w:widowControl w:val="0"/>
              <w:jc w:val="left"/>
              <w:rPr>
                <w:rFonts w:hint="eastAsia"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2</w:t>
            </w:r>
          </w:p>
        </w:tc>
        <w:tc>
          <w:tcPr>
            <w:tcW w:w="670" w:type="pct"/>
            <w:tcBorders>
              <w:top w:val="nil"/>
              <w:left w:val="nil"/>
              <w:bottom w:val="single" w:color="000000" w:sz="4" w:space="0"/>
              <w:right w:val="single" w:color="000000" w:sz="4" w:space="0"/>
            </w:tcBorders>
            <w:noWrap w:val="0"/>
            <w:vAlign w:val="center"/>
          </w:tcPr>
          <w:p w14:paraId="0E9EED86">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5666.91</w:t>
            </w:r>
          </w:p>
        </w:tc>
        <w:tc>
          <w:tcPr>
            <w:tcW w:w="670" w:type="pct"/>
            <w:tcBorders>
              <w:top w:val="nil"/>
              <w:left w:val="nil"/>
              <w:bottom w:val="single" w:color="000000" w:sz="4" w:space="0"/>
              <w:right w:val="single" w:color="000000" w:sz="4" w:space="0"/>
            </w:tcBorders>
            <w:noWrap w:val="0"/>
            <w:vAlign w:val="center"/>
          </w:tcPr>
          <w:p w14:paraId="2DF3FAB4">
            <w:pPr>
              <w:widowControl w:val="0"/>
              <w:jc w:val="center"/>
              <w:rPr>
                <w:rFonts w:hint="eastAsia" w:ascii="宋体" w:hAnsi="宋体" w:eastAsia="宋体" w:cs="宋体"/>
                <w:color w:val="auto"/>
                <w:kern w:val="0"/>
                <w:sz w:val="21"/>
                <w:szCs w:val="21"/>
              </w:rPr>
            </w:pPr>
          </w:p>
        </w:tc>
      </w:tr>
      <w:tr w14:paraId="68608A27">
        <w:tblPrEx>
          <w:tblCellMar>
            <w:top w:w="0" w:type="dxa"/>
            <w:left w:w="108" w:type="dxa"/>
            <w:bottom w:w="0" w:type="dxa"/>
            <w:right w:w="108" w:type="dxa"/>
          </w:tblCellMar>
        </w:tblPrEx>
        <w:trPr>
          <w:trHeight w:val="1936" w:hRule="atLeast"/>
        </w:trPr>
        <w:tc>
          <w:tcPr>
            <w:tcW w:w="354" w:type="pct"/>
            <w:tcBorders>
              <w:top w:val="nil"/>
              <w:left w:val="single" w:color="000000" w:sz="4" w:space="0"/>
              <w:bottom w:val="single" w:color="000000" w:sz="4" w:space="0"/>
              <w:right w:val="single" w:color="000000" w:sz="4" w:space="0"/>
            </w:tcBorders>
            <w:noWrap w:val="0"/>
            <w:vAlign w:val="center"/>
          </w:tcPr>
          <w:p w14:paraId="70C4E2D2">
            <w:pPr>
              <w:widowControl w:val="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10</w:t>
            </w:r>
          </w:p>
        </w:tc>
        <w:tc>
          <w:tcPr>
            <w:tcW w:w="755" w:type="pct"/>
            <w:tcBorders>
              <w:top w:val="nil"/>
              <w:left w:val="nil"/>
              <w:bottom w:val="single" w:color="000000" w:sz="4" w:space="0"/>
              <w:right w:val="single" w:color="000000" w:sz="4" w:space="0"/>
            </w:tcBorders>
            <w:noWrap w:val="0"/>
            <w:vAlign w:val="center"/>
          </w:tcPr>
          <w:p w14:paraId="64DE87B2">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Φ1500-φ2000管道砖封堵</w:t>
            </w:r>
          </w:p>
        </w:tc>
        <w:tc>
          <w:tcPr>
            <w:tcW w:w="1516" w:type="pct"/>
            <w:tcBorders>
              <w:top w:val="nil"/>
              <w:left w:val="nil"/>
              <w:bottom w:val="single" w:color="000000" w:sz="4" w:space="0"/>
              <w:right w:val="single" w:color="000000" w:sz="4" w:space="0"/>
            </w:tcBorders>
            <w:noWrap w:val="0"/>
            <w:vAlign w:val="center"/>
          </w:tcPr>
          <w:p w14:paraId="01D2AA1A">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1.人工堵管口： 砖封Φ1500-Φ2000，含有毒气体测试、防护措施等费用</w:t>
            </w:r>
          </w:p>
          <w:p w14:paraId="39F30861">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2.满足施工安全要求，含封堵、拆除、清理，上下游调排水的费用、通气、毒气检测等，并考虑材料、机械运至施工现场及施工等所有费用，结算时不调整</w:t>
            </w:r>
          </w:p>
        </w:tc>
        <w:tc>
          <w:tcPr>
            <w:tcW w:w="390" w:type="pct"/>
            <w:tcBorders>
              <w:top w:val="nil"/>
              <w:left w:val="nil"/>
              <w:bottom w:val="single" w:color="000000" w:sz="4" w:space="0"/>
              <w:right w:val="single" w:color="000000" w:sz="4" w:space="0"/>
            </w:tcBorders>
            <w:noWrap w:val="0"/>
            <w:vAlign w:val="center"/>
          </w:tcPr>
          <w:p w14:paraId="267F0436">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个</w:t>
            </w:r>
          </w:p>
        </w:tc>
        <w:tc>
          <w:tcPr>
            <w:tcW w:w="642" w:type="pct"/>
            <w:tcBorders>
              <w:top w:val="nil"/>
              <w:left w:val="nil"/>
              <w:bottom w:val="single" w:color="000000" w:sz="4" w:space="0"/>
              <w:right w:val="single" w:color="000000" w:sz="4" w:space="0"/>
            </w:tcBorders>
            <w:noWrap w:val="0"/>
            <w:vAlign w:val="center"/>
          </w:tcPr>
          <w:p w14:paraId="080D2E30">
            <w:pPr>
              <w:widowControl w:val="0"/>
              <w:jc w:val="left"/>
              <w:rPr>
                <w:rFonts w:hint="eastAsia"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2</w:t>
            </w:r>
          </w:p>
        </w:tc>
        <w:tc>
          <w:tcPr>
            <w:tcW w:w="670" w:type="pct"/>
            <w:tcBorders>
              <w:top w:val="nil"/>
              <w:left w:val="nil"/>
              <w:bottom w:val="single" w:color="000000" w:sz="4" w:space="0"/>
              <w:right w:val="single" w:color="000000" w:sz="4" w:space="0"/>
            </w:tcBorders>
            <w:noWrap w:val="0"/>
            <w:vAlign w:val="center"/>
          </w:tcPr>
          <w:p w14:paraId="177CAB71">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14028.5</w:t>
            </w:r>
          </w:p>
        </w:tc>
        <w:tc>
          <w:tcPr>
            <w:tcW w:w="670" w:type="pct"/>
            <w:tcBorders>
              <w:top w:val="nil"/>
              <w:left w:val="nil"/>
              <w:bottom w:val="single" w:color="000000" w:sz="4" w:space="0"/>
              <w:right w:val="single" w:color="000000" w:sz="4" w:space="0"/>
            </w:tcBorders>
            <w:noWrap w:val="0"/>
            <w:vAlign w:val="center"/>
          </w:tcPr>
          <w:p w14:paraId="4BCBA217">
            <w:pPr>
              <w:widowControl w:val="0"/>
              <w:jc w:val="center"/>
              <w:rPr>
                <w:rFonts w:hint="eastAsia" w:ascii="宋体" w:hAnsi="宋体" w:eastAsia="宋体" w:cs="宋体"/>
                <w:color w:val="auto"/>
                <w:kern w:val="0"/>
                <w:sz w:val="21"/>
                <w:szCs w:val="21"/>
              </w:rPr>
            </w:pPr>
          </w:p>
        </w:tc>
      </w:tr>
      <w:tr w14:paraId="43EC0CAE">
        <w:tblPrEx>
          <w:tblCellMar>
            <w:top w:w="0" w:type="dxa"/>
            <w:left w:w="108" w:type="dxa"/>
            <w:bottom w:w="0" w:type="dxa"/>
            <w:right w:w="108" w:type="dxa"/>
          </w:tblCellMar>
        </w:tblPrEx>
        <w:trPr>
          <w:trHeight w:val="2371" w:hRule="atLeast"/>
        </w:trPr>
        <w:tc>
          <w:tcPr>
            <w:tcW w:w="354" w:type="pct"/>
            <w:tcBorders>
              <w:top w:val="nil"/>
              <w:left w:val="single" w:color="000000" w:sz="4" w:space="0"/>
              <w:bottom w:val="single" w:color="000000" w:sz="4" w:space="0"/>
              <w:right w:val="single" w:color="000000" w:sz="4" w:space="0"/>
            </w:tcBorders>
            <w:noWrap w:val="0"/>
            <w:vAlign w:val="center"/>
          </w:tcPr>
          <w:p w14:paraId="54EBAEC2">
            <w:pPr>
              <w:widowControl w:val="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11</w:t>
            </w:r>
          </w:p>
        </w:tc>
        <w:tc>
          <w:tcPr>
            <w:tcW w:w="755" w:type="pct"/>
            <w:tcBorders>
              <w:top w:val="nil"/>
              <w:left w:val="nil"/>
              <w:bottom w:val="single" w:color="000000" w:sz="4" w:space="0"/>
              <w:right w:val="single" w:color="000000" w:sz="4" w:space="0"/>
            </w:tcBorders>
            <w:noWrap w:val="0"/>
            <w:vAlign w:val="center"/>
          </w:tcPr>
          <w:p w14:paraId="6ABB3CBD">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人工堵管口 气囊堵管口Φ800及以内</w:t>
            </w:r>
          </w:p>
        </w:tc>
        <w:tc>
          <w:tcPr>
            <w:tcW w:w="1516" w:type="pct"/>
            <w:tcBorders>
              <w:top w:val="nil"/>
              <w:left w:val="nil"/>
              <w:bottom w:val="single" w:color="000000" w:sz="4" w:space="0"/>
              <w:right w:val="single" w:color="000000" w:sz="4" w:space="0"/>
            </w:tcBorders>
            <w:noWrap w:val="0"/>
            <w:vAlign w:val="center"/>
          </w:tcPr>
          <w:p w14:paraId="6722FB24">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1.人工堵管口 ，气囊堵管口Φ800及以内，含排气阀及管道辅材、有毒气体测试、防护措施等费用</w:t>
            </w:r>
          </w:p>
          <w:p w14:paraId="2F3F3855">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2.气囊堵管，满足施工安全要求，含安装、补气及拆除、清理，上下游调排水的费用、通气、毒气检测等，并考虑材料、机械运至施工现场及施工等所有费用，结算时不调整</w:t>
            </w:r>
          </w:p>
        </w:tc>
        <w:tc>
          <w:tcPr>
            <w:tcW w:w="390" w:type="pct"/>
            <w:tcBorders>
              <w:top w:val="nil"/>
              <w:left w:val="nil"/>
              <w:bottom w:val="single" w:color="000000" w:sz="4" w:space="0"/>
              <w:right w:val="single" w:color="000000" w:sz="4" w:space="0"/>
            </w:tcBorders>
            <w:noWrap w:val="0"/>
            <w:vAlign w:val="center"/>
          </w:tcPr>
          <w:p w14:paraId="275E5E68">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个</w:t>
            </w:r>
          </w:p>
        </w:tc>
        <w:tc>
          <w:tcPr>
            <w:tcW w:w="642" w:type="pct"/>
            <w:tcBorders>
              <w:top w:val="nil"/>
              <w:left w:val="nil"/>
              <w:bottom w:val="single" w:color="000000" w:sz="4" w:space="0"/>
              <w:right w:val="single" w:color="000000" w:sz="4" w:space="0"/>
            </w:tcBorders>
            <w:noWrap w:val="0"/>
            <w:vAlign w:val="center"/>
          </w:tcPr>
          <w:p w14:paraId="4ADED25B">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10</w:t>
            </w:r>
          </w:p>
        </w:tc>
        <w:tc>
          <w:tcPr>
            <w:tcW w:w="670" w:type="pct"/>
            <w:tcBorders>
              <w:top w:val="nil"/>
              <w:left w:val="nil"/>
              <w:bottom w:val="single" w:color="000000" w:sz="4" w:space="0"/>
              <w:right w:val="single" w:color="000000" w:sz="4" w:space="0"/>
            </w:tcBorders>
            <w:noWrap w:val="0"/>
            <w:vAlign w:val="center"/>
          </w:tcPr>
          <w:p w14:paraId="4A92DCA5">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1111.81</w:t>
            </w:r>
          </w:p>
        </w:tc>
        <w:tc>
          <w:tcPr>
            <w:tcW w:w="670" w:type="pct"/>
            <w:tcBorders>
              <w:top w:val="nil"/>
              <w:left w:val="nil"/>
              <w:bottom w:val="single" w:color="000000" w:sz="4" w:space="0"/>
              <w:right w:val="single" w:color="000000" w:sz="4" w:space="0"/>
            </w:tcBorders>
            <w:noWrap w:val="0"/>
            <w:vAlign w:val="center"/>
          </w:tcPr>
          <w:p w14:paraId="74F1E626">
            <w:pPr>
              <w:widowControl w:val="0"/>
              <w:jc w:val="center"/>
              <w:rPr>
                <w:rFonts w:hint="eastAsia" w:ascii="宋体" w:hAnsi="宋体" w:eastAsia="宋体" w:cs="宋体"/>
                <w:color w:val="auto"/>
                <w:kern w:val="0"/>
                <w:sz w:val="21"/>
                <w:szCs w:val="21"/>
              </w:rPr>
            </w:pPr>
          </w:p>
        </w:tc>
      </w:tr>
      <w:tr w14:paraId="7DE62C97">
        <w:tblPrEx>
          <w:tblCellMar>
            <w:top w:w="0" w:type="dxa"/>
            <w:left w:w="108" w:type="dxa"/>
            <w:bottom w:w="0" w:type="dxa"/>
            <w:right w:w="108" w:type="dxa"/>
          </w:tblCellMar>
        </w:tblPrEx>
        <w:trPr>
          <w:trHeight w:val="2176" w:hRule="atLeast"/>
        </w:trPr>
        <w:tc>
          <w:tcPr>
            <w:tcW w:w="354" w:type="pct"/>
            <w:tcBorders>
              <w:top w:val="nil"/>
              <w:left w:val="single" w:color="000000" w:sz="4" w:space="0"/>
              <w:bottom w:val="single" w:color="000000" w:sz="4" w:space="0"/>
              <w:right w:val="single" w:color="000000" w:sz="4" w:space="0"/>
            </w:tcBorders>
            <w:noWrap w:val="0"/>
            <w:vAlign w:val="center"/>
          </w:tcPr>
          <w:p w14:paraId="3B8D9DE1">
            <w:pPr>
              <w:widowControl w:val="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12</w:t>
            </w:r>
          </w:p>
        </w:tc>
        <w:tc>
          <w:tcPr>
            <w:tcW w:w="755" w:type="pct"/>
            <w:tcBorders>
              <w:top w:val="nil"/>
              <w:left w:val="nil"/>
              <w:bottom w:val="single" w:color="000000" w:sz="4" w:space="0"/>
              <w:right w:val="single" w:color="000000" w:sz="4" w:space="0"/>
            </w:tcBorders>
            <w:noWrap w:val="0"/>
            <w:vAlign w:val="center"/>
          </w:tcPr>
          <w:p w14:paraId="32E478C6">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人工堵管口 气囊堵管口Φ1000-φ1200</w:t>
            </w:r>
          </w:p>
        </w:tc>
        <w:tc>
          <w:tcPr>
            <w:tcW w:w="1516" w:type="pct"/>
            <w:tcBorders>
              <w:top w:val="nil"/>
              <w:left w:val="nil"/>
              <w:bottom w:val="single" w:color="000000" w:sz="4" w:space="0"/>
              <w:right w:val="single" w:color="000000" w:sz="4" w:space="0"/>
            </w:tcBorders>
            <w:noWrap w:val="0"/>
            <w:vAlign w:val="center"/>
          </w:tcPr>
          <w:p w14:paraId="1E90853D">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1.人工堵管口 ，气囊堵管口Φ1000-φ1200，含排气阀及管道辅材、有毒气体测试、防护措施等费用</w:t>
            </w:r>
          </w:p>
          <w:p w14:paraId="1399CA0A">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2.气囊堵管，满足施工安全要求，含安装、补气及拆除、清理，并考虑材料、机械运至施工现场及施工等所有费用，结算时不调整</w:t>
            </w:r>
          </w:p>
        </w:tc>
        <w:tc>
          <w:tcPr>
            <w:tcW w:w="390" w:type="pct"/>
            <w:tcBorders>
              <w:top w:val="nil"/>
              <w:left w:val="nil"/>
              <w:bottom w:val="single" w:color="000000" w:sz="4" w:space="0"/>
              <w:right w:val="single" w:color="000000" w:sz="4" w:space="0"/>
            </w:tcBorders>
            <w:noWrap w:val="0"/>
            <w:vAlign w:val="center"/>
          </w:tcPr>
          <w:p w14:paraId="5BD5FC21">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个</w:t>
            </w:r>
          </w:p>
        </w:tc>
        <w:tc>
          <w:tcPr>
            <w:tcW w:w="642" w:type="pct"/>
            <w:tcBorders>
              <w:top w:val="nil"/>
              <w:left w:val="nil"/>
              <w:bottom w:val="single" w:color="000000" w:sz="4" w:space="0"/>
              <w:right w:val="single" w:color="000000" w:sz="4" w:space="0"/>
            </w:tcBorders>
            <w:noWrap w:val="0"/>
            <w:vAlign w:val="center"/>
          </w:tcPr>
          <w:p w14:paraId="1B3428E3">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7</w:t>
            </w:r>
          </w:p>
        </w:tc>
        <w:tc>
          <w:tcPr>
            <w:tcW w:w="670" w:type="pct"/>
            <w:tcBorders>
              <w:top w:val="nil"/>
              <w:left w:val="nil"/>
              <w:bottom w:val="single" w:color="000000" w:sz="4" w:space="0"/>
              <w:right w:val="single" w:color="000000" w:sz="4" w:space="0"/>
            </w:tcBorders>
            <w:noWrap w:val="0"/>
            <w:vAlign w:val="center"/>
          </w:tcPr>
          <w:p w14:paraId="21E8CB20">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1592.5</w:t>
            </w:r>
          </w:p>
        </w:tc>
        <w:tc>
          <w:tcPr>
            <w:tcW w:w="670" w:type="pct"/>
            <w:tcBorders>
              <w:top w:val="nil"/>
              <w:left w:val="nil"/>
              <w:bottom w:val="single" w:color="000000" w:sz="4" w:space="0"/>
              <w:right w:val="single" w:color="000000" w:sz="4" w:space="0"/>
            </w:tcBorders>
            <w:noWrap w:val="0"/>
            <w:vAlign w:val="center"/>
          </w:tcPr>
          <w:p w14:paraId="0A6B0C8C">
            <w:pPr>
              <w:widowControl w:val="0"/>
              <w:jc w:val="center"/>
              <w:rPr>
                <w:rFonts w:hint="eastAsia" w:ascii="宋体" w:hAnsi="宋体" w:eastAsia="宋体" w:cs="宋体"/>
                <w:color w:val="auto"/>
                <w:kern w:val="0"/>
                <w:sz w:val="21"/>
                <w:szCs w:val="21"/>
              </w:rPr>
            </w:pPr>
          </w:p>
        </w:tc>
      </w:tr>
      <w:tr w14:paraId="193A4A4B">
        <w:tblPrEx>
          <w:tblCellMar>
            <w:top w:w="0" w:type="dxa"/>
            <w:left w:w="108" w:type="dxa"/>
            <w:bottom w:w="0" w:type="dxa"/>
            <w:right w:w="108" w:type="dxa"/>
          </w:tblCellMar>
        </w:tblPrEx>
        <w:trPr>
          <w:trHeight w:val="2461" w:hRule="atLeast"/>
        </w:trPr>
        <w:tc>
          <w:tcPr>
            <w:tcW w:w="354" w:type="pct"/>
            <w:tcBorders>
              <w:top w:val="nil"/>
              <w:left w:val="single" w:color="000000" w:sz="4" w:space="0"/>
              <w:bottom w:val="single" w:color="000000" w:sz="4" w:space="0"/>
              <w:right w:val="single" w:color="000000" w:sz="4" w:space="0"/>
            </w:tcBorders>
            <w:noWrap w:val="0"/>
            <w:vAlign w:val="center"/>
          </w:tcPr>
          <w:p w14:paraId="55902D65">
            <w:pPr>
              <w:widowControl w:val="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13</w:t>
            </w:r>
          </w:p>
        </w:tc>
        <w:tc>
          <w:tcPr>
            <w:tcW w:w="755" w:type="pct"/>
            <w:tcBorders>
              <w:top w:val="nil"/>
              <w:left w:val="nil"/>
              <w:bottom w:val="single" w:color="000000" w:sz="4" w:space="0"/>
              <w:right w:val="single" w:color="000000" w:sz="4" w:space="0"/>
            </w:tcBorders>
            <w:noWrap w:val="0"/>
            <w:vAlign w:val="center"/>
          </w:tcPr>
          <w:p w14:paraId="380978D4">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人工堵管口 气囊堵管口Φ1500-φ2000</w:t>
            </w:r>
          </w:p>
        </w:tc>
        <w:tc>
          <w:tcPr>
            <w:tcW w:w="1516" w:type="pct"/>
            <w:tcBorders>
              <w:top w:val="nil"/>
              <w:left w:val="nil"/>
              <w:bottom w:val="single" w:color="000000" w:sz="4" w:space="0"/>
              <w:right w:val="single" w:color="000000" w:sz="4" w:space="0"/>
            </w:tcBorders>
            <w:noWrap w:val="0"/>
            <w:vAlign w:val="center"/>
          </w:tcPr>
          <w:p w14:paraId="55D9E79F">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1.人工堵管口 ，气囊堵管口Φ1500-φ2000，含排气阀及管道辅材、有毒气体测试、防护措施等费用</w:t>
            </w:r>
          </w:p>
          <w:p w14:paraId="5BE7CEC6">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2.气囊堵管，满足施工安全要求，含安装、补气及拆除、清理，上下游调排水的费用、通气、毒气检测等，并考虑材料、机械运至施工现场及施工等所有费用，结算时不调整</w:t>
            </w:r>
          </w:p>
        </w:tc>
        <w:tc>
          <w:tcPr>
            <w:tcW w:w="390" w:type="pct"/>
            <w:tcBorders>
              <w:top w:val="nil"/>
              <w:left w:val="nil"/>
              <w:bottom w:val="single" w:color="000000" w:sz="4" w:space="0"/>
              <w:right w:val="single" w:color="000000" w:sz="4" w:space="0"/>
            </w:tcBorders>
            <w:noWrap w:val="0"/>
            <w:vAlign w:val="center"/>
          </w:tcPr>
          <w:p w14:paraId="49AA5C16">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个</w:t>
            </w:r>
          </w:p>
        </w:tc>
        <w:tc>
          <w:tcPr>
            <w:tcW w:w="642" w:type="pct"/>
            <w:tcBorders>
              <w:top w:val="nil"/>
              <w:left w:val="nil"/>
              <w:bottom w:val="single" w:color="000000" w:sz="4" w:space="0"/>
              <w:right w:val="single" w:color="000000" w:sz="4" w:space="0"/>
            </w:tcBorders>
            <w:noWrap w:val="0"/>
            <w:vAlign w:val="center"/>
          </w:tcPr>
          <w:p w14:paraId="5CE55B3C">
            <w:pPr>
              <w:widowControl w:val="0"/>
              <w:jc w:val="left"/>
              <w:rPr>
                <w:rFonts w:hint="eastAsia" w:ascii="宋体" w:hAnsi="宋体" w:eastAsia="宋体" w:cs="宋体"/>
                <w:color w:val="auto"/>
                <w:kern w:val="0"/>
                <w:sz w:val="21"/>
                <w:szCs w:val="21"/>
                <w:lang w:eastAsia="zh-CN"/>
              </w:rPr>
            </w:pPr>
            <w:r>
              <w:rPr>
                <w:rFonts w:hint="eastAsia" w:ascii="宋体" w:hAnsi="宋体" w:cs="宋体"/>
                <w:color w:val="auto"/>
                <w:kern w:val="0"/>
                <w:sz w:val="21"/>
                <w:szCs w:val="21"/>
                <w:lang w:val="en-US" w:eastAsia="zh-CN"/>
              </w:rPr>
              <w:t>4</w:t>
            </w:r>
          </w:p>
        </w:tc>
        <w:tc>
          <w:tcPr>
            <w:tcW w:w="670" w:type="pct"/>
            <w:tcBorders>
              <w:top w:val="nil"/>
              <w:left w:val="nil"/>
              <w:bottom w:val="single" w:color="000000" w:sz="4" w:space="0"/>
              <w:right w:val="single" w:color="000000" w:sz="4" w:space="0"/>
            </w:tcBorders>
            <w:noWrap w:val="0"/>
            <w:vAlign w:val="center"/>
          </w:tcPr>
          <w:p w14:paraId="054F3D3E">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2678.66</w:t>
            </w:r>
          </w:p>
        </w:tc>
        <w:tc>
          <w:tcPr>
            <w:tcW w:w="670" w:type="pct"/>
            <w:tcBorders>
              <w:top w:val="nil"/>
              <w:left w:val="nil"/>
              <w:bottom w:val="single" w:color="000000" w:sz="4" w:space="0"/>
              <w:right w:val="single" w:color="000000" w:sz="4" w:space="0"/>
            </w:tcBorders>
            <w:noWrap w:val="0"/>
            <w:vAlign w:val="center"/>
          </w:tcPr>
          <w:p w14:paraId="5075306F">
            <w:pPr>
              <w:widowControl w:val="0"/>
              <w:jc w:val="center"/>
              <w:rPr>
                <w:rFonts w:hint="eastAsia" w:ascii="宋体" w:hAnsi="宋体" w:eastAsia="宋体" w:cs="宋体"/>
                <w:color w:val="auto"/>
                <w:kern w:val="0"/>
                <w:sz w:val="21"/>
                <w:szCs w:val="21"/>
              </w:rPr>
            </w:pPr>
          </w:p>
        </w:tc>
      </w:tr>
      <w:tr w14:paraId="5B4B8E71">
        <w:tblPrEx>
          <w:tblCellMar>
            <w:top w:w="0" w:type="dxa"/>
            <w:left w:w="108" w:type="dxa"/>
            <w:bottom w:w="0" w:type="dxa"/>
            <w:right w:w="108" w:type="dxa"/>
          </w:tblCellMar>
        </w:tblPrEx>
        <w:trPr>
          <w:trHeight w:val="1636" w:hRule="atLeast"/>
        </w:trPr>
        <w:tc>
          <w:tcPr>
            <w:tcW w:w="354" w:type="pct"/>
            <w:tcBorders>
              <w:top w:val="nil"/>
              <w:left w:val="single" w:color="000000" w:sz="4" w:space="0"/>
              <w:bottom w:val="single" w:color="000000" w:sz="4" w:space="0"/>
              <w:right w:val="single" w:color="000000" w:sz="4" w:space="0"/>
            </w:tcBorders>
            <w:noWrap w:val="0"/>
            <w:vAlign w:val="center"/>
          </w:tcPr>
          <w:p w14:paraId="540D226C">
            <w:pPr>
              <w:widowControl w:val="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14</w:t>
            </w:r>
          </w:p>
        </w:tc>
        <w:tc>
          <w:tcPr>
            <w:tcW w:w="755" w:type="pct"/>
            <w:tcBorders>
              <w:top w:val="nil"/>
              <w:left w:val="nil"/>
              <w:bottom w:val="single" w:color="000000" w:sz="4" w:space="0"/>
              <w:right w:val="single" w:color="000000" w:sz="4" w:space="0"/>
            </w:tcBorders>
            <w:noWrap w:val="0"/>
            <w:vAlign w:val="center"/>
          </w:tcPr>
          <w:p w14:paraId="6CF5475E">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河面障碍物（水生植物浮萍、水草等）弃置</w:t>
            </w:r>
          </w:p>
        </w:tc>
        <w:tc>
          <w:tcPr>
            <w:tcW w:w="1516" w:type="pct"/>
            <w:tcBorders>
              <w:top w:val="nil"/>
              <w:left w:val="nil"/>
              <w:bottom w:val="single" w:color="000000" w:sz="4" w:space="0"/>
              <w:right w:val="single" w:color="000000" w:sz="4" w:space="0"/>
            </w:tcBorders>
            <w:noWrap w:val="0"/>
            <w:vAlign w:val="center"/>
          </w:tcPr>
          <w:p w14:paraId="73EFD120">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1、主要用于文苑河（南师大1-3号门，羊山公园末端），仙林大道中间湖、纬地路沟、灵山北沟等水面浮萍、水草等清理弃置</w:t>
            </w:r>
          </w:p>
          <w:p w14:paraId="643767E0">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2、工程车车厢尺寸3.2m*1.9m</w:t>
            </w:r>
          </w:p>
        </w:tc>
        <w:tc>
          <w:tcPr>
            <w:tcW w:w="390" w:type="pct"/>
            <w:tcBorders>
              <w:top w:val="nil"/>
              <w:left w:val="nil"/>
              <w:bottom w:val="single" w:color="000000" w:sz="4" w:space="0"/>
              <w:right w:val="single" w:color="000000" w:sz="4" w:space="0"/>
            </w:tcBorders>
            <w:noWrap w:val="0"/>
            <w:vAlign w:val="center"/>
          </w:tcPr>
          <w:p w14:paraId="16D98252">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车</w:t>
            </w:r>
          </w:p>
        </w:tc>
        <w:tc>
          <w:tcPr>
            <w:tcW w:w="642" w:type="pct"/>
            <w:tcBorders>
              <w:top w:val="nil"/>
              <w:left w:val="nil"/>
              <w:bottom w:val="single" w:color="000000" w:sz="4" w:space="0"/>
              <w:right w:val="single" w:color="000000" w:sz="4" w:space="0"/>
            </w:tcBorders>
            <w:noWrap w:val="0"/>
            <w:vAlign w:val="center"/>
          </w:tcPr>
          <w:p w14:paraId="64C3F4A2">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115</w:t>
            </w:r>
          </w:p>
        </w:tc>
        <w:tc>
          <w:tcPr>
            <w:tcW w:w="670" w:type="pct"/>
            <w:tcBorders>
              <w:top w:val="nil"/>
              <w:left w:val="nil"/>
              <w:bottom w:val="single" w:color="000000" w:sz="4" w:space="0"/>
              <w:right w:val="single" w:color="000000" w:sz="4" w:space="0"/>
            </w:tcBorders>
            <w:noWrap w:val="0"/>
            <w:vAlign w:val="center"/>
          </w:tcPr>
          <w:p w14:paraId="3355FDF9">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173.95</w:t>
            </w:r>
          </w:p>
        </w:tc>
        <w:tc>
          <w:tcPr>
            <w:tcW w:w="670" w:type="pct"/>
            <w:tcBorders>
              <w:top w:val="nil"/>
              <w:left w:val="nil"/>
              <w:bottom w:val="single" w:color="000000" w:sz="4" w:space="0"/>
              <w:right w:val="single" w:color="000000" w:sz="4" w:space="0"/>
            </w:tcBorders>
            <w:noWrap w:val="0"/>
            <w:vAlign w:val="center"/>
          </w:tcPr>
          <w:p w14:paraId="6B0658D2">
            <w:pPr>
              <w:widowControl w:val="0"/>
              <w:jc w:val="center"/>
              <w:rPr>
                <w:rFonts w:hint="eastAsia" w:ascii="宋体" w:hAnsi="宋体" w:eastAsia="宋体" w:cs="宋体"/>
                <w:color w:val="auto"/>
                <w:kern w:val="0"/>
                <w:sz w:val="21"/>
                <w:szCs w:val="21"/>
              </w:rPr>
            </w:pPr>
          </w:p>
        </w:tc>
      </w:tr>
      <w:tr w14:paraId="110E3385">
        <w:tblPrEx>
          <w:tblCellMar>
            <w:top w:w="0" w:type="dxa"/>
            <w:left w:w="108" w:type="dxa"/>
            <w:bottom w:w="0" w:type="dxa"/>
            <w:right w:w="108" w:type="dxa"/>
          </w:tblCellMar>
        </w:tblPrEx>
        <w:trPr>
          <w:trHeight w:val="919" w:hRule="atLeast"/>
        </w:trPr>
        <w:tc>
          <w:tcPr>
            <w:tcW w:w="354" w:type="pct"/>
            <w:tcBorders>
              <w:top w:val="nil"/>
              <w:left w:val="single" w:color="000000" w:sz="4" w:space="0"/>
              <w:bottom w:val="single" w:color="000000" w:sz="4" w:space="0"/>
              <w:right w:val="single" w:color="000000" w:sz="4" w:space="0"/>
            </w:tcBorders>
            <w:noWrap w:val="0"/>
            <w:vAlign w:val="center"/>
          </w:tcPr>
          <w:p w14:paraId="7916FA6C">
            <w:pPr>
              <w:widowControl w:val="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15</w:t>
            </w:r>
          </w:p>
        </w:tc>
        <w:tc>
          <w:tcPr>
            <w:tcW w:w="755" w:type="pct"/>
            <w:tcBorders>
              <w:top w:val="nil"/>
              <w:left w:val="nil"/>
              <w:bottom w:val="single" w:color="000000" w:sz="4" w:space="0"/>
              <w:right w:val="single" w:color="000000" w:sz="4" w:space="0"/>
            </w:tcBorders>
            <w:noWrap w:val="0"/>
            <w:vAlign w:val="center"/>
          </w:tcPr>
          <w:p w14:paraId="0AD615AF">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砌筑φ700砼模块检查井</w:t>
            </w:r>
          </w:p>
        </w:tc>
        <w:tc>
          <w:tcPr>
            <w:tcW w:w="1516" w:type="pct"/>
            <w:tcBorders>
              <w:top w:val="nil"/>
              <w:left w:val="nil"/>
              <w:bottom w:val="single" w:color="000000" w:sz="4" w:space="0"/>
              <w:right w:val="single" w:color="000000" w:sz="4" w:space="0"/>
            </w:tcBorders>
            <w:noWrap w:val="0"/>
            <w:vAlign w:val="center"/>
          </w:tcPr>
          <w:p w14:paraId="54CAFC47">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砌筑φ700混凝土模块井，井深3.0米以内，φ700球墨铸铁五防井盖（用于九乡河东路、仙林大道等新建检查井）</w:t>
            </w:r>
          </w:p>
        </w:tc>
        <w:tc>
          <w:tcPr>
            <w:tcW w:w="390" w:type="pct"/>
            <w:tcBorders>
              <w:top w:val="nil"/>
              <w:left w:val="nil"/>
              <w:bottom w:val="single" w:color="000000" w:sz="4" w:space="0"/>
              <w:right w:val="single" w:color="000000" w:sz="4" w:space="0"/>
            </w:tcBorders>
            <w:noWrap w:val="0"/>
            <w:vAlign w:val="center"/>
          </w:tcPr>
          <w:p w14:paraId="393FEC1B">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座</w:t>
            </w:r>
          </w:p>
        </w:tc>
        <w:tc>
          <w:tcPr>
            <w:tcW w:w="642" w:type="pct"/>
            <w:tcBorders>
              <w:top w:val="nil"/>
              <w:left w:val="nil"/>
              <w:bottom w:val="single" w:color="000000" w:sz="4" w:space="0"/>
              <w:right w:val="single" w:color="000000" w:sz="4" w:space="0"/>
            </w:tcBorders>
            <w:noWrap w:val="0"/>
            <w:vAlign w:val="center"/>
          </w:tcPr>
          <w:p w14:paraId="2D387271">
            <w:pPr>
              <w:widowControl w:val="0"/>
              <w:jc w:val="left"/>
              <w:rPr>
                <w:rFonts w:hint="eastAsia" w:ascii="宋体" w:hAnsi="宋体" w:eastAsia="宋体" w:cs="宋体"/>
                <w:color w:val="auto"/>
                <w:kern w:val="0"/>
                <w:sz w:val="21"/>
                <w:szCs w:val="21"/>
                <w:lang w:eastAsia="zh-CN"/>
              </w:rPr>
            </w:pPr>
            <w:r>
              <w:rPr>
                <w:rFonts w:hint="eastAsia" w:ascii="宋体" w:hAnsi="宋体" w:cs="宋体"/>
                <w:color w:val="auto"/>
                <w:kern w:val="0"/>
                <w:sz w:val="21"/>
                <w:szCs w:val="21"/>
                <w:lang w:val="en-US" w:eastAsia="zh-CN"/>
              </w:rPr>
              <w:t>3</w:t>
            </w:r>
          </w:p>
        </w:tc>
        <w:tc>
          <w:tcPr>
            <w:tcW w:w="670" w:type="pct"/>
            <w:tcBorders>
              <w:top w:val="nil"/>
              <w:left w:val="nil"/>
              <w:bottom w:val="single" w:color="000000" w:sz="4" w:space="0"/>
              <w:right w:val="single" w:color="000000" w:sz="4" w:space="0"/>
            </w:tcBorders>
            <w:noWrap w:val="0"/>
            <w:vAlign w:val="center"/>
          </w:tcPr>
          <w:p w14:paraId="79375301">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5665.32</w:t>
            </w:r>
          </w:p>
        </w:tc>
        <w:tc>
          <w:tcPr>
            <w:tcW w:w="670" w:type="pct"/>
            <w:tcBorders>
              <w:top w:val="nil"/>
              <w:left w:val="nil"/>
              <w:bottom w:val="single" w:color="000000" w:sz="4" w:space="0"/>
              <w:right w:val="single" w:color="000000" w:sz="4" w:space="0"/>
            </w:tcBorders>
            <w:noWrap w:val="0"/>
            <w:vAlign w:val="center"/>
          </w:tcPr>
          <w:p w14:paraId="444A3F2E">
            <w:pPr>
              <w:widowControl w:val="0"/>
              <w:jc w:val="center"/>
              <w:rPr>
                <w:rFonts w:hint="eastAsia" w:ascii="宋体" w:hAnsi="宋体" w:eastAsia="宋体" w:cs="宋体"/>
                <w:color w:val="auto"/>
                <w:kern w:val="0"/>
                <w:sz w:val="21"/>
                <w:szCs w:val="21"/>
              </w:rPr>
            </w:pPr>
          </w:p>
        </w:tc>
      </w:tr>
      <w:tr w14:paraId="46EC5F2D">
        <w:tblPrEx>
          <w:tblCellMar>
            <w:top w:w="0" w:type="dxa"/>
            <w:left w:w="108" w:type="dxa"/>
            <w:bottom w:w="0" w:type="dxa"/>
            <w:right w:w="108" w:type="dxa"/>
          </w:tblCellMar>
        </w:tblPrEx>
        <w:trPr>
          <w:trHeight w:val="915" w:hRule="atLeast"/>
        </w:trPr>
        <w:tc>
          <w:tcPr>
            <w:tcW w:w="354" w:type="pct"/>
            <w:tcBorders>
              <w:top w:val="nil"/>
              <w:left w:val="single" w:color="000000" w:sz="4" w:space="0"/>
              <w:bottom w:val="single" w:color="000000" w:sz="4" w:space="0"/>
              <w:right w:val="single" w:color="000000" w:sz="4" w:space="0"/>
            </w:tcBorders>
            <w:noWrap w:val="0"/>
            <w:vAlign w:val="center"/>
          </w:tcPr>
          <w:p w14:paraId="5C476C09">
            <w:pPr>
              <w:widowControl w:val="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16</w:t>
            </w:r>
          </w:p>
        </w:tc>
        <w:tc>
          <w:tcPr>
            <w:tcW w:w="755" w:type="pct"/>
            <w:tcBorders>
              <w:top w:val="nil"/>
              <w:left w:val="nil"/>
              <w:bottom w:val="single" w:color="000000" w:sz="4" w:space="0"/>
              <w:right w:val="single" w:color="000000" w:sz="4" w:space="0"/>
            </w:tcBorders>
            <w:noWrap w:val="0"/>
            <w:vAlign w:val="center"/>
          </w:tcPr>
          <w:p w14:paraId="18E5688F">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砖砌φ700圆井</w:t>
            </w:r>
          </w:p>
        </w:tc>
        <w:tc>
          <w:tcPr>
            <w:tcW w:w="1516" w:type="pct"/>
            <w:tcBorders>
              <w:top w:val="nil"/>
              <w:left w:val="nil"/>
              <w:bottom w:val="single" w:color="000000" w:sz="4" w:space="0"/>
              <w:right w:val="single" w:color="000000" w:sz="4" w:space="0"/>
            </w:tcBorders>
            <w:noWrap w:val="0"/>
            <w:vAlign w:val="center"/>
          </w:tcPr>
          <w:p w14:paraId="3B2B67A6">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砖砌φ700圆井，井深2.0米以内，重型φ700钢筋砼井盖框（用于DN300支管维修更换过程中需增加的转点井）</w:t>
            </w:r>
          </w:p>
        </w:tc>
        <w:tc>
          <w:tcPr>
            <w:tcW w:w="390" w:type="pct"/>
            <w:tcBorders>
              <w:top w:val="nil"/>
              <w:left w:val="nil"/>
              <w:bottom w:val="single" w:color="000000" w:sz="4" w:space="0"/>
              <w:right w:val="single" w:color="000000" w:sz="4" w:space="0"/>
            </w:tcBorders>
            <w:noWrap w:val="0"/>
            <w:vAlign w:val="center"/>
          </w:tcPr>
          <w:p w14:paraId="5330BC0F">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座</w:t>
            </w:r>
          </w:p>
        </w:tc>
        <w:tc>
          <w:tcPr>
            <w:tcW w:w="642" w:type="pct"/>
            <w:tcBorders>
              <w:top w:val="nil"/>
              <w:left w:val="nil"/>
              <w:bottom w:val="single" w:color="000000" w:sz="4" w:space="0"/>
              <w:right w:val="single" w:color="000000" w:sz="4" w:space="0"/>
            </w:tcBorders>
            <w:noWrap w:val="0"/>
            <w:vAlign w:val="center"/>
          </w:tcPr>
          <w:p w14:paraId="290FD01E">
            <w:pPr>
              <w:widowControl w:val="0"/>
              <w:jc w:val="left"/>
              <w:rPr>
                <w:rFonts w:hint="eastAsia" w:ascii="宋体" w:hAnsi="宋体" w:eastAsia="宋体" w:cs="宋体"/>
                <w:color w:val="auto"/>
                <w:kern w:val="0"/>
                <w:sz w:val="21"/>
                <w:szCs w:val="21"/>
                <w:lang w:eastAsia="zh-CN"/>
              </w:rPr>
            </w:pPr>
            <w:r>
              <w:rPr>
                <w:rFonts w:hint="eastAsia" w:ascii="宋体" w:hAnsi="宋体" w:cs="宋体"/>
                <w:color w:val="auto"/>
                <w:kern w:val="0"/>
                <w:sz w:val="21"/>
                <w:szCs w:val="21"/>
                <w:lang w:val="en-US" w:eastAsia="zh-CN"/>
              </w:rPr>
              <w:t>3</w:t>
            </w:r>
          </w:p>
        </w:tc>
        <w:tc>
          <w:tcPr>
            <w:tcW w:w="670" w:type="pct"/>
            <w:tcBorders>
              <w:top w:val="nil"/>
              <w:left w:val="nil"/>
              <w:bottom w:val="single" w:color="000000" w:sz="4" w:space="0"/>
              <w:right w:val="single" w:color="000000" w:sz="4" w:space="0"/>
            </w:tcBorders>
            <w:noWrap w:val="0"/>
            <w:vAlign w:val="center"/>
          </w:tcPr>
          <w:p w14:paraId="11EE9019">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3153.59</w:t>
            </w:r>
          </w:p>
        </w:tc>
        <w:tc>
          <w:tcPr>
            <w:tcW w:w="670" w:type="pct"/>
            <w:tcBorders>
              <w:top w:val="nil"/>
              <w:left w:val="nil"/>
              <w:bottom w:val="single" w:color="000000" w:sz="4" w:space="0"/>
              <w:right w:val="single" w:color="000000" w:sz="4" w:space="0"/>
            </w:tcBorders>
            <w:noWrap w:val="0"/>
            <w:vAlign w:val="center"/>
          </w:tcPr>
          <w:p w14:paraId="5A43C94F">
            <w:pPr>
              <w:widowControl w:val="0"/>
              <w:jc w:val="center"/>
              <w:rPr>
                <w:rFonts w:hint="eastAsia" w:ascii="宋体" w:hAnsi="宋体" w:eastAsia="宋体" w:cs="宋体"/>
                <w:color w:val="auto"/>
                <w:kern w:val="0"/>
                <w:sz w:val="21"/>
                <w:szCs w:val="21"/>
              </w:rPr>
            </w:pPr>
          </w:p>
        </w:tc>
      </w:tr>
      <w:tr w14:paraId="76BC4729">
        <w:tblPrEx>
          <w:tblCellMar>
            <w:top w:w="0" w:type="dxa"/>
            <w:left w:w="108" w:type="dxa"/>
            <w:bottom w:w="0" w:type="dxa"/>
            <w:right w:w="108" w:type="dxa"/>
          </w:tblCellMar>
        </w:tblPrEx>
        <w:trPr>
          <w:trHeight w:val="1125" w:hRule="atLeast"/>
        </w:trPr>
        <w:tc>
          <w:tcPr>
            <w:tcW w:w="354" w:type="pct"/>
            <w:tcBorders>
              <w:top w:val="nil"/>
              <w:left w:val="single" w:color="000000" w:sz="4" w:space="0"/>
              <w:bottom w:val="single" w:color="000000" w:sz="4" w:space="0"/>
              <w:right w:val="single" w:color="000000" w:sz="4" w:space="0"/>
            </w:tcBorders>
            <w:noWrap w:val="0"/>
            <w:vAlign w:val="center"/>
          </w:tcPr>
          <w:p w14:paraId="2C95626C">
            <w:pPr>
              <w:widowControl w:val="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17</w:t>
            </w:r>
          </w:p>
        </w:tc>
        <w:tc>
          <w:tcPr>
            <w:tcW w:w="755" w:type="pct"/>
            <w:tcBorders>
              <w:top w:val="nil"/>
              <w:left w:val="nil"/>
              <w:bottom w:val="single" w:color="000000" w:sz="4" w:space="0"/>
              <w:right w:val="single" w:color="000000" w:sz="4" w:space="0"/>
            </w:tcBorders>
            <w:noWrap w:val="0"/>
            <w:vAlign w:val="center"/>
          </w:tcPr>
          <w:p w14:paraId="13C12037">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新建、改扩建收水口（含铸铁雨水篦）</w:t>
            </w:r>
          </w:p>
        </w:tc>
        <w:tc>
          <w:tcPr>
            <w:tcW w:w="1516" w:type="pct"/>
            <w:tcBorders>
              <w:top w:val="nil"/>
              <w:left w:val="nil"/>
              <w:bottom w:val="single" w:color="000000" w:sz="4" w:space="0"/>
              <w:right w:val="single" w:color="000000" w:sz="4" w:space="0"/>
            </w:tcBorders>
            <w:noWrap w:val="0"/>
            <w:vAlign w:val="center"/>
          </w:tcPr>
          <w:p w14:paraId="05FB8A6C">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1、新建雨水口</w:t>
            </w:r>
          </w:p>
          <w:p w14:paraId="10666D67">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2、原单篦收水口扩建为双篦收水口</w:t>
            </w:r>
          </w:p>
          <w:p w14:paraId="0992CFF4">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2、含开挖、回填、外弃、雨水篦子更换</w:t>
            </w:r>
          </w:p>
        </w:tc>
        <w:tc>
          <w:tcPr>
            <w:tcW w:w="390" w:type="pct"/>
            <w:tcBorders>
              <w:top w:val="nil"/>
              <w:left w:val="nil"/>
              <w:bottom w:val="single" w:color="000000" w:sz="4" w:space="0"/>
              <w:right w:val="single" w:color="000000" w:sz="4" w:space="0"/>
            </w:tcBorders>
            <w:noWrap w:val="0"/>
            <w:vAlign w:val="center"/>
          </w:tcPr>
          <w:p w14:paraId="045EF385">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座</w:t>
            </w:r>
          </w:p>
        </w:tc>
        <w:tc>
          <w:tcPr>
            <w:tcW w:w="642" w:type="pct"/>
            <w:tcBorders>
              <w:top w:val="nil"/>
              <w:left w:val="nil"/>
              <w:bottom w:val="single" w:color="000000" w:sz="4" w:space="0"/>
              <w:right w:val="single" w:color="000000" w:sz="4" w:space="0"/>
            </w:tcBorders>
            <w:noWrap w:val="0"/>
            <w:vAlign w:val="center"/>
          </w:tcPr>
          <w:p w14:paraId="524FC300">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21</w:t>
            </w:r>
          </w:p>
        </w:tc>
        <w:tc>
          <w:tcPr>
            <w:tcW w:w="670" w:type="pct"/>
            <w:tcBorders>
              <w:top w:val="nil"/>
              <w:left w:val="nil"/>
              <w:bottom w:val="single" w:color="000000" w:sz="4" w:space="0"/>
              <w:right w:val="single" w:color="000000" w:sz="4" w:space="0"/>
            </w:tcBorders>
            <w:noWrap w:val="0"/>
            <w:vAlign w:val="center"/>
          </w:tcPr>
          <w:p w14:paraId="631C204D">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935.68</w:t>
            </w:r>
          </w:p>
        </w:tc>
        <w:tc>
          <w:tcPr>
            <w:tcW w:w="670" w:type="pct"/>
            <w:tcBorders>
              <w:top w:val="nil"/>
              <w:left w:val="nil"/>
              <w:bottom w:val="single" w:color="000000" w:sz="4" w:space="0"/>
              <w:right w:val="single" w:color="000000" w:sz="4" w:space="0"/>
            </w:tcBorders>
            <w:noWrap w:val="0"/>
            <w:vAlign w:val="center"/>
          </w:tcPr>
          <w:p w14:paraId="5CEEAB06">
            <w:pPr>
              <w:widowControl w:val="0"/>
              <w:jc w:val="center"/>
              <w:rPr>
                <w:rFonts w:hint="eastAsia" w:ascii="宋体" w:hAnsi="宋体" w:eastAsia="宋体" w:cs="宋体"/>
                <w:color w:val="auto"/>
                <w:kern w:val="0"/>
                <w:sz w:val="21"/>
                <w:szCs w:val="21"/>
              </w:rPr>
            </w:pPr>
          </w:p>
        </w:tc>
      </w:tr>
      <w:tr w14:paraId="377C4122">
        <w:tblPrEx>
          <w:tblCellMar>
            <w:top w:w="0" w:type="dxa"/>
            <w:left w:w="108" w:type="dxa"/>
            <w:bottom w:w="0" w:type="dxa"/>
            <w:right w:w="108" w:type="dxa"/>
          </w:tblCellMar>
        </w:tblPrEx>
        <w:trPr>
          <w:trHeight w:val="904" w:hRule="atLeast"/>
        </w:trPr>
        <w:tc>
          <w:tcPr>
            <w:tcW w:w="354" w:type="pct"/>
            <w:tcBorders>
              <w:top w:val="nil"/>
              <w:left w:val="single" w:color="000000" w:sz="4" w:space="0"/>
              <w:bottom w:val="single" w:color="000000" w:sz="4" w:space="0"/>
              <w:right w:val="single" w:color="000000" w:sz="4" w:space="0"/>
            </w:tcBorders>
            <w:noWrap w:val="0"/>
            <w:vAlign w:val="center"/>
          </w:tcPr>
          <w:p w14:paraId="11482A72">
            <w:pPr>
              <w:widowControl w:val="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18</w:t>
            </w:r>
          </w:p>
        </w:tc>
        <w:tc>
          <w:tcPr>
            <w:tcW w:w="755" w:type="pct"/>
            <w:tcBorders>
              <w:top w:val="nil"/>
              <w:left w:val="nil"/>
              <w:bottom w:val="single" w:color="000000" w:sz="4" w:space="0"/>
              <w:right w:val="single" w:color="000000" w:sz="4" w:space="0"/>
            </w:tcBorders>
            <w:noWrap w:val="0"/>
            <w:vAlign w:val="center"/>
          </w:tcPr>
          <w:p w14:paraId="3DC2F7A7">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砖砌500*500方井</w:t>
            </w:r>
          </w:p>
        </w:tc>
        <w:tc>
          <w:tcPr>
            <w:tcW w:w="1516" w:type="pct"/>
            <w:tcBorders>
              <w:top w:val="nil"/>
              <w:left w:val="nil"/>
              <w:bottom w:val="single" w:color="000000" w:sz="4" w:space="0"/>
              <w:right w:val="single" w:color="000000" w:sz="4" w:space="0"/>
            </w:tcBorders>
            <w:noWrap w:val="0"/>
            <w:vAlign w:val="center"/>
          </w:tcPr>
          <w:p w14:paraId="3F113E0A">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砖砌500*500方井，井深1.5米以内，钢筋砼井盖框（用于DN200支管维修更换过程中需增加的转点井）</w:t>
            </w:r>
          </w:p>
        </w:tc>
        <w:tc>
          <w:tcPr>
            <w:tcW w:w="390" w:type="pct"/>
            <w:tcBorders>
              <w:top w:val="nil"/>
              <w:left w:val="nil"/>
              <w:bottom w:val="single" w:color="000000" w:sz="4" w:space="0"/>
              <w:right w:val="single" w:color="000000" w:sz="4" w:space="0"/>
            </w:tcBorders>
            <w:noWrap w:val="0"/>
            <w:vAlign w:val="center"/>
          </w:tcPr>
          <w:p w14:paraId="3795DA97">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座</w:t>
            </w:r>
          </w:p>
        </w:tc>
        <w:tc>
          <w:tcPr>
            <w:tcW w:w="642" w:type="pct"/>
            <w:tcBorders>
              <w:top w:val="nil"/>
              <w:left w:val="nil"/>
              <w:bottom w:val="single" w:color="000000" w:sz="4" w:space="0"/>
              <w:right w:val="single" w:color="000000" w:sz="4" w:space="0"/>
            </w:tcBorders>
            <w:noWrap w:val="0"/>
            <w:vAlign w:val="center"/>
          </w:tcPr>
          <w:p w14:paraId="775A9900">
            <w:pPr>
              <w:widowControl w:val="0"/>
              <w:jc w:val="left"/>
              <w:rPr>
                <w:rFonts w:hint="eastAsia" w:ascii="宋体" w:hAnsi="宋体" w:eastAsia="宋体" w:cs="宋体"/>
                <w:color w:val="auto"/>
                <w:kern w:val="0"/>
                <w:sz w:val="21"/>
                <w:szCs w:val="21"/>
                <w:lang w:eastAsia="zh-CN"/>
              </w:rPr>
            </w:pPr>
            <w:r>
              <w:rPr>
                <w:rFonts w:hint="eastAsia" w:ascii="宋体" w:hAnsi="宋体" w:cs="宋体"/>
                <w:color w:val="auto"/>
                <w:kern w:val="0"/>
                <w:sz w:val="21"/>
                <w:szCs w:val="21"/>
                <w:lang w:val="en-US" w:eastAsia="zh-CN"/>
              </w:rPr>
              <w:t>4</w:t>
            </w:r>
          </w:p>
        </w:tc>
        <w:tc>
          <w:tcPr>
            <w:tcW w:w="670" w:type="pct"/>
            <w:tcBorders>
              <w:top w:val="nil"/>
              <w:left w:val="nil"/>
              <w:bottom w:val="single" w:color="000000" w:sz="4" w:space="0"/>
              <w:right w:val="single" w:color="000000" w:sz="4" w:space="0"/>
            </w:tcBorders>
            <w:noWrap w:val="0"/>
            <w:vAlign w:val="center"/>
          </w:tcPr>
          <w:p w14:paraId="0B6B3294">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1820.13</w:t>
            </w:r>
          </w:p>
        </w:tc>
        <w:tc>
          <w:tcPr>
            <w:tcW w:w="670" w:type="pct"/>
            <w:tcBorders>
              <w:top w:val="nil"/>
              <w:left w:val="nil"/>
              <w:bottom w:val="single" w:color="000000" w:sz="4" w:space="0"/>
              <w:right w:val="single" w:color="000000" w:sz="4" w:space="0"/>
            </w:tcBorders>
            <w:noWrap w:val="0"/>
            <w:vAlign w:val="center"/>
          </w:tcPr>
          <w:p w14:paraId="12E92EC9">
            <w:pPr>
              <w:widowControl w:val="0"/>
              <w:jc w:val="center"/>
              <w:rPr>
                <w:rFonts w:hint="eastAsia" w:ascii="宋体" w:hAnsi="宋体" w:eastAsia="宋体" w:cs="宋体"/>
                <w:color w:val="auto"/>
                <w:kern w:val="0"/>
                <w:sz w:val="21"/>
                <w:szCs w:val="21"/>
              </w:rPr>
            </w:pPr>
          </w:p>
        </w:tc>
      </w:tr>
      <w:tr w14:paraId="5CBC55D5">
        <w:tblPrEx>
          <w:tblCellMar>
            <w:top w:w="0" w:type="dxa"/>
            <w:left w:w="108" w:type="dxa"/>
            <w:bottom w:w="0" w:type="dxa"/>
            <w:right w:w="108" w:type="dxa"/>
          </w:tblCellMar>
        </w:tblPrEx>
        <w:trPr>
          <w:trHeight w:val="919" w:hRule="atLeast"/>
        </w:trPr>
        <w:tc>
          <w:tcPr>
            <w:tcW w:w="354" w:type="pct"/>
            <w:tcBorders>
              <w:top w:val="nil"/>
              <w:left w:val="single" w:color="000000" w:sz="4" w:space="0"/>
              <w:bottom w:val="single" w:color="000000" w:sz="4" w:space="0"/>
              <w:right w:val="single" w:color="000000" w:sz="4" w:space="0"/>
            </w:tcBorders>
            <w:noWrap w:val="0"/>
            <w:vAlign w:val="center"/>
          </w:tcPr>
          <w:p w14:paraId="72F94E45">
            <w:pPr>
              <w:widowControl w:val="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19</w:t>
            </w:r>
          </w:p>
        </w:tc>
        <w:tc>
          <w:tcPr>
            <w:tcW w:w="755" w:type="pct"/>
            <w:tcBorders>
              <w:top w:val="nil"/>
              <w:left w:val="nil"/>
              <w:bottom w:val="single" w:color="000000" w:sz="4" w:space="0"/>
              <w:right w:val="single" w:color="000000" w:sz="4" w:space="0"/>
            </w:tcBorders>
            <w:noWrap w:val="0"/>
            <w:vAlign w:val="center"/>
          </w:tcPr>
          <w:p w14:paraId="4A9E492D">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施工调排水</w:t>
            </w:r>
          </w:p>
        </w:tc>
        <w:tc>
          <w:tcPr>
            <w:tcW w:w="1516" w:type="pct"/>
            <w:tcBorders>
              <w:top w:val="nil"/>
              <w:left w:val="nil"/>
              <w:bottom w:val="single" w:color="000000" w:sz="4" w:space="0"/>
              <w:right w:val="single" w:color="000000" w:sz="4" w:space="0"/>
            </w:tcBorders>
            <w:noWrap w:val="0"/>
            <w:vAlign w:val="center"/>
          </w:tcPr>
          <w:p w14:paraId="544696D7">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1、用于管道等调排水（工程车配备30-50KW柴油发电机及7.5KW-18.5KW水泵）</w:t>
            </w:r>
          </w:p>
          <w:p w14:paraId="28E74D89">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2、含维护用工</w:t>
            </w:r>
          </w:p>
        </w:tc>
        <w:tc>
          <w:tcPr>
            <w:tcW w:w="390" w:type="pct"/>
            <w:tcBorders>
              <w:top w:val="nil"/>
              <w:left w:val="nil"/>
              <w:bottom w:val="single" w:color="000000" w:sz="4" w:space="0"/>
              <w:right w:val="single" w:color="000000" w:sz="4" w:space="0"/>
            </w:tcBorders>
            <w:noWrap w:val="0"/>
            <w:vAlign w:val="center"/>
          </w:tcPr>
          <w:p w14:paraId="2E691EE0">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台班</w:t>
            </w:r>
          </w:p>
        </w:tc>
        <w:tc>
          <w:tcPr>
            <w:tcW w:w="642" w:type="pct"/>
            <w:tcBorders>
              <w:top w:val="nil"/>
              <w:left w:val="nil"/>
              <w:bottom w:val="single" w:color="000000" w:sz="4" w:space="0"/>
              <w:right w:val="single" w:color="000000" w:sz="4" w:space="0"/>
            </w:tcBorders>
            <w:noWrap w:val="0"/>
            <w:vAlign w:val="center"/>
          </w:tcPr>
          <w:p w14:paraId="194C119D">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20</w:t>
            </w:r>
          </w:p>
        </w:tc>
        <w:tc>
          <w:tcPr>
            <w:tcW w:w="670" w:type="pct"/>
            <w:tcBorders>
              <w:top w:val="nil"/>
              <w:left w:val="nil"/>
              <w:bottom w:val="single" w:color="000000" w:sz="4" w:space="0"/>
              <w:right w:val="single" w:color="000000" w:sz="4" w:space="0"/>
            </w:tcBorders>
            <w:noWrap w:val="0"/>
            <w:vAlign w:val="center"/>
          </w:tcPr>
          <w:p w14:paraId="675A186A">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1206.01</w:t>
            </w:r>
          </w:p>
        </w:tc>
        <w:tc>
          <w:tcPr>
            <w:tcW w:w="670" w:type="pct"/>
            <w:tcBorders>
              <w:top w:val="nil"/>
              <w:left w:val="nil"/>
              <w:bottom w:val="single" w:color="000000" w:sz="4" w:space="0"/>
              <w:right w:val="single" w:color="000000" w:sz="4" w:space="0"/>
            </w:tcBorders>
            <w:noWrap w:val="0"/>
            <w:vAlign w:val="center"/>
          </w:tcPr>
          <w:p w14:paraId="7E60F2F9">
            <w:pPr>
              <w:widowControl w:val="0"/>
              <w:jc w:val="center"/>
              <w:rPr>
                <w:rFonts w:hint="eastAsia" w:ascii="宋体" w:hAnsi="宋体" w:eastAsia="宋体" w:cs="宋体"/>
                <w:color w:val="auto"/>
                <w:kern w:val="0"/>
                <w:sz w:val="21"/>
                <w:szCs w:val="21"/>
              </w:rPr>
            </w:pPr>
          </w:p>
        </w:tc>
      </w:tr>
      <w:tr w14:paraId="357619C5">
        <w:tblPrEx>
          <w:tblCellMar>
            <w:top w:w="0" w:type="dxa"/>
            <w:left w:w="108" w:type="dxa"/>
            <w:bottom w:w="0" w:type="dxa"/>
            <w:right w:w="108" w:type="dxa"/>
          </w:tblCellMar>
        </w:tblPrEx>
        <w:trPr>
          <w:trHeight w:val="919" w:hRule="atLeast"/>
        </w:trPr>
        <w:tc>
          <w:tcPr>
            <w:tcW w:w="354" w:type="pct"/>
            <w:tcBorders>
              <w:top w:val="nil"/>
              <w:left w:val="single" w:color="000000" w:sz="4" w:space="0"/>
              <w:bottom w:val="single" w:color="000000" w:sz="4" w:space="0"/>
              <w:right w:val="single" w:color="000000" w:sz="4" w:space="0"/>
            </w:tcBorders>
            <w:noWrap w:val="0"/>
            <w:vAlign w:val="center"/>
          </w:tcPr>
          <w:p w14:paraId="1443871E">
            <w:pPr>
              <w:widowControl w:val="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20</w:t>
            </w:r>
          </w:p>
        </w:tc>
        <w:tc>
          <w:tcPr>
            <w:tcW w:w="755" w:type="pct"/>
            <w:tcBorders>
              <w:top w:val="nil"/>
              <w:left w:val="nil"/>
              <w:bottom w:val="single" w:color="000000" w:sz="4" w:space="0"/>
              <w:right w:val="single" w:color="000000" w:sz="4" w:space="0"/>
            </w:tcBorders>
            <w:noWrap w:val="0"/>
            <w:vAlign w:val="center"/>
          </w:tcPr>
          <w:p w14:paraId="07620736">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沥青路面及基层恢复</w:t>
            </w:r>
          </w:p>
        </w:tc>
        <w:tc>
          <w:tcPr>
            <w:tcW w:w="1516" w:type="pct"/>
            <w:tcBorders>
              <w:top w:val="nil"/>
              <w:left w:val="nil"/>
              <w:bottom w:val="single" w:color="000000" w:sz="4" w:space="0"/>
              <w:right w:val="single" w:color="000000" w:sz="4" w:space="0"/>
            </w:tcBorders>
            <w:noWrap w:val="0"/>
            <w:vAlign w:val="center"/>
          </w:tcPr>
          <w:p w14:paraId="462D3238">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1、原状沥青路面恢复，用于支管维修更换处沟槽沥青路面恢复</w:t>
            </w:r>
          </w:p>
          <w:p w14:paraId="2B3D2085">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2、投标人需自行踏勘现场，自主报价，结算时不予调整</w:t>
            </w:r>
          </w:p>
        </w:tc>
        <w:tc>
          <w:tcPr>
            <w:tcW w:w="390" w:type="pct"/>
            <w:tcBorders>
              <w:top w:val="nil"/>
              <w:left w:val="nil"/>
              <w:bottom w:val="single" w:color="000000" w:sz="4" w:space="0"/>
              <w:right w:val="single" w:color="000000" w:sz="4" w:space="0"/>
            </w:tcBorders>
            <w:noWrap w:val="0"/>
            <w:vAlign w:val="center"/>
          </w:tcPr>
          <w:p w14:paraId="385B7E6E">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m2</w:t>
            </w:r>
          </w:p>
        </w:tc>
        <w:tc>
          <w:tcPr>
            <w:tcW w:w="642" w:type="pct"/>
            <w:tcBorders>
              <w:top w:val="nil"/>
              <w:left w:val="nil"/>
              <w:bottom w:val="single" w:color="000000" w:sz="4" w:space="0"/>
              <w:right w:val="single" w:color="000000" w:sz="4" w:space="0"/>
            </w:tcBorders>
            <w:noWrap w:val="0"/>
            <w:vAlign w:val="center"/>
          </w:tcPr>
          <w:p w14:paraId="01BE3566">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67</w:t>
            </w:r>
          </w:p>
        </w:tc>
        <w:tc>
          <w:tcPr>
            <w:tcW w:w="670" w:type="pct"/>
            <w:tcBorders>
              <w:top w:val="nil"/>
              <w:left w:val="nil"/>
              <w:bottom w:val="single" w:color="000000" w:sz="4" w:space="0"/>
              <w:right w:val="single" w:color="000000" w:sz="4" w:space="0"/>
            </w:tcBorders>
            <w:noWrap w:val="0"/>
            <w:vAlign w:val="center"/>
          </w:tcPr>
          <w:p w14:paraId="34321056">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211.12</w:t>
            </w:r>
          </w:p>
        </w:tc>
        <w:tc>
          <w:tcPr>
            <w:tcW w:w="670" w:type="pct"/>
            <w:tcBorders>
              <w:top w:val="nil"/>
              <w:left w:val="nil"/>
              <w:bottom w:val="single" w:color="000000" w:sz="4" w:space="0"/>
              <w:right w:val="single" w:color="000000" w:sz="4" w:space="0"/>
            </w:tcBorders>
            <w:noWrap w:val="0"/>
            <w:vAlign w:val="center"/>
          </w:tcPr>
          <w:p w14:paraId="3AC670CD">
            <w:pPr>
              <w:widowControl w:val="0"/>
              <w:jc w:val="center"/>
              <w:rPr>
                <w:rFonts w:hint="eastAsia" w:ascii="宋体" w:hAnsi="宋体" w:eastAsia="宋体" w:cs="宋体"/>
                <w:color w:val="auto"/>
                <w:kern w:val="0"/>
                <w:sz w:val="21"/>
                <w:szCs w:val="21"/>
              </w:rPr>
            </w:pPr>
          </w:p>
        </w:tc>
      </w:tr>
      <w:tr w14:paraId="1A31409B">
        <w:tblPrEx>
          <w:tblCellMar>
            <w:top w:w="0" w:type="dxa"/>
            <w:left w:w="108" w:type="dxa"/>
            <w:bottom w:w="0" w:type="dxa"/>
            <w:right w:w="108" w:type="dxa"/>
          </w:tblCellMar>
        </w:tblPrEx>
        <w:trPr>
          <w:trHeight w:val="1486" w:hRule="atLeast"/>
        </w:trPr>
        <w:tc>
          <w:tcPr>
            <w:tcW w:w="354" w:type="pct"/>
            <w:tcBorders>
              <w:top w:val="nil"/>
              <w:left w:val="single" w:color="000000" w:sz="4" w:space="0"/>
              <w:bottom w:val="single" w:color="000000" w:sz="4" w:space="0"/>
              <w:right w:val="single" w:color="000000" w:sz="4" w:space="0"/>
            </w:tcBorders>
            <w:noWrap w:val="0"/>
            <w:vAlign w:val="center"/>
          </w:tcPr>
          <w:p w14:paraId="651DA47D">
            <w:pPr>
              <w:widowControl w:val="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21</w:t>
            </w:r>
          </w:p>
        </w:tc>
        <w:tc>
          <w:tcPr>
            <w:tcW w:w="755" w:type="pct"/>
            <w:tcBorders>
              <w:top w:val="nil"/>
              <w:left w:val="nil"/>
              <w:bottom w:val="single" w:color="000000" w:sz="4" w:space="0"/>
              <w:right w:val="single" w:color="000000" w:sz="4" w:space="0"/>
            </w:tcBorders>
            <w:noWrap w:val="0"/>
            <w:vAlign w:val="center"/>
          </w:tcPr>
          <w:p w14:paraId="317D563E">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人行道面层及基层恢复（非石材面层）</w:t>
            </w:r>
          </w:p>
        </w:tc>
        <w:tc>
          <w:tcPr>
            <w:tcW w:w="1516" w:type="pct"/>
            <w:tcBorders>
              <w:top w:val="nil"/>
              <w:left w:val="nil"/>
              <w:bottom w:val="single" w:color="000000" w:sz="4" w:space="0"/>
              <w:right w:val="single" w:color="000000" w:sz="4" w:space="0"/>
            </w:tcBorders>
            <w:noWrap w:val="0"/>
            <w:vAlign w:val="center"/>
          </w:tcPr>
          <w:p w14:paraId="1E30D13E">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1、原状恢复人行道（非石材人行道）</w:t>
            </w:r>
          </w:p>
          <w:p w14:paraId="7393108C">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2、含5cm碎石垫层、10cmC25细石砼基层</w:t>
            </w:r>
          </w:p>
          <w:p w14:paraId="5B04FE86">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3、投标人需自行踏勘现场，自主报价，结算时不予调整</w:t>
            </w:r>
          </w:p>
        </w:tc>
        <w:tc>
          <w:tcPr>
            <w:tcW w:w="390" w:type="pct"/>
            <w:tcBorders>
              <w:top w:val="nil"/>
              <w:left w:val="nil"/>
              <w:bottom w:val="single" w:color="000000" w:sz="4" w:space="0"/>
              <w:right w:val="single" w:color="000000" w:sz="4" w:space="0"/>
            </w:tcBorders>
            <w:noWrap w:val="0"/>
            <w:vAlign w:val="center"/>
          </w:tcPr>
          <w:p w14:paraId="51784B0C">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m2</w:t>
            </w:r>
          </w:p>
        </w:tc>
        <w:tc>
          <w:tcPr>
            <w:tcW w:w="642" w:type="pct"/>
            <w:tcBorders>
              <w:top w:val="nil"/>
              <w:left w:val="nil"/>
              <w:bottom w:val="single" w:color="000000" w:sz="4" w:space="0"/>
              <w:right w:val="single" w:color="000000" w:sz="4" w:space="0"/>
            </w:tcBorders>
            <w:noWrap w:val="0"/>
            <w:vAlign w:val="center"/>
          </w:tcPr>
          <w:p w14:paraId="7695FD19">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13.4</w:t>
            </w:r>
          </w:p>
        </w:tc>
        <w:tc>
          <w:tcPr>
            <w:tcW w:w="670" w:type="pct"/>
            <w:tcBorders>
              <w:top w:val="nil"/>
              <w:left w:val="nil"/>
              <w:bottom w:val="single" w:color="000000" w:sz="4" w:space="0"/>
              <w:right w:val="single" w:color="000000" w:sz="4" w:space="0"/>
            </w:tcBorders>
            <w:noWrap w:val="0"/>
            <w:vAlign w:val="center"/>
          </w:tcPr>
          <w:p w14:paraId="1E9B2C70">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207.79</w:t>
            </w:r>
          </w:p>
        </w:tc>
        <w:tc>
          <w:tcPr>
            <w:tcW w:w="670" w:type="pct"/>
            <w:tcBorders>
              <w:top w:val="nil"/>
              <w:left w:val="nil"/>
              <w:bottom w:val="single" w:color="000000" w:sz="4" w:space="0"/>
              <w:right w:val="single" w:color="000000" w:sz="4" w:space="0"/>
            </w:tcBorders>
            <w:noWrap w:val="0"/>
            <w:vAlign w:val="center"/>
          </w:tcPr>
          <w:p w14:paraId="577D5AE8">
            <w:pPr>
              <w:widowControl w:val="0"/>
              <w:jc w:val="center"/>
              <w:rPr>
                <w:rFonts w:hint="eastAsia" w:ascii="宋体" w:hAnsi="宋体" w:eastAsia="宋体" w:cs="宋体"/>
                <w:color w:val="auto"/>
                <w:kern w:val="0"/>
                <w:sz w:val="21"/>
                <w:szCs w:val="21"/>
              </w:rPr>
            </w:pPr>
          </w:p>
        </w:tc>
      </w:tr>
      <w:tr w14:paraId="1D976B54">
        <w:tblPrEx>
          <w:tblCellMar>
            <w:top w:w="0" w:type="dxa"/>
            <w:left w:w="108" w:type="dxa"/>
            <w:bottom w:w="0" w:type="dxa"/>
            <w:right w:w="108" w:type="dxa"/>
          </w:tblCellMar>
        </w:tblPrEx>
        <w:trPr>
          <w:trHeight w:val="1576" w:hRule="atLeast"/>
        </w:trPr>
        <w:tc>
          <w:tcPr>
            <w:tcW w:w="354" w:type="pct"/>
            <w:tcBorders>
              <w:top w:val="nil"/>
              <w:left w:val="single" w:color="000000" w:sz="4" w:space="0"/>
              <w:bottom w:val="single" w:color="000000" w:sz="4" w:space="0"/>
              <w:right w:val="single" w:color="000000" w:sz="4" w:space="0"/>
            </w:tcBorders>
            <w:noWrap w:val="0"/>
            <w:vAlign w:val="center"/>
          </w:tcPr>
          <w:p w14:paraId="771694B0">
            <w:pPr>
              <w:widowControl w:val="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22</w:t>
            </w:r>
          </w:p>
        </w:tc>
        <w:tc>
          <w:tcPr>
            <w:tcW w:w="755" w:type="pct"/>
            <w:tcBorders>
              <w:top w:val="nil"/>
              <w:left w:val="nil"/>
              <w:bottom w:val="single" w:color="000000" w:sz="4" w:space="0"/>
              <w:right w:val="single" w:color="000000" w:sz="4" w:space="0"/>
            </w:tcBorders>
            <w:noWrap w:val="0"/>
            <w:vAlign w:val="center"/>
          </w:tcPr>
          <w:p w14:paraId="158E69DB">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人行道面层及基层恢复（石材面层）</w:t>
            </w:r>
          </w:p>
        </w:tc>
        <w:tc>
          <w:tcPr>
            <w:tcW w:w="1516" w:type="pct"/>
            <w:tcBorders>
              <w:top w:val="nil"/>
              <w:left w:val="nil"/>
              <w:bottom w:val="single" w:color="000000" w:sz="4" w:space="0"/>
              <w:right w:val="single" w:color="000000" w:sz="4" w:space="0"/>
            </w:tcBorders>
            <w:noWrap w:val="0"/>
            <w:vAlign w:val="center"/>
          </w:tcPr>
          <w:p w14:paraId="334075C7">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1、原状恢复人行道（石材面层，3cm厚）</w:t>
            </w:r>
          </w:p>
          <w:p w14:paraId="4B5E559D">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2、含10cm碎石垫层、10cmC25细石砼基层</w:t>
            </w:r>
          </w:p>
          <w:p w14:paraId="2A4ACB01">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3、投标人需自行踏勘现场，自主报价，结算时不予调整</w:t>
            </w:r>
          </w:p>
        </w:tc>
        <w:tc>
          <w:tcPr>
            <w:tcW w:w="390" w:type="pct"/>
            <w:tcBorders>
              <w:top w:val="nil"/>
              <w:left w:val="nil"/>
              <w:bottom w:val="single" w:color="000000" w:sz="4" w:space="0"/>
              <w:right w:val="single" w:color="000000" w:sz="4" w:space="0"/>
            </w:tcBorders>
            <w:noWrap w:val="0"/>
            <w:vAlign w:val="center"/>
          </w:tcPr>
          <w:p w14:paraId="58923D81">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m2</w:t>
            </w:r>
          </w:p>
        </w:tc>
        <w:tc>
          <w:tcPr>
            <w:tcW w:w="642" w:type="pct"/>
            <w:tcBorders>
              <w:top w:val="nil"/>
              <w:left w:val="nil"/>
              <w:bottom w:val="single" w:color="000000" w:sz="4" w:space="0"/>
              <w:right w:val="single" w:color="000000" w:sz="4" w:space="0"/>
            </w:tcBorders>
            <w:noWrap w:val="0"/>
            <w:vAlign w:val="center"/>
          </w:tcPr>
          <w:p w14:paraId="6F851A39">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20.1</w:t>
            </w:r>
          </w:p>
        </w:tc>
        <w:tc>
          <w:tcPr>
            <w:tcW w:w="670" w:type="pct"/>
            <w:tcBorders>
              <w:top w:val="nil"/>
              <w:left w:val="nil"/>
              <w:bottom w:val="single" w:color="000000" w:sz="4" w:space="0"/>
              <w:right w:val="single" w:color="000000" w:sz="4" w:space="0"/>
            </w:tcBorders>
            <w:noWrap w:val="0"/>
            <w:vAlign w:val="center"/>
          </w:tcPr>
          <w:p w14:paraId="33B12F69">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346.31</w:t>
            </w:r>
          </w:p>
        </w:tc>
        <w:tc>
          <w:tcPr>
            <w:tcW w:w="670" w:type="pct"/>
            <w:tcBorders>
              <w:top w:val="nil"/>
              <w:left w:val="nil"/>
              <w:bottom w:val="single" w:color="000000" w:sz="4" w:space="0"/>
              <w:right w:val="single" w:color="000000" w:sz="4" w:space="0"/>
            </w:tcBorders>
            <w:noWrap w:val="0"/>
            <w:vAlign w:val="center"/>
          </w:tcPr>
          <w:p w14:paraId="1A85E659">
            <w:pPr>
              <w:widowControl w:val="0"/>
              <w:jc w:val="center"/>
              <w:rPr>
                <w:rFonts w:hint="eastAsia" w:ascii="宋体" w:hAnsi="宋体" w:eastAsia="宋体" w:cs="宋体"/>
                <w:color w:val="auto"/>
                <w:kern w:val="0"/>
                <w:sz w:val="21"/>
                <w:szCs w:val="21"/>
              </w:rPr>
            </w:pPr>
          </w:p>
        </w:tc>
      </w:tr>
      <w:tr w14:paraId="5141278A">
        <w:tblPrEx>
          <w:tblCellMar>
            <w:top w:w="0" w:type="dxa"/>
            <w:left w:w="108" w:type="dxa"/>
            <w:bottom w:w="0" w:type="dxa"/>
            <w:right w:w="108" w:type="dxa"/>
          </w:tblCellMar>
        </w:tblPrEx>
        <w:trPr>
          <w:trHeight w:val="1486" w:hRule="atLeast"/>
        </w:trPr>
        <w:tc>
          <w:tcPr>
            <w:tcW w:w="354" w:type="pct"/>
            <w:tcBorders>
              <w:top w:val="nil"/>
              <w:left w:val="single" w:color="000000" w:sz="4" w:space="0"/>
              <w:bottom w:val="single" w:color="000000" w:sz="4" w:space="0"/>
              <w:right w:val="single" w:color="000000" w:sz="4" w:space="0"/>
            </w:tcBorders>
            <w:noWrap w:val="0"/>
            <w:vAlign w:val="center"/>
          </w:tcPr>
          <w:p w14:paraId="7C1E24C9">
            <w:pPr>
              <w:widowControl w:val="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23</w:t>
            </w:r>
          </w:p>
        </w:tc>
        <w:tc>
          <w:tcPr>
            <w:tcW w:w="755" w:type="pct"/>
            <w:tcBorders>
              <w:top w:val="nil"/>
              <w:left w:val="nil"/>
              <w:bottom w:val="single" w:color="000000" w:sz="4" w:space="0"/>
              <w:right w:val="single" w:color="000000" w:sz="4" w:space="0"/>
            </w:tcBorders>
            <w:noWrap w:val="0"/>
            <w:vAlign w:val="center"/>
          </w:tcPr>
          <w:p w14:paraId="351595B7">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检查井升降</w:t>
            </w:r>
          </w:p>
        </w:tc>
        <w:tc>
          <w:tcPr>
            <w:tcW w:w="1516" w:type="pct"/>
            <w:tcBorders>
              <w:top w:val="nil"/>
              <w:left w:val="nil"/>
              <w:bottom w:val="single" w:color="000000" w:sz="4" w:space="0"/>
              <w:right w:val="single" w:color="000000" w:sz="4" w:space="0"/>
            </w:tcBorders>
            <w:noWrap w:val="0"/>
            <w:vAlign w:val="center"/>
          </w:tcPr>
          <w:p w14:paraId="641DA1E4">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1、检查井定位、升降40cm以内（主要用于文澜路、学海路、仙林大道等覆盖检查井）</w:t>
            </w:r>
          </w:p>
          <w:p w14:paraId="6124EEC3">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2、结合CCTV检测报告，根据现场实际情况自行报价，结算时不予调整</w:t>
            </w:r>
          </w:p>
        </w:tc>
        <w:tc>
          <w:tcPr>
            <w:tcW w:w="390" w:type="pct"/>
            <w:tcBorders>
              <w:top w:val="nil"/>
              <w:left w:val="nil"/>
              <w:bottom w:val="single" w:color="000000" w:sz="4" w:space="0"/>
              <w:right w:val="single" w:color="000000" w:sz="4" w:space="0"/>
            </w:tcBorders>
            <w:noWrap w:val="0"/>
            <w:vAlign w:val="center"/>
          </w:tcPr>
          <w:p w14:paraId="2A818B33">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座</w:t>
            </w:r>
          </w:p>
        </w:tc>
        <w:tc>
          <w:tcPr>
            <w:tcW w:w="642" w:type="pct"/>
            <w:tcBorders>
              <w:top w:val="nil"/>
              <w:left w:val="nil"/>
              <w:bottom w:val="single" w:color="000000" w:sz="4" w:space="0"/>
              <w:right w:val="single" w:color="000000" w:sz="4" w:space="0"/>
            </w:tcBorders>
            <w:noWrap w:val="0"/>
            <w:vAlign w:val="center"/>
          </w:tcPr>
          <w:p w14:paraId="55B71A33">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10</w:t>
            </w:r>
          </w:p>
        </w:tc>
        <w:tc>
          <w:tcPr>
            <w:tcW w:w="670" w:type="pct"/>
            <w:tcBorders>
              <w:top w:val="nil"/>
              <w:left w:val="nil"/>
              <w:bottom w:val="single" w:color="000000" w:sz="4" w:space="0"/>
              <w:right w:val="single" w:color="000000" w:sz="4" w:space="0"/>
            </w:tcBorders>
            <w:noWrap w:val="0"/>
            <w:vAlign w:val="center"/>
          </w:tcPr>
          <w:p w14:paraId="530C8937">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418.96</w:t>
            </w:r>
          </w:p>
        </w:tc>
        <w:tc>
          <w:tcPr>
            <w:tcW w:w="670" w:type="pct"/>
            <w:tcBorders>
              <w:top w:val="nil"/>
              <w:left w:val="nil"/>
              <w:bottom w:val="single" w:color="000000" w:sz="4" w:space="0"/>
              <w:right w:val="single" w:color="000000" w:sz="4" w:space="0"/>
            </w:tcBorders>
            <w:noWrap w:val="0"/>
            <w:vAlign w:val="center"/>
          </w:tcPr>
          <w:p w14:paraId="28F37E10">
            <w:pPr>
              <w:widowControl w:val="0"/>
              <w:jc w:val="center"/>
              <w:rPr>
                <w:rFonts w:hint="eastAsia" w:ascii="宋体" w:hAnsi="宋体" w:eastAsia="宋体" w:cs="宋体"/>
                <w:color w:val="auto"/>
                <w:kern w:val="0"/>
                <w:sz w:val="21"/>
                <w:szCs w:val="21"/>
              </w:rPr>
            </w:pPr>
          </w:p>
        </w:tc>
      </w:tr>
      <w:tr w14:paraId="3A09D776">
        <w:tblPrEx>
          <w:tblCellMar>
            <w:top w:w="0" w:type="dxa"/>
            <w:left w:w="108" w:type="dxa"/>
            <w:bottom w:w="0" w:type="dxa"/>
            <w:right w:w="108" w:type="dxa"/>
          </w:tblCellMar>
        </w:tblPrEx>
        <w:trPr>
          <w:trHeight w:val="2071" w:hRule="atLeast"/>
        </w:trPr>
        <w:tc>
          <w:tcPr>
            <w:tcW w:w="354" w:type="pct"/>
            <w:tcBorders>
              <w:top w:val="nil"/>
              <w:left w:val="single" w:color="000000" w:sz="4" w:space="0"/>
              <w:bottom w:val="single" w:color="000000" w:sz="4" w:space="0"/>
              <w:right w:val="single" w:color="000000" w:sz="4" w:space="0"/>
            </w:tcBorders>
            <w:noWrap w:val="0"/>
            <w:vAlign w:val="center"/>
          </w:tcPr>
          <w:p w14:paraId="435E80F9">
            <w:pPr>
              <w:widowControl w:val="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24</w:t>
            </w:r>
          </w:p>
        </w:tc>
        <w:tc>
          <w:tcPr>
            <w:tcW w:w="755" w:type="pct"/>
            <w:tcBorders>
              <w:top w:val="nil"/>
              <w:left w:val="nil"/>
              <w:bottom w:val="single" w:color="000000" w:sz="4" w:space="0"/>
              <w:right w:val="single" w:color="000000" w:sz="4" w:space="0"/>
            </w:tcBorders>
            <w:noWrap w:val="0"/>
            <w:vAlign w:val="center"/>
          </w:tcPr>
          <w:p w14:paraId="170729A2">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检查井检修（更换砼钢纤维井盖）</w:t>
            </w:r>
          </w:p>
        </w:tc>
        <w:tc>
          <w:tcPr>
            <w:tcW w:w="1516" w:type="pct"/>
            <w:tcBorders>
              <w:top w:val="nil"/>
              <w:left w:val="nil"/>
              <w:bottom w:val="single" w:color="000000" w:sz="4" w:space="0"/>
              <w:right w:val="single" w:color="000000" w:sz="4" w:space="0"/>
            </w:tcBorders>
            <w:noWrap w:val="0"/>
            <w:vAlign w:val="center"/>
          </w:tcPr>
          <w:p w14:paraId="31F47155">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1、检查井检修并更换砼钢纤维φ700井盖（主要用于仙林大道绿化内损坏井盖更换）</w:t>
            </w:r>
          </w:p>
          <w:p w14:paraId="6F1B5B08">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2、井盖样式由投标人自行踏勘现场，恢复至原状</w:t>
            </w:r>
          </w:p>
          <w:p w14:paraId="5D5DE456">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3、结合CCTV检测报告，根据现场实际情况自行报价，结算时不予调整</w:t>
            </w:r>
          </w:p>
        </w:tc>
        <w:tc>
          <w:tcPr>
            <w:tcW w:w="390" w:type="pct"/>
            <w:tcBorders>
              <w:top w:val="nil"/>
              <w:left w:val="nil"/>
              <w:bottom w:val="single" w:color="000000" w:sz="4" w:space="0"/>
              <w:right w:val="single" w:color="000000" w:sz="4" w:space="0"/>
            </w:tcBorders>
            <w:noWrap w:val="0"/>
            <w:vAlign w:val="center"/>
          </w:tcPr>
          <w:p w14:paraId="485B3104">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座</w:t>
            </w:r>
          </w:p>
        </w:tc>
        <w:tc>
          <w:tcPr>
            <w:tcW w:w="642" w:type="pct"/>
            <w:tcBorders>
              <w:top w:val="nil"/>
              <w:left w:val="nil"/>
              <w:bottom w:val="single" w:color="000000" w:sz="4" w:space="0"/>
              <w:right w:val="single" w:color="000000" w:sz="4" w:space="0"/>
            </w:tcBorders>
            <w:noWrap w:val="0"/>
            <w:vAlign w:val="center"/>
          </w:tcPr>
          <w:p w14:paraId="7C6D0C08">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14</w:t>
            </w:r>
          </w:p>
        </w:tc>
        <w:tc>
          <w:tcPr>
            <w:tcW w:w="670" w:type="pct"/>
            <w:tcBorders>
              <w:top w:val="nil"/>
              <w:left w:val="nil"/>
              <w:bottom w:val="single" w:color="000000" w:sz="4" w:space="0"/>
              <w:right w:val="single" w:color="000000" w:sz="4" w:space="0"/>
            </w:tcBorders>
            <w:noWrap w:val="0"/>
            <w:vAlign w:val="center"/>
          </w:tcPr>
          <w:p w14:paraId="05D38DE9">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302.5</w:t>
            </w:r>
          </w:p>
        </w:tc>
        <w:tc>
          <w:tcPr>
            <w:tcW w:w="670" w:type="pct"/>
            <w:tcBorders>
              <w:top w:val="nil"/>
              <w:left w:val="nil"/>
              <w:bottom w:val="single" w:color="000000" w:sz="4" w:space="0"/>
              <w:right w:val="single" w:color="000000" w:sz="4" w:space="0"/>
            </w:tcBorders>
            <w:noWrap w:val="0"/>
            <w:vAlign w:val="center"/>
          </w:tcPr>
          <w:p w14:paraId="17C9FB52">
            <w:pPr>
              <w:widowControl w:val="0"/>
              <w:jc w:val="center"/>
              <w:rPr>
                <w:rFonts w:hint="eastAsia" w:ascii="宋体" w:hAnsi="宋体" w:eastAsia="宋体" w:cs="宋体"/>
                <w:color w:val="auto"/>
                <w:kern w:val="0"/>
                <w:sz w:val="21"/>
                <w:szCs w:val="21"/>
              </w:rPr>
            </w:pPr>
          </w:p>
        </w:tc>
      </w:tr>
      <w:tr w14:paraId="385FF648">
        <w:tblPrEx>
          <w:tblCellMar>
            <w:top w:w="0" w:type="dxa"/>
            <w:left w:w="108" w:type="dxa"/>
            <w:bottom w:w="0" w:type="dxa"/>
            <w:right w:w="108" w:type="dxa"/>
          </w:tblCellMar>
        </w:tblPrEx>
        <w:trPr>
          <w:trHeight w:val="1891" w:hRule="atLeast"/>
        </w:trPr>
        <w:tc>
          <w:tcPr>
            <w:tcW w:w="354" w:type="pct"/>
            <w:tcBorders>
              <w:top w:val="nil"/>
              <w:left w:val="single" w:color="000000" w:sz="4" w:space="0"/>
              <w:bottom w:val="single" w:color="000000" w:sz="4" w:space="0"/>
              <w:right w:val="single" w:color="000000" w:sz="4" w:space="0"/>
            </w:tcBorders>
            <w:noWrap w:val="0"/>
            <w:vAlign w:val="center"/>
          </w:tcPr>
          <w:p w14:paraId="2DA82359">
            <w:pPr>
              <w:widowControl w:val="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25</w:t>
            </w:r>
          </w:p>
        </w:tc>
        <w:tc>
          <w:tcPr>
            <w:tcW w:w="755" w:type="pct"/>
            <w:tcBorders>
              <w:top w:val="nil"/>
              <w:left w:val="nil"/>
              <w:bottom w:val="single" w:color="000000" w:sz="4" w:space="0"/>
              <w:right w:val="single" w:color="000000" w:sz="4" w:space="0"/>
            </w:tcBorders>
            <w:noWrap w:val="0"/>
            <w:vAlign w:val="center"/>
          </w:tcPr>
          <w:p w14:paraId="1BBEF4F3">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检查井维修</w:t>
            </w:r>
          </w:p>
        </w:tc>
        <w:tc>
          <w:tcPr>
            <w:tcW w:w="1516" w:type="pct"/>
            <w:tcBorders>
              <w:top w:val="nil"/>
              <w:left w:val="nil"/>
              <w:bottom w:val="single" w:color="000000" w:sz="4" w:space="0"/>
              <w:right w:val="single" w:color="000000" w:sz="4" w:space="0"/>
            </w:tcBorders>
            <w:noWrap w:val="0"/>
            <w:vAlign w:val="center"/>
          </w:tcPr>
          <w:p w14:paraId="11E31174">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1、现状检查井维修；破损、裂缝修复等，满足业主要求</w:t>
            </w:r>
          </w:p>
          <w:p w14:paraId="3DDA2B0E">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2、结合CCTV检测报告，根据现场实际情况自行报价，结算时不予调整</w:t>
            </w:r>
          </w:p>
          <w:p w14:paraId="7BE70554">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3、主要用于学海路等检查井内两侧支管处破损井壁填充维修</w:t>
            </w:r>
          </w:p>
        </w:tc>
        <w:tc>
          <w:tcPr>
            <w:tcW w:w="390" w:type="pct"/>
            <w:tcBorders>
              <w:top w:val="nil"/>
              <w:left w:val="nil"/>
              <w:bottom w:val="single" w:color="000000" w:sz="4" w:space="0"/>
              <w:right w:val="single" w:color="000000" w:sz="4" w:space="0"/>
            </w:tcBorders>
            <w:noWrap w:val="0"/>
            <w:vAlign w:val="center"/>
          </w:tcPr>
          <w:p w14:paraId="0BC50304">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座</w:t>
            </w:r>
          </w:p>
        </w:tc>
        <w:tc>
          <w:tcPr>
            <w:tcW w:w="642" w:type="pct"/>
            <w:tcBorders>
              <w:top w:val="nil"/>
              <w:left w:val="nil"/>
              <w:bottom w:val="single" w:color="000000" w:sz="4" w:space="0"/>
              <w:right w:val="single" w:color="000000" w:sz="4" w:space="0"/>
            </w:tcBorders>
            <w:noWrap w:val="0"/>
            <w:vAlign w:val="center"/>
          </w:tcPr>
          <w:p w14:paraId="113CF2B3">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14</w:t>
            </w:r>
          </w:p>
        </w:tc>
        <w:tc>
          <w:tcPr>
            <w:tcW w:w="670" w:type="pct"/>
            <w:tcBorders>
              <w:top w:val="nil"/>
              <w:left w:val="nil"/>
              <w:bottom w:val="single" w:color="000000" w:sz="4" w:space="0"/>
              <w:right w:val="single" w:color="000000" w:sz="4" w:space="0"/>
            </w:tcBorders>
            <w:noWrap w:val="0"/>
            <w:vAlign w:val="center"/>
          </w:tcPr>
          <w:p w14:paraId="479C99C0">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139.16</w:t>
            </w:r>
          </w:p>
        </w:tc>
        <w:tc>
          <w:tcPr>
            <w:tcW w:w="670" w:type="pct"/>
            <w:tcBorders>
              <w:top w:val="nil"/>
              <w:left w:val="nil"/>
              <w:bottom w:val="single" w:color="000000" w:sz="4" w:space="0"/>
              <w:right w:val="single" w:color="000000" w:sz="4" w:space="0"/>
            </w:tcBorders>
            <w:noWrap w:val="0"/>
            <w:vAlign w:val="center"/>
          </w:tcPr>
          <w:p w14:paraId="27BCA54A">
            <w:pPr>
              <w:widowControl w:val="0"/>
              <w:jc w:val="center"/>
              <w:rPr>
                <w:rFonts w:hint="eastAsia" w:ascii="宋体" w:hAnsi="宋体" w:eastAsia="宋体" w:cs="宋体"/>
                <w:color w:val="auto"/>
                <w:kern w:val="0"/>
                <w:sz w:val="21"/>
                <w:szCs w:val="21"/>
              </w:rPr>
            </w:pPr>
          </w:p>
        </w:tc>
      </w:tr>
      <w:tr w14:paraId="1009D016">
        <w:tblPrEx>
          <w:tblCellMar>
            <w:top w:w="0" w:type="dxa"/>
            <w:left w:w="108" w:type="dxa"/>
            <w:bottom w:w="0" w:type="dxa"/>
            <w:right w:w="108" w:type="dxa"/>
          </w:tblCellMar>
        </w:tblPrEx>
        <w:trPr>
          <w:trHeight w:val="2071" w:hRule="atLeast"/>
        </w:trPr>
        <w:tc>
          <w:tcPr>
            <w:tcW w:w="354" w:type="pct"/>
            <w:tcBorders>
              <w:top w:val="nil"/>
              <w:left w:val="single" w:color="000000" w:sz="4" w:space="0"/>
              <w:bottom w:val="single" w:color="000000" w:sz="4" w:space="0"/>
              <w:right w:val="single" w:color="000000" w:sz="4" w:space="0"/>
            </w:tcBorders>
            <w:noWrap w:val="0"/>
            <w:vAlign w:val="center"/>
          </w:tcPr>
          <w:p w14:paraId="146BEB26">
            <w:pPr>
              <w:widowControl w:val="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26</w:t>
            </w:r>
          </w:p>
        </w:tc>
        <w:tc>
          <w:tcPr>
            <w:tcW w:w="755" w:type="pct"/>
            <w:tcBorders>
              <w:top w:val="nil"/>
              <w:left w:val="nil"/>
              <w:bottom w:val="single" w:color="000000" w:sz="4" w:space="0"/>
              <w:right w:val="single" w:color="000000" w:sz="4" w:space="0"/>
            </w:tcBorders>
            <w:noWrap w:val="0"/>
            <w:vAlign w:val="center"/>
          </w:tcPr>
          <w:p w14:paraId="003F4374">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检查井检修（更换砼钢纤维井框）</w:t>
            </w:r>
          </w:p>
        </w:tc>
        <w:tc>
          <w:tcPr>
            <w:tcW w:w="1516" w:type="pct"/>
            <w:tcBorders>
              <w:top w:val="nil"/>
              <w:left w:val="nil"/>
              <w:bottom w:val="single" w:color="000000" w:sz="4" w:space="0"/>
              <w:right w:val="single" w:color="000000" w:sz="4" w:space="0"/>
            </w:tcBorders>
            <w:noWrap w:val="0"/>
            <w:vAlign w:val="center"/>
          </w:tcPr>
          <w:p w14:paraId="14F33A7B">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1、检查井检修并更换砼钢纤维φ700井框（主要用于仙林大道绿化内损坏井框更换）</w:t>
            </w:r>
          </w:p>
          <w:p w14:paraId="13AACDC4">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2、井框样式由投标人自行踏勘现场，恢复至原状</w:t>
            </w:r>
          </w:p>
          <w:p w14:paraId="73E2C039">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3、结合CCTV检测报告，根据现场实际情况自行报价，结算时不予调整</w:t>
            </w:r>
          </w:p>
        </w:tc>
        <w:tc>
          <w:tcPr>
            <w:tcW w:w="390" w:type="pct"/>
            <w:tcBorders>
              <w:top w:val="nil"/>
              <w:left w:val="nil"/>
              <w:bottom w:val="single" w:color="000000" w:sz="4" w:space="0"/>
              <w:right w:val="single" w:color="000000" w:sz="4" w:space="0"/>
            </w:tcBorders>
            <w:noWrap w:val="0"/>
            <w:vAlign w:val="center"/>
          </w:tcPr>
          <w:p w14:paraId="4AE44AF6">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座</w:t>
            </w:r>
          </w:p>
        </w:tc>
        <w:tc>
          <w:tcPr>
            <w:tcW w:w="642" w:type="pct"/>
            <w:tcBorders>
              <w:top w:val="nil"/>
              <w:left w:val="nil"/>
              <w:bottom w:val="single" w:color="000000" w:sz="4" w:space="0"/>
              <w:right w:val="single" w:color="000000" w:sz="4" w:space="0"/>
            </w:tcBorders>
            <w:noWrap w:val="0"/>
            <w:vAlign w:val="center"/>
          </w:tcPr>
          <w:p w14:paraId="0F3FA0C9">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14</w:t>
            </w:r>
          </w:p>
        </w:tc>
        <w:tc>
          <w:tcPr>
            <w:tcW w:w="670" w:type="pct"/>
            <w:tcBorders>
              <w:top w:val="nil"/>
              <w:left w:val="nil"/>
              <w:bottom w:val="single" w:color="000000" w:sz="4" w:space="0"/>
              <w:right w:val="single" w:color="000000" w:sz="4" w:space="0"/>
            </w:tcBorders>
            <w:noWrap w:val="0"/>
            <w:vAlign w:val="center"/>
          </w:tcPr>
          <w:p w14:paraId="56882FC3">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491.74</w:t>
            </w:r>
          </w:p>
        </w:tc>
        <w:tc>
          <w:tcPr>
            <w:tcW w:w="670" w:type="pct"/>
            <w:tcBorders>
              <w:top w:val="nil"/>
              <w:left w:val="nil"/>
              <w:bottom w:val="single" w:color="000000" w:sz="4" w:space="0"/>
              <w:right w:val="single" w:color="000000" w:sz="4" w:space="0"/>
            </w:tcBorders>
            <w:noWrap w:val="0"/>
            <w:vAlign w:val="center"/>
          </w:tcPr>
          <w:p w14:paraId="57AA342D">
            <w:pPr>
              <w:widowControl w:val="0"/>
              <w:jc w:val="center"/>
              <w:rPr>
                <w:rFonts w:hint="eastAsia" w:ascii="宋体" w:hAnsi="宋体" w:eastAsia="宋体" w:cs="宋体"/>
                <w:color w:val="auto"/>
                <w:kern w:val="0"/>
                <w:sz w:val="21"/>
                <w:szCs w:val="21"/>
              </w:rPr>
            </w:pPr>
          </w:p>
        </w:tc>
      </w:tr>
      <w:tr w14:paraId="4A0F0573">
        <w:tblPrEx>
          <w:tblCellMar>
            <w:top w:w="0" w:type="dxa"/>
            <w:left w:w="108" w:type="dxa"/>
            <w:bottom w:w="0" w:type="dxa"/>
            <w:right w:w="108" w:type="dxa"/>
          </w:tblCellMar>
        </w:tblPrEx>
        <w:trPr>
          <w:trHeight w:val="1891" w:hRule="atLeast"/>
        </w:trPr>
        <w:tc>
          <w:tcPr>
            <w:tcW w:w="354" w:type="pct"/>
            <w:tcBorders>
              <w:top w:val="nil"/>
              <w:left w:val="single" w:color="000000" w:sz="4" w:space="0"/>
              <w:bottom w:val="single" w:color="000000" w:sz="4" w:space="0"/>
              <w:right w:val="single" w:color="000000" w:sz="4" w:space="0"/>
            </w:tcBorders>
            <w:noWrap w:val="0"/>
            <w:vAlign w:val="center"/>
          </w:tcPr>
          <w:p w14:paraId="06A937EB">
            <w:pPr>
              <w:widowControl w:val="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27</w:t>
            </w:r>
          </w:p>
        </w:tc>
        <w:tc>
          <w:tcPr>
            <w:tcW w:w="755" w:type="pct"/>
            <w:tcBorders>
              <w:top w:val="nil"/>
              <w:left w:val="nil"/>
              <w:bottom w:val="single" w:color="000000" w:sz="4" w:space="0"/>
              <w:right w:val="single" w:color="000000" w:sz="4" w:space="0"/>
            </w:tcBorders>
            <w:noWrap w:val="0"/>
            <w:vAlign w:val="center"/>
          </w:tcPr>
          <w:p w14:paraId="177CDA7C">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检查井检修（更换五防铸铁井盖座）</w:t>
            </w:r>
          </w:p>
        </w:tc>
        <w:tc>
          <w:tcPr>
            <w:tcW w:w="1516" w:type="pct"/>
            <w:tcBorders>
              <w:top w:val="nil"/>
              <w:left w:val="nil"/>
              <w:bottom w:val="single" w:color="000000" w:sz="4" w:space="0"/>
              <w:right w:val="single" w:color="000000" w:sz="4" w:space="0"/>
            </w:tcBorders>
            <w:noWrap w:val="0"/>
            <w:vAlign w:val="center"/>
          </w:tcPr>
          <w:p w14:paraId="60C4F84D">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1、检查井检修并更换五防铸铁井盖座（主要用于临湖北街等沥青路上损坏井井盖框更换）</w:t>
            </w:r>
          </w:p>
          <w:p w14:paraId="30D35DEB">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2、井盖样式由投标人自行踏勘现场，恢复至原状</w:t>
            </w:r>
          </w:p>
          <w:p w14:paraId="22105487">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3、结合CCTV检测报告，根据现场实际情况自行报价；结算时不予调整</w:t>
            </w:r>
          </w:p>
        </w:tc>
        <w:tc>
          <w:tcPr>
            <w:tcW w:w="390" w:type="pct"/>
            <w:tcBorders>
              <w:top w:val="nil"/>
              <w:left w:val="nil"/>
              <w:bottom w:val="single" w:color="000000" w:sz="4" w:space="0"/>
              <w:right w:val="single" w:color="000000" w:sz="4" w:space="0"/>
            </w:tcBorders>
            <w:noWrap w:val="0"/>
            <w:vAlign w:val="center"/>
          </w:tcPr>
          <w:p w14:paraId="6EEF1709">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座</w:t>
            </w:r>
          </w:p>
        </w:tc>
        <w:tc>
          <w:tcPr>
            <w:tcW w:w="642" w:type="pct"/>
            <w:tcBorders>
              <w:top w:val="nil"/>
              <w:left w:val="nil"/>
              <w:bottom w:val="single" w:color="000000" w:sz="4" w:space="0"/>
              <w:right w:val="single" w:color="000000" w:sz="4" w:space="0"/>
            </w:tcBorders>
            <w:noWrap w:val="0"/>
            <w:vAlign w:val="center"/>
          </w:tcPr>
          <w:p w14:paraId="7836D291">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10</w:t>
            </w:r>
          </w:p>
        </w:tc>
        <w:tc>
          <w:tcPr>
            <w:tcW w:w="670" w:type="pct"/>
            <w:tcBorders>
              <w:top w:val="nil"/>
              <w:left w:val="nil"/>
              <w:bottom w:val="single" w:color="000000" w:sz="4" w:space="0"/>
              <w:right w:val="single" w:color="000000" w:sz="4" w:space="0"/>
            </w:tcBorders>
            <w:noWrap w:val="0"/>
            <w:vAlign w:val="center"/>
          </w:tcPr>
          <w:p w14:paraId="1357CF71">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878.77</w:t>
            </w:r>
          </w:p>
        </w:tc>
        <w:tc>
          <w:tcPr>
            <w:tcW w:w="670" w:type="pct"/>
            <w:tcBorders>
              <w:top w:val="nil"/>
              <w:left w:val="nil"/>
              <w:bottom w:val="single" w:color="000000" w:sz="4" w:space="0"/>
              <w:right w:val="single" w:color="000000" w:sz="4" w:space="0"/>
            </w:tcBorders>
            <w:noWrap w:val="0"/>
            <w:vAlign w:val="center"/>
          </w:tcPr>
          <w:p w14:paraId="7C22FA9E">
            <w:pPr>
              <w:widowControl w:val="0"/>
              <w:jc w:val="center"/>
              <w:rPr>
                <w:rFonts w:hint="eastAsia" w:ascii="宋体" w:hAnsi="宋体" w:eastAsia="宋体" w:cs="宋体"/>
                <w:color w:val="auto"/>
                <w:kern w:val="0"/>
                <w:sz w:val="21"/>
                <w:szCs w:val="21"/>
              </w:rPr>
            </w:pPr>
          </w:p>
        </w:tc>
      </w:tr>
      <w:tr w14:paraId="36074ADE">
        <w:tblPrEx>
          <w:tblCellMar>
            <w:top w:w="0" w:type="dxa"/>
            <w:left w:w="108" w:type="dxa"/>
            <w:bottom w:w="0" w:type="dxa"/>
            <w:right w:w="108" w:type="dxa"/>
          </w:tblCellMar>
        </w:tblPrEx>
        <w:trPr>
          <w:trHeight w:val="1891" w:hRule="atLeast"/>
        </w:trPr>
        <w:tc>
          <w:tcPr>
            <w:tcW w:w="354" w:type="pct"/>
            <w:tcBorders>
              <w:top w:val="nil"/>
              <w:left w:val="single" w:color="000000" w:sz="4" w:space="0"/>
              <w:bottom w:val="single" w:color="000000" w:sz="4" w:space="0"/>
              <w:right w:val="single" w:color="000000" w:sz="4" w:space="0"/>
            </w:tcBorders>
            <w:noWrap w:val="0"/>
            <w:vAlign w:val="center"/>
          </w:tcPr>
          <w:p w14:paraId="2546A5AC">
            <w:pPr>
              <w:widowControl w:val="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28</w:t>
            </w:r>
          </w:p>
        </w:tc>
        <w:tc>
          <w:tcPr>
            <w:tcW w:w="755" w:type="pct"/>
            <w:tcBorders>
              <w:top w:val="nil"/>
              <w:left w:val="nil"/>
              <w:bottom w:val="single" w:color="000000" w:sz="4" w:space="0"/>
              <w:right w:val="single" w:color="000000" w:sz="4" w:space="0"/>
            </w:tcBorders>
            <w:noWrap w:val="0"/>
            <w:vAlign w:val="center"/>
          </w:tcPr>
          <w:p w14:paraId="0E48E423">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防坠装置</w:t>
            </w:r>
          </w:p>
        </w:tc>
        <w:tc>
          <w:tcPr>
            <w:tcW w:w="1516" w:type="pct"/>
            <w:tcBorders>
              <w:top w:val="nil"/>
              <w:left w:val="nil"/>
              <w:bottom w:val="single" w:color="000000" w:sz="4" w:space="0"/>
              <w:right w:val="single" w:color="000000" w:sz="4" w:space="0"/>
            </w:tcBorders>
            <w:noWrap w:val="0"/>
            <w:vAlign w:val="center"/>
          </w:tcPr>
          <w:p w14:paraId="05DD696B">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1.井内设置成品防坠装置,防护网直径700毫米，承重不低于150KG，挂钩采用304不锈钢膨胀防脱落挂钩，每座井设置6个，螺杆直径8mm，长度110mm。</w:t>
            </w:r>
          </w:p>
          <w:p w14:paraId="44D2EB95">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2.含采购、安装等所有费用</w:t>
            </w:r>
          </w:p>
          <w:p w14:paraId="76BC7861">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3、用于市政道路上新增、提升井等非绿化检查井内安装</w:t>
            </w:r>
          </w:p>
        </w:tc>
        <w:tc>
          <w:tcPr>
            <w:tcW w:w="390" w:type="pct"/>
            <w:tcBorders>
              <w:top w:val="nil"/>
              <w:left w:val="nil"/>
              <w:bottom w:val="single" w:color="000000" w:sz="4" w:space="0"/>
              <w:right w:val="single" w:color="000000" w:sz="4" w:space="0"/>
            </w:tcBorders>
            <w:noWrap w:val="0"/>
            <w:vAlign w:val="center"/>
          </w:tcPr>
          <w:p w14:paraId="137ADE62">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套</w:t>
            </w:r>
          </w:p>
        </w:tc>
        <w:tc>
          <w:tcPr>
            <w:tcW w:w="642" w:type="pct"/>
            <w:tcBorders>
              <w:top w:val="nil"/>
              <w:left w:val="nil"/>
              <w:bottom w:val="single" w:color="000000" w:sz="4" w:space="0"/>
              <w:right w:val="single" w:color="000000" w:sz="4" w:space="0"/>
            </w:tcBorders>
            <w:noWrap w:val="0"/>
            <w:vAlign w:val="center"/>
          </w:tcPr>
          <w:p w14:paraId="12E7FE59">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10</w:t>
            </w:r>
          </w:p>
        </w:tc>
        <w:tc>
          <w:tcPr>
            <w:tcW w:w="670" w:type="pct"/>
            <w:tcBorders>
              <w:top w:val="nil"/>
              <w:left w:val="nil"/>
              <w:bottom w:val="single" w:color="000000" w:sz="4" w:space="0"/>
              <w:right w:val="single" w:color="000000" w:sz="4" w:space="0"/>
            </w:tcBorders>
            <w:noWrap w:val="0"/>
            <w:vAlign w:val="center"/>
          </w:tcPr>
          <w:p w14:paraId="2A4A9EF4">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186.37</w:t>
            </w:r>
          </w:p>
        </w:tc>
        <w:tc>
          <w:tcPr>
            <w:tcW w:w="670" w:type="pct"/>
            <w:tcBorders>
              <w:top w:val="nil"/>
              <w:left w:val="nil"/>
              <w:bottom w:val="single" w:color="000000" w:sz="4" w:space="0"/>
              <w:right w:val="single" w:color="000000" w:sz="4" w:space="0"/>
            </w:tcBorders>
            <w:noWrap w:val="0"/>
            <w:vAlign w:val="center"/>
          </w:tcPr>
          <w:p w14:paraId="07BB625F">
            <w:pPr>
              <w:widowControl w:val="0"/>
              <w:jc w:val="center"/>
              <w:rPr>
                <w:rFonts w:hint="eastAsia" w:ascii="宋体" w:hAnsi="宋体" w:eastAsia="宋体" w:cs="宋体"/>
                <w:color w:val="auto"/>
                <w:kern w:val="0"/>
                <w:sz w:val="21"/>
                <w:szCs w:val="21"/>
              </w:rPr>
            </w:pPr>
          </w:p>
        </w:tc>
      </w:tr>
      <w:tr w14:paraId="375ECE42">
        <w:tblPrEx>
          <w:tblCellMar>
            <w:top w:w="0" w:type="dxa"/>
            <w:left w:w="108" w:type="dxa"/>
            <w:bottom w:w="0" w:type="dxa"/>
            <w:right w:w="108" w:type="dxa"/>
          </w:tblCellMar>
        </w:tblPrEx>
        <w:trPr>
          <w:trHeight w:val="3407" w:hRule="atLeast"/>
        </w:trPr>
        <w:tc>
          <w:tcPr>
            <w:tcW w:w="354" w:type="pct"/>
            <w:tcBorders>
              <w:top w:val="nil"/>
              <w:left w:val="single" w:color="000000" w:sz="4" w:space="0"/>
              <w:bottom w:val="single" w:color="000000" w:sz="4" w:space="0"/>
              <w:right w:val="single" w:color="000000" w:sz="4" w:space="0"/>
            </w:tcBorders>
            <w:noWrap w:val="0"/>
            <w:vAlign w:val="center"/>
          </w:tcPr>
          <w:p w14:paraId="404241F6">
            <w:pPr>
              <w:widowControl w:val="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29</w:t>
            </w:r>
          </w:p>
        </w:tc>
        <w:tc>
          <w:tcPr>
            <w:tcW w:w="755" w:type="pct"/>
            <w:tcBorders>
              <w:top w:val="nil"/>
              <w:left w:val="nil"/>
              <w:bottom w:val="single" w:color="000000" w:sz="4" w:space="0"/>
              <w:right w:val="single" w:color="000000" w:sz="4" w:space="0"/>
            </w:tcBorders>
            <w:noWrap w:val="0"/>
            <w:vAlign w:val="center"/>
          </w:tcPr>
          <w:p w14:paraId="37F6FF84">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新建盖板沟-球墨铸铁盖板</w:t>
            </w:r>
          </w:p>
        </w:tc>
        <w:tc>
          <w:tcPr>
            <w:tcW w:w="1516" w:type="pct"/>
            <w:tcBorders>
              <w:top w:val="nil"/>
              <w:left w:val="nil"/>
              <w:bottom w:val="single" w:color="000000" w:sz="4" w:space="0"/>
              <w:right w:val="single" w:color="000000" w:sz="4" w:space="0"/>
            </w:tcBorders>
            <w:noWrap w:val="0"/>
            <w:vAlign w:val="center"/>
          </w:tcPr>
          <w:p w14:paraId="6A4E518B">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1、砖砌盖板沟，宽度25cm，深度1.0m以内，采用50mm厚球墨铸铁盖板</w:t>
            </w:r>
          </w:p>
          <w:p w14:paraId="55F332D6">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2、含开挖、回填、外弃、与管道搭接处理等综合考虑在综合单价中</w:t>
            </w:r>
          </w:p>
          <w:p w14:paraId="1AF6C5DB">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3、弃置运距 投标人自行勘察选择规定的弃置场所并自报运距,所有费用要求在综合单价中充分考虑（包含场地倒置费等）</w:t>
            </w:r>
          </w:p>
          <w:p w14:paraId="632E21D4">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4、保洁费、消纳费等所有费用须投标单位自行考虑，渣土费不予计取</w:t>
            </w:r>
          </w:p>
          <w:p w14:paraId="7627F27C">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5、投标人自行报价，结算不予调整</w:t>
            </w:r>
          </w:p>
        </w:tc>
        <w:tc>
          <w:tcPr>
            <w:tcW w:w="390" w:type="pct"/>
            <w:tcBorders>
              <w:top w:val="nil"/>
              <w:left w:val="nil"/>
              <w:bottom w:val="single" w:color="000000" w:sz="4" w:space="0"/>
              <w:right w:val="single" w:color="000000" w:sz="4" w:space="0"/>
            </w:tcBorders>
            <w:noWrap w:val="0"/>
            <w:vAlign w:val="center"/>
          </w:tcPr>
          <w:p w14:paraId="288F9462">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m</w:t>
            </w:r>
          </w:p>
        </w:tc>
        <w:tc>
          <w:tcPr>
            <w:tcW w:w="642" w:type="pct"/>
            <w:tcBorders>
              <w:top w:val="nil"/>
              <w:left w:val="nil"/>
              <w:bottom w:val="single" w:color="000000" w:sz="4" w:space="0"/>
              <w:right w:val="single" w:color="000000" w:sz="4" w:space="0"/>
            </w:tcBorders>
            <w:noWrap w:val="0"/>
            <w:vAlign w:val="center"/>
          </w:tcPr>
          <w:p w14:paraId="695ED410">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12</w:t>
            </w:r>
          </w:p>
        </w:tc>
        <w:tc>
          <w:tcPr>
            <w:tcW w:w="670" w:type="pct"/>
            <w:tcBorders>
              <w:top w:val="nil"/>
              <w:left w:val="nil"/>
              <w:bottom w:val="single" w:color="000000" w:sz="4" w:space="0"/>
              <w:right w:val="single" w:color="000000" w:sz="4" w:space="0"/>
            </w:tcBorders>
            <w:noWrap w:val="0"/>
            <w:vAlign w:val="center"/>
          </w:tcPr>
          <w:p w14:paraId="50AA6D13">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656.52</w:t>
            </w:r>
          </w:p>
        </w:tc>
        <w:tc>
          <w:tcPr>
            <w:tcW w:w="670" w:type="pct"/>
            <w:tcBorders>
              <w:top w:val="nil"/>
              <w:left w:val="nil"/>
              <w:bottom w:val="single" w:color="000000" w:sz="4" w:space="0"/>
              <w:right w:val="single" w:color="000000" w:sz="4" w:space="0"/>
            </w:tcBorders>
            <w:noWrap w:val="0"/>
            <w:vAlign w:val="center"/>
          </w:tcPr>
          <w:p w14:paraId="76AEC797">
            <w:pPr>
              <w:widowControl w:val="0"/>
              <w:jc w:val="center"/>
              <w:rPr>
                <w:rFonts w:hint="eastAsia" w:ascii="宋体" w:hAnsi="宋体" w:eastAsia="宋体" w:cs="宋体"/>
                <w:color w:val="auto"/>
                <w:kern w:val="0"/>
                <w:sz w:val="21"/>
                <w:szCs w:val="21"/>
              </w:rPr>
            </w:pPr>
          </w:p>
        </w:tc>
      </w:tr>
      <w:tr w14:paraId="1346BA77">
        <w:tblPrEx>
          <w:tblCellMar>
            <w:top w:w="0" w:type="dxa"/>
            <w:left w:w="108" w:type="dxa"/>
            <w:bottom w:w="0" w:type="dxa"/>
            <w:right w:w="108" w:type="dxa"/>
          </w:tblCellMar>
        </w:tblPrEx>
        <w:trPr>
          <w:trHeight w:val="4192" w:hRule="atLeast"/>
        </w:trPr>
        <w:tc>
          <w:tcPr>
            <w:tcW w:w="354" w:type="pct"/>
            <w:tcBorders>
              <w:top w:val="nil"/>
              <w:left w:val="single" w:color="000000" w:sz="4" w:space="0"/>
              <w:bottom w:val="single" w:color="000000" w:sz="4" w:space="0"/>
              <w:right w:val="single" w:color="000000" w:sz="4" w:space="0"/>
            </w:tcBorders>
            <w:noWrap w:val="0"/>
            <w:vAlign w:val="center"/>
          </w:tcPr>
          <w:p w14:paraId="0BC82B38">
            <w:pPr>
              <w:widowControl w:val="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30</w:t>
            </w:r>
          </w:p>
        </w:tc>
        <w:tc>
          <w:tcPr>
            <w:tcW w:w="755" w:type="pct"/>
            <w:tcBorders>
              <w:top w:val="nil"/>
              <w:left w:val="nil"/>
              <w:bottom w:val="single" w:color="000000" w:sz="4" w:space="0"/>
              <w:right w:val="single" w:color="000000" w:sz="4" w:space="0"/>
            </w:tcBorders>
            <w:noWrap w:val="0"/>
            <w:vAlign w:val="center"/>
          </w:tcPr>
          <w:p w14:paraId="220CA3D2">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新建盖板沟-钢纤维混凝土盖板</w:t>
            </w:r>
          </w:p>
        </w:tc>
        <w:tc>
          <w:tcPr>
            <w:tcW w:w="1516" w:type="pct"/>
            <w:tcBorders>
              <w:top w:val="nil"/>
              <w:left w:val="nil"/>
              <w:bottom w:val="single" w:color="000000" w:sz="4" w:space="0"/>
              <w:right w:val="single" w:color="000000" w:sz="4" w:space="0"/>
            </w:tcBorders>
            <w:noWrap w:val="0"/>
            <w:vAlign w:val="center"/>
          </w:tcPr>
          <w:p w14:paraId="638D8A3A">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1、砖砌盖板沟，宽度25cm，深度1.0m以内，采用50mm厚钢纤维混凝土盖板</w:t>
            </w:r>
          </w:p>
          <w:p w14:paraId="508BEB6A">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2、含开挖、回填、外弃、与管道搭接处理等综合考虑在综合单价中</w:t>
            </w:r>
          </w:p>
          <w:p w14:paraId="77B78491">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3、弃置运距 投标人自行勘察选择规定的弃置场所并自报运距,所有费用要求在综合单价中充分考虑（包含场地倒置费等）</w:t>
            </w:r>
          </w:p>
          <w:p w14:paraId="519DA9CC">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4、保洁费、消纳费等所有费用须投标单位自行考虑，渣土费不予计取</w:t>
            </w:r>
          </w:p>
          <w:p w14:paraId="77FA7382">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5、投标人自行报价，结算不予调整</w:t>
            </w:r>
          </w:p>
        </w:tc>
        <w:tc>
          <w:tcPr>
            <w:tcW w:w="390" w:type="pct"/>
            <w:tcBorders>
              <w:top w:val="nil"/>
              <w:left w:val="nil"/>
              <w:bottom w:val="single" w:color="000000" w:sz="4" w:space="0"/>
              <w:right w:val="single" w:color="000000" w:sz="4" w:space="0"/>
            </w:tcBorders>
            <w:noWrap w:val="0"/>
            <w:vAlign w:val="center"/>
          </w:tcPr>
          <w:p w14:paraId="63B762AF">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m</w:t>
            </w:r>
          </w:p>
        </w:tc>
        <w:tc>
          <w:tcPr>
            <w:tcW w:w="642" w:type="pct"/>
            <w:tcBorders>
              <w:top w:val="nil"/>
              <w:left w:val="nil"/>
              <w:bottom w:val="single" w:color="000000" w:sz="4" w:space="0"/>
              <w:right w:val="single" w:color="000000" w:sz="4" w:space="0"/>
            </w:tcBorders>
            <w:noWrap w:val="0"/>
            <w:vAlign w:val="center"/>
          </w:tcPr>
          <w:p w14:paraId="54B57729">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12</w:t>
            </w:r>
          </w:p>
        </w:tc>
        <w:tc>
          <w:tcPr>
            <w:tcW w:w="670" w:type="pct"/>
            <w:tcBorders>
              <w:top w:val="nil"/>
              <w:left w:val="nil"/>
              <w:bottom w:val="single" w:color="000000" w:sz="4" w:space="0"/>
              <w:right w:val="single" w:color="000000" w:sz="4" w:space="0"/>
            </w:tcBorders>
            <w:noWrap w:val="0"/>
            <w:vAlign w:val="center"/>
          </w:tcPr>
          <w:p w14:paraId="73A5CBF8">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552.14</w:t>
            </w:r>
          </w:p>
        </w:tc>
        <w:tc>
          <w:tcPr>
            <w:tcW w:w="670" w:type="pct"/>
            <w:tcBorders>
              <w:top w:val="nil"/>
              <w:left w:val="nil"/>
              <w:bottom w:val="single" w:color="000000" w:sz="4" w:space="0"/>
              <w:right w:val="single" w:color="000000" w:sz="4" w:space="0"/>
            </w:tcBorders>
            <w:noWrap w:val="0"/>
            <w:vAlign w:val="center"/>
          </w:tcPr>
          <w:p w14:paraId="76C37215">
            <w:pPr>
              <w:widowControl w:val="0"/>
              <w:jc w:val="center"/>
              <w:rPr>
                <w:rFonts w:hint="eastAsia" w:ascii="宋体" w:hAnsi="宋体" w:eastAsia="宋体" w:cs="宋体"/>
                <w:color w:val="auto"/>
                <w:kern w:val="0"/>
                <w:sz w:val="21"/>
                <w:szCs w:val="21"/>
              </w:rPr>
            </w:pPr>
          </w:p>
        </w:tc>
      </w:tr>
      <w:tr w14:paraId="316EFFF1">
        <w:tblPrEx>
          <w:tblCellMar>
            <w:top w:w="0" w:type="dxa"/>
            <w:left w:w="108" w:type="dxa"/>
            <w:bottom w:w="0" w:type="dxa"/>
            <w:right w:w="108" w:type="dxa"/>
          </w:tblCellMar>
        </w:tblPrEx>
        <w:trPr>
          <w:trHeight w:val="3790" w:hRule="atLeast"/>
        </w:trPr>
        <w:tc>
          <w:tcPr>
            <w:tcW w:w="354" w:type="pct"/>
            <w:tcBorders>
              <w:top w:val="nil"/>
              <w:left w:val="single" w:color="000000" w:sz="4" w:space="0"/>
              <w:bottom w:val="single" w:color="000000" w:sz="4" w:space="0"/>
              <w:right w:val="single" w:color="000000" w:sz="4" w:space="0"/>
            </w:tcBorders>
            <w:noWrap w:val="0"/>
            <w:vAlign w:val="center"/>
          </w:tcPr>
          <w:p w14:paraId="7FA08569">
            <w:pPr>
              <w:widowControl w:val="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31</w:t>
            </w:r>
          </w:p>
        </w:tc>
        <w:tc>
          <w:tcPr>
            <w:tcW w:w="755" w:type="pct"/>
            <w:tcBorders>
              <w:top w:val="nil"/>
              <w:left w:val="nil"/>
              <w:bottom w:val="single" w:color="000000" w:sz="8" w:space="0"/>
              <w:right w:val="single" w:color="000000" w:sz="4" w:space="0"/>
            </w:tcBorders>
            <w:noWrap w:val="0"/>
            <w:vAlign w:val="center"/>
          </w:tcPr>
          <w:p w14:paraId="4BFD2141">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更换及新建管道（HDPE200）</w:t>
            </w:r>
          </w:p>
        </w:tc>
        <w:tc>
          <w:tcPr>
            <w:tcW w:w="1516" w:type="pct"/>
            <w:tcBorders>
              <w:top w:val="nil"/>
              <w:left w:val="nil"/>
              <w:bottom w:val="single" w:color="000000" w:sz="8" w:space="0"/>
              <w:right w:val="single" w:color="000000" w:sz="4" w:space="0"/>
            </w:tcBorders>
            <w:noWrap w:val="0"/>
            <w:vAlign w:val="center"/>
          </w:tcPr>
          <w:p w14:paraId="16EF4645">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1、更换仙林大道等收水口损坏管道及零星雨水支管新建（塑料管）管径200HDPE SN-8双壁缠绕波纹管（含10cm砂垫层），深度1.0米以内</w:t>
            </w:r>
          </w:p>
          <w:p w14:paraId="7C6EDE43">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2、含开挖、回填、外弃、原管道及附属拆除、新旧管搭接处理等，其中管道交叉包封处理综合考虑在综合单价中</w:t>
            </w:r>
          </w:p>
          <w:p w14:paraId="36036665">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3、管道两侧及管顶以上10cm范围内采用混凝土包封，按原道路基础结构层恢复。</w:t>
            </w:r>
          </w:p>
          <w:p w14:paraId="3213D5F7">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4、弃置运距 投标人自行勘察选择规定的弃置场所并自报运距,所有费用要求在综合单价中充分考虑（包含场地倒置费等）</w:t>
            </w:r>
          </w:p>
          <w:p w14:paraId="7DBE8150">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5、保洁费、消纳费等所有费用须投标单位自行考虑，渣土费不予计取</w:t>
            </w:r>
          </w:p>
          <w:p w14:paraId="56270220">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6、投标人自行报价，结算不予调整</w:t>
            </w:r>
          </w:p>
        </w:tc>
        <w:tc>
          <w:tcPr>
            <w:tcW w:w="390" w:type="pct"/>
            <w:tcBorders>
              <w:top w:val="nil"/>
              <w:left w:val="nil"/>
              <w:bottom w:val="single" w:color="000000" w:sz="8" w:space="0"/>
              <w:right w:val="single" w:color="000000" w:sz="4" w:space="0"/>
            </w:tcBorders>
            <w:noWrap w:val="0"/>
            <w:vAlign w:val="center"/>
          </w:tcPr>
          <w:p w14:paraId="74A0A072">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m</w:t>
            </w:r>
          </w:p>
        </w:tc>
        <w:tc>
          <w:tcPr>
            <w:tcW w:w="642" w:type="pct"/>
            <w:tcBorders>
              <w:top w:val="nil"/>
              <w:left w:val="nil"/>
              <w:bottom w:val="single" w:color="000000" w:sz="8" w:space="0"/>
              <w:right w:val="single" w:color="000000" w:sz="4" w:space="0"/>
            </w:tcBorders>
            <w:noWrap w:val="0"/>
            <w:vAlign w:val="center"/>
          </w:tcPr>
          <w:p w14:paraId="29AA6A48">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330.98</w:t>
            </w:r>
          </w:p>
        </w:tc>
        <w:tc>
          <w:tcPr>
            <w:tcW w:w="670" w:type="pct"/>
            <w:tcBorders>
              <w:top w:val="nil"/>
              <w:left w:val="nil"/>
              <w:bottom w:val="single" w:color="000000" w:sz="8" w:space="0"/>
              <w:right w:val="single" w:color="000000" w:sz="4" w:space="0"/>
            </w:tcBorders>
            <w:noWrap w:val="0"/>
            <w:vAlign w:val="center"/>
          </w:tcPr>
          <w:p w14:paraId="0D73BC05">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312.16</w:t>
            </w:r>
          </w:p>
        </w:tc>
        <w:tc>
          <w:tcPr>
            <w:tcW w:w="670" w:type="pct"/>
            <w:tcBorders>
              <w:top w:val="nil"/>
              <w:left w:val="nil"/>
              <w:bottom w:val="single" w:color="000000" w:sz="4" w:space="0"/>
              <w:right w:val="single" w:color="000000" w:sz="4" w:space="0"/>
            </w:tcBorders>
            <w:noWrap w:val="0"/>
            <w:vAlign w:val="center"/>
          </w:tcPr>
          <w:p w14:paraId="3ECED5E7">
            <w:pPr>
              <w:widowControl w:val="0"/>
              <w:jc w:val="center"/>
              <w:rPr>
                <w:rFonts w:hint="eastAsia" w:ascii="宋体" w:hAnsi="宋体" w:eastAsia="宋体" w:cs="宋体"/>
                <w:color w:val="auto"/>
                <w:kern w:val="0"/>
                <w:sz w:val="21"/>
                <w:szCs w:val="21"/>
              </w:rPr>
            </w:pPr>
          </w:p>
        </w:tc>
      </w:tr>
      <w:tr w14:paraId="4B943AD6">
        <w:tblPrEx>
          <w:tblCellMar>
            <w:top w:w="0" w:type="dxa"/>
            <w:left w:w="108" w:type="dxa"/>
            <w:bottom w:w="0" w:type="dxa"/>
            <w:right w:w="108" w:type="dxa"/>
          </w:tblCellMar>
        </w:tblPrEx>
        <w:trPr>
          <w:trHeight w:val="4398" w:hRule="atLeast"/>
        </w:trPr>
        <w:tc>
          <w:tcPr>
            <w:tcW w:w="354" w:type="pct"/>
            <w:tcBorders>
              <w:top w:val="nil"/>
              <w:left w:val="single" w:color="000000" w:sz="4" w:space="0"/>
              <w:bottom w:val="single" w:color="000000" w:sz="4" w:space="0"/>
              <w:right w:val="single" w:color="000000" w:sz="4" w:space="0"/>
            </w:tcBorders>
            <w:noWrap w:val="0"/>
            <w:vAlign w:val="center"/>
          </w:tcPr>
          <w:p w14:paraId="2424C63B">
            <w:pPr>
              <w:widowControl w:val="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32</w:t>
            </w:r>
          </w:p>
        </w:tc>
        <w:tc>
          <w:tcPr>
            <w:tcW w:w="755" w:type="pct"/>
            <w:tcBorders>
              <w:top w:val="single" w:color="000000" w:sz="4" w:space="0"/>
              <w:left w:val="nil"/>
              <w:bottom w:val="single" w:color="000000" w:sz="8" w:space="0"/>
              <w:right w:val="single" w:color="000000" w:sz="4" w:space="0"/>
            </w:tcBorders>
            <w:noWrap w:val="0"/>
            <w:vAlign w:val="center"/>
          </w:tcPr>
          <w:p w14:paraId="5B69FC08">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更换及新建管道（HDPE300）</w:t>
            </w:r>
          </w:p>
        </w:tc>
        <w:tc>
          <w:tcPr>
            <w:tcW w:w="1516" w:type="pct"/>
            <w:tcBorders>
              <w:top w:val="single" w:color="000000" w:sz="4" w:space="0"/>
              <w:left w:val="nil"/>
              <w:bottom w:val="single" w:color="000000" w:sz="8" w:space="0"/>
              <w:right w:val="single" w:color="000000" w:sz="4" w:space="0"/>
            </w:tcBorders>
            <w:noWrap w:val="0"/>
            <w:vAlign w:val="center"/>
          </w:tcPr>
          <w:p w14:paraId="6314A62C">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1、更换仙林大道等损坏管道及零星雨水支管新建（塑料管）管径300HDPE SN-8双壁缠绕波纹管（含基础），深度1.5米以内</w:t>
            </w:r>
          </w:p>
          <w:p w14:paraId="635964F5">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2、含开挖、回填、外弃、原管道及附属拆除、新旧管搭接处理等，其中管道交叉包封处理综合考虑在综合单价中</w:t>
            </w:r>
          </w:p>
          <w:p w14:paraId="31C92BAA">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3、管道两侧及管顶以上10cm范围内采用混凝土包封，按原道路基础结构层恢复。</w:t>
            </w:r>
          </w:p>
          <w:p w14:paraId="6DF18DBB">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4、弃置运距 投标人自行勘察选择规定的弃置场所并自报运距,所有费用要求在综合单价中充分考虑（包含场地倒置费等）</w:t>
            </w:r>
          </w:p>
          <w:p w14:paraId="0F733EBF">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5、保洁费、消纳费等所有费用须投标单位自行考虑，渣土费不予计取</w:t>
            </w:r>
          </w:p>
          <w:p w14:paraId="488FBF39">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6、投标人自行报价，结算不予调整</w:t>
            </w:r>
          </w:p>
        </w:tc>
        <w:tc>
          <w:tcPr>
            <w:tcW w:w="390" w:type="pct"/>
            <w:tcBorders>
              <w:top w:val="single" w:color="000000" w:sz="4" w:space="0"/>
              <w:left w:val="nil"/>
              <w:bottom w:val="single" w:color="000000" w:sz="8" w:space="0"/>
              <w:right w:val="single" w:color="000000" w:sz="4" w:space="0"/>
            </w:tcBorders>
            <w:noWrap w:val="0"/>
            <w:vAlign w:val="center"/>
          </w:tcPr>
          <w:p w14:paraId="0359A0F3">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m</w:t>
            </w:r>
          </w:p>
        </w:tc>
        <w:tc>
          <w:tcPr>
            <w:tcW w:w="642" w:type="pct"/>
            <w:tcBorders>
              <w:top w:val="single" w:color="000000" w:sz="4" w:space="0"/>
              <w:left w:val="nil"/>
              <w:bottom w:val="single" w:color="000000" w:sz="8" w:space="0"/>
              <w:right w:val="single" w:color="000000" w:sz="4" w:space="0"/>
            </w:tcBorders>
            <w:noWrap w:val="0"/>
            <w:vAlign w:val="center"/>
          </w:tcPr>
          <w:p w14:paraId="7F396908">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100.5</w:t>
            </w:r>
          </w:p>
        </w:tc>
        <w:tc>
          <w:tcPr>
            <w:tcW w:w="670" w:type="pct"/>
            <w:tcBorders>
              <w:top w:val="single" w:color="000000" w:sz="4" w:space="0"/>
              <w:left w:val="nil"/>
              <w:bottom w:val="single" w:color="000000" w:sz="8" w:space="0"/>
              <w:right w:val="single" w:color="000000" w:sz="4" w:space="0"/>
            </w:tcBorders>
            <w:noWrap w:val="0"/>
            <w:vAlign w:val="center"/>
          </w:tcPr>
          <w:p w14:paraId="5F6E6989">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602.6</w:t>
            </w:r>
          </w:p>
        </w:tc>
        <w:tc>
          <w:tcPr>
            <w:tcW w:w="670" w:type="pct"/>
            <w:tcBorders>
              <w:top w:val="nil"/>
              <w:left w:val="nil"/>
              <w:bottom w:val="single" w:color="000000" w:sz="4" w:space="0"/>
              <w:right w:val="single" w:color="000000" w:sz="4" w:space="0"/>
            </w:tcBorders>
            <w:noWrap w:val="0"/>
            <w:vAlign w:val="center"/>
          </w:tcPr>
          <w:p w14:paraId="5456480D">
            <w:pPr>
              <w:widowControl w:val="0"/>
              <w:jc w:val="center"/>
              <w:rPr>
                <w:rFonts w:hint="eastAsia" w:ascii="宋体" w:hAnsi="宋体" w:eastAsia="宋体" w:cs="宋体"/>
                <w:color w:val="auto"/>
                <w:kern w:val="0"/>
                <w:sz w:val="21"/>
                <w:szCs w:val="21"/>
              </w:rPr>
            </w:pPr>
          </w:p>
        </w:tc>
      </w:tr>
      <w:tr w14:paraId="1D7708B4">
        <w:tblPrEx>
          <w:tblCellMar>
            <w:top w:w="0" w:type="dxa"/>
            <w:left w:w="108" w:type="dxa"/>
            <w:bottom w:w="0" w:type="dxa"/>
            <w:right w:w="108" w:type="dxa"/>
          </w:tblCellMar>
        </w:tblPrEx>
        <w:trPr>
          <w:trHeight w:val="4398" w:hRule="atLeast"/>
        </w:trPr>
        <w:tc>
          <w:tcPr>
            <w:tcW w:w="354" w:type="pct"/>
            <w:tcBorders>
              <w:top w:val="nil"/>
              <w:left w:val="single" w:color="000000" w:sz="4" w:space="0"/>
              <w:bottom w:val="single" w:color="000000" w:sz="4" w:space="0"/>
              <w:right w:val="single" w:color="000000" w:sz="4" w:space="0"/>
            </w:tcBorders>
            <w:noWrap w:val="0"/>
            <w:vAlign w:val="center"/>
          </w:tcPr>
          <w:p w14:paraId="7E4DE11C">
            <w:pPr>
              <w:widowControl w:val="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33</w:t>
            </w:r>
          </w:p>
        </w:tc>
        <w:tc>
          <w:tcPr>
            <w:tcW w:w="755" w:type="pct"/>
            <w:tcBorders>
              <w:top w:val="single" w:color="000000" w:sz="4" w:space="0"/>
              <w:left w:val="nil"/>
              <w:bottom w:val="single" w:color="000000" w:sz="8" w:space="0"/>
              <w:right w:val="single" w:color="000000" w:sz="4" w:space="0"/>
            </w:tcBorders>
            <w:noWrap w:val="0"/>
            <w:vAlign w:val="center"/>
          </w:tcPr>
          <w:p w14:paraId="09F5A4EC">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更换及新建管道（HDPE400）</w:t>
            </w:r>
          </w:p>
        </w:tc>
        <w:tc>
          <w:tcPr>
            <w:tcW w:w="1516" w:type="pct"/>
            <w:tcBorders>
              <w:top w:val="single" w:color="000000" w:sz="4" w:space="0"/>
              <w:left w:val="nil"/>
              <w:bottom w:val="single" w:color="000000" w:sz="8" w:space="0"/>
              <w:right w:val="single" w:color="000000" w:sz="4" w:space="0"/>
            </w:tcBorders>
            <w:noWrap w:val="0"/>
            <w:vAlign w:val="center"/>
          </w:tcPr>
          <w:p w14:paraId="1706CFCB">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1、更换及新建管道（塑料管）管径400HDPE SN-8双壁缠绕波纹管（含基础），深度2.0米以内</w:t>
            </w:r>
          </w:p>
          <w:p w14:paraId="699A08A2">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2、含开挖、回填、外弃、原管道及附属拆除、新旧管搭接处理等，其中调排水、管道封堵、管道交叉包封处理综合考虑在综合单价中，道路基层回填40cm厚级配碎石，再进行面层恢复</w:t>
            </w:r>
          </w:p>
          <w:p w14:paraId="7BF660A2">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3、弃置运距 投标人自行勘察选择规定的弃置场所并自报运距,所有费用要求在综合单价中充分考虑（包含场地倒置费等）</w:t>
            </w:r>
          </w:p>
          <w:p w14:paraId="079F0C8B">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4、保洁费、消纳费等所有费用须投标单位自行考虑，渣土费不予计取</w:t>
            </w:r>
          </w:p>
          <w:p w14:paraId="79F134FF">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5、投标人自行报价，结算不予调整</w:t>
            </w:r>
          </w:p>
        </w:tc>
        <w:tc>
          <w:tcPr>
            <w:tcW w:w="390" w:type="pct"/>
            <w:tcBorders>
              <w:top w:val="single" w:color="000000" w:sz="4" w:space="0"/>
              <w:left w:val="nil"/>
              <w:bottom w:val="single" w:color="000000" w:sz="8" w:space="0"/>
              <w:right w:val="single" w:color="000000" w:sz="4" w:space="0"/>
            </w:tcBorders>
            <w:noWrap w:val="0"/>
            <w:vAlign w:val="center"/>
          </w:tcPr>
          <w:p w14:paraId="21D50E93">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m</w:t>
            </w:r>
          </w:p>
        </w:tc>
        <w:tc>
          <w:tcPr>
            <w:tcW w:w="642" w:type="pct"/>
            <w:tcBorders>
              <w:top w:val="single" w:color="000000" w:sz="4" w:space="0"/>
              <w:left w:val="nil"/>
              <w:bottom w:val="single" w:color="000000" w:sz="8" w:space="0"/>
              <w:right w:val="single" w:color="000000" w:sz="4" w:space="0"/>
            </w:tcBorders>
            <w:noWrap w:val="0"/>
            <w:vAlign w:val="center"/>
          </w:tcPr>
          <w:p w14:paraId="1993B378">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10.05</w:t>
            </w:r>
          </w:p>
        </w:tc>
        <w:tc>
          <w:tcPr>
            <w:tcW w:w="670" w:type="pct"/>
            <w:tcBorders>
              <w:top w:val="single" w:color="000000" w:sz="4" w:space="0"/>
              <w:left w:val="nil"/>
              <w:bottom w:val="single" w:color="000000" w:sz="8" w:space="0"/>
              <w:right w:val="single" w:color="000000" w:sz="4" w:space="0"/>
            </w:tcBorders>
            <w:noWrap w:val="0"/>
            <w:vAlign w:val="center"/>
          </w:tcPr>
          <w:p w14:paraId="5308F9FA">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845.31</w:t>
            </w:r>
          </w:p>
        </w:tc>
        <w:tc>
          <w:tcPr>
            <w:tcW w:w="670" w:type="pct"/>
            <w:tcBorders>
              <w:top w:val="nil"/>
              <w:left w:val="nil"/>
              <w:bottom w:val="single" w:color="000000" w:sz="4" w:space="0"/>
              <w:right w:val="single" w:color="000000" w:sz="4" w:space="0"/>
            </w:tcBorders>
            <w:noWrap w:val="0"/>
            <w:vAlign w:val="center"/>
          </w:tcPr>
          <w:p w14:paraId="1AEF3AE9">
            <w:pPr>
              <w:widowControl w:val="0"/>
              <w:jc w:val="center"/>
              <w:rPr>
                <w:rFonts w:hint="eastAsia" w:ascii="宋体" w:hAnsi="宋体" w:eastAsia="宋体" w:cs="宋体"/>
                <w:color w:val="auto"/>
                <w:kern w:val="0"/>
                <w:sz w:val="21"/>
                <w:szCs w:val="21"/>
              </w:rPr>
            </w:pPr>
          </w:p>
        </w:tc>
      </w:tr>
      <w:tr w14:paraId="3AD72214">
        <w:tblPrEx>
          <w:tblCellMar>
            <w:top w:w="0" w:type="dxa"/>
            <w:left w:w="108" w:type="dxa"/>
            <w:bottom w:w="0" w:type="dxa"/>
            <w:right w:w="108" w:type="dxa"/>
          </w:tblCellMar>
        </w:tblPrEx>
        <w:trPr>
          <w:trHeight w:val="1408" w:hRule="atLeast"/>
        </w:trPr>
        <w:tc>
          <w:tcPr>
            <w:tcW w:w="354" w:type="pct"/>
            <w:tcBorders>
              <w:top w:val="nil"/>
              <w:left w:val="single" w:color="000000" w:sz="4" w:space="0"/>
              <w:bottom w:val="single" w:color="000000" w:sz="4" w:space="0"/>
              <w:right w:val="single" w:color="000000" w:sz="4" w:space="0"/>
            </w:tcBorders>
            <w:noWrap w:val="0"/>
            <w:vAlign w:val="center"/>
          </w:tcPr>
          <w:p w14:paraId="105EF48C">
            <w:pPr>
              <w:widowControl w:val="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34</w:t>
            </w:r>
          </w:p>
        </w:tc>
        <w:tc>
          <w:tcPr>
            <w:tcW w:w="755" w:type="pct"/>
            <w:tcBorders>
              <w:top w:val="single" w:color="000000" w:sz="4" w:space="0"/>
              <w:left w:val="nil"/>
              <w:bottom w:val="single" w:color="000000" w:sz="8" w:space="0"/>
              <w:right w:val="single" w:color="000000" w:sz="4" w:space="0"/>
            </w:tcBorders>
            <w:noWrap w:val="0"/>
            <w:vAlign w:val="center"/>
          </w:tcPr>
          <w:p w14:paraId="7100353B">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更换管道（HDPE500）</w:t>
            </w:r>
          </w:p>
        </w:tc>
        <w:tc>
          <w:tcPr>
            <w:tcW w:w="1516" w:type="pct"/>
            <w:tcBorders>
              <w:top w:val="single" w:color="000000" w:sz="4" w:space="0"/>
              <w:left w:val="nil"/>
              <w:bottom w:val="single" w:color="000000" w:sz="8" w:space="0"/>
              <w:right w:val="single" w:color="000000" w:sz="4" w:space="0"/>
            </w:tcBorders>
            <w:noWrap w:val="0"/>
            <w:vAlign w:val="center"/>
          </w:tcPr>
          <w:p w14:paraId="24E1E5FA">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更换损坏管道，管道埋深2.0米以内(主要更换九乡河东路、仙林中心站东侧等塌陷塑料管道）</w:t>
            </w:r>
          </w:p>
          <w:p w14:paraId="0DE30E48">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1、更换管道（塑料管）管径500HDPE SN-12双壁缠绕波纹管（含基础）</w:t>
            </w:r>
          </w:p>
          <w:p w14:paraId="45B077D8">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2、含开挖、回填、渣土外弃、原管道及附属拆除、新旧管搭接处理等，其中调排水、管道封堵、管道交叉包封处理综合考虑在综合单价中，道路基层回填60cm厚级配碎石，再进行面层恢复</w:t>
            </w:r>
          </w:p>
          <w:p w14:paraId="3C5DE97F">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3、弃置运距 投标人自行勘察选择规定的弃置场所并自报运距,所有费用要求在综合单价中充分考虑（包含场地倒置费等）</w:t>
            </w:r>
          </w:p>
          <w:p w14:paraId="3E230689">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4、保洁费、消纳费等所有费用须投标单位自行考虑，渣土费不予计取</w:t>
            </w:r>
          </w:p>
          <w:p w14:paraId="3C239CD3">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5、投标人自行报价，结算不予调整</w:t>
            </w:r>
          </w:p>
        </w:tc>
        <w:tc>
          <w:tcPr>
            <w:tcW w:w="390" w:type="pct"/>
            <w:tcBorders>
              <w:top w:val="single" w:color="000000" w:sz="4" w:space="0"/>
              <w:left w:val="nil"/>
              <w:bottom w:val="single" w:color="000000" w:sz="8" w:space="0"/>
              <w:right w:val="single" w:color="000000" w:sz="4" w:space="0"/>
            </w:tcBorders>
            <w:noWrap w:val="0"/>
            <w:vAlign w:val="center"/>
          </w:tcPr>
          <w:p w14:paraId="3BF9EA98">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m</w:t>
            </w:r>
          </w:p>
        </w:tc>
        <w:tc>
          <w:tcPr>
            <w:tcW w:w="642" w:type="pct"/>
            <w:tcBorders>
              <w:top w:val="single" w:color="000000" w:sz="4" w:space="0"/>
              <w:left w:val="nil"/>
              <w:bottom w:val="single" w:color="000000" w:sz="8" w:space="0"/>
              <w:right w:val="single" w:color="000000" w:sz="4" w:space="0"/>
            </w:tcBorders>
            <w:noWrap w:val="0"/>
            <w:vAlign w:val="center"/>
          </w:tcPr>
          <w:p w14:paraId="13D61B4D">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12.06</w:t>
            </w:r>
          </w:p>
        </w:tc>
        <w:tc>
          <w:tcPr>
            <w:tcW w:w="670" w:type="pct"/>
            <w:tcBorders>
              <w:top w:val="single" w:color="000000" w:sz="4" w:space="0"/>
              <w:left w:val="nil"/>
              <w:bottom w:val="single" w:color="000000" w:sz="8" w:space="0"/>
              <w:right w:val="single" w:color="000000" w:sz="4" w:space="0"/>
            </w:tcBorders>
            <w:noWrap w:val="0"/>
            <w:vAlign w:val="center"/>
          </w:tcPr>
          <w:p w14:paraId="7177DE74">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1310.75</w:t>
            </w:r>
          </w:p>
        </w:tc>
        <w:tc>
          <w:tcPr>
            <w:tcW w:w="670" w:type="pct"/>
            <w:tcBorders>
              <w:top w:val="nil"/>
              <w:left w:val="nil"/>
              <w:bottom w:val="single" w:color="000000" w:sz="4" w:space="0"/>
              <w:right w:val="single" w:color="000000" w:sz="4" w:space="0"/>
            </w:tcBorders>
            <w:noWrap w:val="0"/>
            <w:vAlign w:val="center"/>
          </w:tcPr>
          <w:p w14:paraId="3DA712B3">
            <w:pPr>
              <w:widowControl w:val="0"/>
              <w:jc w:val="center"/>
              <w:rPr>
                <w:rFonts w:hint="eastAsia" w:ascii="宋体" w:hAnsi="宋体" w:eastAsia="宋体" w:cs="宋体"/>
                <w:color w:val="auto"/>
                <w:kern w:val="0"/>
                <w:sz w:val="21"/>
                <w:szCs w:val="21"/>
              </w:rPr>
            </w:pPr>
          </w:p>
        </w:tc>
      </w:tr>
      <w:tr w14:paraId="21A8B795">
        <w:tblPrEx>
          <w:tblCellMar>
            <w:top w:w="0" w:type="dxa"/>
            <w:left w:w="108" w:type="dxa"/>
            <w:bottom w:w="0" w:type="dxa"/>
            <w:right w:w="108" w:type="dxa"/>
          </w:tblCellMar>
        </w:tblPrEx>
        <w:trPr>
          <w:trHeight w:val="1317" w:hRule="atLeast"/>
        </w:trPr>
        <w:tc>
          <w:tcPr>
            <w:tcW w:w="354" w:type="pct"/>
            <w:tcBorders>
              <w:top w:val="nil"/>
              <w:left w:val="single" w:color="000000" w:sz="4" w:space="0"/>
              <w:bottom w:val="single" w:color="000000" w:sz="4" w:space="0"/>
              <w:right w:val="single" w:color="000000" w:sz="4" w:space="0"/>
            </w:tcBorders>
            <w:noWrap w:val="0"/>
            <w:vAlign w:val="center"/>
          </w:tcPr>
          <w:p w14:paraId="42884E1B">
            <w:pPr>
              <w:widowControl w:val="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35</w:t>
            </w:r>
          </w:p>
        </w:tc>
        <w:tc>
          <w:tcPr>
            <w:tcW w:w="755" w:type="pct"/>
            <w:tcBorders>
              <w:top w:val="single" w:color="000000" w:sz="4" w:space="0"/>
              <w:left w:val="nil"/>
              <w:bottom w:val="single" w:color="000000" w:sz="4" w:space="0"/>
              <w:right w:val="single" w:color="000000" w:sz="4" w:space="0"/>
            </w:tcBorders>
            <w:noWrap w:val="0"/>
            <w:vAlign w:val="center"/>
          </w:tcPr>
          <w:p w14:paraId="353541A0">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DN300-DN400管道局部树脂固化修复、不锈钢双胀环修复、不锈钢快速锁修复</w:t>
            </w:r>
          </w:p>
        </w:tc>
        <w:tc>
          <w:tcPr>
            <w:tcW w:w="1516" w:type="pct"/>
            <w:tcBorders>
              <w:top w:val="single" w:color="000000" w:sz="4" w:space="0"/>
              <w:left w:val="nil"/>
              <w:bottom w:val="single" w:color="000000" w:sz="4" w:space="0"/>
              <w:right w:val="single" w:color="000000" w:sz="4" w:space="0"/>
            </w:tcBorders>
            <w:noWrap w:val="0"/>
            <w:vAlign w:val="center"/>
          </w:tcPr>
          <w:p w14:paraId="06C7199E">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1.主要用于九乡河西路、九乡河东路及仙林大道等原局部变形、破裂损坏塑料管道局部修复，（排水、封堵费用另计）</w:t>
            </w:r>
          </w:p>
          <w:p w14:paraId="35D69AA7">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2、含有毒气体测试、防护措施等费用，结算时不调整</w:t>
            </w:r>
          </w:p>
        </w:tc>
        <w:tc>
          <w:tcPr>
            <w:tcW w:w="390" w:type="pct"/>
            <w:tcBorders>
              <w:top w:val="single" w:color="000000" w:sz="4" w:space="0"/>
              <w:left w:val="nil"/>
              <w:bottom w:val="single" w:color="000000" w:sz="4" w:space="0"/>
              <w:right w:val="single" w:color="000000" w:sz="4" w:space="0"/>
            </w:tcBorders>
            <w:noWrap w:val="0"/>
            <w:vAlign w:val="center"/>
          </w:tcPr>
          <w:p w14:paraId="3D76771A">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点</w:t>
            </w:r>
          </w:p>
        </w:tc>
        <w:tc>
          <w:tcPr>
            <w:tcW w:w="642" w:type="pct"/>
            <w:tcBorders>
              <w:top w:val="single" w:color="000000" w:sz="4" w:space="0"/>
              <w:left w:val="nil"/>
              <w:bottom w:val="single" w:color="000000" w:sz="4" w:space="0"/>
              <w:right w:val="single" w:color="000000" w:sz="4" w:space="0"/>
            </w:tcBorders>
            <w:noWrap w:val="0"/>
            <w:vAlign w:val="center"/>
          </w:tcPr>
          <w:p w14:paraId="5C6F71BE">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7</w:t>
            </w:r>
          </w:p>
        </w:tc>
        <w:tc>
          <w:tcPr>
            <w:tcW w:w="670" w:type="pct"/>
            <w:tcBorders>
              <w:top w:val="single" w:color="000000" w:sz="4" w:space="0"/>
              <w:left w:val="nil"/>
              <w:bottom w:val="single" w:color="000000" w:sz="4" w:space="0"/>
              <w:right w:val="single" w:color="000000" w:sz="4" w:space="0"/>
            </w:tcBorders>
            <w:noWrap w:val="0"/>
            <w:vAlign w:val="center"/>
          </w:tcPr>
          <w:p w14:paraId="588FF2B6">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2278.66</w:t>
            </w:r>
          </w:p>
        </w:tc>
        <w:tc>
          <w:tcPr>
            <w:tcW w:w="670" w:type="pct"/>
            <w:tcBorders>
              <w:top w:val="nil"/>
              <w:left w:val="nil"/>
              <w:bottom w:val="single" w:color="000000" w:sz="4" w:space="0"/>
              <w:right w:val="single" w:color="000000" w:sz="4" w:space="0"/>
            </w:tcBorders>
            <w:noWrap w:val="0"/>
            <w:vAlign w:val="center"/>
          </w:tcPr>
          <w:p w14:paraId="6E84662A">
            <w:pPr>
              <w:widowControl w:val="0"/>
              <w:jc w:val="center"/>
              <w:rPr>
                <w:rFonts w:hint="eastAsia" w:ascii="宋体" w:hAnsi="宋体" w:eastAsia="宋体" w:cs="宋体"/>
                <w:color w:val="auto"/>
                <w:kern w:val="0"/>
                <w:sz w:val="21"/>
                <w:szCs w:val="21"/>
              </w:rPr>
            </w:pPr>
          </w:p>
        </w:tc>
      </w:tr>
      <w:tr w14:paraId="6A95B423">
        <w:tblPrEx>
          <w:tblCellMar>
            <w:top w:w="0" w:type="dxa"/>
            <w:left w:w="108" w:type="dxa"/>
            <w:bottom w:w="0" w:type="dxa"/>
            <w:right w:w="108" w:type="dxa"/>
          </w:tblCellMar>
        </w:tblPrEx>
        <w:trPr>
          <w:trHeight w:val="1317" w:hRule="atLeast"/>
        </w:trPr>
        <w:tc>
          <w:tcPr>
            <w:tcW w:w="354" w:type="pct"/>
            <w:tcBorders>
              <w:top w:val="nil"/>
              <w:left w:val="single" w:color="000000" w:sz="4" w:space="0"/>
              <w:bottom w:val="single" w:color="000000" w:sz="4" w:space="0"/>
              <w:right w:val="single" w:color="000000" w:sz="4" w:space="0"/>
            </w:tcBorders>
            <w:noWrap w:val="0"/>
            <w:vAlign w:val="center"/>
          </w:tcPr>
          <w:p w14:paraId="118AC4FD">
            <w:pPr>
              <w:widowControl w:val="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36</w:t>
            </w:r>
          </w:p>
        </w:tc>
        <w:tc>
          <w:tcPr>
            <w:tcW w:w="755" w:type="pct"/>
            <w:tcBorders>
              <w:top w:val="nil"/>
              <w:left w:val="nil"/>
              <w:bottom w:val="single" w:color="000000" w:sz="4" w:space="0"/>
              <w:right w:val="single" w:color="000000" w:sz="4" w:space="0"/>
            </w:tcBorders>
            <w:noWrap w:val="0"/>
            <w:vAlign w:val="center"/>
          </w:tcPr>
          <w:p w14:paraId="2FF26CEE">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DN500-DN600管道局部树脂固化修复</w:t>
            </w:r>
          </w:p>
        </w:tc>
        <w:tc>
          <w:tcPr>
            <w:tcW w:w="1516" w:type="pct"/>
            <w:tcBorders>
              <w:top w:val="nil"/>
              <w:left w:val="nil"/>
              <w:bottom w:val="single" w:color="000000" w:sz="4" w:space="0"/>
              <w:right w:val="single" w:color="000000" w:sz="4" w:space="0"/>
            </w:tcBorders>
            <w:noWrap w:val="0"/>
            <w:vAlign w:val="center"/>
          </w:tcPr>
          <w:p w14:paraId="675C70A8">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1.主要用于九乡河西路、九乡河东路、学海路及仙林大道等原局部变形、破裂损坏塑料管道局部修复，（排水、封堵费用另计）</w:t>
            </w:r>
          </w:p>
          <w:p w14:paraId="0059B3A0">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2、含有毒气体测试、防护措施等费用，结算时不调整</w:t>
            </w:r>
          </w:p>
        </w:tc>
        <w:tc>
          <w:tcPr>
            <w:tcW w:w="390" w:type="pct"/>
            <w:tcBorders>
              <w:top w:val="nil"/>
              <w:left w:val="nil"/>
              <w:bottom w:val="single" w:color="000000" w:sz="4" w:space="0"/>
              <w:right w:val="single" w:color="000000" w:sz="4" w:space="0"/>
            </w:tcBorders>
            <w:noWrap w:val="0"/>
            <w:vAlign w:val="center"/>
          </w:tcPr>
          <w:p w14:paraId="679C6A15">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点</w:t>
            </w:r>
          </w:p>
        </w:tc>
        <w:tc>
          <w:tcPr>
            <w:tcW w:w="642" w:type="pct"/>
            <w:tcBorders>
              <w:top w:val="nil"/>
              <w:left w:val="nil"/>
              <w:bottom w:val="single" w:color="000000" w:sz="4" w:space="0"/>
              <w:right w:val="single" w:color="000000" w:sz="4" w:space="0"/>
            </w:tcBorders>
            <w:noWrap w:val="0"/>
            <w:vAlign w:val="center"/>
          </w:tcPr>
          <w:p w14:paraId="3D6B9945">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7</w:t>
            </w:r>
          </w:p>
        </w:tc>
        <w:tc>
          <w:tcPr>
            <w:tcW w:w="670" w:type="pct"/>
            <w:tcBorders>
              <w:top w:val="nil"/>
              <w:left w:val="nil"/>
              <w:bottom w:val="single" w:color="000000" w:sz="4" w:space="0"/>
              <w:right w:val="single" w:color="000000" w:sz="4" w:space="0"/>
            </w:tcBorders>
            <w:noWrap w:val="0"/>
            <w:vAlign w:val="center"/>
          </w:tcPr>
          <w:p w14:paraId="58302C75">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3266.3</w:t>
            </w:r>
          </w:p>
        </w:tc>
        <w:tc>
          <w:tcPr>
            <w:tcW w:w="670" w:type="pct"/>
            <w:tcBorders>
              <w:top w:val="nil"/>
              <w:left w:val="nil"/>
              <w:bottom w:val="single" w:color="000000" w:sz="4" w:space="0"/>
              <w:right w:val="single" w:color="000000" w:sz="4" w:space="0"/>
            </w:tcBorders>
            <w:noWrap w:val="0"/>
            <w:vAlign w:val="center"/>
          </w:tcPr>
          <w:p w14:paraId="5D40BDD0">
            <w:pPr>
              <w:widowControl w:val="0"/>
              <w:jc w:val="center"/>
              <w:rPr>
                <w:rFonts w:hint="eastAsia" w:ascii="宋体" w:hAnsi="宋体" w:eastAsia="宋体" w:cs="宋体"/>
                <w:color w:val="auto"/>
                <w:kern w:val="0"/>
                <w:sz w:val="21"/>
                <w:szCs w:val="21"/>
              </w:rPr>
            </w:pPr>
          </w:p>
        </w:tc>
      </w:tr>
      <w:tr w14:paraId="2CAF054B">
        <w:tblPrEx>
          <w:tblCellMar>
            <w:top w:w="0" w:type="dxa"/>
            <w:left w:w="108" w:type="dxa"/>
            <w:bottom w:w="0" w:type="dxa"/>
            <w:right w:w="108" w:type="dxa"/>
          </w:tblCellMar>
        </w:tblPrEx>
        <w:trPr>
          <w:trHeight w:val="1125" w:hRule="atLeast"/>
        </w:trPr>
        <w:tc>
          <w:tcPr>
            <w:tcW w:w="354" w:type="pct"/>
            <w:tcBorders>
              <w:top w:val="nil"/>
              <w:left w:val="single" w:color="000000" w:sz="4" w:space="0"/>
              <w:bottom w:val="single" w:color="000000" w:sz="4" w:space="0"/>
              <w:right w:val="single" w:color="000000" w:sz="4" w:space="0"/>
            </w:tcBorders>
            <w:noWrap w:val="0"/>
            <w:vAlign w:val="center"/>
          </w:tcPr>
          <w:p w14:paraId="764E40A4">
            <w:pPr>
              <w:widowControl w:val="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37</w:t>
            </w:r>
          </w:p>
        </w:tc>
        <w:tc>
          <w:tcPr>
            <w:tcW w:w="755" w:type="pct"/>
            <w:tcBorders>
              <w:top w:val="nil"/>
              <w:left w:val="nil"/>
              <w:bottom w:val="single" w:color="000000" w:sz="4" w:space="0"/>
              <w:right w:val="single" w:color="000000" w:sz="4" w:space="0"/>
            </w:tcBorders>
            <w:noWrap w:val="0"/>
            <w:vAlign w:val="center"/>
          </w:tcPr>
          <w:p w14:paraId="5DAE3481">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φ800-φ1200砼管内钢套环内衬修复</w:t>
            </w:r>
          </w:p>
        </w:tc>
        <w:tc>
          <w:tcPr>
            <w:tcW w:w="1516" w:type="pct"/>
            <w:tcBorders>
              <w:top w:val="nil"/>
              <w:left w:val="nil"/>
              <w:bottom w:val="single" w:color="000000" w:sz="4" w:space="0"/>
              <w:right w:val="single" w:color="000000" w:sz="4" w:space="0"/>
            </w:tcBorders>
            <w:noWrap w:val="0"/>
            <w:vAlign w:val="center"/>
          </w:tcPr>
          <w:p w14:paraId="4E139AEF">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1.主要用于九乡河西路羊山公园桥下等局部塌陷管道维修，采用人工掏挖，φ1000钢管焊接，每环宽度40cm以内</w:t>
            </w:r>
          </w:p>
          <w:p w14:paraId="61B8409B">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2、含有毒气体测试、防护措施等费用，结算时不调整</w:t>
            </w:r>
          </w:p>
        </w:tc>
        <w:tc>
          <w:tcPr>
            <w:tcW w:w="390" w:type="pct"/>
            <w:tcBorders>
              <w:top w:val="nil"/>
              <w:left w:val="nil"/>
              <w:bottom w:val="single" w:color="000000" w:sz="4" w:space="0"/>
              <w:right w:val="single" w:color="000000" w:sz="4" w:space="0"/>
            </w:tcBorders>
            <w:noWrap w:val="0"/>
            <w:vAlign w:val="center"/>
          </w:tcPr>
          <w:p w14:paraId="1AF67B5A">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环</w:t>
            </w:r>
          </w:p>
        </w:tc>
        <w:tc>
          <w:tcPr>
            <w:tcW w:w="642" w:type="pct"/>
            <w:tcBorders>
              <w:top w:val="nil"/>
              <w:left w:val="nil"/>
              <w:bottom w:val="single" w:color="000000" w:sz="4" w:space="0"/>
              <w:right w:val="single" w:color="000000" w:sz="4" w:space="0"/>
            </w:tcBorders>
            <w:noWrap w:val="0"/>
            <w:vAlign w:val="center"/>
          </w:tcPr>
          <w:p w14:paraId="71CA812E">
            <w:pPr>
              <w:widowControl w:val="0"/>
              <w:jc w:val="left"/>
              <w:rPr>
                <w:rFonts w:hint="eastAsia" w:ascii="宋体" w:hAnsi="宋体" w:eastAsia="宋体" w:cs="宋体"/>
                <w:color w:val="auto"/>
                <w:kern w:val="0"/>
                <w:sz w:val="21"/>
                <w:szCs w:val="21"/>
                <w:lang w:eastAsia="zh-CN"/>
              </w:rPr>
            </w:pPr>
            <w:r>
              <w:rPr>
                <w:rFonts w:hint="eastAsia" w:ascii="宋体" w:hAnsi="宋体" w:cs="宋体"/>
                <w:color w:val="auto"/>
                <w:kern w:val="0"/>
                <w:sz w:val="21"/>
                <w:szCs w:val="21"/>
                <w:lang w:val="en-US" w:eastAsia="zh-CN"/>
              </w:rPr>
              <w:t>3</w:t>
            </w:r>
          </w:p>
        </w:tc>
        <w:tc>
          <w:tcPr>
            <w:tcW w:w="670" w:type="pct"/>
            <w:tcBorders>
              <w:top w:val="nil"/>
              <w:left w:val="nil"/>
              <w:bottom w:val="single" w:color="000000" w:sz="4" w:space="0"/>
              <w:right w:val="single" w:color="000000" w:sz="4" w:space="0"/>
            </w:tcBorders>
            <w:noWrap w:val="0"/>
            <w:vAlign w:val="center"/>
          </w:tcPr>
          <w:p w14:paraId="30E58ED6">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8844.91</w:t>
            </w:r>
          </w:p>
        </w:tc>
        <w:tc>
          <w:tcPr>
            <w:tcW w:w="670" w:type="pct"/>
            <w:tcBorders>
              <w:top w:val="nil"/>
              <w:left w:val="nil"/>
              <w:bottom w:val="single" w:color="000000" w:sz="4" w:space="0"/>
              <w:right w:val="single" w:color="000000" w:sz="4" w:space="0"/>
            </w:tcBorders>
            <w:noWrap w:val="0"/>
            <w:vAlign w:val="center"/>
          </w:tcPr>
          <w:p w14:paraId="4CA36039">
            <w:pPr>
              <w:widowControl w:val="0"/>
              <w:jc w:val="center"/>
              <w:rPr>
                <w:rFonts w:hint="eastAsia" w:ascii="宋体" w:hAnsi="宋体" w:eastAsia="宋体" w:cs="宋体"/>
                <w:color w:val="auto"/>
                <w:kern w:val="0"/>
                <w:sz w:val="21"/>
                <w:szCs w:val="21"/>
              </w:rPr>
            </w:pPr>
          </w:p>
        </w:tc>
      </w:tr>
      <w:tr w14:paraId="15E895AD">
        <w:tblPrEx>
          <w:tblCellMar>
            <w:top w:w="0" w:type="dxa"/>
            <w:left w:w="108" w:type="dxa"/>
            <w:bottom w:w="0" w:type="dxa"/>
            <w:right w:w="108" w:type="dxa"/>
          </w:tblCellMar>
        </w:tblPrEx>
        <w:trPr>
          <w:trHeight w:val="533" w:hRule="atLeast"/>
        </w:trPr>
        <w:tc>
          <w:tcPr>
            <w:tcW w:w="354" w:type="pct"/>
            <w:tcBorders>
              <w:top w:val="nil"/>
              <w:left w:val="single" w:color="000000" w:sz="4" w:space="0"/>
              <w:bottom w:val="single" w:color="000000" w:sz="4" w:space="0"/>
              <w:right w:val="single" w:color="000000" w:sz="4" w:space="0"/>
            </w:tcBorders>
            <w:noWrap w:val="0"/>
            <w:vAlign w:val="center"/>
          </w:tcPr>
          <w:p w14:paraId="43DF421A">
            <w:pPr>
              <w:widowControl w:val="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38</w:t>
            </w:r>
          </w:p>
        </w:tc>
        <w:tc>
          <w:tcPr>
            <w:tcW w:w="755" w:type="pct"/>
            <w:tcBorders>
              <w:top w:val="nil"/>
              <w:left w:val="nil"/>
              <w:bottom w:val="single" w:color="000000" w:sz="4" w:space="0"/>
              <w:right w:val="single" w:color="000000" w:sz="4" w:space="0"/>
            </w:tcBorders>
            <w:noWrap w:val="0"/>
            <w:vAlign w:val="center"/>
          </w:tcPr>
          <w:p w14:paraId="5037E8F4">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φ200-φ300PE短管内衬修复</w:t>
            </w:r>
          </w:p>
        </w:tc>
        <w:tc>
          <w:tcPr>
            <w:tcW w:w="1516" w:type="pct"/>
            <w:tcBorders>
              <w:top w:val="nil"/>
              <w:left w:val="nil"/>
              <w:bottom w:val="single" w:color="000000" w:sz="4" w:space="0"/>
              <w:right w:val="single" w:color="000000" w:sz="4" w:space="0"/>
            </w:tcBorders>
            <w:noWrap w:val="0"/>
            <w:vAlign w:val="center"/>
          </w:tcPr>
          <w:p w14:paraId="4B2A92A1">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1.主要用于九乡河东路及仙林大道等原局部变形、破裂损坏塑料管道整段修复</w:t>
            </w:r>
          </w:p>
          <w:p w14:paraId="2300BD2B">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2、含有毒气体测试、防护措施等费用，结算时不调整</w:t>
            </w:r>
          </w:p>
        </w:tc>
        <w:tc>
          <w:tcPr>
            <w:tcW w:w="390" w:type="pct"/>
            <w:tcBorders>
              <w:top w:val="nil"/>
              <w:left w:val="nil"/>
              <w:bottom w:val="single" w:color="000000" w:sz="4" w:space="0"/>
              <w:right w:val="single" w:color="000000" w:sz="4" w:space="0"/>
            </w:tcBorders>
            <w:noWrap w:val="0"/>
            <w:vAlign w:val="center"/>
          </w:tcPr>
          <w:p w14:paraId="7311969C">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米</w:t>
            </w:r>
          </w:p>
        </w:tc>
        <w:tc>
          <w:tcPr>
            <w:tcW w:w="642" w:type="pct"/>
            <w:tcBorders>
              <w:top w:val="nil"/>
              <w:left w:val="nil"/>
              <w:bottom w:val="single" w:color="000000" w:sz="4" w:space="0"/>
              <w:right w:val="single" w:color="000000" w:sz="4" w:space="0"/>
            </w:tcBorders>
            <w:noWrap w:val="0"/>
            <w:vAlign w:val="center"/>
          </w:tcPr>
          <w:p w14:paraId="137F0213">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10.05</w:t>
            </w:r>
          </w:p>
        </w:tc>
        <w:tc>
          <w:tcPr>
            <w:tcW w:w="670" w:type="pct"/>
            <w:tcBorders>
              <w:top w:val="nil"/>
              <w:left w:val="nil"/>
              <w:bottom w:val="single" w:color="000000" w:sz="4" w:space="0"/>
              <w:right w:val="single" w:color="000000" w:sz="4" w:space="0"/>
            </w:tcBorders>
            <w:noWrap w:val="0"/>
            <w:vAlign w:val="center"/>
          </w:tcPr>
          <w:p w14:paraId="778DC5DB">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1304.82</w:t>
            </w:r>
          </w:p>
        </w:tc>
        <w:tc>
          <w:tcPr>
            <w:tcW w:w="670" w:type="pct"/>
            <w:tcBorders>
              <w:top w:val="nil"/>
              <w:left w:val="nil"/>
              <w:bottom w:val="single" w:color="000000" w:sz="4" w:space="0"/>
              <w:right w:val="single" w:color="000000" w:sz="4" w:space="0"/>
            </w:tcBorders>
            <w:noWrap w:val="0"/>
            <w:vAlign w:val="center"/>
          </w:tcPr>
          <w:p w14:paraId="261C8B52">
            <w:pPr>
              <w:widowControl w:val="0"/>
              <w:jc w:val="center"/>
              <w:rPr>
                <w:rFonts w:hint="eastAsia" w:ascii="宋体" w:hAnsi="宋体" w:eastAsia="宋体" w:cs="宋体"/>
                <w:color w:val="auto"/>
                <w:kern w:val="0"/>
                <w:sz w:val="21"/>
                <w:szCs w:val="21"/>
              </w:rPr>
            </w:pPr>
          </w:p>
        </w:tc>
      </w:tr>
      <w:tr w14:paraId="438CB3EF">
        <w:tblPrEx>
          <w:tblCellMar>
            <w:top w:w="0" w:type="dxa"/>
            <w:left w:w="108" w:type="dxa"/>
            <w:bottom w:w="0" w:type="dxa"/>
            <w:right w:w="108" w:type="dxa"/>
          </w:tblCellMar>
        </w:tblPrEx>
        <w:trPr>
          <w:trHeight w:val="533" w:hRule="atLeast"/>
        </w:trPr>
        <w:tc>
          <w:tcPr>
            <w:tcW w:w="354" w:type="pct"/>
            <w:tcBorders>
              <w:top w:val="nil"/>
              <w:left w:val="single" w:color="000000" w:sz="4" w:space="0"/>
              <w:bottom w:val="single" w:color="000000" w:sz="4" w:space="0"/>
              <w:right w:val="single" w:color="000000" w:sz="4" w:space="0"/>
            </w:tcBorders>
            <w:noWrap w:val="0"/>
            <w:vAlign w:val="center"/>
          </w:tcPr>
          <w:p w14:paraId="0D046377">
            <w:pPr>
              <w:widowControl w:val="0"/>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39</w:t>
            </w:r>
          </w:p>
        </w:tc>
        <w:tc>
          <w:tcPr>
            <w:tcW w:w="755" w:type="pct"/>
            <w:tcBorders>
              <w:top w:val="nil"/>
              <w:left w:val="nil"/>
              <w:bottom w:val="single" w:color="000000" w:sz="4" w:space="0"/>
              <w:right w:val="single" w:color="000000" w:sz="4" w:space="0"/>
            </w:tcBorders>
            <w:noWrap w:val="0"/>
            <w:vAlign w:val="center"/>
          </w:tcPr>
          <w:p w14:paraId="49FB75EE">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φ350-φ450PE短管内衬修复</w:t>
            </w:r>
          </w:p>
        </w:tc>
        <w:tc>
          <w:tcPr>
            <w:tcW w:w="1516" w:type="pct"/>
            <w:tcBorders>
              <w:top w:val="nil"/>
              <w:left w:val="nil"/>
              <w:bottom w:val="single" w:color="000000" w:sz="4" w:space="0"/>
              <w:right w:val="single" w:color="000000" w:sz="4" w:space="0"/>
            </w:tcBorders>
            <w:noWrap w:val="0"/>
            <w:vAlign w:val="center"/>
          </w:tcPr>
          <w:p w14:paraId="32BF5D76">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1.主要用于九乡河东路及仙林大道等原局部变形、破裂损坏塑料管道整段修复</w:t>
            </w:r>
          </w:p>
          <w:p w14:paraId="3AFA1160">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2、含有毒气体测试、防护措施等费用，结算时不调整</w:t>
            </w:r>
          </w:p>
        </w:tc>
        <w:tc>
          <w:tcPr>
            <w:tcW w:w="390" w:type="pct"/>
            <w:tcBorders>
              <w:top w:val="nil"/>
              <w:left w:val="nil"/>
              <w:bottom w:val="single" w:color="000000" w:sz="4" w:space="0"/>
              <w:right w:val="single" w:color="000000" w:sz="4" w:space="0"/>
            </w:tcBorders>
            <w:noWrap w:val="0"/>
            <w:vAlign w:val="center"/>
          </w:tcPr>
          <w:p w14:paraId="6A359E29">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米</w:t>
            </w:r>
          </w:p>
        </w:tc>
        <w:tc>
          <w:tcPr>
            <w:tcW w:w="642" w:type="pct"/>
            <w:tcBorders>
              <w:top w:val="nil"/>
              <w:left w:val="nil"/>
              <w:bottom w:val="single" w:color="000000" w:sz="4" w:space="0"/>
              <w:right w:val="single" w:color="000000" w:sz="4" w:space="0"/>
            </w:tcBorders>
            <w:noWrap w:val="0"/>
            <w:vAlign w:val="center"/>
          </w:tcPr>
          <w:p w14:paraId="4439F89A">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10.05</w:t>
            </w:r>
          </w:p>
        </w:tc>
        <w:tc>
          <w:tcPr>
            <w:tcW w:w="670" w:type="pct"/>
            <w:tcBorders>
              <w:top w:val="nil"/>
              <w:left w:val="nil"/>
              <w:bottom w:val="single" w:color="000000" w:sz="4" w:space="0"/>
              <w:right w:val="single" w:color="000000" w:sz="4" w:space="0"/>
            </w:tcBorders>
            <w:noWrap w:val="0"/>
            <w:vAlign w:val="center"/>
          </w:tcPr>
          <w:p w14:paraId="4BFE02C9">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1860.55</w:t>
            </w:r>
          </w:p>
        </w:tc>
        <w:tc>
          <w:tcPr>
            <w:tcW w:w="670" w:type="pct"/>
            <w:tcBorders>
              <w:top w:val="nil"/>
              <w:left w:val="nil"/>
              <w:bottom w:val="single" w:color="000000" w:sz="4" w:space="0"/>
              <w:right w:val="single" w:color="000000" w:sz="4" w:space="0"/>
            </w:tcBorders>
            <w:noWrap w:val="0"/>
            <w:vAlign w:val="center"/>
          </w:tcPr>
          <w:p w14:paraId="6D99E545">
            <w:pPr>
              <w:widowControl w:val="0"/>
              <w:jc w:val="center"/>
              <w:rPr>
                <w:rFonts w:hint="eastAsia" w:ascii="宋体" w:hAnsi="宋体" w:eastAsia="宋体" w:cs="宋体"/>
                <w:color w:val="auto"/>
                <w:kern w:val="0"/>
                <w:sz w:val="21"/>
                <w:szCs w:val="21"/>
              </w:rPr>
            </w:pPr>
          </w:p>
        </w:tc>
      </w:tr>
      <w:tr w14:paraId="575B4D67">
        <w:tblPrEx>
          <w:tblCellMar>
            <w:top w:w="0" w:type="dxa"/>
            <w:left w:w="108" w:type="dxa"/>
            <w:bottom w:w="0" w:type="dxa"/>
            <w:right w:w="108" w:type="dxa"/>
          </w:tblCellMar>
        </w:tblPrEx>
        <w:trPr>
          <w:trHeight w:val="2131" w:hRule="atLeast"/>
        </w:trPr>
        <w:tc>
          <w:tcPr>
            <w:tcW w:w="354" w:type="pct"/>
            <w:tcBorders>
              <w:top w:val="nil"/>
              <w:left w:val="single" w:color="000000" w:sz="4" w:space="0"/>
              <w:bottom w:val="single" w:color="000000" w:sz="4" w:space="0"/>
              <w:right w:val="single" w:color="000000" w:sz="4" w:space="0"/>
            </w:tcBorders>
            <w:noWrap w:val="0"/>
            <w:vAlign w:val="center"/>
          </w:tcPr>
          <w:p w14:paraId="0511599C">
            <w:pPr>
              <w:widowControl w:val="0"/>
              <w:jc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40</w:t>
            </w:r>
          </w:p>
        </w:tc>
        <w:tc>
          <w:tcPr>
            <w:tcW w:w="755" w:type="pct"/>
            <w:tcBorders>
              <w:top w:val="nil"/>
              <w:left w:val="nil"/>
              <w:bottom w:val="single" w:color="000000" w:sz="4" w:space="0"/>
              <w:right w:val="single" w:color="000000" w:sz="4" w:space="0"/>
            </w:tcBorders>
            <w:noWrap w:val="0"/>
            <w:vAlign w:val="center"/>
          </w:tcPr>
          <w:p w14:paraId="359842DE">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雨水箅子更换（400*1000铸铁雨水篦子，双拼）</w:t>
            </w:r>
          </w:p>
        </w:tc>
        <w:tc>
          <w:tcPr>
            <w:tcW w:w="1516" w:type="pct"/>
            <w:tcBorders>
              <w:top w:val="nil"/>
              <w:left w:val="nil"/>
              <w:bottom w:val="single" w:color="000000" w:sz="4" w:space="0"/>
              <w:right w:val="single" w:color="000000" w:sz="4" w:space="0"/>
            </w:tcBorders>
            <w:noWrap w:val="0"/>
            <w:vAlign w:val="center"/>
          </w:tcPr>
          <w:p w14:paraId="75F85A81">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主要更换九乡河西路、九乡河东路及损坏原混凝土雨水篦约300座</w:t>
            </w:r>
          </w:p>
          <w:p w14:paraId="7890BE12">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1、雨水箅子更换，采用400*1000重型铸铁雨水篦（双拼）</w:t>
            </w:r>
          </w:p>
          <w:p w14:paraId="398FB8D7">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2、结合CCTV检测报告，根据现场实际情况自行报价，结算时不予调整</w:t>
            </w:r>
          </w:p>
        </w:tc>
        <w:tc>
          <w:tcPr>
            <w:tcW w:w="390" w:type="pct"/>
            <w:tcBorders>
              <w:top w:val="nil"/>
              <w:left w:val="nil"/>
              <w:bottom w:val="single" w:color="000000" w:sz="4" w:space="0"/>
              <w:right w:val="single" w:color="000000" w:sz="4" w:space="0"/>
            </w:tcBorders>
            <w:noWrap w:val="0"/>
            <w:vAlign w:val="center"/>
          </w:tcPr>
          <w:p w14:paraId="7988C07D">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座</w:t>
            </w:r>
          </w:p>
        </w:tc>
        <w:tc>
          <w:tcPr>
            <w:tcW w:w="642" w:type="pct"/>
            <w:tcBorders>
              <w:top w:val="nil"/>
              <w:left w:val="nil"/>
              <w:bottom w:val="single" w:color="000000" w:sz="4" w:space="0"/>
              <w:right w:val="single" w:color="000000" w:sz="4" w:space="0"/>
            </w:tcBorders>
            <w:noWrap w:val="0"/>
            <w:vAlign w:val="center"/>
          </w:tcPr>
          <w:p w14:paraId="041DB1B6">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108</w:t>
            </w:r>
          </w:p>
        </w:tc>
        <w:tc>
          <w:tcPr>
            <w:tcW w:w="670" w:type="pct"/>
            <w:tcBorders>
              <w:top w:val="nil"/>
              <w:left w:val="nil"/>
              <w:bottom w:val="single" w:color="000000" w:sz="4" w:space="0"/>
              <w:right w:val="single" w:color="000000" w:sz="4" w:space="0"/>
            </w:tcBorders>
            <w:noWrap w:val="0"/>
            <w:vAlign w:val="center"/>
          </w:tcPr>
          <w:p w14:paraId="2E25D82F">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412.05</w:t>
            </w:r>
          </w:p>
        </w:tc>
        <w:tc>
          <w:tcPr>
            <w:tcW w:w="670" w:type="pct"/>
            <w:tcBorders>
              <w:top w:val="nil"/>
              <w:left w:val="nil"/>
              <w:bottom w:val="single" w:color="000000" w:sz="4" w:space="0"/>
              <w:right w:val="single" w:color="000000" w:sz="4" w:space="0"/>
            </w:tcBorders>
            <w:noWrap w:val="0"/>
            <w:vAlign w:val="center"/>
          </w:tcPr>
          <w:p w14:paraId="7EC45372">
            <w:pPr>
              <w:widowControl w:val="0"/>
              <w:jc w:val="center"/>
              <w:rPr>
                <w:rFonts w:hint="eastAsia" w:ascii="宋体" w:hAnsi="宋体" w:eastAsia="宋体" w:cs="宋体"/>
                <w:color w:val="auto"/>
                <w:kern w:val="0"/>
                <w:sz w:val="21"/>
                <w:szCs w:val="21"/>
              </w:rPr>
            </w:pPr>
          </w:p>
        </w:tc>
      </w:tr>
      <w:tr w14:paraId="12316BA0">
        <w:tblPrEx>
          <w:tblCellMar>
            <w:top w:w="0" w:type="dxa"/>
            <w:left w:w="108" w:type="dxa"/>
            <w:bottom w:w="0" w:type="dxa"/>
            <w:right w:w="108" w:type="dxa"/>
          </w:tblCellMar>
        </w:tblPrEx>
        <w:trPr>
          <w:trHeight w:val="2146" w:hRule="atLeast"/>
        </w:trPr>
        <w:tc>
          <w:tcPr>
            <w:tcW w:w="354" w:type="pct"/>
            <w:tcBorders>
              <w:top w:val="nil"/>
              <w:left w:val="single" w:color="000000" w:sz="4" w:space="0"/>
              <w:bottom w:val="single" w:color="000000" w:sz="4" w:space="0"/>
              <w:right w:val="single" w:color="000000" w:sz="4" w:space="0"/>
            </w:tcBorders>
            <w:noWrap w:val="0"/>
            <w:vAlign w:val="center"/>
          </w:tcPr>
          <w:p w14:paraId="499F5876">
            <w:pPr>
              <w:widowControl w:val="0"/>
              <w:jc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41</w:t>
            </w:r>
          </w:p>
        </w:tc>
        <w:tc>
          <w:tcPr>
            <w:tcW w:w="755" w:type="pct"/>
            <w:tcBorders>
              <w:top w:val="nil"/>
              <w:left w:val="nil"/>
              <w:bottom w:val="single" w:color="000000" w:sz="4" w:space="0"/>
              <w:right w:val="single" w:color="000000" w:sz="4" w:space="0"/>
            </w:tcBorders>
            <w:noWrap w:val="0"/>
            <w:vAlign w:val="center"/>
          </w:tcPr>
          <w:p w14:paraId="0C2EDF4C">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拆除路面</w:t>
            </w:r>
          </w:p>
        </w:tc>
        <w:tc>
          <w:tcPr>
            <w:tcW w:w="1516" w:type="pct"/>
            <w:tcBorders>
              <w:top w:val="nil"/>
              <w:left w:val="nil"/>
              <w:bottom w:val="single" w:color="000000" w:sz="4" w:space="0"/>
              <w:right w:val="single" w:color="000000" w:sz="4" w:space="0"/>
            </w:tcBorders>
            <w:noWrap w:val="0"/>
            <w:vAlign w:val="center"/>
          </w:tcPr>
          <w:p w14:paraId="3352CBBB">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1、拆除路面（含基层），用于管道维修更换处路面拆除</w:t>
            </w:r>
          </w:p>
          <w:p w14:paraId="294E8D82">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2、含切缝、拆除、打堆、清理、外运等所有内容</w:t>
            </w:r>
          </w:p>
          <w:p w14:paraId="1494CEBB">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3.弃置运距 投标人自行勘察选择规定的弃置场所并自报运距,所有费用要求在综合单价中充分考虑</w:t>
            </w:r>
          </w:p>
          <w:p w14:paraId="41226951">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4.保洁费、消纳费等所有费用须投标单位自行考虑，渣土费不予计取</w:t>
            </w:r>
          </w:p>
          <w:p w14:paraId="1F672339">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5.投标人自行报价，结算不予调整</w:t>
            </w:r>
          </w:p>
        </w:tc>
        <w:tc>
          <w:tcPr>
            <w:tcW w:w="390" w:type="pct"/>
            <w:tcBorders>
              <w:top w:val="nil"/>
              <w:left w:val="nil"/>
              <w:bottom w:val="single" w:color="000000" w:sz="4" w:space="0"/>
              <w:right w:val="single" w:color="000000" w:sz="4" w:space="0"/>
            </w:tcBorders>
            <w:noWrap w:val="0"/>
            <w:vAlign w:val="center"/>
          </w:tcPr>
          <w:p w14:paraId="5723F9DB">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m2</w:t>
            </w:r>
          </w:p>
        </w:tc>
        <w:tc>
          <w:tcPr>
            <w:tcW w:w="642" w:type="pct"/>
            <w:tcBorders>
              <w:top w:val="nil"/>
              <w:left w:val="nil"/>
              <w:bottom w:val="single" w:color="000000" w:sz="4" w:space="0"/>
              <w:right w:val="single" w:color="000000" w:sz="4" w:space="0"/>
            </w:tcBorders>
            <w:noWrap w:val="0"/>
            <w:vAlign w:val="center"/>
          </w:tcPr>
          <w:p w14:paraId="592E0793">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67</w:t>
            </w:r>
          </w:p>
        </w:tc>
        <w:tc>
          <w:tcPr>
            <w:tcW w:w="670" w:type="pct"/>
            <w:tcBorders>
              <w:top w:val="nil"/>
              <w:left w:val="nil"/>
              <w:bottom w:val="single" w:color="000000" w:sz="4" w:space="0"/>
              <w:right w:val="single" w:color="000000" w:sz="4" w:space="0"/>
            </w:tcBorders>
            <w:noWrap w:val="0"/>
            <w:vAlign w:val="center"/>
          </w:tcPr>
          <w:p w14:paraId="5A957A5C">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43.02</w:t>
            </w:r>
          </w:p>
        </w:tc>
        <w:tc>
          <w:tcPr>
            <w:tcW w:w="670" w:type="pct"/>
            <w:tcBorders>
              <w:top w:val="nil"/>
              <w:left w:val="nil"/>
              <w:bottom w:val="single" w:color="000000" w:sz="4" w:space="0"/>
              <w:right w:val="single" w:color="000000" w:sz="4" w:space="0"/>
            </w:tcBorders>
            <w:noWrap w:val="0"/>
            <w:vAlign w:val="center"/>
          </w:tcPr>
          <w:p w14:paraId="04107CE4">
            <w:pPr>
              <w:widowControl w:val="0"/>
              <w:jc w:val="center"/>
              <w:rPr>
                <w:rFonts w:hint="eastAsia" w:ascii="宋体" w:hAnsi="宋体" w:eastAsia="宋体" w:cs="宋体"/>
                <w:color w:val="auto"/>
                <w:kern w:val="0"/>
                <w:sz w:val="21"/>
                <w:szCs w:val="21"/>
              </w:rPr>
            </w:pPr>
          </w:p>
        </w:tc>
      </w:tr>
      <w:tr w14:paraId="32E1C932">
        <w:tblPrEx>
          <w:tblCellMar>
            <w:top w:w="0" w:type="dxa"/>
            <w:left w:w="108" w:type="dxa"/>
            <w:bottom w:w="0" w:type="dxa"/>
            <w:right w:w="108" w:type="dxa"/>
          </w:tblCellMar>
        </w:tblPrEx>
        <w:trPr>
          <w:trHeight w:val="2563" w:hRule="atLeast"/>
        </w:trPr>
        <w:tc>
          <w:tcPr>
            <w:tcW w:w="354" w:type="pct"/>
            <w:tcBorders>
              <w:top w:val="nil"/>
              <w:left w:val="single" w:color="000000" w:sz="4" w:space="0"/>
              <w:bottom w:val="single" w:color="000000" w:sz="4" w:space="0"/>
              <w:right w:val="single" w:color="000000" w:sz="4" w:space="0"/>
            </w:tcBorders>
            <w:noWrap w:val="0"/>
            <w:vAlign w:val="center"/>
          </w:tcPr>
          <w:p w14:paraId="5BB8CDEC">
            <w:pPr>
              <w:widowControl w:val="0"/>
              <w:jc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42</w:t>
            </w:r>
          </w:p>
        </w:tc>
        <w:tc>
          <w:tcPr>
            <w:tcW w:w="755" w:type="pct"/>
            <w:tcBorders>
              <w:top w:val="nil"/>
              <w:left w:val="nil"/>
              <w:bottom w:val="single" w:color="000000" w:sz="4" w:space="0"/>
              <w:right w:val="single" w:color="000000" w:sz="4" w:space="0"/>
            </w:tcBorders>
            <w:noWrap w:val="0"/>
            <w:vAlign w:val="center"/>
          </w:tcPr>
          <w:p w14:paraId="66070590">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拆除人行道</w:t>
            </w:r>
          </w:p>
        </w:tc>
        <w:tc>
          <w:tcPr>
            <w:tcW w:w="1516" w:type="pct"/>
            <w:tcBorders>
              <w:top w:val="nil"/>
              <w:left w:val="nil"/>
              <w:bottom w:val="single" w:color="000000" w:sz="4" w:space="0"/>
              <w:right w:val="single" w:color="000000" w:sz="4" w:space="0"/>
            </w:tcBorders>
            <w:noWrap w:val="0"/>
            <w:vAlign w:val="center"/>
          </w:tcPr>
          <w:p w14:paraId="07F3856C">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1、拆除原人行道（含基层），用于管道维修更换处人行道拆除。</w:t>
            </w:r>
          </w:p>
          <w:p w14:paraId="381006B9">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2、含切缝、拆除、打堆、清理、外运等所有内容</w:t>
            </w:r>
          </w:p>
          <w:p w14:paraId="05526E4C">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3.弃置运距 投标人自行勘察选择规定的弃置场所并自报运距,所有费用要求在综合单价中充分考虑</w:t>
            </w:r>
          </w:p>
          <w:p w14:paraId="5782D0D4">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4.保洁费、消纳费等所有费用须投标单位自行考虑，渣土费不予计取</w:t>
            </w:r>
          </w:p>
          <w:p w14:paraId="20F3F112">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5.投标人自行报价，结算不予调整</w:t>
            </w:r>
          </w:p>
        </w:tc>
        <w:tc>
          <w:tcPr>
            <w:tcW w:w="390" w:type="pct"/>
            <w:tcBorders>
              <w:top w:val="nil"/>
              <w:left w:val="nil"/>
              <w:bottom w:val="single" w:color="000000" w:sz="4" w:space="0"/>
              <w:right w:val="single" w:color="000000" w:sz="4" w:space="0"/>
            </w:tcBorders>
            <w:noWrap w:val="0"/>
            <w:vAlign w:val="center"/>
          </w:tcPr>
          <w:p w14:paraId="36F7E463">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m2</w:t>
            </w:r>
          </w:p>
        </w:tc>
        <w:tc>
          <w:tcPr>
            <w:tcW w:w="642" w:type="pct"/>
            <w:tcBorders>
              <w:top w:val="nil"/>
              <w:left w:val="nil"/>
              <w:bottom w:val="single" w:color="000000" w:sz="4" w:space="0"/>
              <w:right w:val="single" w:color="000000" w:sz="4" w:space="0"/>
            </w:tcBorders>
            <w:noWrap w:val="0"/>
            <w:vAlign w:val="center"/>
          </w:tcPr>
          <w:p w14:paraId="13ADCEAE">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33.5</w:t>
            </w:r>
          </w:p>
        </w:tc>
        <w:tc>
          <w:tcPr>
            <w:tcW w:w="670" w:type="pct"/>
            <w:tcBorders>
              <w:top w:val="nil"/>
              <w:left w:val="nil"/>
              <w:bottom w:val="single" w:color="000000" w:sz="4" w:space="0"/>
              <w:right w:val="single" w:color="000000" w:sz="4" w:space="0"/>
            </w:tcBorders>
            <w:noWrap w:val="0"/>
            <w:vAlign w:val="center"/>
          </w:tcPr>
          <w:p w14:paraId="6BE12113">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19.66</w:t>
            </w:r>
          </w:p>
        </w:tc>
        <w:tc>
          <w:tcPr>
            <w:tcW w:w="670" w:type="pct"/>
            <w:tcBorders>
              <w:top w:val="nil"/>
              <w:left w:val="nil"/>
              <w:bottom w:val="single" w:color="000000" w:sz="4" w:space="0"/>
              <w:right w:val="single" w:color="000000" w:sz="4" w:space="0"/>
            </w:tcBorders>
            <w:noWrap w:val="0"/>
            <w:vAlign w:val="center"/>
          </w:tcPr>
          <w:p w14:paraId="593A0F3E">
            <w:pPr>
              <w:widowControl w:val="0"/>
              <w:jc w:val="center"/>
              <w:rPr>
                <w:rFonts w:hint="eastAsia" w:ascii="宋体" w:hAnsi="宋体" w:eastAsia="宋体" w:cs="宋体"/>
                <w:color w:val="auto"/>
                <w:kern w:val="0"/>
                <w:sz w:val="21"/>
                <w:szCs w:val="21"/>
              </w:rPr>
            </w:pPr>
          </w:p>
        </w:tc>
      </w:tr>
      <w:tr w14:paraId="42A0403B">
        <w:tblPrEx>
          <w:tblCellMar>
            <w:top w:w="0" w:type="dxa"/>
            <w:left w:w="108" w:type="dxa"/>
            <w:bottom w:w="0" w:type="dxa"/>
            <w:right w:w="108" w:type="dxa"/>
          </w:tblCellMar>
        </w:tblPrEx>
        <w:trPr>
          <w:trHeight w:val="919" w:hRule="atLeast"/>
        </w:trPr>
        <w:tc>
          <w:tcPr>
            <w:tcW w:w="354" w:type="pct"/>
            <w:tcBorders>
              <w:top w:val="nil"/>
              <w:left w:val="single" w:color="000000" w:sz="4" w:space="0"/>
              <w:bottom w:val="single" w:color="000000" w:sz="4" w:space="0"/>
              <w:right w:val="single" w:color="000000" w:sz="4" w:space="0"/>
            </w:tcBorders>
            <w:noWrap w:val="0"/>
            <w:vAlign w:val="center"/>
          </w:tcPr>
          <w:p w14:paraId="1BCA4E71">
            <w:pPr>
              <w:widowControl w:val="0"/>
              <w:jc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43</w:t>
            </w:r>
          </w:p>
        </w:tc>
        <w:tc>
          <w:tcPr>
            <w:tcW w:w="755" w:type="pct"/>
            <w:tcBorders>
              <w:top w:val="nil"/>
              <w:left w:val="nil"/>
              <w:bottom w:val="single" w:color="000000" w:sz="4" w:space="0"/>
              <w:right w:val="single" w:color="000000" w:sz="4" w:space="0"/>
            </w:tcBorders>
            <w:noWrap w:val="0"/>
            <w:vAlign w:val="center"/>
          </w:tcPr>
          <w:p w14:paraId="5820AC2C">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拆除及恢复侧、平（缘）石</w:t>
            </w:r>
          </w:p>
        </w:tc>
        <w:tc>
          <w:tcPr>
            <w:tcW w:w="1516" w:type="pct"/>
            <w:tcBorders>
              <w:top w:val="nil"/>
              <w:left w:val="nil"/>
              <w:bottom w:val="single" w:color="000000" w:sz="4" w:space="0"/>
              <w:right w:val="single" w:color="000000" w:sz="4" w:space="0"/>
            </w:tcBorders>
            <w:noWrap w:val="0"/>
            <w:vAlign w:val="center"/>
          </w:tcPr>
          <w:p w14:paraId="76288DE3">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1、保护性拆除侧、平（缘）石，主要用于收水口支管维修改造处路牙沿拆除及恢复</w:t>
            </w:r>
          </w:p>
          <w:p w14:paraId="246D690C">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2、拆除后的材料整齐码放</w:t>
            </w:r>
          </w:p>
          <w:p w14:paraId="0F836978">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3、弃置运距 投标人自行勘察选择规定的弃置场所并自报运距,所有费用要求在综合单价中充分考虑</w:t>
            </w:r>
          </w:p>
          <w:p w14:paraId="1715ED17">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4、保洁费、消纳费等所有费用须投标单位自行考虑，渣土费不予计取</w:t>
            </w:r>
          </w:p>
          <w:p w14:paraId="36580DAA">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5、投标人自行报价，结算不予调整</w:t>
            </w:r>
          </w:p>
        </w:tc>
        <w:tc>
          <w:tcPr>
            <w:tcW w:w="390" w:type="pct"/>
            <w:tcBorders>
              <w:top w:val="nil"/>
              <w:left w:val="nil"/>
              <w:bottom w:val="single" w:color="000000" w:sz="4" w:space="0"/>
              <w:right w:val="single" w:color="000000" w:sz="4" w:space="0"/>
            </w:tcBorders>
            <w:noWrap w:val="0"/>
            <w:vAlign w:val="center"/>
          </w:tcPr>
          <w:p w14:paraId="4CE5494D">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m</w:t>
            </w:r>
          </w:p>
        </w:tc>
        <w:tc>
          <w:tcPr>
            <w:tcW w:w="642" w:type="pct"/>
            <w:tcBorders>
              <w:top w:val="nil"/>
              <w:left w:val="nil"/>
              <w:bottom w:val="single" w:color="000000" w:sz="4" w:space="0"/>
              <w:right w:val="single" w:color="000000" w:sz="4" w:space="0"/>
            </w:tcBorders>
            <w:noWrap w:val="0"/>
            <w:vAlign w:val="center"/>
          </w:tcPr>
          <w:p w14:paraId="5990CDE6">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268</w:t>
            </w:r>
          </w:p>
        </w:tc>
        <w:tc>
          <w:tcPr>
            <w:tcW w:w="670" w:type="pct"/>
            <w:tcBorders>
              <w:top w:val="nil"/>
              <w:left w:val="nil"/>
              <w:bottom w:val="single" w:color="000000" w:sz="4" w:space="0"/>
              <w:right w:val="single" w:color="000000" w:sz="4" w:space="0"/>
            </w:tcBorders>
            <w:noWrap w:val="0"/>
            <w:vAlign w:val="center"/>
          </w:tcPr>
          <w:p w14:paraId="4C65BB2A">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55.03</w:t>
            </w:r>
          </w:p>
        </w:tc>
        <w:tc>
          <w:tcPr>
            <w:tcW w:w="670" w:type="pct"/>
            <w:tcBorders>
              <w:top w:val="nil"/>
              <w:left w:val="nil"/>
              <w:bottom w:val="single" w:color="000000" w:sz="4" w:space="0"/>
              <w:right w:val="single" w:color="000000" w:sz="4" w:space="0"/>
            </w:tcBorders>
            <w:noWrap w:val="0"/>
            <w:vAlign w:val="center"/>
          </w:tcPr>
          <w:p w14:paraId="4D8A46D7">
            <w:pPr>
              <w:widowControl w:val="0"/>
              <w:jc w:val="center"/>
              <w:rPr>
                <w:rFonts w:hint="eastAsia" w:ascii="宋体" w:hAnsi="宋体" w:eastAsia="宋体" w:cs="宋体"/>
                <w:color w:val="auto"/>
                <w:kern w:val="0"/>
                <w:sz w:val="21"/>
                <w:szCs w:val="21"/>
              </w:rPr>
            </w:pPr>
          </w:p>
        </w:tc>
      </w:tr>
      <w:tr w14:paraId="07AA85E2">
        <w:tblPrEx>
          <w:tblCellMar>
            <w:top w:w="0" w:type="dxa"/>
            <w:left w:w="108" w:type="dxa"/>
            <w:bottom w:w="0" w:type="dxa"/>
            <w:right w:w="108" w:type="dxa"/>
          </w:tblCellMar>
        </w:tblPrEx>
        <w:trPr>
          <w:trHeight w:val="709" w:hRule="atLeast"/>
        </w:trPr>
        <w:tc>
          <w:tcPr>
            <w:tcW w:w="354" w:type="pct"/>
            <w:tcBorders>
              <w:top w:val="nil"/>
              <w:left w:val="single" w:color="000000" w:sz="4" w:space="0"/>
              <w:bottom w:val="single" w:color="000000" w:sz="4" w:space="0"/>
              <w:right w:val="single" w:color="000000" w:sz="4" w:space="0"/>
            </w:tcBorders>
            <w:noWrap w:val="0"/>
            <w:vAlign w:val="center"/>
          </w:tcPr>
          <w:p w14:paraId="73BCA7C0">
            <w:pPr>
              <w:widowControl w:val="0"/>
              <w:jc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44</w:t>
            </w:r>
          </w:p>
        </w:tc>
        <w:tc>
          <w:tcPr>
            <w:tcW w:w="755" w:type="pct"/>
            <w:tcBorders>
              <w:top w:val="nil"/>
              <w:left w:val="nil"/>
              <w:bottom w:val="single" w:color="000000" w:sz="4" w:space="0"/>
              <w:right w:val="single" w:color="000000" w:sz="4" w:space="0"/>
            </w:tcBorders>
            <w:noWrap w:val="0"/>
            <w:vAlign w:val="center"/>
          </w:tcPr>
          <w:p w14:paraId="11B0C1D8">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防汛用工</w:t>
            </w:r>
          </w:p>
        </w:tc>
        <w:tc>
          <w:tcPr>
            <w:tcW w:w="1516" w:type="pct"/>
            <w:tcBorders>
              <w:top w:val="nil"/>
              <w:left w:val="nil"/>
              <w:bottom w:val="single" w:color="000000" w:sz="4" w:space="0"/>
              <w:right w:val="single" w:color="000000" w:sz="4" w:space="0"/>
            </w:tcBorders>
            <w:noWrap w:val="0"/>
            <w:vAlign w:val="center"/>
          </w:tcPr>
          <w:p w14:paraId="7391679E">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1、用于防汛期间、降雨期间巡查、开关雨水篦助排、应急抢修、排水、值班的用工，点工数量最终以指令单及计量单为准</w:t>
            </w:r>
          </w:p>
        </w:tc>
        <w:tc>
          <w:tcPr>
            <w:tcW w:w="390" w:type="pct"/>
            <w:tcBorders>
              <w:top w:val="nil"/>
              <w:left w:val="nil"/>
              <w:bottom w:val="single" w:color="000000" w:sz="4" w:space="0"/>
              <w:right w:val="single" w:color="000000" w:sz="4" w:space="0"/>
            </w:tcBorders>
            <w:noWrap w:val="0"/>
            <w:vAlign w:val="center"/>
          </w:tcPr>
          <w:p w14:paraId="7B62CA20">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工日</w:t>
            </w:r>
          </w:p>
        </w:tc>
        <w:tc>
          <w:tcPr>
            <w:tcW w:w="642" w:type="pct"/>
            <w:tcBorders>
              <w:top w:val="nil"/>
              <w:left w:val="nil"/>
              <w:bottom w:val="single" w:color="000000" w:sz="4" w:space="0"/>
              <w:right w:val="single" w:color="000000" w:sz="4" w:space="0"/>
            </w:tcBorders>
            <w:noWrap w:val="0"/>
            <w:vAlign w:val="center"/>
          </w:tcPr>
          <w:p w14:paraId="48037AA9">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503</w:t>
            </w:r>
          </w:p>
        </w:tc>
        <w:tc>
          <w:tcPr>
            <w:tcW w:w="670" w:type="pct"/>
            <w:tcBorders>
              <w:top w:val="nil"/>
              <w:left w:val="nil"/>
              <w:bottom w:val="single" w:color="000000" w:sz="4" w:space="0"/>
              <w:right w:val="single" w:color="000000" w:sz="4" w:space="0"/>
            </w:tcBorders>
            <w:noWrap w:val="0"/>
            <w:vAlign w:val="center"/>
          </w:tcPr>
          <w:p w14:paraId="6DFD87AC">
            <w:pPr>
              <w:keepNext w:val="0"/>
              <w:keepLines w:val="0"/>
              <w:widowControl/>
              <w:suppressLineNumbers w:val="0"/>
              <w:jc w:val="center"/>
              <w:textAlignment w:val="center"/>
              <w:rPr>
                <w:rFonts w:hint="default"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157.72</w:t>
            </w:r>
          </w:p>
        </w:tc>
        <w:tc>
          <w:tcPr>
            <w:tcW w:w="670" w:type="pct"/>
            <w:tcBorders>
              <w:top w:val="nil"/>
              <w:left w:val="nil"/>
              <w:bottom w:val="single" w:color="000000" w:sz="4" w:space="0"/>
              <w:right w:val="single" w:color="000000" w:sz="4" w:space="0"/>
            </w:tcBorders>
            <w:noWrap w:val="0"/>
            <w:vAlign w:val="center"/>
          </w:tcPr>
          <w:p w14:paraId="0F8F6181">
            <w:pPr>
              <w:widowControl w:val="0"/>
              <w:jc w:val="center"/>
              <w:rPr>
                <w:rFonts w:hint="eastAsia" w:ascii="宋体" w:hAnsi="宋体" w:eastAsia="宋体" w:cs="宋体"/>
                <w:color w:val="auto"/>
                <w:kern w:val="0"/>
                <w:sz w:val="21"/>
                <w:szCs w:val="21"/>
              </w:rPr>
            </w:pPr>
          </w:p>
        </w:tc>
      </w:tr>
      <w:tr w14:paraId="6DDD313E">
        <w:tblPrEx>
          <w:tblCellMar>
            <w:top w:w="0" w:type="dxa"/>
            <w:left w:w="108" w:type="dxa"/>
            <w:bottom w:w="0" w:type="dxa"/>
            <w:right w:w="108" w:type="dxa"/>
          </w:tblCellMar>
        </w:tblPrEx>
        <w:trPr>
          <w:trHeight w:val="709" w:hRule="atLeast"/>
        </w:trPr>
        <w:tc>
          <w:tcPr>
            <w:tcW w:w="354" w:type="pct"/>
            <w:tcBorders>
              <w:top w:val="nil"/>
              <w:left w:val="single" w:color="000000" w:sz="4" w:space="0"/>
              <w:bottom w:val="single" w:color="000000" w:sz="4" w:space="0"/>
              <w:right w:val="single" w:color="000000" w:sz="4" w:space="0"/>
            </w:tcBorders>
            <w:noWrap w:val="0"/>
            <w:vAlign w:val="center"/>
          </w:tcPr>
          <w:p w14:paraId="45A994FB">
            <w:pPr>
              <w:widowControl w:val="0"/>
              <w:jc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45</w:t>
            </w:r>
          </w:p>
        </w:tc>
        <w:tc>
          <w:tcPr>
            <w:tcW w:w="755" w:type="pct"/>
            <w:tcBorders>
              <w:top w:val="nil"/>
              <w:left w:val="nil"/>
              <w:bottom w:val="single" w:color="000000" w:sz="4" w:space="0"/>
              <w:right w:val="single" w:color="000000" w:sz="4" w:space="0"/>
            </w:tcBorders>
            <w:noWrap w:val="0"/>
            <w:vAlign w:val="center"/>
          </w:tcPr>
          <w:p w14:paraId="6A544703">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防汛工程车</w:t>
            </w:r>
          </w:p>
        </w:tc>
        <w:tc>
          <w:tcPr>
            <w:tcW w:w="1516" w:type="pct"/>
            <w:tcBorders>
              <w:top w:val="nil"/>
              <w:left w:val="nil"/>
              <w:bottom w:val="single" w:color="000000" w:sz="4" w:space="0"/>
              <w:right w:val="single" w:color="000000" w:sz="4" w:space="0"/>
            </w:tcBorders>
            <w:noWrap w:val="0"/>
            <w:vAlign w:val="center"/>
          </w:tcPr>
          <w:p w14:paraId="7A8B6DF1">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仅用于防汛期间、降雨期间上路巡查等，工程量最终以指令单及计量单为准</w:t>
            </w:r>
          </w:p>
        </w:tc>
        <w:tc>
          <w:tcPr>
            <w:tcW w:w="390" w:type="pct"/>
            <w:tcBorders>
              <w:top w:val="nil"/>
              <w:left w:val="nil"/>
              <w:bottom w:val="single" w:color="000000" w:sz="4" w:space="0"/>
              <w:right w:val="single" w:color="000000" w:sz="4" w:space="0"/>
            </w:tcBorders>
            <w:noWrap w:val="0"/>
            <w:vAlign w:val="center"/>
          </w:tcPr>
          <w:p w14:paraId="0C0422D7">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台班</w:t>
            </w:r>
          </w:p>
        </w:tc>
        <w:tc>
          <w:tcPr>
            <w:tcW w:w="642" w:type="pct"/>
            <w:tcBorders>
              <w:top w:val="nil"/>
              <w:left w:val="nil"/>
              <w:bottom w:val="single" w:color="000000" w:sz="4" w:space="0"/>
              <w:right w:val="single" w:color="000000" w:sz="4" w:space="0"/>
            </w:tcBorders>
            <w:noWrap w:val="0"/>
            <w:vAlign w:val="center"/>
          </w:tcPr>
          <w:p w14:paraId="426AA474">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101</w:t>
            </w:r>
          </w:p>
        </w:tc>
        <w:tc>
          <w:tcPr>
            <w:tcW w:w="670" w:type="pct"/>
            <w:tcBorders>
              <w:top w:val="nil"/>
              <w:left w:val="nil"/>
              <w:bottom w:val="single" w:color="000000" w:sz="4" w:space="0"/>
              <w:right w:val="single" w:color="000000" w:sz="4" w:space="0"/>
            </w:tcBorders>
            <w:noWrap w:val="0"/>
            <w:vAlign w:val="center"/>
          </w:tcPr>
          <w:p w14:paraId="7731497E">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515.01</w:t>
            </w:r>
          </w:p>
        </w:tc>
        <w:tc>
          <w:tcPr>
            <w:tcW w:w="670" w:type="pct"/>
            <w:tcBorders>
              <w:top w:val="nil"/>
              <w:left w:val="nil"/>
              <w:bottom w:val="single" w:color="000000" w:sz="4" w:space="0"/>
              <w:right w:val="single" w:color="000000" w:sz="4" w:space="0"/>
            </w:tcBorders>
            <w:noWrap w:val="0"/>
            <w:vAlign w:val="center"/>
          </w:tcPr>
          <w:p w14:paraId="71BAC5C3">
            <w:pPr>
              <w:widowControl w:val="0"/>
              <w:jc w:val="center"/>
              <w:rPr>
                <w:rFonts w:hint="eastAsia" w:ascii="宋体" w:hAnsi="宋体" w:eastAsia="宋体" w:cs="宋体"/>
                <w:color w:val="auto"/>
                <w:kern w:val="0"/>
                <w:sz w:val="21"/>
                <w:szCs w:val="21"/>
              </w:rPr>
            </w:pPr>
          </w:p>
        </w:tc>
      </w:tr>
      <w:tr w14:paraId="164647AD">
        <w:tblPrEx>
          <w:tblCellMar>
            <w:top w:w="0" w:type="dxa"/>
            <w:left w:w="108" w:type="dxa"/>
            <w:bottom w:w="0" w:type="dxa"/>
            <w:right w:w="108" w:type="dxa"/>
          </w:tblCellMar>
        </w:tblPrEx>
        <w:trPr>
          <w:trHeight w:val="919" w:hRule="atLeast"/>
        </w:trPr>
        <w:tc>
          <w:tcPr>
            <w:tcW w:w="354" w:type="pct"/>
            <w:tcBorders>
              <w:top w:val="nil"/>
              <w:left w:val="single" w:color="000000" w:sz="4" w:space="0"/>
              <w:bottom w:val="single" w:color="000000" w:sz="4" w:space="0"/>
              <w:right w:val="single" w:color="000000" w:sz="4" w:space="0"/>
            </w:tcBorders>
            <w:noWrap w:val="0"/>
            <w:vAlign w:val="center"/>
          </w:tcPr>
          <w:p w14:paraId="7AB89E6B">
            <w:pPr>
              <w:widowControl w:val="0"/>
              <w:jc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46</w:t>
            </w:r>
          </w:p>
        </w:tc>
        <w:tc>
          <w:tcPr>
            <w:tcW w:w="755" w:type="pct"/>
            <w:tcBorders>
              <w:top w:val="nil"/>
              <w:left w:val="nil"/>
              <w:bottom w:val="single" w:color="000000" w:sz="4" w:space="0"/>
              <w:right w:val="single" w:color="000000" w:sz="4" w:space="0"/>
            </w:tcBorders>
            <w:noWrap w:val="0"/>
            <w:vAlign w:val="center"/>
          </w:tcPr>
          <w:p w14:paraId="1ECD7EF3">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高压疏通车</w:t>
            </w:r>
          </w:p>
        </w:tc>
        <w:tc>
          <w:tcPr>
            <w:tcW w:w="1516" w:type="pct"/>
            <w:tcBorders>
              <w:top w:val="nil"/>
              <w:left w:val="nil"/>
              <w:bottom w:val="single" w:color="000000" w:sz="4" w:space="0"/>
              <w:right w:val="single" w:color="000000" w:sz="4" w:space="0"/>
            </w:tcBorders>
            <w:noWrap w:val="0"/>
            <w:vAlign w:val="center"/>
          </w:tcPr>
          <w:p w14:paraId="04B9C15D">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防汛高压冲洗车容积为4-9m³，含司机、两名配合人工等所有费用，结算时不调整</w:t>
            </w:r>
          </w:p>
        </w:tc>
        <w:tc>
          <w:tcPr>
            <w:tcW w:w="390" w:type="pct"/>
            <w:tcBorders>
              <w:top w:val="nil"/>
              <w:left w:val="nil"/>
              <w:bottom w:val="single" w:color="000000" w:sz="4" w:space="0"/>
              <w:right w:val="single" w:color="000000" w:sz="4" w:space="0"/>
            </w:tcBorders>
            <w:noWrap w:val="0"/>
            <w:vAlign w:val="center"/>
          </w:tcPr>
          <w:p w14:paraId="7C982795">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台班</w:t>
            </w:r>
          </w:p>
        </w:tc>
        <w:tc>
          <w:tcPr>
            <w:tcW w:w="642" w:type="pct"/>
            <w:tcBorders>
              <w:top w:val="nil"/>
              <w:left w:val="nil"/>
              <w:bottom w:val="single" w:color="000000" w:sz="4" w:space="0"/>
              <w:right w:val="single" w:color="000000" w:sz="4" w:space="0"/>
            </w:tcBorders>
            <w:noWrap w:val="0"/>
            <w:vAlign w:val="center"/>
          </w:tcPr>
          <w:p w14:paraId="5962704A">
            <w:pPr>
              <w:widowControl w:val="0"/>
              <w:jc w:val="left"/>
              <w:rPr>
                <w:rFonts w:hint="eastAsia" w:ascii="宋体" w:hAnsi="宋体" w:eastAsia="宋体" w:cs="宋体"/>
                <w:color w:val="auto"/>
                <w:kern w:val="0"/>
                <w:sz w:val="21"/>
                <w:szCs w:val="21"/>
                <w:lang w:eastAsia="zh-CN"/>
              </w:rPr>
            </w:pPr>
            <w:r>
              <w:rPr>
                <w:rFonts w:hint="eastAsia" w:ascii="宋体" w:hAnsi="宋体" w:cs="宋体"/>
                <w:color w:val="auto"/>
                <w:kern w:val="0"/>
                <w:sz w:val="21"/>
                <w:szCs w:val="21"/>
                <w:lang w:val="en-US" w:eastAsia="zh-CN"/>
              </w:rPr>
              <w:t>5</w:t>
            </w:r>
          </w:p>
        </w:tc>
        <w:tc>
          <w:tcPr>
            <w:tcW w:w="670" w:type="pct"/>
            <w:tcBorders>
              <w:top w:val="nil"/>
              <w:left w:val="nil"/>
              <w:bottom w:val="single" w:color="000000" w:sz="4" w:space="0"/>
              <w:right w:val="single" w:color="000000" w:sz="4" w:space="0"/>
            </w:tcBorders>
            <w:noWrap w:val="0"/>
            <w:vAlign w:val="center"/>
          </w:tcPr>
          <w:p w14:paraId="1A00CB80">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1072.91</w:t>
            </w:r>
          </w:p>
        </w:tc>
        <w:tc>
          <w:tcPr>
            <w:tcW w:w="670" w:type="pct"/>
            <w:tcBorders>
              <w:top w:val="nil"/>
              <w:left w:val="nil"/>
              <w:bottom w:val="single" w:color="000000" w:sz="4" w:space="0"/>
              <w:right w:val="single" w:color="000000" w:sz="4" w:space="0"/>
            </w:tcBorders>
            <w:noWrap w:val="0"/>
            <w:vAlign w:val="center"/>
          </w:tcPr>
          <w:p w14:paraId="5C94BFD3">
            <w:pPr>
              <w:widowControl w:val="0"/>
              <w:jc w:val="center"/>
              <w:rPr>
                <w:rFonts w:hint="eastAsia" w:ascii="宋体" w:hAnsi="宋体" w:eastAsia="宋体" w:cs="宋体"/>
                <w:color w:val="auto"/>
                <w:kern w:val="0"/>
                <w:sz w:val="21"/>
                <w:szCs w:val="21"/>
              </w:rPr>
            </w:pPr>
          </w:p>
        </w:tc>
      </w:tr>
      <w:tr w14:paraId="4AC4877E">
        <w:tblPrEx>
          <w:tblCellMar>
            <w:top w:w="0" w:type="dxa"/>
            <w:left w:w="108" w:type="dxa"/>
            <w:bottom w:w="0" w:type="dxa"/>
            <w:right w:w="108" w:type="dxa"/>
          </w:tblCellMar>
        </w:tblPrEx>
        <w:trPr>
          <w:trHeight w:val="342" w:hRule="atLeast"/>
        </w:trPr>
        <w:tc>
          <w:tcPr>
            <w:tcW w:w="354" w:type="pct"/>
            <w:tcBorders>
              <w:top w:val="nil"/>
              <w:left w:val="single" w:color="000000" w:sz="4" w:space="0"/>
              <w:bottom w:val="single" w:color="000000" w:sz="4" w:space="0"/>
              <w:right w:val="single" w:color="000000" w:sz="4" w:space="0"/>
            </w:tcBorders>
            <w:noWrap w:val="0"/>
            <w:vAlign w:val="center"/>
          </w:tcPr>
          <w:p w14:paraId="307AF40F">
            <w:pPr>
              <w:widowControl w:val="0"/>
              <w:jc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47</w:t>
            </w:r>
          </w:p>
        </w:tc>
        <w:tc>
          <w:tcPr>
            <w:tcW w:w="755" w:type="pct"/>
            <w:tcBorders>
              <w:top w:val="nil"/>
              <w:left w:val="nil"/>
              <w:bottom w:val="single" w:color="000000" w:sz="4" w:space="0"/>
              <w:right w:val="single" w:color="000000" w:sz="4" w:space="0"/>
            </w:tcBorders>
            <w:noWrap w:val="0"/>
            <w:vAlign w:val="center"/>
          </w:tcPr>
          <w:p w14:paraId="584E69F6">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防汛沙袋</w:t>
            </w:r>
          </w:p>
        </w:tc>
        <w:tc>
          <w:tcPr>
            <w:tcW w:w="1516" w:type="pct"/>
            <w:tcBorders>
              <w:top w:val="nil"/>
              <w:left w:val="nil"/>
              <w:bottom w:val="single" w:color="000000" w:sz="4" w:space="0"/>
              <w:right w:val="single" w:color="000000" w:sz="4" w:space="0"/>
            </w:tcBorders>
            <w:noWrap w:val="0"/>
            <w:vAlign w:val="center"/>
          </w:tcPr>
          <w:p w14:paraId="45A98F99">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1.防汛期间使用砂袋，含材料运输、堆放至指定位置等所有费用，结算时不调整</w:t>
            </w:r>
          </w:p>
          <w:p w14:paraId="6FAB314D">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2每袋不小于10公斤，塑料编织袋</w:t>
            </w:r>
          </w:p>
        </w:tc>
        <w:tc>
          <w:tcPr>
            <w:tcW w:w="390" w:type="pct"/>
            <w:tcBorders>
              <w:top w:val="nil"/>
              <w:left w:val="nil"/>
              <w:bottom w:val="single" w:color="000000" w:sz="4" w:space="0"/>
              <w:right w:val="single" w:color="000000" w:sz="4" w:space="0"/>
            </w:tcBorders>
            <w:noWrap w:val="0"/>
            <w:vAlign w:val="center"/>
          </w:tcPr>
          <w:p w14:paraId="6CEAE4C0">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个</w:t>
            </w:r>
          </w:p>
        </w:tc>
        <w:tc>
          <w:tcPr>
            <w:tcW w:w="642" w:type="pct"/>
            <w:tcBorders>
              <w:top w:val="nil"/>
              <w:left w:val="nil"/>
              <w:bottom w:val="single" w:color="000000" w:sz="4" w:space="0"/>
              <w:right w:val="single" w:color="000000" w:sz="4" w:space="0"/>
            </w:tcBorders>
            <w:noWrap w:val="0"/>
            <w:vAlign w:val="center"/>
          </w:tcPr>
          <w:p w14:paraId="1C0F7E13">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3015</w:t>
            </w:r>
          </w:p>
        </w:tc>
        <w:tc>
          <w:tcPr>
            <w:tcW w:w="670" w:type="pct"/>
            <w:tcBorders>
              <w:top w:val="nil"/>
              <w:left w:val="nil"/>
              <w:bottom w:val="single" w:color="000000" w:sz="4" w:space="0"/>
              <w:right w:val="single" w:color="000000" w:sz="4" w:space="0"/>
            </w:tcBorders>
            <w:noWrap w:val="0"/>
            <w:vAlign w:val="center"/>
          </w:tcPr>
          <w:p w14:paraId="307A7108">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4.27</w:t>
            </w:r>
          </w:p>
        </w:tc>
        <w:tc>
          <w:tcPr>
            <w:tcW w:w="670" w:type="pct"/>
            <w:tcBorders>
              <w:top w:val="nil"/>
              <w:left w:val="nil"/>
              <w:bottom w:val="single" w:color="000000" w:sz="4" w:space="0"/>
              <w:right w:val="single" w:color="000000" w:sz="4" w:space="0"/>
            </w:tcBorders>
            <w:noWrap w:val="0"/>
            <w:vAlign w:val="center"/>
          </w:tcPr>
          <w:p w14:paraId="7F24A755">
            <w:pPr>
              <w:widowControl w:val="0"/>
              <w:jc w:val="center"/>
              <w:rPr>
                <w:rFonts w:hint="eastAsia" w:ascii="宋体" w:hAnsi="宋体" w:eastAsia="宋体" w:cs="宋体"/>
                <w:color w:val="auto"/>
                <w:kern w:val="0"/>
                <w:sz w:val="21"/>
                <w:szCs w:val="21"/>
              </w:rPr>
            </w:pPr>
          </w:p>
        </w:tc>
      </w:tr>
      <w:tr w14:paraId="11A9E4C0">
        <w:tblPrEx>
          <w:tblCellMar>
            <w:top w:w="0" w:type="dxa"/>
            <w:left w:w="108" w:type="dxa"/>
            <w:bottom w:w="0" w:type="dxa"/>
            <w:right w:w="108" w:type="dxa"/>
          </w:tblCellMar>
        </w:tblPrEx>
        <w:trPr>
          <w:trHeight w:val="919" w:hRule="atLeast"/>
        </w:trPr>
        <w:tc>
          <w:tcPr>
            <w:tcW w:w="354" w:type="pct"/>
            <w:tcBorders>
              <w:top w:val="nil"/>
              <w:left w:val="single" w:color="000000" w:sz="4" w:space="0"/>
              <w:bottom w:val="single" w:color="000000" w:sz="4" w:space="0"/>
              <w:right w:val="single" w:color="000000" w:sz="4" w:space="0"/>
            </w:tcBorders>
            <w:noWrap w:val="0"/>
            <w:vAlign w:val="center"/>
          </w:tcPr>
          <w:p w14:paraId="6B4059FB">
            <w:pPr>
              <w:widowControl w:val="0"/>
              <w:jc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48</w:t>
            </w:r>
          </w:p>
        </w:tc>
        <w:tc>
          <w:tcPr>
            <w:tcW w:w="755" w:type="pct"/>
            <w:tcBorders>
              <w:top w:val="nil"/>
              <w:left w:val="nil"/>
              <w:bottom w:val="single" w:color="000000" w:sz="4" w:space="0"/>
              <w:right w:val="single" w:color="000000" w:sz="4" w:space="0"/>
            </w:tcBorders>
            <w:noWrap w:val="0"/>
            <w:vAlign w:val="center"/>
          </w:tcPr>
          <w:p w14:paraId="5BC0B6F8">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防水油布</w:t>
            </w:r>
          </w:p>
        </w:tc>
        <w:tc>
          <w:tcPr>
            <w:tcW w:w="1516" w:type="pct"/>
            <w:tcBorders>
              <w:top w:val="nil"/>
              <w:left w:val="nil"/>
              <w:bottom w:val="single" w:color="000000" w:sz="4" w:space="0"/>
              <w:right w:val="single" w:color="000000" w:sz="4" w:space="0"/>
            </w:tcBorders>
            <w:noWrap w:val="0"/>
            <w:vAlign w:val="center"/>
          </w:tcPr>
          <w:p w14:paraId="097C7C29">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用于材料、护坡等覆盖防冲刷等；</w:t>
            </w:r>
          </w:p>
        </w:tc>
        <w:tc>
          <w:tcPr>
            <w:tcW w:w="390" w:type="pct"/>
            <w:tcBorders>
              <w:top w:val="nil"/>
              <w:left w:val="nil"/>
              <w:bottom w:val="single" w:color="000000" w:sz="4" w:space="0"/>
              <w:right w:val="single" w:color="000000" w:sz="4" w:space="0"/>
            </w:tcBorders>
            <w:noWrap w:val="0"/>
            <w:vAlign w:val="center"/>
          </w:tcPr>
          <w:p w14:paraId="754BCECE">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m2</w:t>
            </w:r>
          </w:p>
        </w:tc>
        <w:tc>
          <w:tcPr>
            <w:tcW w:w="642" w:type="pct"/>
            <w:tcBorders>
              <w:top w:val="nil"/>
              <w:left w:val="nil"/>
              <w:bottom w:val="single" w:color="000000" w:sz="4" w:space="0"/>
              <w:right w:val="single" w:color="000000" w:sz="4" w:space="0"/>
            </w:tcBorders>
            <w:noWrap w:val="0"/>
            <w:vAlign w:val="center"/>
          </w:tcPr>
          <w:p w14:paraId="2F97E41F">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100.5</w:t>
            </w:r>
          </w:p>
        </w:tc>
        <w:tc>
          <w:tcPr>
            <w:tcW w:w="670" w:type="pct"/>
            <w:tcBorders>
              <w:top w:val="nil"/>
              <w:left w:val="nil"/>
              <w:bottom w:val="single" w:color="000000" w:sz="4" w:space="0"/>
              <w:right w:val="single" w:color="000000" w:sz="4" w:space="0"/>
            </w:tcBorders>
            <w:noWrap w:val="0"/>
            <w:vAlign w:val="center"/>
          </w:tcPr>
          <w:p w14:paraId="3A5FB814">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1.74</w:t>
            </w:r>
          </w:p>
        </w:tc>
        <w:tc>
          <w:tcPr>
            <w:tcW w:w="670" w:type="pct"/>
            <w:tcBorders>
              <w:top w:val="nil"/>
              <w:left w:val="nil"/>
              <w:bottom w:val="single" w:color="000000" w:sz="4" w:space="0"/>
              <w:right w:val="single" w:color="000000" w:sz="4" w:space="0"/>
            </w:tcBorders>
            <w:noWrap w:val="0"/>
            <w:vAlign w:val="center"/>
          </w:tcPr>
          <w:p w14:paraId="1EF78857">
            <w:pPr>
              <w:widowControl w:val="0"/>
              <w:jc w:val="center"/>
              <w:rPr>
                <w:rFonts w:hint="eastAsia" w:ascii="宋体" w:hAnsi="宋体" w:eastAsia="宋体" w:cs="宋体"/>
                <w:color w:val="auto"/>
                <w:kern w:val="0"/>
                <w:sz w:val="21"/>
                <w:szCs w:val="21"/>
              </w:rPr>
            </w:pPr>
          </w:p>
        </w:tc>
      </w:tr>
      <w:tr w14:paraId="081E0397">
        <w:tblPrEx>
          <w:tblCellMar>
            <w:top w:w="0" w:type="dxa"/>
            <w:left w:w="108" w:type="dxa"/>
            <w:bottom w:w="0" w:type="dxa"/>
            <w:right w:w="108" w:type="dxa"/>
          </w:tblCellMar>
        </w:tblPrEx>
        <w:trPr>
          <w:trHeight w:val="1125" w:hRule="atLeast"/>
        </w:trPr>
        <w:tc>
          <w:tcPr>
            <w:tcW w:w="354" w:type="pct"/>
            <w:tcBorders>
              <w:top w:val="nil"/>
              <w:left w:val="single" w:color="000000" w:sz="4" w:space="0"/>
              <w:bottom w:val="single" w:color="000000" w:sz="4" w:space="0"/>
              <w:right w:val="single" w:color="000000" w:sz="4" w:space="0"/>
            </w:tcBorders>
            <w:noWrap w:val="0"/>
            <w:vAlign w:val="center"/>
          </w:tcPr>
          <w:p w14:paraId="44DC13AD">
            <w:pPr>
              <w:widowControl w:val="0"/>
              <w:jc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49</w:t>
            </w:r>
          </w:p>
        </w:tc>
        <w:tc>
          <w:tcPr>
            <w:tcW w:w="755" w:type="pct"/>
            <w:tcBorders>
              <w:top w:val="nil"/>
              <w:left w:val="nil"/>
              <w:bottom w:val="single" w:color="000000" w:sz="4" w:space="0"/>
              <w:right w:val="single" w:color="000000" w:sz="4" w:space="0"/>
            </w:tcBorders>
            <w:noWrap w:val="0"/>
            <w:vAlign w:val="center"/>
          </w:tcPr>
          <w:p w14:paraId="75ECD81A">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防汛泵车排水</w:t>
            </w:r>
          </w:p>
        </w:tc>
        <w:tc>
          <w:tcPr>
            <w:tcW w:w="1516" w:type="pct"/>
            <w:tcBorders>
              <w:top w:val="nil"/>
              <w:left w:val="nil"/>
              <w:bottom w:val="single" w:color="000000" w:sz="4" w:space="0"/>
              <w:right w:val="single" w:color="000000" w:sz="4" w:space="0"/>
            </w:tcBorders>
            <w:noWrap w:val="0"/>
            <w:vAlign w:val="center"/>
          </w:tcPr>
          <w:p w14:paraId="7ADF21CC">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1、用于防汛等调排水（工程车配备30-50KW柴油发电机及7.5KW-18.5KW水泵）</w:t>
            </w:r>
          </w:p>
          <w:p w14:paraId="1EA2A3FA">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2、维护用工另计</w:t>
            </w:r>
          </w:p>
        </w:tc>
        <w:tc>
          <w:tcPr>
            <w:tcW w:w="390" w:type="pct"/>
            <w:tcBorders>
              <w:top w:val="nil"/>
              <w:left w:val="nil"/>
              <w:bottom w:val="single" w:color="000000" w:sz="4" w:space="0"/>
              <w:right w:val="single" w:color="000000" w:sz="4" w:space="0"/>
            </w:tcBorders>
            <w:noWrap w:val="0"/>
            <w:vAlign w:val="center"/>
          </w:tcPr>
          <w:p w14:paraId="46F990F9">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台班</w:t>
            </w:r>
          </w:p>
        </w:tc>
        <w:tc>
          <w:tcPr>
            <w:tcW w:w="642" w:type="pct"/>
            <w:tcBorders>
              <w:top w:val="nil"/>
              <w:left w:val="nil"/>
              <w:bottom w:val="single" w:color="000000" w:sz="4" w:space="0"/>
              <w:right w:val="single" w:color="000000" w:sz="4" w:space="0"/>
            </w:tcBorders>
            <w:noWrap w:val="0"/>
            <w:vAlign w:val="center"/>
          </w:tcPr>
          <w:p w14:paraId="6DE00BC6">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20</w:t>
            </w:r>
          </w:p>
        </w:tc>
        <w:tc>
          <w:tcPr>
            <w:tcW w:w="670" w:type="pct"/>
            <w:tcBorders>
              <w:top w:val="nil"/>
              <w:left w:val="nil"/>
              <w:bottom w:val="single" w:color="000000" w:sz="4" w:space="0"/>
              <w:right w:val="single" w:color="000000" w:sz="4" w:space="0"/>
            </w:tcBorders>
            <w:noWrap w:val="0"/>
            <w:vAlign w:val="center"/>
          </w:tcPr>
          <w:p w14:paraId="51D89CC4">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1717.46</w:t>
            </w:r>
          </w:p>
        </w:tc>
        <w:tc>
          <w:tcPr>
            <w:tcW w:w="670" w:type="pct"/>
            <w:tcBorders>
              <w:top w:val="nil"/>
              <w:left w:val="nil"/>
              <w:bottom w:val="single" w:color="000000" w:sz="4" w:space="0"/>
              <w:right w:val="single" w:color="000000" w:sz="4" w:space="0"/>
            </w:tcBorders>
            <w:noWrap w:val="0"/>
            <w:vAlign w:val="center"/>
          </w:tcPr>
          <w:p w14:paraId="5C8BD145">
            <w:pPr>
              <w:widowControl w:val="0"/>
              <w:jc w:val="center"/>
              <w:rPr>
                <w:rFonts w:hint="eastAsia" w:ascii="宋体" w:hAnsi="宋体" w:eastAsia="宋体" w:cs="宋体"/>
                <w:color w:val="auto"/>
                <w:kern w:val="0"/>
                <w:sz w:val="21"/>
                <w:szCs w:val="21"/>
              </w:rPr>
            </w:pPr>
          </w:p>
        </w:tc>
      </w:tr>
      <w:tr w14:paraId="23D22A20">
        <w:tblPrEx>
          <w:tblCellMar>
            <w:top w:w="0" w:type="dxa"/>
            <w:left w:w="108" w:type="dxa"/>
            <w:bottom w:w="0" w:type="dxa"/>
            <w:right w:w="108" w:type="dxa"/>
          </w:tblCellMar>
        </w:tblPrEx>
        <w:trPr>
          <w:trHeight w:val="503" w:hRule="atLeast"/>
        </w:trPr>
        <w:tc>
          <w:tcPr>
            <w:tcW w:w="354" w:type="pct"/>
            <w:tcBorders>
              <w:top w:val="nil"/>
              <w:left w:val="single" w:color="000000" w:sz="4" w:space="0"/>
              <w:bottom w:val="single" w:color="000000" w:sz="4" w:space="0"/>
              <w:right w:val="single" w:color="000000" w:sz="4" w:space="0"/>
            </w:tcBorders>
            <w:noWrap w:val="0"/>
            <w:vAlign w:val="center"/>
          </w:tcPr>
          <w:p w14:paraId="653CF04E">
            <w:pPr>
              <w:widowControl w:val="0"/>
              <w:jc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50</w:t>
            </w:r>
          </w:p>
        </w:tc>
        <w:tc>
          <w:tcPr>
            <w:tcW w:w="755" w:type="pct"/>
            <w:tcBorders>
              <w:top w:val="nil"/>
              <w:left w:val="nil"/>
              <w:bottom w:val="single" w:color="000000" w:sz="4" w:space="0"/>
              <w:right w:val="single" w:color="000000" w:sz="4" w:space="0"/>
            </w:tcBorders>
            <w:noWrap w:val="0"/>
            <w:vAlign w:val="center"/>
          </w:tcPr>
          <w:p w14:paraId="6F1546DA">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零星排水</w:t>
            </w:r>
          </w:p>
        </w:tc>
        <w:tc>
          <w:tcPr>
            <w:tcW w:w="1516" w:type="pct"/>
            <w:tcBorders>
              <w:top w:val="nil"/>
              <w:left w:val="nil"/>
              <w:bottom w:val="single" w:color="000000" w:sz="4" w:space="0"/>
              <w:right w:val="single" w:color="000000" w:sz="4" w:space="0"/>
            </w:tcBorders>
            <w:noWrap w:val="0"/>
            <w:vAlign w:val="center"/>
          </w:tcPr>
          <w:p w14:paraId="41A29983">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1.用于防汛期间零星积水点应急排水</w:t>
            </w:r>
          </w:p>
          <w:p w14:paraId="0859B435">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2.清水离心泵直径100mm</w:t>
            </w:r>
          </w:p>
          <w:p w14:paraId="5DE3C31F">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3.柴油发电机10-30KW</w:t>
            </w:r>
          </w:p>
          <w:p w14:paraId="3F3AC11F">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4.维护人工另计，结算时不调整</w:t>
            </w:r>
          </w:p>
        </w:tc>
        <w:tc>
          <w:tcPr>
            <w:tcW w:w="390" w:type="pct"/>
            <w:tcBorders>
              <w:top w:val="nil"/>
              <w:left w:val="nil"/>
              <w:bottom w:val="single" w:color="000000" w:sz="4" w:space="0"/>
              <w:right w:val="single" w:color="000000" w:sz="4" w:space="0"/>
            </w:tcBorders>
            <w:noWrap w:val="0"/>
            <w:vAlign w:val="center"/>
          </w:tcPr>
          <w:p w14:paraId="77CD6A54">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台班</w:t>
            </w:r>
          </w:p>
        </w:tc>
        <w:tc>
          <w:tcPr>
            <w:tcW w:w="642" w:type="pct"/>
            <w:tcBorders>
              <w:top w:val="nil"/>
              <w:left w:val="nil"/>
              <w:bottom w:val="single" w:color="000000" w:sz="4" w:space="0"/>
              <w:right w:val="single" w:color="000000" w:sz="4" w:space="0"/>
            </w:tcBorders>
            <w:noWrap w:val="0"/>
            <w:vAlign w:val="center"/>
          </w:tcPr>
          <w:p w14:paraId="7AA42656">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30</w:t>
            </w:r>
          </w:p>
        </w:tc>
        <w:tc>
          <w:tcPr>
            <w:tcW w:w="670" w:type="pct"/>
            <w:tcBorders>
              <w:top w:val="nil"/>
              <w:left w:val="nil"/>
              <w:bottom w:val="single" w:color="000000" w:sz="4" w:space="0"/>
              <w:right w:val="single" w:color="000000" w:sz="4" w:space="0"/>
            </w:tcBorders>
            <w:noWrap w:val="0"/>
            <w:vAlign w:val="center"/>
          </w:tcPr>
          <w:p w14:paraId="2F50D99D">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236.5</w:t>
            </w:r>
          </w:p>
        </w:tc>
        <w:tc>
          <w:tcPr>
            <w:tcW w:w="670" w:type="pct"/>
            <w:tcBorders>
              <w:top w:val="nil"/>
              <w:left w:val="nil"/>
              <w:bottom w:val="single" w:color="000000" w:sz="4" w:space="0"/>
              <w:right w:val="single" w:color="000000" w:sz="4" w:space="0"/>
            </w:tcBorders>
            <w:noWrap w:val="0"/>
            <w:vAlign w:val="center"/>
          </w:tcPr>
          <w:p w14:paraId="07A1CC82">
            <w:pPr>
              <w:widowControl w:val="0"/>
              <w:jc w:val="center"/>
              <w:rPr>
                <w:rFonts w:hint="eastAsia" w:ascii="宋体" w:hAnsi="宋体" w:eastAsia="宋体" w:cs="宋体"/>
                <w:color w:val="auto"/>
                <w:kern w:val="0"/>
                <w:sz w:val="21"/>
                <w:szCs w:val="21"/>
              </w:rPr>
            </w:pPr>
          </w:p>
        </w:tc>
      </w:tr>
      <w:tr w14:paraId="2E815FD8">
        <w:tblPrEx>
          <w:tblCellMar>
            <w:top w:w="0" w:type="dxa"/>
            <w:left w:w="108" w:type="dxa"/>
            <w:bottom w:w="0" w:type="dxa"/>
            <w:right w:w="108" w:type="dxa"/>
          </w:tblCellMar>
        </w:tblPrEx>
        <w:trPr>
          <w:trHeight w:val="904" w:hRule="atLeast"/>
        </w:trPr>
        <w:tc>
          <w:tcPr>
            <w:tcW w:w="354" w:type="pct"/>
            <w:tcBorders>
              <w:top w:val="nil"/>
              <w:left w:val="single" w:color="000000" w:sz="4" w:space="0"/>
              <w:bottom w:val="single" w:color="000000" w:sz="4" w:space="0"/>
              <w:right w:val="single" w:color="000000" w:sz="4" w:space="0"/>
            </w:tcBorders>
            <w:noWrap w:val="0"/>
            <w:vAlign w:val="center"/>
          </w:tcPr>
          <w:p w14:paraId="3EFE8232">
            <w:pPr>
              <w:widowControl w:val="0"/>
              <w:jc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51</w:t>
            </w:r>
          </w:p>
        </w:tc>
        <w:tc>
          <w:tcPr>
            <w:tcW w:w="755" w:type="pct"/>
            <w:tcBorders>
              <w:top w:val="nil"/>
              <w:left w:val="nil"/>
              <w:bottom w:val="single" w:color="000000" w:sz="4" w:space="0"/>
              <w:right w:val="single" w:color="000000" w:sz="4" w:space="0"/>
            </w:tcBorders>
            <w:noWrap w:val="0"/>
            <w:vAlign w:val="center"/>
          </w:tcPr>
          <w:p w14:paraId="3C7CC655">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150轮挖使用</w:t>
            </w:r>
          </w:p>
        </w:tc>
        <w:tc>
          <w:tcPr>
            <w:tcW w:w="1516" w:type="pct"/>
            <w:tcBorders>
              <w:top w:val="nil"/>
              <w:left w:val="nil"/>
              <w:bottom w:val="single" w:color="000000" w:sz="4" w:space="0"/>
              <w:right w:val="single" w:color="000000" w:sz="4" w:space="0"/>
            </w:tcBorders>
            <w:noWrap w:val="0"/>
            <w:vAlign w:val="center"/>
          </w:tcPr>
          <w:p w14:paraId="0B286B95">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1.用于防汛期间应急沟槽、基坑土方开挖等</w:t>
            </w:r>
          </w:p>
        </w:tc>
        <w:tc>
          <w:tcPr>
            <w:tcW w:w="390" w:type="pct"/>
            <w:tcBorders>
              <w:top w:val="nil"/>
              <w:left w:val="nil"/>
              <w:bottom w:val="single" w:color="000000" w:sz="4" w:space="0"/>
              <w:right w:val="single" w:color="000000" w:sz="4" w:space="0"/>
            </w:tcBorders>
            <w:noWrap w:val="0"/>
            <w:vAlign w:val="center"/>
          </w:tcPr>
          <w:p w14:paraId="77CB1EAA">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台班</w:t>
            </w:r>
          </w:p>
        </w:tc>
        <w:tc>
          <w:tcPr>
            <w:tcW w:w="642" w:type="pct"/>
            <w:tcBorders>
              <w:top w:val="nil"/>
              <w:left w:val="nil"/>
              <w:bottom w:val="single" w:color="000000" w:sz="4" w:space="0"/>
              <w:right w:val="single" w:color="000000" w:sz="4" w:space="0"/>
            </w:tcBorders>
            <w:noWrap w:val="0"/>
            <w:vAlign w:val="center"/>
          </w:tcPr>
          <w:p w14:paraId="395AFC17">
            <w:pPr>
              <w:widowControl w:val="0"/>
              <w:jc w:val="left"/>
              <w:rPr>
                <w:rFonts w:hint="eastAsia" w:ascii="宋体" w:hAnsi="宋体" w:eastAsia="宋体" w:cs="宋体"/>
                <w:color w:val="auto"/>
                <w:kern w:val="0"/>
                <w:sz w:val="21"/>
                <w:szCs w:val="21"/>
                <w:lang w:eastAsia="zh-CN"/>
              </w:rPr>
            </w:pPr>
            <w:r>
              <w:rPr>
                <w:rFonts w:hint="eastAsia" w:ascii="宋体" w:hAnsi="宋体" w:cs="宋体"/>
                <w:color w:val="auto"/>
                <w:kern w:val="0"/>
                <w:sz w:val="21"/>
                <w:szCs w:val="21"/>
                <w:lang w:val="en-US" w:eastAsia="zh-CN"/>
              </w:rPr>
              <w:t>4</w:t>
            </w:r>
          </w:p>
        </w:tc>
        <w:tc>
          <w:tcPr>
            <w:tcW w:w="670" w:type="pct"/>
            <w:tcBorders>
              <w:top w:val="nil"/>
              <w:left w:val="nil"/>
              <w:bottom w:val="single" w:color="000000" w:sz="4" w:space="0"/>
              <w:right w:val="single" w:color="000000" w:sz="4" w:space="0"/>
            </w:tcBorders>
            <w:noWrap w:val="0"/>
            <w:vAlign w:val="center"/>
          </w:tcPr>
          <w:p w14:paraId="6281DB1D">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799.01</w:t>
            </w:r>
          </w:p>
        </w:tc>
        <w:tc>
          <w:tcPr>
            <w:tcW w:w="670" w:type="pct"/>
            <w:tcBorders>
              <w:top w:val="nil"/>
              <w:left w:val="nil"/>
              <w:bottom w:val="single" w:color="000000" w:sz="4" w:space="0"/>
              <w:right w:val="single" w:color="000000" w:sz="4" w:space="0"/>
            </w:tcBorders>
            <w:noWrap w:val="0"/>
            <w:vAlign w:val="center"/>
          </w:tcPr>
          <w:p w14:paraId="0940C203">
            <w:pPr>
              <w:widowControl w:val="0"/>
              <w:jc w:val="center"/>
              <w:rPr>
                <w:rFonts w:hint="eastAsia" w:ascii="宋体" w:hAnsi="宋体" w:eastAsia="宋体" w:cs="宋体"/>
                <w:color w:val="auto"/>
                <w:kern w:val="0"/>
                <w:sz w:val="21"/>
                <w:szCs w:val="21"/>
              </w:rPr>
            </w:pPr>
          </w:p>
        </w:tc>
      </w:tr>
      <w:tr w14:paraId="65A12B78">
        <w:tblPrEx>
          <w:tblCellMar>
            <w:top w:w="0" w:type="dxa"/>
            <w:left w:w="108" w:type="dxa"/>
            <w:bottom w:w="0" w:type="dxa"/>
            <w:right w:w="108" w:type="dxa"/>
          </w:tblCellMar>
        </w:tblPrEx>
        <w:trPr>
          <w:trHeight w:val="1125" w:hRule="atLeast"/>
        </w:trPr>
        <w:tc>
          <w:tcPr>
            <w:tcW w:w="354" w:type="pct"/>
            <w:tcBorders>
              <w:top w:val="nil"/>
              <w:left w:val="single" w:color="000000" w:sz="4" w:space="0"/>
              <w:bottom w:val="single" w:color="000000" w:sz="4" w:space="0"/>
              <w:right w:val="single" w:color="000000" w:sz="4" w:space="0"/>
            </w:tcBorders>
            <w:noWrap w:val="0"/>
            <w:vAlign w:val="center"/>
          </w:tcPr>
          <w:p w14:paraId="7F3E2C0F">
            <w:pPr>
              <w:widowControl w:val="0"/>
              <w:jc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52</w:t>
            </w:r>
          </w:p>
        </w:tc>
        <w:tc>
          <w:tcPr>
            <w:tcW w:w="755" w:type="pct"/>
            <w:tcBorders>
              <w:top w:val="nil"/>
              <w:left w:val="nil"/>
              <w:bottom w:val="single" w:color="000000" w:sz="4" w:space="0"/>
              <w:right w:val="single" w:color="000000" w:sz="4" w:space="0"/>
            </w:tcBorders>
            <w:noWrap w:val="0"/>
            <w:vAlign w:val="center"/>
          </w:tcPr>
          <w:p w14:paraId="099E3C43">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带形基础</w:t>
            </w:r>
          </w:p>
        </w:tc>
        <w:tc>
          <w:tcPr>
            <w:tcW w:w="1516" w:type="pct"/>
            <w:tcBorders>
              <w:top w:val="nil"/>
              <w:left w:val="nil"/>
              <w:bottom w:val="single" w:color="000000" w:sz="4" w:space="0"/>
              <w:right w:val="single" w:color="000000" w:sz="4" w:space="0"/>
            </w:tcBorders>
            <w:noWrap w:val="0"/>
            <w:vAlign w:val="center"/>
          </w:tcPr>
          <w:p w14:paraId="7827A993">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1.混凝土强度等级：C30</w:t>
            </w:r>
          </w:p>
          <w:p w14:paraId="2EF8D63F">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3.含模板安拆</w:t>
            </w:r>
          </w:p>
          <w:p w14:paraId="328A87D7">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3.材料、机械运至施工现场及施工等所有费用</w:t>
            </w:r>
          </w:p>
        </w:tc>
        <w:tc>
          <w:tcPr>
            <w:tcW w:w="390" w:type="pct"/>
            <w:tcBorders>
              <w:top w:val="nil"/>
              <w:left w:val="nil"/>
              <w:bottom w:val="single" w:color="000000" w:sz="4" w:space="0"/>
              <w:right w:val="single" w:color="000000" w:sz="4" w:space="0"/>
            </w:tcBorders>
            <w:noWrap w:val="0"/>
            <w:vAlign w:val="center"/>
          </w:tcPr>
          <w:p w14:paraId="54139716">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m3</w:t>
            </w:r>
          </w:p>
        </w:tc>
        <w:tc>
          <w:tcPr>
            <w:tcW w:w="642" w:type="pct"/>
            <w:tcBorders>
              <w:top w:val="nil"/>
              <w:left w:val="nil"/>
              <w:bottom w:val="single" w:color="000000" w:sz="4" w:space="0"/>
              <w:right w:val="single" w:color="000000" w:sz="4" w:space="0"/>
            </w:tcBorders>
            <w:noWrap w:val="0"/>
            <w:vAlign w:val="center"/>
          </w:tcPr>
          <w:p w14:paraId="7105780B">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10.05</w:t>
            </w:r>
          </w:p>
        </w:tc>
        <w:tc>
          <w:tcPr>
            <w:tcW w:w="670" w:type="pct"/>
            <w:tcBorders>
              <w:top w:val="nil"/>
              <w:left w:val="nil"/>
              <w:bottom w:val="single" w:color="000000" w:sz="4" w:space="0"/>
              <w:right w:val="single" w:color="000000" w:sz="4" w:space="0"/>
            </w:tcBorders>
            <w:noWrap w:val="0"/>
            <w:vAlign w:val="center"/>
          </w:tcPr>
          <w:p w14:paraId="6F993604">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681.09</w:t>
            </w:r>
          </w:p>
        </w:tc>
        <w:tc>
          <w:tcPr>
            <w:tcW w:w="670" w:type="pct"/>
            <w:tcBorders>
              <w:top w:val="nil"/>
              <w:left w:val="nil"/>
              <w:bottom w:val="single" w:color="000000" w:sz="4" w:space="0"/>
              <w:right w:val="single" w:color="000000" w:sz="4" w:space="0"/>
            </w:tcBorders>
            <w:noWrap w:val="0"/>
            <w:vAlign w:val="center"/>
          </w:tcPr>
          <w:p w14:paraId="1AF95BC1">
            <w:pPr>
              <w:widowControl w:val="0"/>
              <w:jc w:val="center"/>
              <w:rPr>
                <w:rFonts w:hint="eastAsia" w:ascii="宋体" w:hAnsi="宋体" w:eastAsia="宋体" w:cs="宋体"/>
                <w:color w:val="auto"/>
                <w:kern w:val="0"/>
                <w:sz w:val="21"/>
                <w:szCs w:val="21"/>
              </w:rPr>
            </w:pPr>
          </w:p>
        </w:tc>
      </w:tr>
      <w:tr w14:paraId="0330677C">
        <w:tblPrEx>
          <w:tblCellMar>
            <w:top w:w="0" w:type="dxa"/>
            <w:left w:w="108" w:type="dxa"/>
            <w:bottom w:w="0" w:type="dxa"/>
            <w:right w:w="108" w:type="dxa"/>
          </w:tblCellMar>
        </w:tblPrEx>
        <w:trPr>
          <w:trHeight w:val="503" w:hRule="atLeast"/>
        </w:trPr>
        <w:tc>
          <w:tcPr>
            <w:tcW w:w="354" w:type="pct"/>
            <w:tcBorders>
              <w:top w:val="nil"/>
              <w:left w:val="single" w:color="000000" w:sz="4" w:space="0"/>
              <w:bottom w:val="single" w:color="000000" w:sz="4" w:space="0"/>
              <w:right w:val="single" w:color="000000" w:sz="4" w:space="0"/>
            </w:tcBorders>
            <w:noWrap w:val="0"/>
            <w:vAlign w:val="center"/>
          </w:tcPr>
          <w:p w14:paraId="2357D5DB">
            <w:pPr>
              <w:widowControl w:val="0"/>
              <w:jc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53</w:t>
            </w:r>
          </w:p>
        </w:tc>
        <w:tc>
          <w:tcPr>
            <w:tcW w:w="755" w:type="pct"/>
            <w:tcBorders>
              <w:top w:val="nil"/>
              <w:left w:val="nil"/>
              <w:bottom w:val="single" w:color="000000" w:sz="4" w:space="0"/>
              <w:right w:val="single" w:color="000000" w:sz="4" w:space="0"/>
            </w:tcBorders>
            <w:noWrap w:val="0"/>
            <w:vAlign w:val="center"/>
          </w:tcPr>
          <w:p w14:paraId="1650D612">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直形墙</w:t>
            </w:r>
          </w:p>
        </w:tc>
        <w:tc>
          <w:tcPr>
            <w:tcW w:w="1516" w:type="pct"/>
            <w:tcBorders>
              <w:top w:val="nil"/>
              <w:left w:val="nil"/>
              <w:bottom w:val="single" w:color="000000" w:sz="4" w:space="0"/>
              <w:right w:val="single" w:color="000000" w:sz="4" w:space="0"/>
            </w:tcBorders>
            <w:noWrap w:val="0"/>
            <w:vAlign w:val="center"/>
          </w:tcPr>
          <w:p w14:paraId="20154010">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1.混凝土强度等级：C30</w:t>
            </w:r>
          </w:p>
          <w:p w14:paraId="32B9CA66">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2.墙厚综合考虑</w:t>
            </w:r>
          </w:p>
          <w:p w14:paraId="649F165A">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3.含模板安拆</w:t>
            </w:r>
          </w:p>
          <w:p w14:paraId="07B367F8">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4.材料、机械运至施工现场及施工等所有费用</w:t>
            </w:r>
          </w:p>
        </w:tc>
        <w:tc>
          <w:tcPr>
            <w:tcW w:w="390" w:type="pct"/>
            <w:tcBorders>
              <w:top w:val="nil"/>
              <w:left w:val="nil"/>
              <w:bottom w:val="single" w:color="000000" w:sz="4" w:space="0"/>
              <w:right w:val="single" w:color="000000" w:sz="4" w:space="0"/>
            </w:tcBorders>
            <w:noWrap w:val="0"/>
            <w:vAlign w:val="center"/>
          </w:tcPr>
          <w:p w14:paraId="4C0A9523">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m3</w:t>
            </w:r>
          </w:p>
        </w:tc>
        <w:tc>
          <w:tcPr>
            <w:tcW w:w="642" w:type="pct"/>
            <w:tcBorders>
              <w:top w:val="nil"/>
              <w:left w:val="nil"/>
              <w:bottom w:val="single" w:color="000000" w:sz="4" w:space="0"/>
              <w:right w:val="single" w:color="000000" w:sz="4" w:space="0"/>
            </w:tcBorders>
            <w:noWrap w:val="0"/>
            <w:vAlign w:val="center"/>
          </w:tcPr>
          <w:p w14:paraId="694A9D9C">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6.7</w:t>
            </w:r>
          </w:p>
        </w:tc>
        <w:tc>
          <w:tcPr>
            <w:tcW w:w="670" w:type="pct"/>
            <w:tcBorders>
              <w:top w:val="nil"/>
              <w:left w:val="nil"/>
              <w:bottom w:val="single" w:color="000000" w:sz="4" w:space="0"/>
              <w:right w:val="single" w:color="000000" w:sz="4" w:space="0"/>
            </w:tcBorders>
            <w:noWrap w:val="0"/>
            <w:vAlign w:val="center"/>
          </w:tcPr>
          <w:p w14:paraId="48FAD2E9">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921.51</w:t>
            </w:r>
          </w:p>
        </w:tc>
        <w:tc>
          <w:tcPr>
            <w:tcW w:w="670" w:type="pct"/>
            <w:tcBorders>
              <w:top w:val="nil"/>
              <w:left w:val="nil"/>
              <w:bottom w:val="single" w:color="000000" w:sz="4" w:space="0"/>
              <w:right w:val="single" w:color="000000" w:sz="4" w:space="0"/>
            </w:tcBorders>
            <w:noWrap w:val="0"/>
            <w:vAlign w:val="center"/>
          </w:tcPr>
          <w:p w14:paraId="24E7C628">
            <w:pPr>
              <w:widowControl w:val="0"/>
              <w:jc w:val="center"/>
              <w:rPr>
                <w:rFonts w:hint="eastAsia" w:ascii="宋体" w:hAnsi="宋体" w:eastAsia="宋体" w:cs="宋体"/>
                <w:color w:val="auto"/>
                <w:kern w:val="0"/>
                <w:sz w:val="21"/>
                <w:szCs w:val="21"/>
              </w:rPr>
            </w:pPr>
          </w:p>
        </w:tc>
      </w:tr>
      <w:tr w14:paraId="34B94A7E">
        <w:tblPrEx>
          <w:tblCellMar>
            <w:top w:w="0" w:type="dxa"/>
            <w:left w:w="108" w:type="dxa"/>
            <w:bottom w:w="0" w:type="dxa"/>
            <w:right w:w="108" w:type="dxa"/>
          </w:tblCellMar>
        </w:tblPrEx>
        <w:trPr>
          <w:trHeight w:val="518" w:hRule="atLeast"/>
        </w:trPr>
        <w:tc>
          <w:tcPr>
            <w:tcW w:w="354" w:type="pct"/>
            <w:tcBorders>
              <w:top w:val="nil"/>
              <w:left w:val="single" w:color="000000" w:sz="4" w:space="0"/>
              <w:bottom w:val="single" w:color="000000" w:sz="4" w:space="0"/>
              <w:right w:val="single" w:color="000000" w:sz="4" w:space="0"/>
            </w:tcBorders>
            <w:noWrap w:val="0"/>
            <w:vAlign w:val="center"/>
          </w:tcPr>
          <w:p w14:paraId="00928999">
            <w:pPr>
              <w:widowControl w:val="0"/>
              <w:jc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54</w:t>
            </w:r>
          </w:p>
        </w:tc>
        <w:tc>
          <w:tcPr>
            <w:tcW w:w="755" w:type="pct"/>
            <w:tcBorders>
              <w:top w:val="nil"/>
              <w:left w:val="nil"/>
              <w:bottom w:val="single" w:color="000000" w:sz="4" w:space="0"/>
              <w:right w:val="single" w:color="000000" w:sz="4" w:space="0"/>
            </w:tcBorders>
            <w:noWrap w:val="0"/>
            <w:vAlign w:val="center"/>
          </w:tcPr>
          <w:p w14:paraId="2EADFE19">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现浇构件钢筋</w:t>
            </w:r>
          </w:p>
        </w:tc>
        <w:tc>
          <w:tcPr>
            <w:tcW w:w="1516" w:type="pct"/>
            <w:tcBorders>
              <w:top w:val="nil"/>
              <w:left w:val="nil"/>
              <w:bottom w:val="single" w:color="000000" w:sz="4" w:space="0"/>
              <w:right w:val="single" w:color="000000" w:sz="4" w:space="0"/>
            </w:tcBorders>
            <w:noWrap w:val="0"/>
            <w:vAlign w:val="center"/>
          </w:tcPr>
          <w:p w14:paraId="7D2337A4">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现浇砼构件钢筋Φ≤12，含搭接、锚固、接头等</w:t>
            </w:r>
          </w:p>
        </w:tc>
        <w:tc>
          <w:tcPr>
            <w:tcW w:w="390" w:type="pct"/>
            <w:tcBorders>
              <w:top w:val="nil"/>
              <w:left w:val="nil"/>
              <w:bottom w:val="single" w:color="000000" w:sz="4" w:space="0"/>
              <w:right w:val="single" w:color="000000" w:sz="4" w:space="0"/>
            </w:tcBorders>
            <w:noWrap w:val="0"/>
            <w:vAlign w:val="center"/>
          </w:tcPr>
          <w:p w14:paraId="2A9E7783">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t</w:t>
            </w:r>
          </w:p>
        </w:tc>
        <w:tc>
          <w:tcPr>
            <w:tcW w:w="642" w:type="pct"/>
            <w:tcBorders>
              <w:top w:val="nil"/>
              <w:left w:val="nil"/>
              <w:bottom w:val="single" w:color="000000" w:sz="4" w:space="0"/>
              <w:right w:val="single" w:color="000000" w:sz="4" w:space="0"/>
            </w:tcBorders>
            <w:noWrap w:val="0"/>
            <w:vAlign w:val="center"/>
          </w:tcPr>
          <w:p w14:paraId="65654390">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2.01</w:t>
            </w:r>
          </w:p>
        </w:tc>
        <w:tc>
          <w:tcPr>
            <w:tcW w:w="670" w:type="pct"/>
            <w:tcBorders>
              <w:top w:val="nil"/>
              <w:left w:val="nil"/>
              <w:bottom w:val="single" w:color="000000" w:sz="4" w:space="0"/>
              <w:right w:val="single" w:color="000000" w:sz="4" w:space="0"/>
            </w:tcBorders>
            <w:noWrap w:val="0"/>
            <w:vAlign w:val="center"/>
          </w:tcPr>
          <w:p w14:paraId="51CA9963">
            <w:pPr>
              <w:keepNext w:val="0"/>
              <w:keepLines w:val="0"/>
              <w:widowControl/>
              <w:suppressLineNumbers w:val="0"/>
              <w:jc w:val="center"/>
              <w:textAlignment w:val="center"/>
              <w:rPr>
                <w:rFonts w:hint="eastAsia" w:ascii="宋体" w:hAnsi="宋体" w:eastAsia="宋体" w:cs="宋体"/>
                <w:color w:val="auto"/>
                <w:kern w:val="0"/>
                <w:sz w:val="21"/>
                <w:szCs w:val="21"/>
              </w:rPr>
            </w:pPr>
            <w:r>
              <w:rPr>
                <w:rFonts w:hint="eastAsia" w:ascii="宋体" w:hAnsi="宋体" w:cs="宋体"/>
                <w:i w:val="0"/>
                <w:iCs w:val="0"/>
                <w:color w:val="auto"/>
                <w:kern w:val="0"/>
                <w:sz w:val="18"/>
                <w:szCs w:val="18"/>
                <w:u w:val="none"/>
                <w:lang w:val="en-US" w:eastAsia="zh-CN" w:bidi="ar"/>
              </w:rPr>
              <w:t>6587.68</w:t>
            </w:r>
            <w:r>
              <w:rPr>
                <w:rFonts w:hint="eastAsia" w:ascii="宋体" w:hAnsi="宋体" w:eastAsia="宋体" w:cs="宋体"/>
                <w:i w:val="0"/>
                <w:iCs w:val="0"/>
                <w:color w:val="auto"/>
                <w:kern w:val="0"/>
                <w:sz w:val="18"/>
                <w:szCs w:val="18"/>
                <w:u w:val="none"/>
                <w:lang w:val="en-US" w:eastAsia="zh-CN" w:bidi="ar"/>
              </w:rPr>
              <w:t xml:space="preserve"> </w:t>
            </w:r>
          </w:p>
        </w:tc>
        <w:tc>
          <w:tcPr>
            <w:tcW w:w="670" w:type="pct"/>
            <w:tcBorders>
              <w:top w:val="nil"/>
              <w:left w:val="nil"/>
              <w:bottom w:val="single" w:color="000000" w:sz="4" w:space="0"/>
              <w:right w:val="single" w:color="000000" w:sz="4" w:space="0"/>
            </w:tcBorders>
            <w:noWrap w:val="0"/>
            <w:vAlign w:val="center"/>
          </w:tcPr>
          <w:p w14:paraId="2F91F7DA">
            <w:pPr>
              <w:widowControl w:val="0"/>
              <w:jc w:val="center"/>
              <w:rPr>
                <w:rFonts w:hint="eastAsia" w:ascii="宋体" w:hAnsi="宋体" w:eastAsia="宋体" w:cs="宋体"/>
                <w:color w:val="auto"/>
                <w:kern w:val="0"/>
                <w:sz w:val="21"/>
                <w:szCs w:val="21"/>
              </w:rPr>
            </w:pPr>
          </w:p>
        </w:tc>
      </w:tr>
      <w:tr w14:paraId="171D6BF0">
        <w:tblPrEx>
          <w:tblCellMar>
            <w:top w:w="0" w:type="dxa"/>
            <w:left w:w="108" w:type="dxa"/>
            <w:bottom w:w="0" w:type="dxa"/>
            <w:right w:w="108" w:type="dxa"/>
          </w:tblCellMar>
        </w:tblPrEx>
        <w:trPr>
          <w:trHeight w:val="1110" w:hRule="atLeast"/>
        </w:trPr>
        <w:tc>
          <w:tcPr>
            <w:tcW w:w="354" w:type="pct"/>
            <w:tcBorders>
              <w:top w:val="nil"/>
              <w:left w:val="single" w:color="000000" w:sz="4" w:space="0"/>
              <w:bottom w:val="single" w:color="000000" w:sz="4" w:space="0"/>
              <w:right w:val="single" w:color="000000" w:sz="4" w:space="0"/>
            </w:tcBorders>
            <w:noWrap w:val="0"/>
            <w:vAlign w:val="center"/>
          </w:tcPr>
          <w:p w14:paraId="2E36735B">
            <w:pPr>
              <w:widowControl w:val="0"/>
              <w:jc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55</w:t>
            </w:r>
          </w:p>
        </w:tc>
        <w:tc>
          <w:tcPr>
            <w:tcW w:w="755" w:type="pct"/>
            <w:tcBorders>
              <w:top w:val="nil"/>
              <w:left w:val="nil"/>
              <w:bottom w:val="single" w:color="000000" w:sz="4" w:space="0"/>
              <w:right w:val="single" w:color="000000" w:sz="4" w:space="0"/>
            </w:tcBorders>
            <w:noWrap w:val="0"/>
            <w:vAlign w:val="center"/>
          </w:tcPr>
          <w:p w14:paraId="602CA2B5">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现浇构件钢筋</w:t>
            </w:r>
          </w:p>
        </w:tc>
        <w:tc>
          <w:tcPr>
            <w:tcW w:w="1516" w:type="pct"/>
            <w:tcBorders>
              <w:top w:val="nil"/>
              <w:left w:val="nil"/>
              <w:bottom w:val="single" w:color="000000" w:sz="4" w:space="0"/>
              <w:right w:val="single" w:color="000000" w:sz="4" w:space="0"/>
            </w:tcBorders>
            <w:noWrap w:val="0"/>
            <w:vAlign w:val="center"/>
          </w:tcPr>
          <w:p w14:paraId="48D6B452">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现浇砼构件钢筋Φ≤25，含搭接、锚固、接头等</w:t>
            </w:r>
          </w:p>
        </w:tc>
        <w:tc>
          <w:tcPr>
            <w:tcW w:w="390" w:type="pct"/>
            <w:tcBorders>
              <w:top w:val="nil"/>
              <w:left w:val="nil"/>
              <w:bottom w:val="single" w:color="000000" w:sz="4" w:space="0"/>
              <w:right w:val="single" w:color="000000" w:sz="4" w:space="0"/>
            </w:tcBorders>
            <w:noWrap w:val="0"/>
            <w:vAlign w:val="center"/>
          </w:tcPr>
          <w:p w14:paraId="6F6FEE50">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t</w:t>
            </w:r>
          </w:p>
        </w:tc>
        <w:tc>
          <w:tcPr>
            <w:tcW w:w="642" w:type="pct"/>
            <w:tcBorders>
              <w:top w:val="nil"/>
              <w:left w:val="nil"/>
              <w:bottom w:val="single" w:color="000000" w:sz="4" w:space="0"/>
              <w:right w:val="single" w:color="000000" w:sz="4" w:space="0"/>
            </w:tcBorders>
            <w:noWrap w:val="0"/>
            <w:vAlign w:val="center"/>
          </w:tcPr>
          <w:p w14:paraId="40277949">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1.01</w:t>
            </w:r>
          </w:p>
        </w:tc>
        <w:tc>
          <w:tcPr>
            <w:tcW w:w="670" w:type="pct"/>
            <w:tcBorders>
              <w:top w:val="nil"/>
              <w:left w:val="nil"/>
              <w:bottom w:val="single" w:color="000000" w:sz="4" w:space="0"/>
              <w:right w:val="single" w:color="000000" w:sz="4" w:space="0"/>
            </w:tcBorders>
            <w:noWrap w:val="0"/>
            <w:vAlign w:val="center"/>
          </w:tcPr>
          <w:p w14:paraId="33FF288E">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5773.75</w:t>
            </w:r>
          </w:p>
        </w:tc>
        <w:tc>
          <w:tcPr>
            <w:tcW w:w="670" w:type="pct"/>
            <w:tcBorders>
              <w:top w:val="nil"/>
              <w:left w:val="nil"/>
              <w:bottom w:val="single" w:color="000000" w:sz="4" w:space="0"/>
              <w:right w:val="single" w:color="000000" w:sz="4" w:space="0"/>
            </w:tcBorders>
            <w:noWrap w:val="0"/>
            <w:vAlign w:val="center"/>
          </w:tcPr>
          <w:p w14:paraId="3BB78306">
            <w:pPr>
              <w:widowControl w:val="0"/>
              <w:jc w:val="center"/>
              <w:rPr>
                <w:rFonts w:hint="eastAsia" w:ascii="宋体" w:hAnsi="宋体" w:eastAsia="宋体" w:cs="宋体"/>
                <w:color w:val="auto"/>
                <w:kern w:val="0"/>
                <w:sz w:val="21"/>
                <w:szCs w:val="21"/>
              </w:rPr>
            </w:pPr>
          </w:p>
        </w:tc>
      </w:tr>
      <w:tr w14:paraId="6AA24CD4">
        <w:tblPrEx>
          <w:tblCellMar>
            <w:top w:w="0" w:type="dxa"/>
            <w:left w:w="108" w:type="dxa"/>
            <w:bottom w:w="0" w:type="dxa"/>
            <w:right w:w="108" w:type="dxa"/>
          </w:tblCellMar>
        </w:tblPrEx>
        <w:trPr>
          <w:trHeight w:val="1125" w:hRule="atLeast"/>
        </w:trPr>
        <w:tc>
          <w:tcPr>
            <w:tcW w:w="354" w:type="pct"/>
            <w:tcBorders>
              <w:top w:val="nil"/>
              <w:left w:val="single" w:color="000000" w:sz="4" w:space="0"/>
              <w:bottom w:val="single" w:color="000000" w:sz="4" w:space="0"/>
              <w:right w:val="single" w:color="000000" w:sz="4" w:space="0"/>
            </w:tcBorders>
            <w:noWrap w:val="0"/>
            <w:vAlign w:val="center"/>
          </w:tcPr>
          <w:p w14:paraId="7B6CF14E">
            <w:pPr>
              <w:widowControl w:val="0"/>
              <w:jc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56</w:t>
            </w:r>
          </w:p>
        </w:tc>
        <w:tc>
          <w:tcPr>
            <w:tcW w:w="755" w:type="pct"/>
            <w:tcBorders>
              <w:top w:val="nil"/>
              <w:left w:val="nil"/>
              <w:bottom w:val="single" w:color="000000" w:sz="4" w:space="0"/>
              <w:right w:val="single" w:color="000000" w:sz="4" w:space="0"/>
            </w:tcBorders>
            <w:noWrap w:val="0"/>
            <w:vAlign w:val="center"/>
          </w:tcPr>
          <w:p w14:paraId="099E2ECA">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挖沟槽土方</w:t>
            </w:r>
          </w:p>
        </w:tc>
        <w:tc>
          <w:tcPr>
            <w:tcW w:w="1516" w:type="pct"/>
            <w:tcBorders>
              <w:top w:val="nil"/>
              <w:left w:val="nil"/>
              <w:bottom w:val="single" w:color="000000" w:sz="4" w:space="0"/>
              <w:right w:val="single" w:color="000000" w:sz="4" w:space="0"/>
            </w:tcBorders>
            <w:noWrap w:val="0"/>
            <w:vAlign w:val="center"/>
          </w:tcPr>
          <w:p w14:paraId="4CA388DB">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挖沟槽土方</w:t>
            </w:r>
          </w:p>
          <w:p w14:paraId="64ABA343">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1.土壤类别:投标人自行踏勘现场，报价综合考虑</w:t>
            </w:r>
          </w:p>
          <w:p w14:paraId="3D46D062">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2.挖土深度:根据项目情况，报价综合考虑</w:t>
            </w:r>
          </w:p>
        </w:tc>
        <w:tc>
          <w:tcPr>
            <w:tcW w:w="390" w:type="pct"/>
            <w:tcBorders>
              <w:top w:val="nil"/>
              <w:left w:val="nil"/>
              <w:bottom w:val="single" w:color="000000" w:sz="4" w:space="0"/>
              <w:right w:val="single" w:color="000000" w:sz="4" w:space="0"/>
            </w:tcBorders>
            <w:noWrap w:val="0"/>
            <w:vAlign w:val="center"/>
          </w:tcPr>
          <w:p w14:paraId="5006BD29">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m3</w:t>
            </w:r>
          </w:p>
        </w:tc>
        <w:tc>
          <w:tcPr>
            <w:tcW w:w="642" w:type="pct"/>
            <w:tcBorders>
              <w:top w:val="nil"/>
              <w:left w:val="nil"/>
              <w:bottom w:val="single" w:color="000000" w:sz="4" w:space="0"/>
              <w:right w:val="single" w:color="000000" w:sz="4" w:space="0"/>
            </w:tcBorders>
            <w:noWrap w:val="0"/>
            <w:vAlign w:val="center"/>
          </w:tcPr>
          <w:p w14:paraId="6D2695BB">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67</w:t>
            </w:r>
          </w:p>
        </w:tc>
        <w:tc>
          <w:tcPr>
            <w:tcW w:w="670" w:type="pct"/>
            <w:tcBorders>
              <w:top w:val="nil"/>
              <w:left w:val="nil"/>
              <w:bottom w:val="single" w:color="000000" w:sz="4" w:space="0"/>
              <w:right w:val="single" w:color="000000" w:sz="4" w:space="0"/>
            </w:tcBorders>
            <w:noWrap w:val="0"/>
            <w:vAlign w:val="center"/>
          </w:tcPr>
          <w:p w14:paraId="083320CB">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21.59</w:t>
            </w:r>
          </w:p>
        </w:tc>
        <w:tc>
          <w:tcPr>
            <w:tcW w:w="670" w:type="pct"/>
            <w:tcBorders>
              <w:top w:val="nil"/>
              <w:left w:val="nil"/>
              <w:bottom w:val="single" w:color="000000" w:sz="4" w:space="0"/>
              <w:right w:val="single" w:color="000000" w:sz="4" w:space="0"/>
            </w:tcBorders>
            <w:noWrap w:val="0"/>
            <w:vAlign w:val="center"/>
          </w:tcPr>
          <w:p w14:paraId="666D640A">
            <w:pPr>
              <w:widowControl w:val="0"/>
              <w:jc w:val="center"/>
              <w:rPr>
                <w:rFonts w:hint="eastAsia" w:ascii="宋体" w:hAnsi="宋体" w:eastAsia="宋体" w:cs="宋体"/>
                <w:color w:val="auto"/>
                <w:kern w:val="0"/>
                <w:sz w:val="21"/>
                <w:szCs w:val="21"/>
              </w:rPr>
            </w:pPr>
          </w:p>
        </w:tc>
      </w:tr>
      <w:tr w14:paraId="26B696FF">
        <w:tblPrEx>
          <w:tblCellMar>
            <w:top w:w="0" w:type="dxa"/>
            <w:left w:w="108" w:type="dxa"/>
            <w:bottom w:w="0" w:type="dxa"/>
            <w:right w:w="108" w:type="dxa"/>
          </w:tblCellMar>
        </w:tblPrEx>
        <w:trPr>
          <w:trHeight w:val="1110" w:hRule="atLeast"/>
        </w:trPr>
        <w:tc>
          <w:tcPr>
            <w:tcW w:w="354" w:type="pct"/>
            <w:tcBorders>
              <w:top w:val="nil"/>
              <w:left w:val="single" w:color="000000" w:sz="4" w:space="0"/>
              <w:bottom w:val="single" w:color="000000" w:sz="4" w:space="0"/>
              <w:right w:val="single" w:color="000000" w:sz="4" w:space="0"/>
            </w:tcBorders>
            <w:noWrap w:val="0"/>
            <w:vAlign w:val="center"/>
          </w:tcPr>
          <w:p w14:paraId="4CE8F0DC">
            <w:pPr>
              <w:widowControl w:val="0"/>
              <w:jc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57</w:t>
            </w:r>
          </w:p>
        </w:tc>
        <w:tc>
          <w:tcPr>
            <w:tcW w:w="755" w:type="pct"/>
            <w:tcBorders>
              <w:top w:val="nil"/>
              <w:left w:val="nil"/>
              <w:bottom w:val="single" w:color="000000" w:sz="4" w:space="0"/>
              <w:right w:val="single" w:color="000000" w:sz="4" w:space="0"/>
            </w:tcBorders>
            <w:noWrap w:val="0"/>
            <w:vAlign w:val="center"/>
          </w:tcPr>
          <w:p w14:paraId="4A04EF78">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挖基坑土方</w:t>
            </w:r>
          </w:p>
        </w:tc>
        <w:tc>
          <w:tcPr>
            <w:tcW w:w="1516" w:type="pct"/>
            <w:tcBorders>
              <w:top w:val="nil"/>
              <w:left w:val="nil"/>
              <w:bottom w:val="single" w:color="000000" w:sz="4" w:space="0"/>
              <w:right w:val="single" w:color="000000" w:sz="4" w:space="0"/>
            </w:tcBorders>
            <w:noWrap w:val="0"/>
            <w:vAlign w:val="center"/>
          </w:tcPr>
          <w:p w14:paraId="6265D62E">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挖基坑土方</w:t>
            </w:r>
          </w:p>
          <w:p w14:paraId="4BA0A94F">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1.土壤类别:投标人自行踏勘现场，报价综合考虑</w:t>
            </w:r>
          </w:p>
          <w:p w14:paraId="6F569AB6">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2.挖土深度:根据项目情况，报价综合考虑</w:t>
            </w:r>
          </w:p>
        </w:tc>
        <w:tc>
          <w:tcPr>
            <w:tcW w:w="390" w:type="pct"/>
            <w:tcBorders>
              <w:top w:val="nil"/>
              <w:left w:val="nil"/>
              <w:bottom w:val="single" w:color="000000" w:sz="4" w:space="0"/>
              <w:right w:val="single" w:color="000000" w:sz="4" w:space="0"/>
            </w:tcBorders>
            <w:noWrap w:val="0"/>
            <w:vAlign w:val="center"/>
          </w:tcPr>
          <w:p w14:paraId="7761C74F">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m3</w:t>
            </w:r>
          </w:p>
        </w:tc>
        <w:tc>
          <w:tcPr>
            <w:tcW w:w="642" w:type="pct"/>
            <w:tcBorders>
              <w:top w:val="nil"/>
              <w:left w:val="nil"/>
              <w:bottom w:val="single" w:color="000000" w:sz="4" w:space="0"/>
              <w:right w:val="single" w:color="000000" w:sz="4" w:space="0"/>
            </w:tcBorders>
            <w:noWrap w:val="0"/>
            <w:vAlign w:val="center"/>
          </w:tcPr>
          <w:p w14:paraId="688FF242">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67</w:t>
            </w:r>
          </w:p>
        </w:tc>
        <w:tc>
          <w:tcPr>
            <w:tcW w:w="670" w:type="pct"/>
            <w:tcBorders>
              <w:top w:val="nil"/>
              <w:left w:val="nil"/>
              <w:bottom w:val="single" w:color="000000" w:sz="4" w:space="0"/>
              <w:right w:val="single" w:color="000000" w:sz="4" w:space="0"/>
            </w:tcBorders>
            <w:noWrap w:val="0"/>
            <w:vAlign w:val="center"/>
          </w:tcPr>
          <w:p w14:paraId="789A3A66">
            <w:pPr>
              <w:keepNext w:val="0"/>
              <w:keepLines w:val="0"/>
              <w:widowControl/>
              <w:suppressLineNumbers w:val="0"/>
              <w:jc w:val="center"/>
              <w:textAlignment w:val="center"/>
              <w:rPr>
                <w:rFonts w:hint="eastAsia" w:ascii="宋体" w:hAnsi="宋体" w:eastAsia="宋体" w:cs="宋体"/>
                <w:color w:val="auto"/>
                <w:kern w:val="0"/>
                <w:sz w:val="21"/>
                <w:szCs w:val="21"/>
              </w:rPr>
            </w:pPr>
            <w:r>
              <w:rPr>
                <w:rFonts w:hint="eastAsia" w:ascii="宋体" w:hAnsi="宋体" w:cs="宋体"/>
                <w:i w:val="0"/>
                <w:iCs w:val="0"/>
                <w:color w:val="auto"/>
                <w:kern w:val="0"/>
                <w:sz w:val="18"/>
                <w:szCs w:val="18"/>
                <w:u w:val="none"/>
                <w:lang w:val="en-US" w:eastAsia="zh-CN" w:bidi="ar"/>
              </w:rPr>
              <w:t>26.23</w:t>
            </w:r>
            <w:r>
              <w:rPr>
                <w:rFonts w:hint="eastAsia" w:ascii="宋体" w:hAnsi="宋体" w:eastAsia="宋体" w:cs="宋体"/>
                <w:i w:val="0"/>
                <w:iCs w:val="0"/>
                <w:color w:val="auto"/>
                <w:kern w:val="0"/>
                <w:sz w:val="18"/>
                <w:szCs w:val="18"/>
                <w:u w:val="none"/>
                <w:lang w:val="en-US" w:eastAsia="zh-CN" w:bidi="ar"/>
              </w:rPr>
              <w:t xml:space="preserve"> </w:t>
            </w:r>
          </w:p>
        </w:tc>
        <w:tc>
          <w:tcPr>
            <w:tcW w:w="670" w:type="pct"/>
            <w:tcBorders>
              <w:top w:val="nil"/>
              <w:left w:val="nil"/>
              <w:bottom w:val="single" w:color="000000" w:sz="4" w:space="0"/>
              <w:right w:val="single" w:color="000000" w:sz="4" w:space="0"/>
            </w:tcBorders>
            <w:noWrap w:val="0"/>
            <w:vAlign w:val="center"/>
          </w:tcPr>
          <w:p w14:paraId="4BE8CC17">
            <w:pPr>
              <w:widowControl w:val="0"/>
              <w:jc w:val="center"/>
              <w:rPr>
                <w:rFonts w:hint="eastAsia" w:ascii="宋体" w:hAnsi="宋体" w:eastAsia="宋体" w:cs="宋体"/>
                <w:color w:val="auto"/>
                <w:kern w:val="0"/>
                <w:sz w:val="21"/>
                <w:szCs w:val="21"/>
              </w:rPr>
            </w:pPr>
          </w:p>
        </w:tc>
      </w:tr>
      <w:tr w14:paraId="0E0CFB48">
        <w:tblPrEx>
          <w:tblCellMar>
            <w:top w:w="0" w:type="dxa"/>
            <w:left w:w="108" w:type="dxa"/>
            <w:bottom w:w="0" w:type="dxa"/>
            <w:right w:w="108" w:type="dxa"/>
          </w:tblCellMar>
        </w:tblPrEx>
        <w:trPr>
          <w:trHeight w:val="1125" w:hRule="atLeast"/>
        </w:trPr>
        <w:tc>
          <w:tcPr>
            <w:tcW w:w="354" w:type="pct"/>
            <w:tcBorders>
              <w:top w:val="nil"/>
              <w:left w:val="single" w:color="000000" w:sz="4" w:space="0"/>
              <w:bottom w:val="single" w:color="000000" w:sz="4" w:space="0"/>
              <w:right w:val="single" w:color="000000" w:sz="4" w:space="0"/>
            </w:tcBorders>
            <w:noWrap w:val="0"/>
            <w:vAlign w:val="center"/>
          </w:tcPr>
          <w:p w14:paraId="10BF311D">
            <w:pPr>
              <w:widowControl w:val="0"/>
              <w:jc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58</w:t>
            </w:r>
          </w:p>
        </w:tc>
        <w:tc>
          <w:tcPr>
            <w:tcW w:w="755" w:type="pct"/>
            <w:tcBorders>
              <w:top w:val="nil"/>
              <w:left w:val="nil"/>
              <w:bottom w:val="single" w:color="000000" w:sz="4" w:space="0"/>
              <w:right w:val="single" w:color="000000" w:sz="4" w:space="0"/>
            </w:tcBorders>
            <w:noWrap w:val="0"/>
            <w:vAlign w:val="center"/>
          </w:tcPr>
          <w:p w14:paraId="4881F401">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回填土</w:t>
            </w:r>
          </w:p>
        </w:tc>
        <w:tc>
          <w:tcPr>
            <w:tcW w:w="1516" w:type="pct"/>
            <w:tcBorders>
              <w:top w:val="nil"/>
              <w:left w:val="nil"/>
              <w:bottom w:val="single" w:color="000000" w:sz="4" w:space="0"/>
              <w:right w:val="single" w:color="000000" w:sz="4" w:space="0"/>
            </w:tcBorders>
            <w:noWrap w:val="0"/>
            <w:vAlign w:val="center"/>
          </w:tcPr>
          <w:p w14:paraId="68C7CBDC">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1.回填土、密实度要求：满足规范要求</w:t>
            </w:r>
          </w:p>
          <w:p w14:paraId="28D94CC4">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2.填方来源、</w:t>
            </w:r>
            <w:r>
              <w:rPr>
                <w:rFonts w:hint="eastAsia" w:ascii="宋体" w:hAnsi="宋体" w:eastAsia="宋体" w:cs="宋体"/>
                <w:color w:val="auto"/>
                <w:kern w:val="0"/>
                <w:sz w:val="21"/>
                <w:szCs w:val="21"/>
                <w:lang w:val="en-US" w:eastAsia="zh-CN"/>
              </w:rPr>
              <w:t>4</w:t>
            </w:r>
            <w:r>
              <w:rPr>
                <w:rFonts w:hint="eastAsia" w:ascii="宋体" w:hAnsi="宋体" w:eastAsia="宋体" w:cs="宋体"/>
                <w:color w:val="auto"/>
                <w:kern w:val="0"/>
                <w:sz w:val="21"/>
                <w:szCs w:val="21"/>
              </w:rPr>
              <w:t>运距：投标人自行考虑，结算时不调整</w:t>
            </w:r>
          </w:p>
          <w:p w14:paraId="20EC632F">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3.其他:分层压实，满足规范要求</w:t>
            </w:r>
          </w:p>
        </w:tc>
        <w:tc>
          <w:tcPr>
            <w:tcW w:w="390" w:type="pct"/>
            <w:tcBorders>
              <w:top w:val="nil"/>
              <w:left w:val="nil"/>
              <w:bottom w:val="single" w:color="000000" w:sz="4" w:space="0"/>
              <w:right w:val="single" w:color="000000" w:sz="4" w:space="0"/>
            </w:tcBorders>
            <w:noWrap w:val="0"/>
            <w:vAlign w:val="center"/>
          </w:tcPr>
          <w:p w14:paraId="098ADC3D">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m3</w:t>
            </w:r>
          </w:p>
        </w:tc>
        <w:tc>
          <w:tcPr>
            <w:tcW w:w="642" w:type="pct"/>
            <w:tcBorders>
              <w:top w:val="nil"/>
              <w:left w:val="nil"/>
              <w:bottom w:val="single" w:color="000000" w:sz="4" w:space="0"/>
              <w:right w:val="single" w:color="000000" w:sz="4" w:space="0"/>
            </w:tcBorders>
            <w:noWrap w:val="0"/>
            <w:vAlign w:val="center"/>
          </w:tcPr>
          <w:p w14:paraId="044065D0">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16.75</w:t>
            </w:r>
          </w:p>
        </w:tc>
        <w:tc>
          <w:tcPr>
            <w:tcW w:w="670" w:type="pct"/>
            <w:tcBorders>
              <w:top w:val="nil"/>
              <w:left w:val="nil"/>
              <w:bottom w:val="single" w:color="000000" w:sz="4" w:space="0"/>
              <w:right w:val="single" w:color="000000" w:sz="4" w:space="0"/>
            </w:tcBorders>
            <w:noWrap w:val="0"/>
            <w:vAlign w:val="center"/>
          </w:tcPr>
          <w:p w14:paraId="3408746D">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41.62</w:t>
            </w:r>
          </w:p>
        </w:tc>
        <w:tc>
          <w:tcPr>
            <w:tcW w:w="670" w:type="pct"/>
            <w:tcBorders>
              <w:top w:val="nil"/>
              <w:left w:val="nil"/>
              <w:bottom w:val="single" w:color="000000" w:sz="4" w:space="0"/>
              <w:right w:val="single" w:color="000000" w:sz="4" w:space="0"/>
            </w:tcBorders>
            <w:noWrap w:val="0"/>
            <w:vAlign w:val="center"/>
          </w:tcPr>
          <w:p w14:paraId="4211BC42">
            <w:pPr>
              <w:widowControl w:val="0"/>
              <w:jc w:val="center"/>
              <w:rPr>
                <w:rFonts w:hint="eastAsia" w:ascii="宋体" w:hAnsi="宋体" w:eastAsia="宋体" w:cs="宋体"/>
                <w:color w:val="auto"/>
                <w:kern w:val="0"/>
                <w:sz w:val="21"/>
                <w:szCs w:val="21"/>
              </w:rPr>
            </w:pPr>
          </w:p>
        </w:tc>
      </w:tr>
      <w:tr w14:paraId="6ED592D6">
        <w:tblPrEx>
          <w:tblCellMar>
            <w:top w:w="0" w:type="dxa"/>
            <w:left w:w="108" w:type="dxa"/>
            <w:bottom w:w="0" w:type="dxa"/>
            <w:right w:w="108" w:type="dxa"/>
          </w:tblCellMar>
        </w:tblPrEx>
        <w:trPr>
          <w:trHeight w:val="533" w:hRule="atLeast"/>
        </w:trPr>
        <w:tc>
          <w:tcPr>
            <w:tcW w:w="354" w:type="pct"/>
            <w:tcBorders>
              <w:top w:val="nil"/>
              <w:left w:val="single" w:color="000000" w:sz="4" w:space="0"/>
              <w:bottom w:val="single" w:color="000000" w:sz="4" w:space="0"/>
              <w:right w:val="single" w:color="000000" w:sz="4" w:space="0"/>
            </w:tcBorders>
            <w:noWrap w:val="0"/>
            <w:vAlign w:val="center"/>
          </w:tcPr>
          <w:p w14:paraId="72767D04">
            <w:pPr>
              <w:widowControl w:val="0"/>
              <w:jc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59</w:t>
            </w:r>
          </w:p>
        </w:tc>
        <w:tc>
          <w:tcPr>
            <w:tcW w:w="755" w:type="pct"/>
            <w:tcBorders>
              <w:top w:val="nil"/>
              <w:left w:val="nil"/>
              <w:bottom w:val="single" w:color="000000" w:sz="4" w:space="0"/>
              <w:right w:val="single" w:color="000000" w:sz="4" w:space="0"/>
            </w:tcBorders>
            <w:noWrap w:val="0"/>
            <w:vAlign w:val="center"/>
          </w:tcPr>
          <w:p w14:paraId="300C7180">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回填砂</w:t>
            </w:r>
          </w:p>
        </w:tc>
        <w:tc>
          <w:tcPr>
            <w:tcW w:w="1516" w:type="pct"/>
            <w:tcBorders>
              <w:top w:val="nil"/>
              <w:left w:val="nil"/>
              <w:bottom w:val="single" w:color="000000" w:sz="4" w:space="0"/>
              <w:right w:val="single" w:color="000000" w:sz="4" w:space="0"/>
            </w:tcBorders>
            <w:noWrap w:val="0"/>
            <w:vAlign w:val="center"/>
          </w:tcPr>
          <w:p w14:paraId="0B82FEC7">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1.密实度要求：满足规范要求</w:t>
            </w:r>
          </w:p>
          <w:p w14:paraId="50151EDF">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2.填方材料品种：中粗砂回填</w:t>
            </w:r>
          </w:p>
          <w:p w14:paraId="2BE50675">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3.填方来源、运距:投标人自行考虑，结算时不调整</w:t>
            </w:r>
          </w:p>
          <w:p w14:paraId="220257C5">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4.其他:分层压实，满足规范要求</w:t>
            </w:r>
          </w:p>
        </w:tc>
        <w:tc>
          <w:tcPr>
            <w:tcW w:w="390" w:type="pct"/>
            <w:tcBorders>
              <w:top w:val="nil"/>
              <w:left w:val="nil"/>
              <w:bottom w:val="single" w:color="000000" w:sz="4" w:space="0"/>
              <w:right w:val="single" w:color="000000" w:sz="4" w:space="0"/>
            </w:tcBorders>
            <w:noWrap w:val="0"/>
            <w:vAlign w:val="center"/>
          </w:tcPr>
          <w:p w14:paraId="29DCDC99">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m3</w:t>
            </w:r>
          </w:p>
        </w:tc>
        <w:tc>
          <w:tcPr>
            <w:tcW w:w="642" w:type="pct"/>
            <w:tcBorders>
              <w:top w:val="nil"/>
              <w:left w:val="nil"/>
              <w:bottom w:val="single" w:color="000000" w:sz="4" w:space="0"/>
              <w:right w:val="single" w:color="000000" w:sz="4" w:space="0"/>
            </w:tcBorders>
            <w:noWrap w:val="0"/>
            <w:vAlign w:val="center"/>
          </w:tcPr>
          <w:p w14:paraId="2BBBE8A8">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10.05</w:t>
            </w:r>
          </w:p>
        </w:tc>
        <w:tc>
          <w:tcPr>
            <w:tcW w:w="670" w:type="pct"/>
            <w:tcBorders>
              <w:top w:val="nil"/>
              <w:left w:val="nil"/>
              <w:bottom w:val="single" w:color="000000" w:sz="4" w:space="0"/>
              <w:right w:val="single" w:color="000000" w:sz="4" w:space="0"/>
            </w:tcBorders>
            <w:noWrap w:val="0"/>
            <w:vAlign w:val="center"/>
          </w:tcPr>
          <w:p w14:paraId="530F82DB">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517.24</w:t>
            </w:r>
          </w:p>
        </w:tc>
        <w:tc>
          <w:tcPr>
            <w:tcW w:w="670" w:type="pct"/>
            <w:tcBorders>
              <w:top w:val="nil"/>
              <w:left w:val="nil"/>
              <w:bottom w:val="single" w:color="000000" w:sz="4" w:space="0"/>
              <w:right w:val="single" w:color="000000" w:sz="4" w:space="0"/>
            </w:tcBorders>
            <w:noWrap w:val="0"/>
            <w:vAlign w:val="center"/>
          </w:tcPr>
          <w:p w14:paraId="232096D7">
            <w:pPr>
              <w:widowControl w:val="0"/>
              <w:jc w:val="center"/>
              <w:rPr>
                <w:rFonts w:hint="eastAsia" w:ascii="宋体" w:hAnsi="宋体" w:eastAsia="宋体" w:cs="宋体"/>
                <w:color w:val="auto"/>
                <w:kern w:val="0"/>
                <w:sz w:val="21"/>
                <w:szCs w:val="21"/>
              </w:rPr>
            </w:pPr>
          </w:p>
        </w:tc>
      </w:tr>
      <w:tr w14:paraId="4BD7B381">
        <w:tblPrEx>
          <w:tblCellMar>
            <w:top w:w="0" w:type="dxa"/>
            <w:left w:w="108" w:type="dxa"/>
            <w:bottom w:w="0" w:type="dxa"/>
            <w:right w:w="108" w:type="dxa"/>
          </w:tblCellMar>
        </w:tblPrEx>
        <w:trPr>
          <w:trHeight w:val="342" w:hRule="atLeast"/>
        </w:trPr>
        <w:tc>
          <w:tcPr>
            <w:tcW w:w="354" w:type="pct"/>
            <w:tcBorders>
              <w:top w:val="nil"/>
              <w:left w:val="single" w:color="000000" w:sz="4" w:space="0"/>
              <w:bottom w:val="single" w:color="000000" w:sz="4" w:space="0"/>
              <w:right w:val="single" w:color="000000" w:sz="4" w:space="0"/>
            </w:tcBorders>
            <w:noWrap w:val="0"/>
            <w:vAlign w:val="center"/>
          </w:tcPr>
          <w:p w14:paraId="5AD643D5">
            <w:pPr>
              <w:widowControl w:val="0"/>
              <w:jc w:val="center"/>
              <w:rPr>
                <w:rFonts w:hint="eastAsia" w:ascii="宋体" w:hAnsi="宋体" w:eastAsia="宋体" w:cs="宋体"/>
                <w:color w:val="auto"/>
                <w:kern w:val="0"/>
                <w:sz w:val="21"/>
                <w:szCs w:val="21"/>
                <w:lang w:eastAsia="zh-CN"/>
              </w:rPr>
            </w:pPr>
            <w:r>
              <w:rPr>
                <w:rFonts w:hint="eastAsia" w:ascii="宋体" w:hAnsi="宋体" w:eastAsia="宋体" w:cs="宋体"/>
                <w:color w:val="auto"/>
                <w:kern w:val="0"/>
                <w:sz w:val="21"/>
                <w:szCs w:val="21"/>
              </w:rPr>
              <w:t>6</w:t>
            </w:r>
            <w:r>
              <w:rPr>
                <w:rFonts w:hint="eastAsia" w:ascii="宋体" w:hAnsi="宋体" w:cs="宋体"/>
                <w:color w:val="auto"/>
                <w:kern w:val="0"/>
                <w:sz w:val="21"/>
                <w:szCs w:val="21"/>
                <w:lang w:val="en-US" w:eastAsia="zh-CN"/>
              </w:rPr>
              <w:t>0</w:t>
            </w:r>
          </w:p>
        </w:tc>
        <w:tc>
          <w:tcPr>
            <w:tcW w:w="755" w:type="pct"/>
            <w:tcBorders>
              <w:top w:val="nil"/>
              <w:left w:val="nil"/>
              <w:bottom w:val="single" w:color="000000" w:sz="4" w:space="0"/>
              <w:right w:val="single" w:color="000000" w:sz="4" w:space="0"/>
            </w:tcBorders>
            <w:noWrap w:val="0"/>
            <w:vAlign w:val="center"/>
          </w:tcPr>
          <w:p w14:paraId="2CF18ED3">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墙后土工布反滤层</w:t>
            </w:r>
          </w:p>
        </w:tc>
        <w:tc>
          <w:tcPr>
            <w:tcW w:w="1516" w:type="pct"/>
            <w:tcBorders>
              <w:top w:val="nil"/>
              <w:left w:val="nil"/>
              <w:bottom w:val="single" w:color="000000" w:sz="4" w:space="0"/>
              <w:right w:val="single" w:color="000000" w:sz="4" w:space="0"/>
            </w:tcBorders>
            <w:noWrap w:val="0"/>
            <w:vAlign w:val="center"/>
          </w:tcPr>
          <w:p w14:paraId="2F4BD9FE">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1.用于挡墙后反滤层，双层土工布包裹</w:t>
            </w:r>
          </w:p>
        </w:tc>
        <w:tc>
          <w:tcPr>
            <w:tcW w:w="390" w:type="pct"/>
            <w:tcBorders>
              <w:top w:val="nil"/>
              <w:left w:val="nil"/>
              <w:bottom w:val="single" w:color="000000" w:sz="4" w:space="0"/>
              <w:right w:val="single" w:color="000000" w:sz="4" w:space="0"/>
            </w:tcBorders>
            <w:noWrap w:val="0"/>
            <w:vAlign w:val="center"/>
          </w:tcPr>
          <w:p w14:paraId="69FF0B42">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m2</w:t>
            </w:r>
          </w:p>
        </w:tc>
        <w:tc>
          <w:tcPr>
            <w:tcW w:w="642" w:type="pct"/>
            <w:tcBorders>
              <w:top w:val="nil"/>
              <w:left w:val="nil"/>
              <w:bottom w:val="single" w:color="000000" w:sz="4" w:space="0"/>
              <w:right w:val="single" w:color="000000" w:sz="4" w:space="0"/>
            </w:tcBorders>
            <w:noWrap w:val="0"/>
            <w:vAlign w:val="center"/>
          </w:tcPr>
          <w:p w14:paraId="39D50AFC">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10.05</w:t>
            </w:r>
          </w:p>
        </w:tc>
        <w:tc>
          <w:tcPr>
            <w:tcW w:w="670" w:type="pct"/>
            <w:tcBorders>
              <w:top w:val="nil"/>
              <w:left w:val="nil"/>
              <w:bottom w:val="single" w:color="000000" w:sz="4" w:space="0"/>
              <w:right w:val="single" w:color="000000" w:sz="4" w:space="0"/>
            </w:tcBorders>
            <w:noWrap w:val="0"/>
            <w:vAlign w:val="center"/>
          </w:tcPr>
          <w:p w14:paraId="0B8B14A6">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7.83</w:t>
            </w:r>
          </w:p>
        </w:tc>
        <w:tc>
          <w:tcPr>
            <w:tcW w:w="670" w:type="pct"/>
            <w:tcBorders>
              <w:top w:val="nil"/>
              <w:left w:val="nil"/>
              <w:bottom w:val="single" w:color="000000" w:sz="4" w:space="0"/>
              <w:right w:val="single" w:color="000000" w:sz="4" w:space="0"/>
            </w:tcBorders>
            <w:noWrap w:val="0"/>
            <w:vAlign w:val="center"/>
          </w:tcPr>
          <w:p w14:paraId="7D5C1213">
            <w:pPr>
              <w:widowControl w:val="0"/>
              <w:jc w:val="center"/>
              <w:rPr>
                <w:rFonts w:hint="eastAsia" w:ascii="宋体" w:hAnsi="宋体" w:eastAsia="宋体" w:cs="宋体"/>
                <w:color w:val="auto"/>
                <w:kern w:val="0"/>
                <w:sz w:val="21"/>
                <w:szCs w:val="21"/>
              </w:rPr>
            </w:pPr>
          </w:p>
        </w:tc>
      </w:tr>
      <w:tr w14:paraId="6E9B0CDE">
        <w:tblPrEx>
          <w:tblCellMar>
            <w:top w:w="0" w:type="dxa"/>
            <w:left w:w="108" w:type="dxa"/>
            <w:bottom w:w="0" w:type="dxa"/>
            <w:right w:w="108" w:type="dxa"/>
          </w:tblCellMar>
        </w:tblPrEx>
        <w:trPr>
          <w:trHeight w:val="2353" w:hRule="atLeast"/>
        </w:trPr>
        <w:tc>
          <w:tcPr>
            <w:tcW w:w="354" w:type="pct"/>
            <w:tcBorders>
              <w:top w:val="nil"/>
              <w:left w:val="single" w:color="000000" w:sz="4" w:space="0"/>
              <w:bottom w:val="single" w:color="000000" w:sz="4" w:space="0"/>
              <w:right w:val="single" w:color="000000" w:sz="4" w:space="0"/>
            </w:tcBorders>
            <w:noWrap w:val="0"/>
            <w:vAlign w:val="center"/>
          </w:tcPr>
          <w:p w14:paraId="096DFC55">
            <w:pPr>
              <w:widowControl w:val="0"/>
              <w:jc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61</w:t>
            </w:r>
          </w:p>
        </w:tc>
        <w:tc>
          <w:tcPr>
            <w:tcW w:w="755" w:type="pct"/>
            <w:tcBorders>
              <w:top w:val="nil"/>
              <w:left w:val="nil"/>
              <w:bottom w:val="single" w:color="000000" w:sz="4" w:space="0"/>
              <w:right w:val="single" w:color="000000" w:sz="4" w:space="0"/>
            </w:tcBorders>
            <w:noWrap w:val="0"/>
            <w:vAlign w:val="center"/>
          </w:tcPr>
          <w:p w14:paraId="125ABC08">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PVC泄水管</w:t>
            </w:r>
          </w:p>
        </w:tc>
        <w:tc>
          <w:tcPr>
            <w:tcW w:w="1516" w:type="pct"/>
            <w:tcBorders>
              <w:top w:val="nil"/>
              <w:left w:val="nil"/>
              <w:bottom w:val="single" w:color="000000" w:sz="4" w:space="0"/>
              <w:right w:val="single" w:color="000000" w:sz="4" w:space="0"/>
            </w:tcBorders>
            <w:noWrap w:val="0"/>
            <w:vAlign w:val="center"/>
          </w:tcPr>
          <w:p w14:paraId="45BBCCEA">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1.PVC泄水孔，直径≤150mm</w:t>
            </w:r>
          </w:p>
        </w:tc>
        <w:tc>
          <w:tcPr>
            <w:tcW w:w="390" w:type="pct"/>
            <w:tcBorders>
              <w:top w:val="nil"/>
              <w:left w:val="nil"/>
              <w:bottom w:val="single" w:color="000000" w:sz="4" w:space="0"/>
              <w:right w:val="single" w:color="000000" w:sz="4" w:space="0"/>
            </w:tcBorders>
            <w:noWrap w:val="0"/>
            <w:vAlign w:val="center"/>
          </w:tcPr>
          <w:p w14:paraId="552D5C57">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m</w:t>
            </w:r>
          </w:p>
        </w:tc>
        <w:tc>
          <w:tcPr>
            <w:tcW w:w="642" w:type="pct"/>
            <w:tcBorders>
              <w:top w:val="nil"/>
              <w:left w:val="nil"/>
              <w:bottom w:val="single" w:color="000000" w:sz="4" w:space="0"/>
              <w:right w:val="single" w:color="000000" w:sz="4" w:space="0"/>
            </w:tcBorders>
            <w:noWrap w:val="0"/>
            <w:vAlign w:val="center"/>
          </w:tcPr>
          <w:p w14:paraId="24B97923">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6.7</w:t>
            </w:r>
          </w:p>
        </w:tc>
        <w:tc>
          <w:tcPr>
            <w:tcW w:w="670" w:type="pct"/>
            <w:tcBorders>
              <w:top w:val="nil"/>
              <w:left w:val="nil"/>
              <w:bottom w:val="single" w:color="000000" w:sz="4" w:space="0"/>
              <w:right w:val="single" w:color="000000" w:sz="4" w:space="0"/>
            </w:tcBorders>
            <w:noWrap w:val="0"/>
            <w:vAlign w:val="center"/>
          </w:tcPr>
          <w:p w14:paraId="149CCAA8">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16.99</w:t>
            </w:r>
          </w:p>
        </w:tc>
        <w:tc>
          <w:tcPr>
            <w:tcW w:w="670" w:type="pct"/>
            <w:tcBorders>
              <w:top w:val="nil"/>
              <w:left w:val="nil"/>
              <w:bottom w:val="single" w:color="000000" w:sz="4" w:space="0"/>
              <w:right w:val="single" w:color="000000" w:sz="4" w:space="0"/>
            </w:tcBorders>
            <w:noWrap w:val="0"/>
            <w:vAlign w:val="center"/>
          </w:tcPr>
          <w:p w14:paraId="1DACC35A">
            <w:pPr>
              <w:widowControl w:val="0"/>
              <w:jc w:val="center"/>
              <w:rPr>
                <w:rFonts w:hint="eastAsia" w:ascii="宋体" w:hAnsi="宋体" w:eastAsia="宋体" w:cs="宋体"/>
                <w:color w:val="auto"/>
                <w:kern w:val="0"/>
                <w:sz w:val="21"/>
                <w:szCs w:val="21"/>
              </w:rPr>
            </w:pPr>
          </w:p>
        </w:tc>
      </w:tr>
      <w:tr w14:paraId="38963120">
        <w:tblPrEx>
          <w:tblCellMar>
            <w:top w:w="0" w:type="dxa"/>
            <w:left w:w="108" w:type="dxa"/>
            <w:bottom w:w="0" w:type="dxa"/>
            <w:right w:w="108" w:type="dxa"/>
          </w:tblCellMar>
        </w:tblPrEx>
        <w:trPr>
          <w:trHeight w:val="1125" w:hRule="atLeast"/>
        </w:trPr>
        <w:tc>
          <w:tcPr>
            <w:tcW w:w="354" w:type="pct"/>
            <w:tcBorders>
              <w:top w:val="nil"/>
              <w:left w:val="single" w:color="000000" w:sz="4" w:space="0"/>
              <w:bottom w:val="single" w:color="000000" w:sz="4" w:space="0"/>
              <w:right w:val="single" w:color="000000" w:sz="4" w:space="0"/>
            </w:tcBorders>
            <w:noWrap w:val="0"/>
            <w:vAlign w:val="center"/>
          </w:tcPr>
          <w:p w14:paraId="56EBAD2B">
            <w:pPr>
              <w:widowControl w:val="0"/>
              <w:jc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62</w:t>
            </w:r>
          </w:p>
        </w:tc>
        <w:tc>
          <w:tcPr>
            <w:tcW w:w="755" w:type="pct"/>
            <w:tcBorders>
              <w:top w:val="nil"/>
              <w:left w:val="nil"/>
              <w:bottom w:val="single" w:color="000000" w:sz="4" w:space="0"/>
              <w:right w:val="single" w:color="000000" w:sz="4" w:space="0"/>
            </w:tcBorders>
            <w:noWrap w:val="0"/>
            <w:vAlign w:val="center"/>
          </w:tcPr>
          <w:p w14:paraId="71B6FC9A">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余方弃置</w:t>
            </w:r>
          </w:p>
        </w:tc>
        <w:tc>
          <w:tcPr>
            <w:tcW w:w="1516" w:type="pct"/>
            <w:tcBorders>
              <w:top w:val="nil"/>
              <w:left w:val="nil"/>
              <w:bottom w:val="single" w:color="000000" w:sz="4" w:space="0"/>
              <w:right w:val="single" w:color="000000" w:sz="4" w:space="0"/>
            </w:tcBorders>
            <w:noWrap w:val="0"/>
            <w:vAlign w:val="center"/>
          </w:tcPr>
          <w:p w14:paraId="39F42CD5">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1.废弃料品种：土方、局部石方、拆除路面沥青、混凝土、人行道板砖、破损管道等所有垃圾</w:t>
            </w:r>
          </w:p>
          <w:p w14:paraId="6A747C95">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2.弃土运距： 投标人自行勘察选择规定的土石方弃置场所并自报运距,所有费用要求在综合单价中充分考虑，结算时不得调整（包含场地倒置费等）</w:t>
            </w:r>
          </w:p>
          <w:p w14:paraId="2D3A0167">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3.保洁费、消纳费等所有费用 须投标单位自行考虑 ，渣土费不予计取</w:t>
            </w:r>
          </w:p>
        </w:tc>
        <w:tc>
          <w:tcPr>
            <w:tcW w:w="390" w:type="pct"/>
            <w:tcBorders>
              <w:top w:val="nil"/>
              <w:left w:val="nil"/>
              <w:bottom w:val="single" w:color="000000" w:sz="4" w:space="0"/>
              <w:right w:val="single" w:color="000000" w:sz="4" w:space="0"/>
            </w:tcBorders>
            <w:noWrap w:val="0"/>
            <w:vAlign w:val="center"/>
          </w:tcPr>
          <w:p w14:paraId="4B48BC41">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m3</w:t>
            </w:r>
          </w:p>
        </w:tc>
        <w:tc>
          <w:tcPr>
            <w:tcW w:w="642" w:type="pct"/>
            <w:tcBorders>
              <w:top w:val="nil"/>
              <w:left w:val="nil"/>
              <w:bottom w:val="single" w:color="000000" w:sz="4" w:space="0"/>
              <w:right w:val="single" w:color="000000" w:sz="4" w:space="0"/>
            </w:tcBorders>
            <w:noWrap w:val="0"/>
            <w:vAlign w:val="center"/>
          </w:tcPr>
          <w:p w14:paraId="45046B8F">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28.81</w:t>
            </w:r>
          </w:p>
        </w:tc>
        <w:tc>
          <w:tcPr>
            <w:tcW w:w="670" w:type="pct"/>
            <w:tcBorders>
              <w:top w:val="nil"/>
              <w:left w:val="nil"/>
              <w:bottom w:val="single" w:color="000000" w:sz="4" w:space="0"/>
              <w:right w:val="single" w:color="000000" w:sz="4" w:space="0"/>
            </w:tcBorders>
            <w:noWrap w:val="0"/>
            <w:vAlign w:val="center"/>
          </w:tcPr>
          <w:p w14:paraId="3D51BBE5">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84.42</w:t>
            </w:r>
          </w:p>
        </w:tc>
        <w:tc>
          <w:tcPr>
            <w:tcW w:w="670" w:type="pct"/>
            <w:tcBorders>
              <w:top w:val="nil"/>
              <w:left w:val="nil"/>
              <w:bottom w:val="single" w:color="000000" w:sz="4" w:space="0"/>
              <w:right w:val="single" w:color="000000" w:sz="4" w:space="0"/>
            </w:tcBorders>
            <w:noWrap w:val="0"/>
            <w:vAlign w:val="center"/>
          </w:tcPr>
          <w:p w14:paraId="48B14744">
            <w:pPr>
              <w:widowControl w:val="0"/>
              <w:jc w:val="center"/>
              <w:rPr>
                <w:rFonts w:hint="eastAsia" w:ascii="宋体" w:hAnsi="宋体" w:eastAsia="宋体" w:cs="宋体"/>
                <w:color w:val="auto"/>
                <w:kern w:val="0"/>
                <w:sz w:val="21"/>
                <w:szCs w:val="21"/>
              </w:rPr>
            </w:pPr>
          </w:p>
        </w:tc>
      </w:tr>
      <w:tr w14:paraId="52F05F00">
        <w:tblPrEx>
          <w:tblCellMar>
            <w:top w:w="0" w:type="dxa"/>
            <w:left w:w="108" w:type="dxa"/>
            <w:bottom w:w="0" w:type="dxa"/>
            <w:right w:w="108" w:type="dxa"/>
          </w:tblCellMar>
        </w:tblPrEx>
        <w:trPr>
          <w:trHeight w:val="919" w:hRule="atLeast"/>
        </w:trPr>
        <w:tc>
          <w:tcPr>
            <w:tcW w:w="354" w:type="pct"/>
            <w:tcBorders>
              <w:top w:val="nil"/>
              <w:left w:val="single" w:color="000000" w:sz="4" w:space="0"/>
              <w:bottom w:val="single" w:color="000000" w:sz="4" w:space="0"/>
              <w:right w:val="single" w:color="000000" w:sz="4" w:space="0"/>
            </w:tcBorders>
            <w:noWrap w:val="0"/>
            <w:vAlign w:val="center"/>
          </w:tcPr>
          <w:p w14:paraId="222DB948">
            <w:pPr>
              <w:widowControl w:val="0"/>
              <w:jc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63</w:t>
            </w:r>
          </w:p>
        </w:tc>
        <w:tc>
          <w:tcPr>
            <w:tcW w:w="755" w:type="pct"/>
            <w:tcBorders>
              <w:top w:val="nil"/>
              <w:left w:val="nil"/>
              <w:bottom w:val="single" w:color="000000" w:sz="4" w:space="0"/>
              <w:right w:val="single" w:color="000000" w:sz="4" w:space="0"/>
            </w:tcBorders>
            <w:noWrap w:val="0"/>
            <w:vAlign w:val="center"/>
          </w:tcPr>
          <w:p w14:paraId="361B9762">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挡墙混凝土压顶</w:t>
            </w:r>
          </w:p>
        </w:tc>
        <w:tc>
          <w:tcPr>
            <w:tcW w:w="1516" w:type="pct"/>
            <w:tcBorders>
              <w:top w:val="nil"/>
              <w:left w:val="nil"/>
              <w:bottom w:val="single" w:color="000000" w:sz="4" w:space="0"/>
              <w:right w:val="single" w:color="000000" w:sz="4" w:space="0"/>
            </w:tcBorders>
            <w:noWrap w:val="0"/>
            <w:vAlign w:val="center"/>
          </w:tcPr>
          <w:p w14:paraId="5242E8E2">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1、主要用于老十里长沟（学津路-学海路南侧）等损坏岸坡行人段压顶浇筑</w:t>
            </w:r>
          </w:p>
          <w:p w14:paraId="53B65B69">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2、块石挡墙C20素混凝土压顶，厚度15cm，宽度40cm</w:t>
            </w:r>
          </w:p>
        </w:tc>
        <w:tc>
          <w:tcPr>
            <w:tcW w:w="390" w:type="pct"/>
            <w:tcBorders>
              <w:top w:val="nil"/>
              <w:left w:val="nil"/>
              <w:bottom w:val="single" w:color="000000" w:sz="4" w:space="0"/>
              <w:right w:val="single" w:color="000000" w:sz="4" w:space="0"/>
            </w:tcBorders>
            <w:noWrap w:val="0"/>
            <w:vAlign w:val="center"/>
          </w:tcPr>
          <w:p w14:paraId="7A533C64">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m3</w:t>
            </w:r>
          </w:p>
        </w:tc>
        <w:tc>
          <w:tcPr>
            <w:tcW w:w="642" w:type="pct"/>
            <w:tcBorders>
              <w:top w:val="nil"/>
              <w:left w:val="nil"/>
              <w:bottom w:val="single" w:color="000000" w:sz="4" w:space="0"/>
              <w:right w:val="single" w:color="000000" w:sz="4" w:space="0"/>
            </w:tcBorders>
            <w:noWrap w:val="0"/>
            <w:vAlign w:val="center"/>
          </w:tcPr>
          <w:p w14:paraId="5E66179B">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16.08</w:t>
            </w:r>
          </w:p>
        </w:tc>
        <w:tc>
          <w:tcPr>
            <w:tcW w:w="670" w:type="pct"/>
            <w:tcBorders>
              <w:top w:val="nil"/>
              <w:left w:val="nil"/>
              <w:bottom w:val="single" w:color="000000" w:sz="4" w:space="0"/>
              <w:right w:val="single" w:color="000000" w:sz="4" w:space="0"/>
            </w:tcBorders>
            <w:noWrap w:val="0"/>
            <w:vAlign w:val="center"/>
          </w:tcPr>
          <w:p w14:paraId="3982441E">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1024.15</w:t>
            </w:r>
          </w:p>
        </w:tc>
        <w:tc>
          <w:tcPr>
            <w:tcW w:w="670" w:type="pct"/>
            <w:tcBorders>
              <w:top w:val="nil"/>
              <w:left w:val="nil"/>
              <w:bottom w:val="single" w:color="000000" w:sz="4" w:space="0"/>
              <w:right w:val="single" w:color="000000" w:sz="4" w:space="0"/>
            </w:tcBorders>
            <w:noWrap w:val="0"/>
            <w:vAlign w:val="center"/>
          </w:tcPr>
          <w:p w14:paraId="480C8D3E">
            <w:pPr>
              <w:widowControl w:val="0"/>
              <w:jc w:val="center"/>
              <w:rPr>
                <w:rFonts w:hint="eastAsia" w:ascii="宋体" w:hAnsi="宋体" w:eastAsia="宋体" w:cs="宋体"/>
                <w:color w:val="auto"/>
                <w:kern w:val="0"/>
                <w:sz w:val="21"/>
                <w:szCs w:val="21"/>
              </w:rPr>
            </w:pPr>
          </w:p>
        </w:tc>
      </w:tr>
      <w:tr w14:paraId="2A458AA1">
        <w:tblPrEx>
          <w:tblCellMar>
            <w:top w:w="0" w:type="dxa"/>
            <w:left w:w="108" w:type="dxa"/>
            <w:bottom w:w="0" w:type="dxa"/>
            <w:right w:w="108" w:type="dxa"/>
          </w:tblCellMar>
        </w:tblPrEx>
        <w:trPr>
          <w:trHeight w:val="904" w:hRule="atLeast"/>
        </w:trPr>
        <w:tc>
          <w:tcPr>
            <w:tcW w:w="354" w:type="pct"/>
            <w:tcBorders>
              <w:top w:val="nil"/>
              <w:left w:val="single" w:color="000000" w:sz="4" w:space="0"/>
              <w:bottom w:val="single" w:color="000000" w:sz="4" w:space="0"/>
              <w:right w:val="single" w:color="000000" w:sz="4" w:space="0"/>
            </w:tcBorders>
            <w:noWrap w:val="0"/>
            <w:vAlign w:val="center"/>
          </w:tcPr>
          <w:p w14:paraId="7DA67129">
            <w:pPr>
              <w:widowControl w:val="0"/>
              <w:jc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64</w:t>
            </w:r>
          </w:p>
        </w:tc>
        <w:tc>
          <w:tcPr>
            <w:tcW w:w="755" w:type="pct"/>
            <w:tcBorders>
              <w:top w:val="nil"/>
              <w:left w:val="nil"/>
              <w:bottom w:val="single" w:color="000000" w:sz="4" w:space="0"/>
              <w:right w:val="single" w:color="000000" w:sz="4" w:space="0"/>
            </w:tcBorders>
            <w:noWrap w:val="0"/>
            <w:vAlign w:val="center"/>
          </w:tcPr>
          <w:p w14:paraId="1B16529A">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混凝土垫层</w:t>
            </w:r>
          </w:p>
        </w:tc>
        <w:tc>
          <w:tcPr>
            <w:tcW w:w="1516" w:type="pct"/>
            <w:tcBorders>
              <w:top w:val="nil"/>
              <w:left w:val="nil"/>
              <w:bottom w:val="single" w:color="000000" w:sz="4" w:space="0"/>
              <w:right w:val="single" w:color="000000" w:sz="4" w:space="0"/>
            </w:tcBorders>
            <w:noWrap w:val="0"/>
            <w:vAlign w:val="center"/>
          </w:tcPr>
          <w:p w14:paraId="0703125A">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1.混凝土强度等级：C20</w:t>
            </w:r>
          </w:p>
          <w:p w14:paraId="40859143">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3.含模板安拆</w:t>
            </w:r>
          </w:p>
          <w:p w14:paraId="4900F8B1">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3.材料、机械运至施工现场及施工等所有费用</w:t>
            </w:r>
          </w:p>
        </w:tc>
        <w:tc>
          <w:tcPr>
            <w:tcW w:w="390" w:type="pct"/>
            <w:tcBorders>
              <w:top w:val="nil"/>
              <w:left w:val="nil"/>
              <w:bottom w:val="single" w:color="000000" w:sz="4" w:space="0"/>
              <w:right w:val="single" w:color="000000" w:sz="4" w:space="0"/>
            </w:tcBorders>
            <w:noWrap w:val="0"/>
            <w:vAlign w:val="center"/>
          </w:tcPr>
          <w:p w14:paraId="645092E4">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m3</w:t>
            </w:r>
          </w:p>
        </w:tc>
        <w:tc>
          <w:tcPr>
            <w:tcW w:w="642" w:type="pct"/>
            <w:tcBorders>
              <w:top w:val="nil"/>
              <w:left w:val="nil"/>
              <w:bottom w:val="single" w:color="000000" w:sz="4" w:space="0"/>
              <w:right w:val="single" w:color="000000" w:sz="4" w:space="0"/>
            </w:tcBorders>
            <w:noWrap w:val="0"/>
            <w:vAlign w:val="center"/>
          </w:tcPr>
          <w:p w14:paraId="778B25F5">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9.38</w:t>
            </w:r>
          </w:p>
        </w:tc>
        <w:tc>
          <w:tcPr>
            <w:tcW w:w="670" w:type="pct"/>
            <w:tcBorders>
              <w:top w:val="nil"/>
              <w:left w:val="nil"/>
              <w:bottom w:val="single" w:color="000000" w:sz="4" w:space="0"/>
              <w:right w:val="single" w:color="000000" w:sz="4" w:space="0"/>
            </w:tcBorders>
            <w:noWrap w:val="0"/>
            <w:vAlign w:val="center"/>
          </w:tcPr>
          <w:p w14:paraId="30278907">
            <w:pPr>
              <w:keepNext w:val="0"/>
              <w:keepLines w:val="0"/>
              <w:widowControl/>
              <w:suppressLineNumbers w:val="0"/>
              <w:jc w:val="center"/>
              <w:textAlignment w:val="center"/>
              <w:rPr>
                <w:rFonts w:hint="default" w:ascii="宋体" w:hAnsi="宋体" w:eastAsia="宋体" w:cs="宋体"/>
                <w:color w:val="auto"/>
                <w:kern w:val="0"/>
                <w:sz w:val="21"/>
                <w:szCs w:val="21"/>
                <w:lang w:val="en-US"/>
              </w:rPr>
            </w:pPr>
            <w:r>
              <w:rPr>
                <w:rFonts w:hint="eastAsia" w:ascii="宋体" w:hAnsi="宋体" w:eastAsia="宋体" w:cs="宋体"/>
                <w:i w:val="0"/>
                <w:iCs w:val="0"/>
                <w:color w:val="auto"/>
                <w:kern w:val="0"/>
                <w:sz w:val="18"/>
                <w:szCs w:val="18"/>
                <w:u w:val="none"/>
                <w:lang w:val="en-US" w:eastAsia="zh-CN" w:bidi="ar"/>
              </w:rPr>
              <w:t xml:space="preserve"> </w:t>
            </w:r>
            <w:r>
              <w:rPr>
                <w:rFonts w:hint="eastAsia" w:ascii="宋体" w:hAnsi="宋体" w:cs="宋体"/>
                <w:i w:val="0"/>
                <w:iCs w:val="0"/>
                <w:color w:val="auto"/>
                <w:kern w:val="0"/>
                <w:sz w:val="18"/>
                <w:szCs w:val="18"/>
                <w:u w:val="none"/>
                <w:lang w:val="en-US" w:eastAsia="zh-CN" w:bidi="ar"/>
              </w:rPr>
              <w:t>717.3</w:t>
            </w:r>
          </w:p>
        </w:tc>
        <w:tc>
          <w:tcPr>
            <w:tcW w:w="670" w:type="pct"/>
            <w:tcBorders>
              <w:top w:val="nil"/>
              <w:left w:val="nil"/>
              <w:bottom w:val="single" w:color="000000" w:sz="4" w:space="0"/>
              <w:right w:val="single" w:color="000000" w:sz="4" w:space="0"/>
            </w:tcBorders>
            <w:noWrap w:val="0"/>
            <w:vAlign w:val="center"/>
          </w:tcPr>
          <w:p w14:paraId="6ED7CBBD">
            <w:pPr>
              <w:widowControl w:val="0"/>
              <w:jc w:val="center"/>
              <w:rPr>
                <w:rFonts w:hint="eastAsia" w:ascii="宋体" w:hAnsi="宋体" w:eastAsia="宋体" w:cs="宋体"/>
                <w:color w:val="auto"/>
                <w:kern w:val="0"/>
                <w:sz w:val="21"/>
                <w:szCs w:val="21"/>
              </w:rPr>
            </w:pPr>
          </w:p>
        </w:tc>
      </w:tr>
      <w:tr w14:paraId="45AB166F">
        <w:tblPrEx>
          <w:tblCellMar>
            <w:top w:w="0" w:type="dxa"/>
            <w:left w:w="108" w:type="dxa"/>
            <w:bottom w:w="0" w:type="dxa"/>
            <w:right w:w="108" w:type="dxa"/>
          </w:tblCellMar>
        </w:tblPrEx>
        <w:trPr>
          <w:trHeight w:val="919" w:hRule="atLeast"/>
        </w:trPr>
        <w:tc>
          <w:tcPr>
            <w:tcW w:w="354" w:type="pct"/>
            <w:tcBorders>
              <w:top w:val="nil"/>
              <w:left w:val="single" w:color="000000" w:sz="4" w:space="0"/>
              <w:bottom w:val="single" w:color="000000" w:sz="4" w:space="0"/>
              <w:right w:val="single" w:color="000000" w:sz="4" w:space="0"/>
            </w:tcBorders>
            <w:noWrap w:val="0"/>
            <w:vAlign w:val="center"/>
          </w:tcPr>
          <w:p w14:paraId="2FB33F68">
            <w:pPr>
              <w:widowControl w:val="0"/>
              <w:jc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65</w:t>
            </w:r>
          </w:p>
        </w:tc>
        <w:tc>
          <w:tcPr>
            <w:tcW w:w="755" w:type="pct"/>
            <w:tcBorders>
              <w:top w:val="nil"/>
              <w:left w:val="nil"/>
              <w:bottom w:val="single" w:color="000000" w:sz="4" w:space="0"/>
              <w:right w:val="single" w:color="000000" w:sz="4" w:space="0"/>
            </w:tcBorders>
            <w:noWrap w:val="0"/>
            <w:vAlign w:val="center"/>
          </w:tcPr>
          <w:p w14:paraId="25C970A9">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浆砌块料（挡墙）</w:t>
            </w:r>
          </w:p>
        </w:tc>
        <w:tc>
          <w:tcPr>
            <w:tcW w:w="1516" w:type="pct"/>
            <w:tcBorders>
              <w:top w:val="nil"/>
              <w:left w:val="nil"/>
              <w:bottom w:val="single" w:color="000000" w:sz="4" w:space="0"/>
              <w:right w:val="single" w:color="000000" w:sz="4" w:space="0"/>
            </w:tcBorders>
            <w:noWrap w:val="0"/>
            <w:vAlign w:val="center"/>
          </w:tcPr>
          <w:p w14:paraId="459C4BA1">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1.材料品种、规格:块石</w:t>
            </w:r>
          </w:p>
          <w:p w14:paraId="53D26A38">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2.砂浆强度等级:M10</w:t>
            </w:r>
          </w:p>
          <w:p w14:paraId="035E14D7">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3.材料、机械运至施工现场及施工等所有费用，结算时不调整</w:t>
            </w:r>
          </w:p>
        </w:tc>
        <w:tc>
          <w:tcPr>
            <w:tcW w:w="390" w:type="pct"/>
            <w:tcBorders>
              <w:top w:val="nil"/>
              <w:left w:val="nil"/>
              <w:bottom w:val="single" w:color="000000" w:sz="4" w:space="0"/>
              <w:right w:val="single" w:color="000000" w:sz="4" w:space="0"/>
            </w:tcBorders>
            <w:noWrap w:val="0"/>
            <w:vAlign w:val="center"/>
          </w:tcPr>
          <w:p w14:paraId="1A88B6F3">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m3</w:t>
            </w:r>
          </w:p>
        </w:tc>
        <w:tc>
          <w:tcPr>
            <w:tcW w:w="642" w:type="pct"/>
            <w:tcBorders>
              <w:top w:val="nil"/>
              <w:left w:val="nil"/>
              <w:bottom w:val="single" w:color="000000" w:sz="4" w:space="0"/>
              <w:right w:val="single" w:color="000000" w:sz="4" w:space="0"/>
            </w:tcBorders>
            <w:noWrap w:val="0"/>
            <w:vAlign w:val="center"/>
          </w:tcPr>
          <w:p w14:paraId="4E7AEA8F">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10.05</w:t>
            </w:r>
          </w:p>
        </w:tc>
        <w:tc>
          <w:tcPr>
            <w:tcW w:w="670" w:type="pct"/>
            <w:tcBorders>
              <w:top w:val="nil"/>
              <w:left w:val="nil"/>
              <w:bottom w:val="single" w:color="000000" w:sz="4" w:space="0"/>
              <w:right w:val="single" w:color="000000" w:sz="4" w:space="0"/>
            </w:tcBorders>
            <w:noWrap w:val="0"/>
            <w:vAlign w:val="center"/>
          </w:tcPr>
          <w:p w14:paraId="207B1625">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795.95</w:t>
            </w:r>
          </w:p>
        </w:tc>
        <w:tc>
          <w:tcPr>
            <w:tcW w:w="670" w:type="pct"/>
            <w:tcBorders>
              <w:top w:val="nil"/>
              <w:left w:val="nil"/>
              <w:bottom w:val="single" w:color="000000" w:sz="4" w:space="0"/>
              <w:right w:val="single" w:color="000000" w:sz="4" w:space="0"/>
            </w:tcBorders>
            <w:noWrap w:val="0"/>
            <w:vAlign w:val="center"/>
          </w:tcPr>
          <w:p w14:paraId="0AF75A8D">
            <w:pPr>
              <w:widowControl w:val="0"/>
              <w:jc w:val="center"/>
              <w:rPr>
                <w:rFonts w:hint="eastAsia" w:ascii="宋体" w:hAnsi="宋体" w:eastAsia="宋体" w:cs="宋体"/>
                <w:color w:val="auto"/>
                <w:kern w:val="0"/>
                <w:sz w:val="21"/>
                <w:szCs w:val="21"/>
              </w:rPr>
            </w:pPr>
          </w:p>
        </w:tc>
      </w:tr>
      <w:tr w14:paraId="6B62CBF1">
        <w:tblPrEx>
          <w:tblCellMar>
            <w:top w:w="0" w:type="dxa"/>
            <w:left w:w="108" w:type="dxa"/>
            <w:bottom w:w="0" w:type="dxa"/>
            <w:right w:w="108" w:type="dxa"/>
          </w:tblCellMar>
        </w:tblPrEx>
        <w:trPr>
          <w:trHeight w:val="919" w:hRule="atLeast"/>
        </w:trPr>
        <w:tc>
          <w:tcPr>
            <w:tcW w:w="354" w:type="pct"/>
            <w:tcBorders>
              <w:top w:val="nil"/>
              <w:left w:val="single" w:color="000000" w:sz="4" w:space="0"/>
              <w:bottom w:val="single" w:color="000000" w:sz="4" w:space="0"/>
              <w:right w:val="single" w:color="000000" w:sz="4" w:space="0"/>
            </w:tcBorders>
            <w:noWrap w:val="0"/>
            <w:vAlign w:val="center"/>
          </w:tcPr>
          <w:p w14:paraId="3A1E2E86">
            <w:pPr>
              <w:widowControl w:val="0"/>
              <w:jc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66</w:t>
            </w:r>
          </w:p>
        </w:tc>
        <w:tc>
          <w:tcPr>
            <w:tcW w:w="755" w:type="pct"/>
            <w:tcBorders>
              <w:top w:val="nil"/>
              <w:left w:val="nil"/>
              <w:bottom w:val="single" w:color="000000" w:sz="4" w:space="0"/>
              <w:right w:val="single" w:color="000000" w:sz="4" w:space="0"/>
            </w:tcBorders>
            <w:noWrap w:val="0"/>
            <w:vAlign w:val="center"/>
          </w:tcPr>
          <w:p w14:paraId="5D1BDE58">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浆砌块料（护坡）</w:t>
            </w:r>
          </w:p>
        </w:tc>
        <w:tc>
          <w:tcPr>
            <w:tcW w:w="1516" w:type="pct"/>
            <w:tcBorders>
              <w:top w:val="nil"/>
              <w:left w:val="nil"/>
              <w:bottom w:val="single" w:color="000000" w:sz="4" w:space="0"/>
              <w:right w:val="single" w:color="000000" w:sz="4" w:space="0"/>
            </w:tcBorders>
            <w:noWrap w:val="0"/>
            <w:vAlign w:val="center"/>
          </w:tcPr>
          <w:p w14:paraId="189EC43B">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1.材料品种、规格:块石</w:t>
            </w:r>
          </w:p>
          <w:p w14:paraId="020F8C3C">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2.砂浆强度等级:M10</w:t>
            </w:r>
          </w:p>
          <w:p w14:paraId="5CCBE94D">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3.材料、机械运至施工现场及施工等所有费用，结算时不调整</w:t>
            </w:r>
          </w:p>
        </w:tc>
        <w:tc>
          <w:tcPr>
            <w:tcW w:w="390" w:type="pct"/>
            <w:tcBorders>
              <w:top w:val="nil"/>
              <w:left w:val="nil"/>
              <w:bottom w:val="single" w:color="000000" w:sz="4" w:space="0"/>
              <w:right w:val="single" w:color="000000" w:sz="4" w:space="0"/>
            </w:tcBorders>
            <w:noWrap w:val="0"/>
            <w:vAlign w:val="center"/>
          </w:tcPr>
          <w:p w14:paraId="603D1E88">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m3</w:t>
            </w:r>
          </w:p>
        </w:tc>
        <w:tc>
          <w:tcPr>
            <w:tcW w:w="642" w:type="pct"/>
            <w:tcBorders>
              <w:top w:val="nil"/>
              <w:left w:val="nil"/>
              <w:bottom w:val="single" w:color="000000" w:sz="4" w:space="0"/>
              <w:right w:val="single" w:color="000000" w:sz="4" w:space="0"/>
            </w:tcBorders>
            <w:noWrap w:val="0"/>
            <w:vAlign w:val="center"/>
          </w:tcPr>
          <w:p w14:paraId="69C9FC78">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20.1</w:t>
            </w:r>
          </w:p>
        </w:tc>
        <w:tc>
          <w:tcPr>
            <w:tcW w:w="670" w:type="pct"/>
            <w:tcBorders>
              <w:top w:val="nil"/>
              <w:left w:val="nil"/>
              <w:bottom w:val="single" w:color="000000" w:sz="4" w:space="0"/>
              <w:right w:val="single" w:color="000000" w:sz="4" w:space="0"/>
            </w:tcBorders>
            <w:noWrap w:val="0"/>
            <w:vAlign w:val="center"/>
          </w:tcPr>
          <w:p w14:paraId="6B861A37">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774.29</w:t>
            </w:r>
          </w:p>
        </w:tc>
        <w:tc>
          <w:tcPr>
            <w:tcW w:w="670" w:type="pct"/>
            <w:tcBorders>
              <w:top w:val="nil"/>
              <w:left w:val="nil"/>
              <w:bottom w:val="single" w:color="000000" w:sz="4" w:space="0"/>
              <w:right w:val="single" w:color="000000" w:sz="4" w:space="0"/>
            </w:tcBorders>
            <w:noWrap w:val="0"/>
            <w:vAlign w:val="center"/>
          </w:tcPr>
          <w:p w14:paraId="782A2B39">
            <w:pPr>
              <w:widowControl w:val="0"/>
              <w:jc w:val="center"/>
              <w:rPr>
                <w:rFonts w:hint="eastAsia" w:ascii="宋体" w:hAnsi="宋体" w:eastAsia="宋体" w:cs="宋体"/>
                <w:color w:val="auto"/>
                <w:kern w:val="0"/>
                <w:sz w:val="21"/>
                <w:szCs w:val="21"/>
              </w:rPr>
            </w:pPr>
          </w:p>
        </w:tc>
      </w:tr>
      <w:tr w14:paraId="5A3556B0">
        <w:tblPrEx>
          <w:tblCellMar>
            <w:top w:w="0" w:type="dxa"/>
            <w:left w:w="108" w:type="dxa"/>
            <w:bottom w:w="0" w:type="dxa"/>
            <w:right w:w="108" w:type="dxa"/>
          </w:tblCellMar>
        </w:tblPrEx>
        <w:trPr>
          <w:trHeight w:val="739" w:hRule="atLeast"/>
        </w:trPr>
        <w:tc>
          <w:tcPr>
            <w:tcW w:w="354" w:type="pct"/>
            <w:tcBorders>
              <w:top w:val="nil"/>
              <w:left w:val="single" w:color="000000" w:sz="4" w:space="0"/>
              <w:bottom w:val="single" w:color="000000" w:sz="4" w:space="0"/>
              <w:right w:val="single" w:color="000000" w:sz="4" w:space="0"/>
            </w:tcBorders>
            <w:noWrap w:val="0"/>
            <w:vAlign w:val="center"/>
          </w:tcPr>
          <w:p w14:paraId="28FCE020">
            <w:pPr>
              <w:widowControl w:val="0"/>
              <w:jc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67</w:t>
            </w:r>
          </w:p>
        </w:tc>
        <w:tc>
          <w:tcPr>
            <w:tcW w:w="755" w:type="pct"/>
            <w:tcBorders>
              <w:top w:val="nil"/>
              <w:left w:val="nil"/>
              <w:bottom w:val="single" w:color="000000" w:sz="4" w:space="0"/>
              <w:right w:val="single" w:color="000000" w:sz="4" w:space="0"/>
            </w:tcBorders>
            <w:noWrap w:val="0"/>
            <w:vAlign w:val="center"/>
          </w:tcPr>
          <w:p w14:paraId="20782BC2">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挡墙修补、勾缝</w:t>
            </w:r>
          </w:p>
        </w:tc>
        <w:tc>
          <w:tcPr>
            <w:tcW w:w="1516" w:type="pct"/>
            <w:tcBorders>
              <w:top w:val="nil"/>
              <w:left w:val="nil"/>
              <w:bottom w:val="single" w:color="000000" w:sz="4" w:space="0"/>
              <w:right w:val="single" w:color="000000" w:sz="4" w:space="0"/>
            </w:tcBorders>
            <w:noWrap w:val="0"/>
            <w:vAlign w:val="center"/>
          </w:tcPr>
          <w:p w14:paraId="0A1351A9">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1.材料品种、规格:块石</w:t>
            </w:r>
          </w:p>
          <w:p w14:paraId="4A312F9C">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2.砂浆强度等级:M10</w:t>
            </w:r>
          </w:p>
          <w:p w14:paraId="32CBB3AA">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3.材料、机械运至施工现场及施工等所有费用，结算时不调整</w:t>
            </w:r>
          </w:p>
        </w:tc>
        <w:tc>
          <w:tcPr>
            <w:tcW w:w="390" w:type="pct"/>
            <w:tcBorders>
              <w:top w:val="nil"/>
              <w:left w:val="nil"/>
              <w:bottom w:val="single" w:color="000000" w:sz="4" w:space="0"/>
              <w:right w:val="single" w:color="000000" w:sz="4" w:space="0"/>
            </w:tcBorders>
            <w:noWrap w:val="0"/>
            <w:vAlign w:val="center"/>
          </w:tcPr>
          <w:p w14:paraId="21EBC298">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m2</w:t>
            </w:r>
          </w:p>
        </w:tc>
        <w:tc>
          <w:tcPr>
            <w:tcW w:w="642" w:type="pct"/>
            <w:tcBorders>
              <w:top w:val="nil"/>
              <w:left w:val="nil"/>
              <w:bottom w:val="single" w:color="000000" w:sz="4" w:space="0"/>
              <w:right w:val="single" w:color="000000" w:sz="4" w:space="0"/>
            </w:tcBorders>
            <w:noWrap w:val="0"/>
            <w:vAlign w:val="center"/>
          </w:tcPr>
          <w:p w14:paraId="0F62EF49">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149.75</w:t>
            </w:r>
          </w:p>
        </w:tc>
        <w:tc>
          <w:tcPr>
            <w:tcW w:w="670" w:type="pct"/>
            <w:tcBorders>
              <w:top w:val="nil"/>
              <w:left w:val="nil"/>
              <w:bottom w:val="single" w:color="000000" w:sz="4" w:space="0"/>
              <w:right w:val="single" w:color="000000" w:sz="4" w:space="0"/>
            </w:tcBorders>
            <w:noWrap w:val="0"/>
            <w:vAlign w:val="center"/>
          </w:tcPr>
          <w:p w14:paraId="49CF34DF">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24.12</w:t>
            </w:r>
          </w:p>
        </w:tc>
        <w:tc>
          <w:tcPr>
            <w:tcW w:w="670" w:type="pct"/>
            <w:tcBorders>
              <w:top w:val="nil"/>
              <w:left w:val="nil"/>
              <w:bottom w:val="single" w:color="000000" w:sz="4" w:space="0"/>
              <w:right w:val="single" w:color="000000" w:sz="4" w:space="0"/>
            </w:tcBorders>
            <w:noWrap w:val="0"/>
            <w:vAlign w:val="center"/>
          </w:tcPr>
          <w:p w14:paraId="4270ECBC">
            <w:pPr>
              <w:widowControl w:val="0"/>
              <w:jc w:val="center"/>
              <w:rPr>
                <w:rFonts w:hint="eastAsia" w:ascii="宋体" w:hAnsi="宋体" w:eastAsia="宋体" w:cs="宋体"/>
                <w:color w:val="auto"/>
                <w:kern w:val="0"/>
                <w:sz w:val="21"/>
                <w:szCs w:val="21"/>
              </w:rPr>
            </w:pPr>
          </w:p>
        </w:tc>
      </w:tr>
      <w:tr w14:paraId="561CAD18">
        <w:tblPrEx>
          <w:tblCellMar>
            <w:top w:w="0" w:type="dxa"/>
            <w:left w:w="108" w:type="dxa"/>
            <w:bottom w:w="0" w:type="dxa"/>
            <w:right w:w="108" w:type="dxa"/>
          </w:tblCellMar>
        </w:tblPrEx>
        <w:trPr>
          <w:trHeight w:val="709" w:hRule="atLeast"/>
        </w:trPr>
        <w:tc>
          <w:tcPr>
            <w:tcW w:w="354" w:type="pct"/>
            <w:tcBorders>
              <w:top w:val="nil"/>
              <w:left w:val="single" w:color="000000" w:sz="4" w:space="0"/>
              <w:bottom w:val="single" w:color="000000" w:sz="4" w:space="0"/>
              <w:right w:val="single" w:color="000000" w:sz="4" w:space="0"/>
            </w:tcBorders>
            <w:noWrap w:val="0"/>
            <w:vAlign w:val="center"/>
          </w:tcPr>
          <w:p w14:paraId="188D8C7B">
            <w:pPr>
              <w:widowControl w:val="0"/>
              <w:jc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68</w:t>
            </w:r>
          </w:p>
        </w:tc>
        <w:tc>
          <w:tcPr>
            <w:tcW w:w="755" w:type="pct"/>
            <w:tcBorders>
              <w:top w:val="nil"/>
              <w:left w:val="nil"/>
              <w:bottom w:val="single" w:color="000000" w:sz="4" w:space="0"/>
              <w:right w:val="single" w:color="000000" w:sz="4" w:space="0"/>
            </w:tcBorders>
            <w:noWrap w:val="0"/>
            <w:vAlign w:val="center"/>
          </w:tcPr>
          <w:p w14:paraId="71D4C731">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拆除零星块石挡墙等砖石结构</w:t>
            </w:r>
          </w:p>
        </w:tc>
        <w:tc>
          <w:tcPr>
            <w:tcW w:w="1516" w:type="pct"/>
            <w:tcBorders>
              <w:top w:val="nil"/>
              <w:left w:val="nil"/>
              <w:bottom w:val="single" w:color="000000" w:sz="4" w:space="0"/>
              <w:right w:val="single" w:color="000000" w:sz="4" w:space="0"/>
            </w:tcBorders>
            <w:noWrap w:val="0"/>
            <w:vAlign w:val="center"/>
          </w:tcPr>
          <w:p w14:paraId="5A4E0144">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1.综合考虑人工拆除损坏挡墙、护坡等砖石构筑物，含人工、机械、辅材、场内倒运等全部费用</w:t>
            </w:r>
          </w:p>
        </w:tc>
        <w:tc>
          <w:tcPr>
            <w:tcW w:w="390" w:type="pct"/>
            <w:tcBorders>
              <w:top w:val="nil"/>
              <w:left w:val="nil"/>
              <w:bottom w:val="single" w:color="000000" w:sz="4" w:space="0"/>
              <w:right w:val="single" w:color="000000" w:sz="4" w:space="0"/>
            </w:tcBorders>
            <w:noWrap w:val="0"/>
            <w:vAlign w:val="center"/>
          </w:tcPr>
          <w:p w14:paraId="16D8710D">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m3</w:t>
            </w:r>
          </w:p>
        </w:tc>
        <w:tc>
          <w:tcPr>
            <w:tcW w:w="642" w:type="pct"/>
            <w:tcBorders>
              <w:top w:val="nil"/>
              <w:left w:val="nil"/>
              <w:bottom w:val="single" w:color="000000" w:sz="4" w:space="0"/>
              <w:right w:val="single" w:color="000000" w:sz="4" w:space="0"/>
            </w:tcBorders>
            <w:noWrap w:val="0"/>
            <w:vAlign w:val="center"/>
          </w:tcPr>
          <w:p w14:paraId="71528833">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24.79</w:t>
            </w:r>
          </w:p>
        </w:tc>
        <w:tc>
          <w:tcPr>
            <w:tcW w:w="670" w:type="pct"/>
            <w:tcBorders>
              <w:top w:val="nil"/>
              <w:left w:val="nil"/>
              <w:bottom w:val="single" w:color="000000" w:sz="4" w:space="0"/>
              <w:right w:val="single" w:color="000000" w:sz="4" w:space="0"/>
            </w:tcBorders>
            <w:noWrap w:val="0"/>
            <w:vAlign w:val="center"/>
          </w:tcPr>
          <w:p w14:paraId="2CAEA5ED">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140.6</w:t>
            </w:r>
          </w:p>
        </w:tc>
        <w:tc>
          <w:tcPr>
            <w:tcW w:w="670" w:type="pct"/>
            <w:tcBorders>
              <w:top w:val="nil"/>
              <w:left w:val="nil"/>
              <w:bottom w:val="single" w:color="000000" w:sz="4" w:space="0"/>
              <w:right w:val="single" w:color="000000" w:sz="4" w:space="0"/>
            </w:tcBorders>
            <w:noWrap w:val="0"/>
            <w:vAlign w:val="center"/>
          </w:tcPr>
          <w:p w14:paraId="7C82EDF8">
            <w:pPr>
              <w:widowControl w:val="0"/>
              <w:jc w:val="center"/>
              <w:rPr>
                <w:rFonts w:hint="eastAsia" w:ascii="宋体" w:hAnsi="宋体" w:eastAsia="宋体" w:cs="宋体"/>
                <w:color w:val="auto"/>
                <w:kern w:val="0"/>
                <w:sz w:val="21"/>
                <w:szCs w:val="21"/>
              </w:rPr>
            </w:pPr>
          </w:p>
        </w:tc>
      </w:tr>
      <w:tr w14:paraId="5C02679B">
        <w:tblPrEx>
          <w:tblCellMar>
            <w:top w:w="0" w:type="dxa"/>
            <w:left w:w="108" w:type="dxa"/>
            <w:bottom w:w="0" w:type="dxa"/>
            <w:right w:w="108" w:type="dxa"/>
          </w:tblCellMar>
        </w:tblPrEx>
        <w:trPr>
          <w:trHeight w:val="709" w:hRule="atLeast"/>
        </w:trPr>
        <w:tc>
          <w:tcPr>
            <w:tcW w:w="354" w:type="pct"/>
            <w:tcBorders>
              <w:top w:val="nil"/>
              <w:left w:val="single" w:color="000000" w:sz="4" w:space="0"/>
              <w:bottom w:val="single" w:color="000000" w:sz="4" w:space="0"/>
              <w:right w:val="single" w:color="000000" w:sz="4" w:space="0"/>
            </w:tcBorders>
            <w:noWrap w:val="0"/>
            <w:vAlign w:val="center"/>
          </w:tcPr>
          <w:p w14:paraId="7029511B">
            <w:pPr>
              <w:widowControl w:val="0"/>
              <w:jc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69</w:t>
            </w:r>
          </w:p>
        </w:tc>
        <w:tc>
          <w:tcPr>
            <w:tcW w:w="755" w:type="pct"/>
            <w:tcBorders>
              <w:top w:val="nil"/>
              <w:left w:val="nil"/>
              <w:bottom w:val="single" w:color="000000" w:sz="4" w:space="0"/>
              <w:right w:val="single" w:color="000000" w:sz="4" w:space="0"/>
            </w:tcBorders>
            <w:noWrap w:val="0"/>
            <w:vAlign w:val="center"/>
          </w:tcPr>
          <w:p w14:paraId="33236F5A">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大型机械设备进出场及安拆</w:t>
            </w:r>
          </w:p>
        </w:tc>
        <w:tc>
          <w:tcPr>
            <w:tcW w:w="1516" w:type="pct"/>
            <w:tcBorders>
              <w:top w:val="nil"/>
              <w:left w:val="nil"/>
              <w:bottom w:val="single" w:color="000000" w:sz="4" w:space="0"/>
              <w:right w:val="single" w:color="000000" w:sz="4" w:space="0"/>
            </w:tcBorders>
            <w:noWrap w:val="0"/>
            <w:vAlign w:val="center"/>
          </w:tcPr>
          <w:p w14:paraId="2EF0B984">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1.机械设备名称及规格型号：符合施工要求，自行考虑报价，按项计量，结算不调整</w:t>
            </w:r>
          </w:p>
        </w:tc>
        <w:tc>
          <w:tcPr>
            <w:tcW w:w="390" w:type="pct"/>
            <w:tcBorders>
              <w:top w:val="nil"/>
              <w:left w:val="nil"/>
              <w:bottom w:val="single" w:color="000000" w:sz="4" w:space="0"/>
              <w:right w:val="single" w:color="000000" w:sz="4" w:space="0"/>
            </w:tcBorders>
            <w:noWrap w:val="0"/>
            <w:vAlign w:val="center"/>
          </w:tcPr>
          <w:p w14:paraId="6DDE330F">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项</w:t>
            </w:r>
          </w:p>
        </w:tc>
        <w:tc>
          <w:tcPr>
            <w:tcW w:w="642" w:type="pct"/>
            <w:tcBorders>
              <w:top w:val="nil"/>
              <w:left w:val="nil"/>
              <w:bottom w:val="single" w:color="000000" w:sz="4" w:space="0"/>
              <w:right w:val="single" w:color="000000" w:sz="4" w:space="0"/>
            </w:tcBorders>
            <w:noWrap w:val="0"/>
            <w:vAlign w:val="center"/>
          </w:tcPr>
          <w:p w14:paraId="69D398A6">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w:t>
            </w:r>
          </w:p>
        </w:tc>
        <w:tc>
          <w:tcPr>
            <w:tcW w:w="670" w:type="pct"/>
            <w:tcBorders>
              <w:top w:val="nil"/>
              <w:left w:val="nil"/>
              <w:bottom w:val="single" w:color="000000" w:sz="4" w:space="0"/>
              <w:right w:val="single" w:color="000000" w:sz="4" w:space="0"/>
            </w:tcBorders>
            <w:noWrap w:val="0"/>
            <w:vAlign w:val="center"/>
          </w:tcPr>
          <w:p w14:paraId="13B462AA">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8024.46</w:t>
            </w:r>
          </w:p>
        </w:tc>
        <w:tc>
          <w:tcPr>
            <w:tcW w:w="670" w:type="pct"/>
            <w:tcBorders>
              <w:top w:val="nil"/>
              <w:left w:val="nil"/>
              <w:bottom w:val="single" w:color="000000" w:sz="4" w:space="0"/>
              <w:right w:val="single" w:color="000000" w:sz="4" w:space="0"/>
            </w:tcBorders>
            <w:noWrap w:val="0"/>
            <w:vAlign w:val="center"/>
          </w:tcPr>
          <w:p w14:paraId="3ADD901E">
            <w:pPr>
              <w:widowControl w:val="0"/>
              <w:jc w:val="center"/>
              <w:rPr>
                <w:rFonts w:hint="eastAsia" w:ascii="宋体" w:hAnsi="宋体" w:eastAsia="宋体" w:cs="宋体"/>
                <w:color w:val="auto"/>
                <w:kern w:val="0"/>
                <w:sz w:val="21"/>
                <w:szCs w:val="21"/>
              </w:rPr>
            </w:pPr>
          </w:p>
        </w:tc>
      </w:tr>
      <w:tr w14:paraId="145621D1">
        <w:tblPrEx>
          <w:tblCellMar>
            <w:top w:w="0" w:type="dxa"/>
            <w:left w:w="108" w:type="dxa"/>
            <w:bottom w:w="0" w:type="dxa"/>
            <w:right w:w="108" w:type="dxa"/>
          </w:tblCellMar>
        </w:tblPrEx>
        <w:trPr>
          <w:trHeight w:val="919" w:hRule="atLeast"/>
        </w:trPr>
        <w:tc>
          <w:tcPr>
            <w:tcW w:w="354" w:type="pct"/>
            <w:tcBorders>
              <w:top w:val="nil"/>
              <w:left w:val="single" w:color="000000" w:sz="4" w:space="0"/>
              <w:bottom w:val="single" w:color="000000" w:sz="4" w:space="0"/>
              <w:right w:val="single" w:color="000000" w:sz="4" w:space="0"/>
            </w:tcBorders>
            <w:noWrap w:val="0"/>
            <w:vAlign w:val="center"/>
          </w:tcPr>
          <w:p w14:paraId="749887D4">
            <w:pPr>
              <w:widowControl w:val="0"/>
              <w:jc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70</w:t>
            </w:r>
          </w:p>
        </w:tc>
        <w:tc>
          <w:tcPr>
            <w:tcW w:w="755" w:type="pct"/>
            <w:tcBorders>
              <w:top w:val="nil"/>
              <w:left w:val="nil"/>
              <w:bottom w:val="single" w:color="000000" w:sz="4" w:space="0"/>
              <w:right w:val="single" w:color="000000" w:sz="4" w:space="0"/>
            </w:tcBorders>
            <w:noWrap w:val="0"/>
            <w:vAlign w:val="center"/>
          </w:tcPr>
          <w:p w14:paraId="23E0F7B5">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施工围挡</w:t>
            </w:r>
          </w:p>
        </w:tc>
        <w:tc>
          <w:tcPr>
            <w:tcW w:w="1516" w:type="pct"/>
            <w:tcBorders>
              <w:top w:val="nil"/>
              <w:left w:val="nil"/>
              <w:bottom w:val="single" w:color="000000" w:sz="4" w:space="0"/>
              <w:right w:val="single" w:color="000000" w:sz="4" w:space="0"/>
            </w:tcBorders>
            <w:noWrap w:val="0"/>
            <w:vAlign w:val="center"/>
          </w:tcPr>
          <w:p w14:paraId="42C1B8B1">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1.施工围挡由投标人根据施工组织设计自行考虑自主报价，结算时不予调整</w:t>
            </w:r>
          </w:p>
        </w:tc>
        <w:tc>
          <w:tcPr>
            <w:tcW w:w="390" w:type="pct"/>
            <w:tcBorders>
              <w:top w:val="nil"/>
              <w:left w:val="nil"/>
              <w:bottom w:val="single" w:color="000000" w:sz="4" w:space="0"/>
              <w:right w:val="single" w:color="000000" w:sz="4" w:space="0"/>
            </w:tcBorders>
            <w:noWrap w:val="0"/>
            <w:vAlign w:val="center"/>
          </w:tcPr>
          <w:p w14:paraId="4B64791B">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项</w:t>
            </w:r>
          </w:p>
        </w:tc>
        <w:tc>
          <w:tcPr>
            <w:tcW w:w="642" w:type="pct"/>
            <w:tcBorders>
              <w:top w:val="nil"/>
              <w:left w:val="nil"/>
              <w:bottom w:val="single" w:color="000000" w:sz="4" w:space="0"/>
              <w:right w:val="single" w:color="000000" w:sz="4" w:space="0"/>
            </w:tcBorders>
            <w:noWrap w:val="0"/>
            <w:vAlign w:val="center"/>
          </w:tcPr>
          <w:p w14:paraId="5F22910C">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w:t>
            </w:r>
          </w:p>
        </w:tc>
        <w:tc>
          <w:tcPr>
            <w:tcW w:w="670" w:type="pct"/>
            <w:tcBorders>
              <w:top w:val="nil"/>
              <w:left w:val="nil"/>
              <w:bottom w:val="single" w:color="000000" w:sz="4" w:space="0"/>
              <w:right w:val="single" w:color="000000" w:sz="4" w:space="0"/>
            </w:tcBorders>
            <w:noWrap w:val="0"/>
            <w:vAlign w:val="center"/>
          </w:tcPr>
          <w:p w14:paraId="4B17F638">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57984</w:t>
            </w:r>
          </w:p>
        </w:tc>
        <w:tc>
          <w:tcPr>
            <w:tcW w:w="670" w:type="pct"/>
            <w:tcBorders>
              <w:top w:val="nil"/>
              <w:left w:val="nil"/>
              <w:bottom w:val="single" w:color="000000" w:sz="4" w:space="0"/>
              <w:right w:val="single" w:color="000000" w:sz="4" w:space="0"/>
            </w:tcBorders>
            <w:noWrap w:val="0"/>
            <w:vAlign w:val="center"/>
          </w:tcPr>
          <w:p w14:paraId="514B6D99">
            <w:pPr>
              <w:widowControl w:val="0"/>
              <w:jc w:val="center"/>
              <w:rPr>
                <w:rFonts w:hint="eastAsia" w:ascii="宋体" w:hAnsi="宋体" w:eastAsia="宋体" w:cs="宋体"/>
                <w:color w:val="auto"/>
                <w:kern w:val="0"/>
                <w:sz w:val="21"/>
                <w:szCs w:val="21"/>
              </w:rPr>
            </w:pPr>
          </w:p>
        </w:tc>
      </w:tr>
      <w:tr w14:paraId="425381A7">
        <w:tblPrEx>
          <w:tblCellMar>
            <w:top w:w="0" w:type="dxa"/>
            <w:left w:w="108" w:type="dxa"/>
            <w:bottom w:w="0" w:type="dxa"/>
            <w:right w:w="108" w:type="dxa"/>
          </w:tblCellMar>
        </w:tblPrEx>
        <w:trPr>
          <w:trHeight w:val="2338" w:hRule="atLeast"/>
        </w:trPr>
        <w:tc>
          <w:tcPr>
            <w:tcW w:w="354" w:type="pct"/>
            <w:tcBorders>
              <w:top w:val="nil"/>
              <w:left w:val="single" w:color="000000" w:sz="4" w:space="0"/>
              <w:bottom w:val="single" w:color="000000" w:sz="4" w:space="0"/>
              <w:right w:val="single" w:color="000000" w:sz="4" w:space="0"/>
            </w:tcBorders>
            <w:noWrap w:val="0"/>
            <w:vAlign w:val="center"/>
          </w:tcPr>
          <w:p w14:paraId="1AE32B28">
            <w:pPr>
              <w:widowControl w:val="0"/>
              <w:jc w:val="center"/>
              <w:rPr>
                <w:rFonts w:hint="eastAsia" w:ascii="宋体" w:hAnsi="宋体" w:eastAsia="宋体" w:cs="宋体"/>
                <w:color w:val="auto"/>
                <w:kern w:val="0"/>
                <w:sz w:val="21"/>
                <w:szCs w:val="21"/>
                <w:lang w:eastAsia="zh-CN"/>
              </w:rPr>
            </w:pPr>
            <w:r>
              <w:rPr>
                <w:rFonts w:hint="eastAsia" w:ascii="宋体" w:hAnsi="宋体" w:eastAsia="宋体" w:cs="宋体"/>
                <w:color w:val="auto"/>
                <w:kern w:val="0"/>
                <w:sz w:val="21"/>
                <w:szCs w:val="21"/>
              </w:rPr>
              <w:t>7</w:t>
            </w:r>
            <w:r>
              <w:rPr>
                <w:rFonts w:hint="eastAsia" w:ascii="宋体" w:hAnsi="宋体" w:cs="宋体"/>
                <w:color w:val="auto"/>
                <w:kern w:val="0"/>
                <w:sz w:val="21"/>
                <w:szCs w:val="21"/>
                <w:lang w:val="en-US" w:eastAsia="zh-CN"/>
              </w:rPr>
              <w:t>1</w:t>
            </w:r>
          </w:p>
        </w:tc>
        <w:tc>
          <w:tcPr>
            <w:tcW w:w="755" w:type="pct"/>
            <w:tcBorders>
              <w:top w:val="nil"/>
              <w:left w:val="nil"/>
              <w:bottom w:val="single" w:color="000000" w:sz="4" w:space="0"/>
              <w:right w:val="single" w:color="000000" w:sz="4" w:space="0"/>
            </w:tcBorders>
            <w:noWrap w:val="0"/>
            <w:vAlign w:val="center"/>
          </w:tcPr>
          <w:p w14:paraId="4527C01A">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围堰</w:t>
            </w:r>
          </w:p>
        </w:tc>
        <w:tc>
          <w:tcPr>
            <w:tcW w:w="1516" w:type="pct"/>
            <w:tcBorders>
              <w:top w:val="nil"/>
              <w:left w:val="nil"/>
              <w:bottom w:val="single" w:color="000000" w:sz="4" w:space="0"/>
              <w:right w:val="single" w:color="000000" w:sz="4" w:space="0"/>
            </w:tcBorders>
            <w:noWrap w:val="0"/>
            <w:vAlign w:val="center"/>
          </w:tcPr>
          <w:p w14:paraId="3ADE8546">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河道或者沟渠中筑堰所用砂袋及配套钢骨架等所有材料，含人工、拆除清理等所有费用，围堰高度1.5米以内，结算时不调整</w:t>
            </w:r>
          </w:p>
        </w:tc>
        <w:tc>
          <w:tcPr>
            <w:tcW w:w="390" w:type="pct"/>
            <w:tcBorders>
              <w:top w:val="nil"/>
              <w:left w:val="nil"/>
              <w:bottom w:val="single" w:color="000000" w:sz="4" w:space="0"/>
              <w:right w:val="single" w:color="000000" w:sz="4" w:space="0"/>
            </w:tcBorders>
            <w:noWrap w:val="0"/>
            <w:vAlign w:val="center"/>
          </w:tcPr>
          <w:p w14:paraId="00EECDE0">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m</w:t>
            </w:r>
          </w:p>
        </w:tc>
        <w:tc>
          <w:tcPr>
            <w:tcW w:w="642" w:type="pct"/>
            <w:tcBorders>
              <w:top w:val="nil"/>
              <w:left w:val="nil"/>
              <w:bottom w:val="single" w:color="000000" w:sz="4" w:space="0"/>
              <w:right w:val="single" w:color="000000" w:sz="4" w:space="0"/>
            </w:tcBorders>
            <w:noWrap w:val="0"/>
            <w:vAlign w:val="center"/>
          </w:tcPr>
          <w:p w14:paraId="4A3E8E96">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7</w:t>
            </w:r>
          </w:p>
        </w:tc>
        <w:tc>
          <w:tcPr>
            <w:tcW w:w="670" w:type="pct"/>
            <w:tcBorders>
              <w:top w:val="nil"/>
              <w:left w:val="nil"/>
              <w:bottom w:val="single" w:color="000000" w:sz="4" w:space="0"/>
              <w:right w:val="single" w:color="000000" w:sz="4" w:space="0"/>
            </w:tcBorders>
            <w:noWrap w:val="0"/>
            <w:vAlign w:val="center"/>
          </w:tcPr>
          <w:p w14:paraId="15504C44">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289.82</w:t>
            </w:r>
          </w:p>
        </w:tc>
        <w:tc>
          <w:tcPr>
            <w:tcW w:w="670" w:type="pct"/>
            <w:tcBorders>
              <w:top w:val="nil"/>
              <w:left w:val="nil"/>
              <w:bottom w:val="single" w:color="000000" w:sz="4" w:space="0"/>
              <w:right w:val="single" w:color="000000" w:sz="4" w:space="0"/>
            </w:tcBorders>
            <w:noWrap w:val="0"/>
            <w:vAlign w:val="center"/>
          </w:tcPr>
          <w:p w14:paraId="5D534D97">
            <w:pPr>
              <w:widowControl w:val="0"/>
              <w:jc w:val="center"/>
              <w:rPr>
                <w:rFonts w:hint="eastAsia" w:ascii="宋体" w:hAnsi="宋体" w:eastAsia="宋体" w:cs="宋体"/>
                <w:color w:val="auto"/>
                <w:kern w:val="0"/>
                <w:sz w:val="21"/>
                <w:szCs w:val="21"/>
              </w:rPr>
            </w:pPr>
          </w:p>
        </w:tc>
      </w:tr>
      <w:tr w14:paraId="29A7E9C8">
        <w:tblPrEx>
          <w:tblCellMar>
            <w:top w:w="0" w:type="dxa"/>
            <w:left w:w="108" w:type="dxa"/>
            <w:bottom w:w="0" w:type="dxa"/>
            <w:right w:w="108" w:type="dxa"/>
          </w:tblCellMar>
        </w:tblPrEx>
        <w:trPr>
          <w:trHeight w:val="2702" w:hRule="atLeast"/>
        </w:trPr>
        <w:tc>
          <w:tcPr>
            <w:tcW w:w="354" w:type="pct"/>
            <w:tcBorders>
              <w:top w:val="nil"/>
              <w:left w:val="single" w:color="000000" w:sz="4" w:space="0"/>
              <w:bottom w:val="nil"/>
              <w:right w:val="single" w:color="000000" w:sz="4" w:space="0"/>
            </w:tcBorders>
            <w:noWrap w:val="0"/>
            <w:vAlign w:val="center"/>
          </w:tcPr>
          <w:p w14:paraId="118D4D68">
            <w:pPr>
              <w:widowControl w:val="0"/>
              <w:jc w:val="center"/>
              <w:rPr>
                <w:rFonts w:hint="eastAsia" w:ascii="宋体" w:hAnsi="宋体" w:eastAsia="宋体" w:cs="宋体"/>
                <w:color w:val="auto"/>
                <w:kern w:val="0"/>
                <w:sz w:val="21"/>
                <w:szCs w:val="21"/>
                <w:lang w:eastAsia="zh-CN"/>
              </w:rPr>
            </w:pPr>
            <w:r>
              <w:rPr>
                <w:rFonts w:hint="eastAsia" w:ascii="宋体" w:hAnsi="宋体" w:eastAsia="宋体" w:cs="宋体"/>
                <w:color w:val="auto"/>
                <w:kern w:val="0"/>
                <w:sz w:val="21"/>
                <w:szCs w:val="21"/>
              </w:rPr>
              <w:t>7</w:t>
            </w:r>
            <w:r>
              <w:rPr>
                <w:rFonts w:hint="eastAsia" w:ascii="宋体" w:hAnsi="宋体" w:cs="宋体"/>
                <w:color w:val="auto"/>
                <w:kern w:val="0"/>
                <w:sz w:val="21"/>
                <w:szCs w:val="21"/>
                <w:lang w:val="en-US" w:eastAsia="zh-CN"/>
              </w:rPr>
              <w:t>2</w:t>
            </w:r>
          </w:p>
        </w:tc>
        <w:tc>
          <w:tcPr>
            <w:tcW w:w="755" w:type="pct"/>
            <w:tcBorders>
              <w:top w:val="nil"/>
              <w:left w:val="nil"/>
              <w:bottom w:val="nil"/>
              <w:right w:val="single" w:color="000000" w:sz="4" w:space="0"/>
            </w:tcBorders>
            <w:noWrap w:val="0"/>
            <w:vAlign w:val="center"/>
          </w:tcPr>
          <w:p w14:paraId="28D95298">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钢板桩</w:t>
            </w:r>
          </w:p>
        </w:tc>
        <w:tc>
          <w:tcPr>
            <w:tcW w:w="1516" w:type="pct"/>
            <w:tcBorders>
              <w:top w:val="nil"/>
              <w:left w:val="nil"/>
              <w:bottom w:val="nil"/>
              <w:right w:val="single" w:color="000000" w:sz="4" w:space="0"/>
            </w:tcBorders>
            <w:noWrap w:val="0"/>
            <w:vAlign w:val="center"/>
          </w:tcPr>
          <w:p w14:paraId="25EA0FB4">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1.40#a槽钢（6米长）沟槽边间距400,布置，打下后静力拔出</w:t>
            </w:r>
          </w:p>
          <w:p w14:paraId="46A02472">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2.含打拔、运输、使用、损耗、监测等全部费用。</w:t>
            </w:r>
          </w:p>
          <w:p w14:paraId="05CC9FD5">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3.综合单价中槽钢材料费、打拔费用、桩孔的处理费用。</w:t>
            </w:r>
          </w:p>
          <w:p w14:paraId="3ADD354C">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4.且施打施工过程中就满足规范及周边建筑物、构筑物等重要设施保护，费用包含在综合单价中。</w:t>
            </w:r>
          </w:p>
          <w:p w14:paraId="6C634DC4">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5.含拔桩时注浆费用，注浆做法及要求详见设计图纸</w:t>
            </w:r>
          </w:p>
        </w:tc>
        <w:tc>
          <w:tcPr>
            <w:tcW w:w="390" w:type="pct"/>
            <w:tcBorders>
              <w:top w:val="nil"/>
              <w:left w:val="nil"/>
              <w:bottom w:val="nil"/>
              <w:right w:val="single" w:color="000000" w:sz="4" w:space="0"/>
            </w:tcBorders>
            <w:noWrap w:val="0"/>
            <w:vAlign w:val="center"/>
          </w:tcPr>
          <w:p w14:paraId="569C79D7">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t</w:t>
            </w:r>
          </w:p>
        </w:tc>
        <w:tc>
          <w:tcPr>
            <w:tcW w:w="642" w:type="pct"/>
            <w:tcBorders>
              <w:top w:val="nil"/>
              <w:left w:val="nil"/>
              <w:bottom w:val="nil"/>
              <w:right w:val="single" w:color="000000" w:sz="4" w:space="0"/>
            </w:tcBorders>
            <w:noWrap w:val="0"/>
            <w:vAlign w:val="center"/>
          </w:tcPr>
          <w:p w14:paraId="67DD4584">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3.35</w:t>
            </w:r>
          </w:p>
        </w:tc>
        <w:tc>
          <w:tcPr>
            <w:tcW w:w="670" w:type="pct"/>
            <w:tcBorders>
              <w:top w:val="nil"/>
              <w:left w:val="nil"/>
              <w:bottom w:val="nil"/>
              <w:right w:val="single" w:color="000000" w:sz="4" w:space="0"/>
            </w:tcBorders>
            <w:noWrap w:val="0"/>
            <w:vAlign w:val="center"/>
          </w:tcPr>
          <w:p w14:paraId="04B45E9C">
            <w:pPr>
              <w:keepNext w:val="0"/>
              <w:keepLines w:val="0"/>
              <w:widowControl/>
              <w:suppressLineNumbers w:val="0"/>
              <w:jc w:val="center"/>
              <w:textAlignment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1003.21</w:t>
            </w:r>
          </w:p>
        </w:tc>
        <w:tc>
          <w:tcPr>
            <w:tcW w:w="670" w:type="pct"/>
            <w:tcBorders>
              <w:top w:val="nil"/>
              <w:left w:val="nil"/>
              <w:bottom w:val="nil"/>
              <w:right w:val="single" w:color="000000" w:sz="4" w:space="0"/>
            </w:tcBorders>
            <w:noWrap w:val="0"/>
            <w:vAlign w:val="center"/>
          </w:tcPr>
          <w:p w14:paraId="7B931108">
            <w:pPr>
              <w:widowControl w:val="0"/>
              <w:jc w:val="center"/>
              <w:rPr>
                <w:rFonts w:hint="eastAsia" w:ascii="宋体" w:hAnsi="宋体" w:eastAsia="宋体" w:cs="宋体"/>
                <w:color w:val="auto"/>
                <w:kern w:val="0"/>
                <w:sz w:val="21"/>
                <w:szCs w:val="21"/>
              </w:rPr>
            </w:pPr>
          </w:p>
        </w:tc>
      </w:tr>
      <w:tr w14:paraId="15343737">
        <w:tblPrEx>
          <w:tblCellMar>
            <w:top w:w="0" w:type="dxa"/>
            <w:left w:w="108" w:type="dxa"/>
            <w:bottom w:w="0" w:type="dxa"/>
            <w:right w:w="108" w:type="dxa"/>
          </w:tblCellMar>
        </w:tblPrEx>
        <w:trPr>
          <w:trHeight w:val="2702" w:hRule="atLeast"/>
        </w:trPr>
        <w:tc>
          <w:tcPr>
            <w:tcW w:w="354" w:type="pct"/>
            <w:tcBorders>
              <w:top w:val="nil"/>
              <w:left w:val="single" w:color="000000" w:sz="4" w:space="0"/>
              <w:bottom w:val="nil"/>
              <w:right w:val="single" w:color="000000" w:sz="4" w:space="0"/>
            </w:tcBorders>
            <w:noWrap w:val="0"/>
            <w:vAlign w:val="center"/>
          </w:tcPr>
          <w:p w14:paraId="3C3FF099">
            <w:pPr>
              <w:widowControl w:val="0"/>
              <w:jc w:val="center"/>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73</w:t>
            </w:r>
          </w:p>
        </w:tc>
        <w:tc>
          <w:tcPr>
            <w:tcW w:w="755" w:type="pct"/>
            <w:tcBorders>
              <w:top w:val="nil"/>
              <w:left w:val="nil"/>
              <w:bottom w:val="nil"/>
              <w:right w:val="single" w:color="000000" w:sz="4" w:space="0"/>
            </w:tcBorders>
            <w:noWrap w:val="0"/>
            <w:vAlign w:val="center"/>
          </w:tcPr>
          <w:p w14:paraId="4EFE0168">
            <w:pPr>
              <w:widowControl w:val="0"/>
              <w:jc w:val="left"/>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碎管置换</w:t>
            </w:r>
          </w:p>
        </w:tc>
        <w:tc>
          <w:tcPr>
            <w:tcW w:w="1516" w:type="pct"/>
            <w:tcBorders>
              <w:top w:val="nil"/>
              <w:left w:val="nil"/>
              <w:bottom w:val="nil"/>
              <w:right w:val="single" w:color="000000" w:sz="4" w:space="0"/>
            </w:tcBorders>
            <w:noWrap w:val="0"/>
            <w:vAlign w:val="center"/>
          </w:tcPr>
          <w:p w14:paraId="042C7CCD">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1.规格:Φ</w:t>
            </w:r>
            <w:r>
              <w:rPr>
                <w:rFonts w:hint="eastAsia" w:ascii="宋体" w:hAnsi="宋体" w:cs="宋体"/>
                <w:color w:val="auto"/>
                <w:kern w:val="0"/>
                <w:sz w:val="21"/>
                <w:szCs w:val="21"/>
                <w:lang w:val="en-US" w:eastAsia="zh-CN"/>
              </w:rPr>
              <w:t>300-500</w:t>
            </w:r>
            <w:r>
              <w:rPr>
                <w:rFonts w:hint="eastAsia" w:ascii="宋体" w:hAnsi="宋体" w:eastAsia="宋体" w:cs="宋体"/>
                <w:color w:val="auto"/>
                <w:kern w:val="0"/>
                <w:sz w:val="21"/>
                <w:szCs w:val="21"/>
              </w:rPr>
              <w:t>裂管；</w:t>
            </w:r>
          </w:p>
          <w:p w14:paraId="055DF353">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2.具体做法及要求详见设计图纸及规范，报价含工作井扩张等一切费用；</w:t>
            </w:r>
          </w:p>
          <w:p w14:paraId="609B657B">
            <w:pPr>
              <w:widowControl w:val="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3..报价包含管道清疏冲洗费用，CCTV检测费、综合考虑施工前的预处理及摸排、清疏所需的封堵、沉积物（包含树根等管道内所有杂物）清疏及外弃、施工后拆除及调排水的费用、通气毒气检测安全等。</w:t>
            </w:r>
          </w:p>
        </w:tc>
        <w:tc>
          <w:tcPr>
            <w:tcW w:w="390" w:type="pct"/>
            <w:tcBorders>
              <w:top w:val="nil"/>
              <w:left w:val="nil"/>
              <w:bottom w:val="nil"/>
              <w:right w:val="single" w:color="000000" w:sz="4" w:space="0"/>
            </w:tcBorders>
            <w:noWrap w:val="0"/>
            <w:vAlign w:val="center"/>
          </w:tcPr>
          <w:p w14:paraId="453474AE">
            <w:pPr>
              <w:widowControl w:val="0"/>
              <w:jc w:val="left"/>
              <w:rPr>
                <w:rFonts w:hint="eastAsia"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m</w:t>
            </w:r>
          </w:p>
        </w:tc>
        <w:tc>
          <w:tcPr>
            <w:tcW w:w="642" w:type="pct"/>
            <w:tcBorders>
              <w:top w:val="nil"/>
              <w:left w:val="nil"/>
              <w:bottom w:val="nil"/>
              <w:right w:val="single" w:color="000000" w:sz="4" w:space="0"/>
            </w:tcBorders>
            <w:noWrap w:val="0"/>
            <w:vAlign w:val="center"/>
          </w:tcPr>
          <w:p w14:paraId="1A1985C7">
            <w:pPr>
              <w:widowControl w:val="0"/>
              <w:jc w:val="left"/>
              <w:rPr>
                <w:rFonts w:hint="default"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200</w:t>
            </w:r>
          </w:p>
        </w:tc>
        <w:tc>
          <w:tcPr>
            <w:tcW w:w="670" w:type="pct"/>
            <w:tcBorders>
              <w:top w:val="nil"/>
              <w:left w:val="nil"/>
              <w:bottom w:val="nil"/>
              <w:right w:val="single" w:color="000000" w:sz="4" w:space="0"/>
            </w:tcBorders>
            <w:noWrap w:val="0"/>
            <w:vAlign w:val="center"/>
          </w:tcPr>
          <w:p w14:paraId="567CBBD5">
            <w:pPr>
              <w:keepNext w:val="0"/>
              <w:keepLines w:val="0"/>
              <w:widowControl/>
              <w:suppressLineNumbers w:val="0"/>
              <w:jc w:val="center"/>
              <w:textAlignment w:val="center"/>
              <w:rPr>
                <w:rFonts w:hint="default"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2000</w:t>
            </w:r>
          </w:p>
        </w:tc>
        <w:tc>
          <w:tcPr>
            <w:tcW w:w="670" w:type="pct"/>
            <w:tcBorders>
              <w:top w:val="nil"/>
              <w:left w:val="nil"/>
              <w:bottom w:val="nil"/>
              <w:right w:val="single" w:color="000000" w:sz="4" w:space="0"/>
            </w:tcBorders>
            <w:noWrap w:val="0"/>
            <w:vAlign w:val="center"/>
          </w:tcPr>
          <w:p w14:paraId="56FB2A30">
            <w:pPr>
              <w:widowControl w:val="0"/>
              <w:jc w:val="center"/>
              <w:rPr>
                <w:rFonts w:hint="eastAsia" w:ascii="宋体" w:hAnsi="宋体" w:eastAsia="宋体" w:cs="宋体"/>
                <w:color w:val="auto"/>
                <w:kern w:val="0"/>
                <w:sz w:val="21"/>
                <w:szCs w:val="21"/>
              </w:rPr>
            </w:pPr>
          </w:p>
        </w:tc>
      </w:tr>
      <w:tr w14:paraId="6183EB69">
        <w:tblPrEx>
          <w:tblCellMar>
            <w:top w:w="0" w:type="dxa"/>
            <w:left w:w="108" w:type="dxa"/>
            <w:bottom w:w="0" w:type="dxa"/>
            <w:right w:w="108" w:type="dxa"/>
          </w:tblCellMar>
        </w:tblPrEx>
        <w:trPr>
          <w:trHeight w:val="2702" w:hRule="atLeast"/>
        </w:trPr>
        <w:tc>
          <w:tcPr>
            <w:tcW w:w="354" w:type="pct"/>
            <w:tcBorders>
              <w:top w:val="nil"/>
              <w:left w:val="single" w:color="000000" w:sz="4" w:space="0"/>
              <w:bottom w:val="single" w:color="000000" w:sz="4" w:space="0"/>
              <w:right w:val="single" w:color="000000" w:sz="4" w:space="0"/>
            </w:tcBorders>
            <w:noWrap w:val="0"/>
            <w:vAlign w:val="center"/>
          </w:tcPr>
          <w:p w14:paraId="14223BD2">
            <w:pPr>
              <w:widowControl w:val="0"/>
              <w:jc w:val="center"/>
              <w:rPr>
                <w:rFonts w:hint="default"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74</w:t>
            </w:r>
          </w:p>
        </w:tc>
        <w:tc>
          <w:tcPr>
            <w:tcW w:w="755" w:type="pct"/>
            <w:tcBorders>
              <w:top w:val="nil"/>
              <w:left w:val="nil"/>
              <w:bottom w:val="nil"/>
              <w:right w:val="single" w:color="000000" w:sz="4" w:space="0"/>
            </w:tcBorders>
            <w:noWrap w:val="0"/>
            <w:vAlign w:val="center"/>
          </w:tcPr>
          <w:p w14:paraId="1BCF9768">
            <w:pPr>
              <w:widowControl w:val="0"/>
              <w:jc w:val="left"/>
              <w:rPr>
                <w:rFonts w:hint="default"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管道修测</w:t>
            </w:r>
          </w:p>
        </w:tc>
        <w:tc>
          <w:tcPr>
            <w:tcW w:w="1516" w:type="pct"/>
            <w:tcBorders>
              <w:top w:val="nil"/>
              <w:left w:val="nil"/>
              <w:bottom w:val="nil"/>
              <w:right w:val="single" w:color="000000" w:sz="4" w:space="0"/>
            </w:tcBorders>
            <w:noWrap w:val="0"/>
            <w:vAlign w:val="center"/>
          </w:tcPr>
          <w:p w14:paraId="4259865E">
            <w:pPr>
              <w:widowControl w:val="0"/>
              <w:jc w:val="left"/>
              <w:rPr>
                <w:rFonts w:hint="eastAsia"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w:t>
            </w:r>
            <w:r>
              <w:rPr>
                <w:rFonts w:hint="eastAsia" w:ascii="宋体" w:hAnsi="宋体" w:eastAsia="宋体" w:cs="宋体"/>
                <w:color w:val="auto"/>
                <w:kern w:val="0"/>
                <w:sz w:val="21"/>
                <w:szCs w:val="21"/>
                <w:lang w:val="en-US" w:eastAsia="zh-CN"/>
              </w:rPr>
              <w:t>管道修补，</w:t>
            </w:r>
            <w:r>
              <w:rPr>
                <w:rFonts w:hint="eastAsia" w:ascii="宋体" w:hAnsi="宋体" w:cs="宋体"/>
                <w:color w:val="auto"/>
                <w:kern w:val="0"/>
                <w:sz w:val="21"/>
                <w:szCs w:val="21"/>
                <w:lang w:val="en-US" w:eastAsia="zh-CN"/>
              </w:rPr>
              <w:t>测绘</w:t>
            </w:r>
            <w:r>
              <w:rPr>
                <w:rFonts w:hint="eastAsia" w:ascii="宋体" w:hAnsi="宋体" w:eastAsia="宋体" w:cs="宋体"/>
                <w:color w:val="auto"/>
                <w:kern w:val="0"/>
                <w:sz w:val="21"/>
                <w:szCs w:val="21"/>
                <w:lang w:val="en-US" w:eastAsia="zh-CN"/>
              </w:rPr>
              <w:t>。</w:t>
            </w:r>
          </w:p>
          <w:p w14:paraId="792ADABE">
            <w:pPr>
              <w:widowControl w:val="0"/>
              <w:numPr>
                <w:ilvl w:val="0"/>
                <w:numId w:val="0"/>
              </w:numPr>
              <w:jc w:val="left"/>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2.成果文件满足招标人要求。</w:t>
            </w:r>
          </w:p>
          <w:p w14:paraId="0D0779E2">
            <w:pPr>
              <w:widowControl w:val="0"/>
              <w:numPr>
                <w:ilvl w:val="0"/>
                <w:numId w:val="0"/>
              </w:numPr>
              <w:jc w:val="left"/>
              <w:rPr>
                <w:rFonts w:hint="default" w:ascii="宋体" w:hAnsi="宋体" w:cs="宋体"/>
                <w:color w:val="auto"/>
                <w:kern w:val="0"/>
                <w:sz w:val="21"/>
                <w:szCs w:val="21"/>
                <w:lang w:val="en-US" w:eastAsia="zh-CN"/>
              </w:rPr>
            </w:pPr>
          </w:p>
        </w:tc>
        <w:tc>
          <w:tcPr>
            <w:tcW w:w="390" w:type="pct"/>
            <w:tcBorders>
              <w:top w:val="nil"/>
              <w:left w:val="nil"/>
              <w:bottom w:val="nil"/>
              <w:right w:val="single" w:color="000000" w:sz="4" w:space="0"/>
            </w:tcBorders>
            <w:noWrap w:val="0"/>
            <w:vAlign w:val="center"/>
          </w:tcPr>
          <w:p w14:paraId="58D16D5A">
            <w:pPr>
              <w:widowControl w:val="0"/>
              <w:jc w:val="left"/>
              <w:rPr>
                <w:rFonts w:hint="default"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m</w:t>
            </w:r>
          </w:p>
        </w:tc>
        <w:tc>
          <w:tcPr>
            <w:tcW w:w="642" w:type="pct"/>
            <w:tcBorders>
              <w:top w:val="nil"/>
              <w:left w:val="nil"/>
              <w:bottom w:val="nil"/>
              <w:right w:val="single" w:color="000000" w:sz="4" w:space="0"/>
            </w:tcBorders>
            <w:noWrap w:val="0"/>
            <w:vAlign w:val="center"/>
          </w:tcPr>
          <w:p w14:paraId="59DB4DB8">
            <w:pPr>
              <w:widowControl w:val="0"/>
              <w:jc w:val="left"/>
              <w:rPr>
                <w:rFonts w:hint="default"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80000</w:t>
            </w:r>
          </w:p>
        </w:tc>
        <w:tc>
          <w:tcPr>
            <w:tcW w:w="670" w:type="pct"/>
            <w:tcBorders>
              <w:top w:val="nil"/>
              <w:left w:val="nil"/>
              <w:bottom w:val="nil"/>
              <w:right w:val="single" w:color="000000" w:sz="4" w:space="0"/>
            </w:tcBorders>
            <w:noWrap w:val="0"/>
            <w:vAlign w:val="center"/>
          </w:tcPr>
          <w:p w14:paraId="527154EC">
            <w:pPr>
              <w:keepNext w:val="0"/>
              <w:keepLines w:val="0"/>
              <w:widowControl/>
              <w:suppressLineNumbers w:val="0"/>
              <w:jc w:val="center"/>
              <w:textAlignment w:val="center"/>
              <w:rPr>
                <w:rFonts w:hint="default"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3</w:t>
            </w:r>
          </w:p>
        </w:tc>
        <w:tc>
          <w:tcPr>
            <w:tcW w:w="670" w:type="pct"/>
            <w:tcBorders>
              <w:top w:val="nil"/>
              <w:left w:val="nil"/>
              <w:bottom w:val="single" w:color="000000" w:sz="4" w:space="0"/>
              <w:right w:val="single" w:color="000000" w:sz="4" w:space="0"/>
            </w:tcBorders>
            <w:noWrap w:val="0"/>
            <w:vAlign w:val="center"/>
          </w:tcPr>
          <w:p w14:paraId="1805A376">
            <w:pPr>
              <w:widowControl w:val="0"/>
              <w:jc w:val="center"/>
              <w:rPr>
                <w:rFonts w:hint="eastAsia" w:ascii="宋体" w:hAnsi="宋体" w:eastAsia="宋体" w:cs="宋体"/>
                <w:color w:val="auto"/>
                <w:kern w:val="0"/>
                <w:sz w:val="21"/>
                <w:szCs w:val="21"/>
              </w:rPr>
            </w:pPr>
          </w:p>
        </w:tc>
      </w:tr>
    </w:tbl>
    <w:p w14:paraId="2F1FE654">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color w:val="auto"/>
          <w:sz w:val="21"/>
        </w:rPr>
      </w:pPr>
    </w:p>
    <w:p w14:paraId="1399B4D5">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color w:val="auto"/>
          <w:sz w:val="21"/>
        </w:rPr>
      </w:pPr>
    </w:p>
    <w:p w14:paraId="12C0A3C2">
      <w:pPr>
        <w:pBdr>
          <w:top w:val="none" w:color="000000" w:sz="0" w:space="0"/>
          <w:left w:val="none" w:color="000000" w:sz="0" w:space="0"/>
          <w:bottom w:val="none" w:color="000000" w:sz="0" w:space="0"/>
          <w:right w:val="none" w:color="000000" w:sz="0" w:space="0"/>
        </w:pBdr>
        <w:spacing w:before="0" w:after="0"/>
        <w:ind w:left="0" w:right="0" w:firstLine="0"/>
        <w:jc w:val="both"/>
        <w:rPr>
          <w:color w:val="auto"/>
        </w:rPr>
      </w:pPr>
      <w:r>
        <w:rPr>
          <w:rFonts w:ascii="宋体" w:hAnsi="宋体" w:eastAsia="宋体" w:cs="宋体"/>
          <w:color w:val="auto"/>
          <w:sz w:val="21"/>
        </w:rPr>
        <w:t> </w:t>
      </w:r>
    </w:p>
    <w:p w14:paraId="73978055">
      <w:pPr>
        <w:pBdr>
          <w:top w:val="none" w:color="000000" w:sz="0" w:space="0"/>
          <w:left w:val="none" w:color="000000" w:sz="0" w:space="0"/>
          <w:bottom w:val="none" w:color="000000" w:sz="0" w:space="0"/>
          <w:right w:val="none" w:color="000000" w:sz="0" w:space="0"/>
        </w:pBdr>
        <w:spacing w:before="0" w:after="0"/>
        <w:ind w:right="0"/>
        <w:rPr>
          <w:color w:val="auto"/>
        </w:rPr>
      </w:pPr>
      <w:r>
        <w:rPr>
          <w:rFonts w:ascii="宋体" w:hAnsi="宋体" w:eastAsia="宋体" w:cs="宋体"/>
          <w:color w:val="auto"/>
          <w:sz w:val="22"/>
        </w:rPr>
        <w:t xml:space="preserve">供应商名称（加盖电子公章）: </w:t>
      </w:r>
      <w:r>
        <w:rPr>
          <w:rFonts w:ascii="宋体" w:hAnsi="宋体" w:eastAsia="宋体" w:cs="宋体"/>
          <w:color w:val="auto"/>
          <w:sz w:val="24"/>
        </w:rPr>
        <w:t>                  </w:t>
      </w:r>
    </w:p>
    <w:p w14:paraId="21862DCF">
      <w:pPr>
        <w:pBdr>
          <w:top w:val="none" w:color="000000" w:sz="0" w:space="0"/>
          <w:left w:val="none" w:color="000000" w:sz="0" w:space="0"/>
          <w:bottom w:val="none" w:color="000000" w:sz="0" w:space="0"/>
          <w:right w:val="none" w:color="000000" w:sz="0" w:space="0"/>
        </w:pBdr>
        <w:spacing w:before="0" w:after="0"/>
        <w:ind w:right="0"/>
        <w:rPr>
          <w:color w:val="auto"/>
        </w:rPr>
      </w:pPr>
      <w:r>
        <w:rPr>
          <w:rFonts w:ascii="宋体" w:hAnsi="宋体" w:eastAsia="宋体" w:cs="宋体"/>
          <w:color w:val="auto"/>
          <w:sz w:val="22"/>
        </w:rPr>
        <w:t>授权代表（签字）： </w:t>
      </w:r>
      <w:r>
        <w:rPr>
          <w:rFonts w:ascii="宋体" w:hAnsi="宋体" w:eastAsia="宋体" w:cs="宋体"/>
          <w:color w:val="auto"/>
          <w:sz w:val="24"/>
        </w:rPr>
        <w:t>               </w:t>
      </w:r>
    </w:p>
    <w:p w14:paraId="14E06541">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right="0"/>
        <w:jc w:val="left"/>
        <w:rPr>
          <w:color w:val="auto"/>
        </w:rPr>
      </w:pPr>
      <w:r>
        <w:rPr>
          <w:rFonts w:ascii="宋体" w:hAnsi="宋体" w:eastAsia="宋体" w:cs="宋体"/>
          <w:color w:val="auto"/>
          <w:sz w:val="22"/>
        </w:rPr>
        <w:t>日期：  年  月  日</w:t>
      </w:r>
    </w:p>
    <w:p w14:paraId="56845AA7">
      <w:pPr>
        <w:pBdr>
          <w:top w:val="none" w:color="000000" w:sz="0" w:space="0"/>
          <w:left w:val="none" w:color="000000" w:sz="0" w:space="0"/>
          <w:bottom w:val="none" w:color="000000" w:sz="0" w:space="0"/>
          <w:right w:val="none" w:color="000000" w:sz="0" w:space="0"/>
        </w:pBdr>
        <w:spacing w:before="0" w:after="0"/>
        <w:ind w:left="0" w:right="0" w:firstLine="0"/>
        <w:rPr>
          <w:color w:val="auto"/>
        </w:rPr>
      </w:pPr>
      <w:r>
        <w:rPr>
          <w:rFonts w:ascii="宋体" w:hAnsi="宋体" w:eastAsia="宋体" w:cs="宋体"/>
          <w:color w:val="auto"/>
          <w:sz w:val="22"/>
        </w:rPr>
        <w:t>注：1.此表为表样，行数可自行添加。</w:t>
      </w:r>
    </w:p>
    <w:p w14:paraId="343B6699">
      <w:pPr>
        <w:pBdr>
          <w:top w:val="none" w:color="000000" w:sz="0" w:space="0"/>
          <w:left w:val="none" w:color="000000" w:sz="0" w:space="0"/>
          <w:bottom w:val="none" w:color="000000" w:sz="0" w:space="0"/>
          <w:right w:val="none" w:color="000000" w:sz="0" w:space="0"/>
        </w:pBdr>
        <w:spacing w:before="0" w:after="0"/>
        <w:ind w:left="0" w:right="0" w:firstLine="0"/>
        <w:rPr>
          <w:color w:val="auto"/>
        </w:rPr>
      </w:pPr>
      <w:r>
        <w:rPr>
          <w:rFonts w:ascii="宋体" w:hAnsi="宋体" w:eastAsia="宋体" w:cs="宋体"/>
          <w:color w:val="auto"/>
          <w:sz w:val="22"/>
        </w:rPr>
        <w:t>2.供应商必须保证承诺使用小、微型企业参加投标的真实性，如出现虚假响应，一经查实，将按照采购方采购有关法律法规进行处理。</w:t>
      </w:r>
    </w:p>
    <w:p w14:paraId="63794235">
      <w:pPr>
        <w:pBdr>
          <w:top w:val="none" w:color="000000" w:sz="0" w:space="0"/>
          <w:left w:val="none" w:color="000000" w:sz="0" w:space="0"/>
          <w:bottom w:val="none" w:color="000000" w:sz="0" w:space="0"/>
          <w:right w:val="none" w:color="000000" w:sz="0" w:space="0"/>
        </w:pBdr>
        <w:spacing w:before="0" w:after="0"/>
        <w:ind w:left="0" w:right="0" w:firstLine="0"/>
        <w:rPr>
          <w:color w:val="auto"/>
        </w:rPr>
      </w:pPr>
      <w:r>
        <w:rPr>
          <w:rFonts w:ascii="宋体" w:hAnsi="宋体" w:eastAsia="宋体" w:cs="宋体"/>
          <w:color w:val="auto"/>
          <w:sz w:val="22"/>
        </w:rPr>
        <w:t>3.投标价应包括但不限于完成该项目所有的费用及投标人认为需要的其他相关费用等；每一单项均应计算并填写单价和总价和其相应的单价分项表，并由法定代表人或授权委托代理人签署。供应商未填单价或总价的项目，在实施后，采购单位将不予支付，并视为该项费用已包括在其它有价款的单价或总价内。</w:t>
      </w:r>
    </w:p>
    <w:p w14:paraId="03DCBBD6">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color w:val="auto"/>
        </w:rPr>
      </w:pPr>
      <w:r>
        <w:rPr>
          <w:color w:val="auto"/>
        </w:rPr>
        <w:br w:type="page" w:clear="all"/>
      </w:r>
    </w:p>
    <w:p w14:paraId="19DF91BE">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color w:val="auto"/>
        </w:rPr>
      </w:pPr>
      <w:r>
        <w:rPr>
          <w:rFonts w:ascii="宋体" w:hAnsi="宋体" w:eastAsia="宋体" w:cs="宋体"/>
          <w:b/>
          <w:color w:val="auto"/>
          <w:sz w:val="24"/>
        </w:rPr>
        <w:t>附件五、技术规格偏离表格式</w:t>
      </w:r>
    </w:p>
    <w:p w14:paraId="624C3333">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420" w:right="0" w:firstLine="0"/>
        <w:jc w:val="center"/>
        <w:rPr>
          <w:color w:val="auto"/>
        </w:rPr>
      </w:pPr>
      <w:r>
        <w:rPr>
          <w:rFonts w:ascii="宋体" w:hAnsi="宋体" w:eastAsia="宋体" w:cs="宋体"/>
          <w:color w:val="auto"/>
          <w:sz w:val="36"/>
        </w:rPr>
        <w:t>技术规格偏离表</w:t>
      </w:r>
    </w:p>
    <w:tbl>
      <w:tblPr>
        <w:tblStyle w:val="2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927"/>
        <w:gridCol w:w="3047"/>
        <w:gridCol w:w="1867"/>
        <w:gridCol w:w="1091"/>
        <w:gridCol w:w="1187"/>
        <w:gridCol w:w="1235"/>
      </w:tblGrid>
      <w:tr w14:paraId="77BCB31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5841" w:type="dxa"/>
            <w:gridSpan w:val="3"/>
            <w:tcBorders>
              <w:top w:val="nil"/>
              <w:left w:val="nil"/>
              <w:bottom w:val="single" w:color="000000" w:sz="8" w:space="0"/>
              <w:right w:val="nil"/>
            </w:tcBorders>
            <w:noWrap w:val="0"/>
            <w:tcMar>
              <w:top w:w="0" w:type="dxa"/>
              <w:left w:w="0" w:type="dxa"/>
              <w:bottom w:w="0" w:type="dxa"/>
              <w:right w:w="0" w:type="dxa"/>
            </w:tcMar>
            <w:vAlign w:val="center"/>
          </w:tcPr>
          <w:p w14:paraId="4C633575">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rPr>
            </w:pPr>
            <w:r>
              <w:rPr>
                <w:rFonts w:ascii="宋体" w:hAnsi="宋体" w:eastAsia="宋体" w:cs="宋体"/>
                <w:color w:val="auto"/>
                <w:sz w:val="21"/>
              </w:rPr>
              <w:t>项目名称：</w:t>
            </w:r>
          </w:p>
        </w:tc>
        <w:tc>
          <w:tcPr>
            <w:tcW w:w="3513" w:type="dxa"/>
            <w:gridSpan w:val="3"/>
            <w:tcBorders>
              <w:top w:val="nil"/>
              <w:left w:val="nil"/>
              <w:bottom w:val="single" w:color="000000" w:sz="8" w:space="0"/>
              <w:right w:val="nil"/>
            </w:tcBorders>
            <w:noWrap w:val="0"/>
            <w:tcMar>
              <w:top w:w="0" w:type="dxa"/>
              <w:left w:w="0" w:type="dxa"/>
              <w:bottom w:w="0" w:type="dxa"/>
              <w:right w:w="0" w:type="dxa"/>
            </w:tcMar>
            <w:vAlign w:val="center"/>
          </w:tcPr>
          <w:p w14:paraId="54E947DF">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rPr>
            </w:pPr>
            <w:r>
              <w:rPr>
                <w:rFonts w:ascii="宋体" w:hAnsi="宋体" w:eastAsia="宋体" w:cs="宋体"/>
                <w:color w:val="auto"/>
                <w:sz w:val="21"/>
              </w:rPr>
              <w:t>项目编号：  </w:t>
            </w:r>
          </w:p>
        </w:tc>
      </w:tr>
      <w:tr w14:paraId="33710E0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927"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7CA958BF">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序号</w:t>
            </w:r>
          </w:p>
        </w:tc>
        <w:tc>
          <w:tcPr>
            <w:tcW w:w="3047"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76F85D1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招标要求规格</w:t>
            </w:r>
          </w:p>
        </w:tc>
        <w:tc>
          <w:tcPr>
            <w:tcW w:w="2958" w:type="dxa"/>
            <w:gridSpan w:val="2"/>
            <w:tcBorders>
              <w:top w:val="single" w:color="000000" w:sz="8" w:space="0"/>
              <w:left w:val="nil"/>
              <w:bottom w:val="single" w:color="000000" w:sz="8" w:space="0"/>
              <w:right w:val="single" w:color="000000" w:sz="8" w:space="0"/>
            </w:tcBorders>
            <w:noWrap w:val="0"/>
            <w:tcMar>
              <w:top w:w="0" w:type="dxa"/>
              <w:left w:w="0" w:type="dxa"/>
              <w:bottom w:w="0" w:type="dxa"/>
              <w:right w:w="0" w:type="dxa"/>
            </w:tcMar>
            <w:vAlign w:val="center"/>
          </w:tcPr>
          <w:p w14:paraId="75792FA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投标响应</w:t>
            </w:r>
          </w:p>
        </w:tc>
        <w:tc>
          <w:tcPr>
            <w:tcW w:w="1187" w:type="dxa"/>
            <w:tcBorders>
              <w:top w:val="single" w:color="000000" w:sz="8" w:space="0"/>
              <w:left w:val="nil"/>
              <w:bottom w:val="single" w:color="000000" w:sz="8" w:space="0"/>
              <w:right w:val="single" w:color="000000" w:sz="8" w:space="0"/>
            </w:tcBorders>
            <w:noWrap w:val="0"/>
            <w:tcMar>
              <w:top w:w="0" w:type="dxa"/>
              <w:left w:w="0" w:type="dxa"/>
              <w:bottom w:w="0" w:type="dxa"/>
              <w:right w:w="0" w:type="dxa"/>
            </w:tcMar>
            <w:vAlign w:val="center"/>
          </w:tcPr>
          <w:p w14:paraId="67A2A48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偏离</w:t>
            </w:r>
          </w:p>
        </w:tc>
        <w:tc>
          <w:tcPr>
            <w:tcW w:w="1235" w:type="dxa"/>
            <w:tcBorders>
              <w:top w:val="single" w:color="000000" w:sz="8" w:space="0"/>
              <w:left w:val="nil"/>
              <w:bottom w:val="single" w:color="000000" w:sz="8" w:space="0"/>
              <w:right w:val="single" w:color="000000" w:sz="8" w:space="0"/>
            </w:tcBorders>
            <w:noWrap w:val="0"/>
            <w:tcMar>
              <w:top w:w="0" w:type="dxa"/>
              <w:left w:w="0" w:type="dxa"/>
              <w:bottom w:w="0" w:type="dxa"/>
              <w:right w:w="0" w:type="dxa"/>
            </w:tcMar>
            <w:vAlign w:val="center"/>
          </w:tcPr>
          <w:p w14:paraId="17FDF33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备注</w:t>
            </w:r>
          </w:p>
        </w:tc>
      </w:tr>
      <w:tr w14:paraId="6EB12B1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927"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22927E5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 </w:t>
            </w:r>
          </w:p>
        </w:tc>
        <w:tc>
          <w:tcPr>
            <w:tcW w:w="3047"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1B1F729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 </w:t>
            </w:r>
          </w:p>
        </w:tc>
        <w:tc>
          <w:tcPr>
            <w:tcW w:w="2958" w:type="dxa"/>
            <w:gridSpan w:val="2"/>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0540E3BF">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 </w:t>
            </w:r>
          </w:p>
        </w:tc>
        <w:tc>
          <w:tcPr>
            <w:tcW w:w="1187"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234DC1A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 </w:t>
            </w:r>
          </w:p>
        </w:tc>
        <w:tc>
          <w:tcPr>
            <w:tcW w:w="1235"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7EAECE7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 </w:t>
            </w:r>
          </w:p>
        </w:tc>
      </w:tr>
      <w:tr w14:paraId="269DED1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927"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66E5A32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 </w:t>
            </w:r>
          </w:p>
        </w:tc>
        <w:tc>
          <w:tcPr>
            <w:tcW w:w="3047"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7ACBCB7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 </w:t>
            </w:r>
          </w:p>
        </w:tc>
        <w:tc>
          <w:tcPr>
            <w:tcW w:w="2958" w:type="dxa"/>
            <w:gridSpan w:val="2"/>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734D1F4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 </w:t>
            </w:r>
          </w:p>
        </w:tc>
        <w:tc>
          <w:tcPr>
            <w:tcW w:w="1187"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5126D38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 </w:t>
            </w:r>
          </w:p>
        </w:tc>
        <w:tc>
          <w:tcPr>
            <w:tcW w:w="1235"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189FA97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 </w:t>
            </w:r>
          </w:p>
        </w:tc>
      </w:tr>
      <w:tr w14:paraId="4AB9F39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927"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34D0C16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 </w:t>
            </w:r>
          </w:p>
        </w:tc>
        <w:tc>
          <w:tcPr>
            <w:tcW w:w="3047"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6B0029FF">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 </w:t>
            </w:r>
          </w:p>
        </w:tc>
        <w:tc>
          <w:tcPr>
            <w:tcW w:w="2958" w:type="dxa"/>
            <w:gridSpan w:val="2"/>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4E74DFD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 </w:t>
            </w:r>
          </w:p>
        </w:tc>
        <w:tc>
          <w:tcPr>
            <w:tcW w:w="1187"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4B79EA0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 </w:t>
            </w:r>
          </w:p>
        </w:tc>
        <w:tc>
          <w:tcPr>
            <w:tcW w:w="1235"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5753AA8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 </w:t>
            </w:r>
          </w:p>
        </w:tc>
      </w:tr>
    </w:tbl>
    <w:p w14:paraId="49B1AED3">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color w:val="auto"/>
        </w:rPr>
      </w:pPr>
      <w:r>
        <w:rPr>
          <w:rFonts w:ascii="宋体" w:hAnsi="宋体" w:eastAsia="宋体" w:cs="宋体"/>
          <w:color w:val="auto"/>
          <w:sz w:val="21"/>
        </w:rPr>
        <w:t>说明：</w:t>
      </w:r>
    </w:p>
    <w:p w14:paraId="3403D7B0">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color w:val="auto"/>
        </w:rPr>
      </w:pPr>
      <w:r>
        <w:rPr>
          <w:rFonts w:ascii="宋体" w:hAnsi="宋体" w:eastAsia="宋体" w:cs="宋体"/>
          <w:color w:val="auto"/>
          <w:sz w:val="21"/>
        </w:rPr>
        <w:t>1、如果行数不够，请自行增加。</w:t>
      </w:r>
    </w:p>
    <w:p w14:paraId="7747F476">
      <w:pPr>
        <w:pBdr>
          <w:top w:val="none" w:color="000000" w:sz="0" w:space="0"/>
          <w:left w:val="none" w:color="000000" w:sz="0" w:space="0"/>
          <w:bottom w:val="none" w:color="000000" w:sz="0" w:space="0"/>
          <w:right w:val="none" w:color="000000" w:sz="0" w:space="0"/>
        </w:pBdr>
        <w:spacing w:before="240" w:after="240" w:line="85" w:lineRule="atLeast"/>
        <w:ind w:left="0" w:right="0" w:firstLine="0"/>
        <w:rPr>
          <w:color w:val="auto"/>
        </w:rPr>
      </w:pPr>
      <w:r>
        <w:rPr>
          <w:rFonts w:ascii="Times New Roman" w:hAnsi="Times New Roman" w:eastAsia="Times New Roman" w:cs="Times New Roman"/>
          <w:color w:val="auto"/>
          <w:sz w:val="21"/>
        </w:rPr>
        <w:t>2</w:t>
      </w:r>
      <w:r>
        <w:rPr>
          <w:rFonts w:ascii="宋体" w:hAnsi="宋体" w:eastAsia="宋体" w:cs="宋体"/>
          <w:color w:val="auto"/>
          <w:sz w:val="21"/>
        </w:rPr>
        <w:t>、其他投标人应在上表中明确投标文件技术部分与招标文件要求的技术或服务要求偏离情况，未在上表中说明的，如在投标文件其他内容中已有文字说明或相关证明材料的，则以已有文字说明或相关证明材料为准，但该表不作为供应商对所投项目关于技术或服务要求等详细描述和说明的替代。</w:t>
      </w:r>
    </w:p>
    <w:p w14:paraId="7559DD4B">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hint="eastAsia" w:ascii="宋体" w:hAnsi="宋体" w:cs="宋体"/>
          <w:color w:val="auto"/>
          <w:sz w:val="21"/>
          <w:lang w:eastAsia="zh-CN"/>
        </w:rPr>
        <w:t>供应商名称</w:t>
      </w:r>
      <w:r>
        <w:rPr>
          <w:rFonts w:ascii="宋体" w:hAnsi="宋体" w:eastAsia="宋体" w:cs="宋体"/>
          <w:color w:val="auto"/>
          <w:sz w:val="21"/>
        </w:rPr>
        <w:t>（电子公章）：</w:t>
      </w:r>
    </w:p>
    <w:p w14:paraId="5131D845">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法定代表人（或授权代表）（签字）：</w:t>
      </w:r>
    </w:p>
    <w:p w14:paraId="2AE74273">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日期：</w:t>
      </w:r>
    </w:p>
    <w:p w14:paraId="773966A9">
      <w:pPr>
        <w:pBdr>
          <w:top w:val="none" w:color="000000" w:sz="0" w:space="0"/>
          <w:left w:val="none" w:color="000000" w:sz="0" w:space="0"/>
          <w:bottom w:val="none" w:color="000000" w:sz="0" w:space="0"/>
          <w:right w:val="none" w:color="000000" w:sz="0" w:space="0"/>
        </w:pBdr>
        <w:spacing w:before="240" w:after="240" w:line="85" w:lineRule="atLeast"/>
        <w:ind w:left="0" w:right="0" w:firstLine="420"/>
        <w:rPr>
          <w:color w:val="auto"/>
        </w:rPr>
      </w:pPr>
      <w:r>
        <w:rPr>
          <w:rFonts w:ascii="Times New Roman" w:hAnsi="Times New Roman" w:eastAsia="Times New Roman" w:cs="Times New Roman"/>
          <w:color w:val="auto"/>
          <w:sz w:val="21"/>
        </w:rPr>
        <w:t> </w:t>
      </w:r>
    </w:p>
    <w:p w14:paraId="6E972A85">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color w:val="auto"/>
        </w:rPr>
      </w:pPr>
      <w:r>
        <w:rPr>
          <w:rFonts w:ascii="宋体" w:hAnsi="宋体" w:eastAsia="宋体" w:cs="宋体"/>
          <w:color w:val="auto"/>
          <w:sz w:val="21"/>
        </w:rPr>
        <w:t> </w:t>
      </w:r>
    </w:p>
    <w:p w14:paraId="2AEEDE45">
      <w:pPr>
        <w:pBdr>
          <w:top w:val="none" w:color="000000" w:sz="0" w:space="0"/>
          <w:left w:val="none" w:color="000000" w:sz="0" w:space="0"/>
          <w:bottom w:val="none" w:color="000000" w:sz="0" w:space="0"/>
          <w:right w:val="none" w:color="000000" w:sz="0" w:space="0"/>
        </w:pBdr>
        <w:spacing w:before="240" w:after="240" w:line="85" w:lineRule="atLeast"/>
        <w:ind w:left="0" w:right="0" w:firstLine="420"/>
        <w:rPr>
          <w:color w:val="auto"/>
        </w:rPr>
      </w:pPr>
      <w:r>
        <w:rPr>
          <w:rFonts w:ascii="宋体" w:hAnsi="宋体" w:eastAsia="宋体" w:cs="宋体"/>
          <w:color w:val="auto"/>
          <w:sz w:val="24"/>
        </w:rPr>
        <w:t> </w:t>
      </w:r>
    </w:p>
    <w:p w14:paraId="6740DEF6">
      <w:pPr>
        <w:pBdr>
          <w:top w:val="none" w:color="000000" w:sz="0" w:space="0"/>
          <w:left w:val="none" w:color="000000" w:sz="0" w:space="0"/>
          <w:bottom w:val="none" w:color="000000" w:sz="0" w:space="0"/>
          <w:right w:val="none" w:color="000000" w:sz="0" w:space="0"/>
        </w:pBdr>
        <w:spacing w:before="240" w:after="240" w:line="85" w:lineRule="atLeast"/>
        <w:ind w:left="0" w:right="0" w:firstLine="420"/>
        <w:rPr>
          <w:color w:val="auto"/>
        </w:rPr>
      </w:pPr>
      <w:r>
        <w:rPr>
          <w:rFonts w:ascii="宋体" w:hAnsi="宋体" w:eastAsia="宋体" w:cs="宋体"/>
          <w:color w:val="auto"/>
          <w:sz w:val="24"/>
        </w:rPr>
        <w:t> </w:t>
      </w:r>
    </w:p>
    <w:p w14:paraId="1B5A5B84">
      <w:pPr>
        <w:pBdr>
          <w:top w:val="none" w:color="000000" w:sz="0" w:space="0"/>
          <w:left w:val="none" w:color="000000" w:sz="0" w:space="0"/>
          <w:bottom w:val="none" w:color="000000" w:sz="0" w:space="0"/>
          <w:right w:val="none" w:color="000000" w:sz="0" w:space="0"/>
        </w:pBdr>
        <w:spacing w:before="240" w:after="240" w:line="85" w:lineRule="atLeast"/>
        <w:ind w:left="0" w:right="0" w:firstLine="420"/>
        <w:rPr>
          <w:color w:val="auto"/>
        </w:rPr>
      </w:pPr>
      <w:r>
        <w:rPr>
          <w:rFonts w:ascii="宋体" w:hAnsi="宋体" w:eastAsia="宋体" w:cs="宋体"/>
          <w:color w:val="auto"/>
          <w:sz w:val="24"/>
        </w:rPr>
        <w:t> </w:t>
      </w:r>
    </w:p>
    <w:p w14:paraId="4C0EFB05">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color w:val="auto"/>
        </w:rPr>
      </w:pPr>
      <w:r>
        <w:rPr>
          <w:rFonts w:ascii="宋体" w:hAnsi="宋体" w:eastAsia="宋体" w:cs="宋体"/>
          <w:b/>
          <w:color w:val="auto"/>
          <w:sz w:val="24"/>
        </w:rPr>
        <w:t>附件六、商务条款偏离表格式</w:t>
      </w:r>
    </w:p>
    <w:p w14:paraId="0B0B99A4">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20"/>
        <w:jc w:val="center"/>
        <w:rPr>
          <w:color w:val="auto"/>
        </w:rPr>
      </w:pPr>
      <w:r>
        <w:rPr>
          <w:rFonts w:ascii="宋体" w:hAnsi="宋体" w:eastAsia="宋体" w:cs="宋体"/>
          <w:color w:val="auto"/>
          <w:sz w:val="36"/>
        </w:rPr>
        <w:t>商务条款偏离表</w:t>
      </w:r>
    </w:p>
    <w:tbl>
      <w:tblPr>
        <w:tblStyle w:val="2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913"/>
        <w:gridCol w:w="2564"/>
        <w:gridCol w:w="1441"/>
        <w:gridCol w:w="970"/>
        <w:gridCol w:w="60"/>
        <w:gridCol w:w="1628"/>
        <w:gridCol w:w="363"/>
        <w:gridCol w:w="762"/>
        <w:gridCol w:w="654"/>
      </w:tblGrid>
      <w:tr w14:paraId="30E9CD3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4918" w:type="dxa"/>
            <w:gridSpan w:val="3"/>
            <w:tcBorders>
              <w:top w:val="nil"/>
              <w:left w:val="nil"/>
              <w:bottom w:val="single" w:color="000000" w:sz="8" w:space="0"/>
              <w:right w:val="nil"/>
            </w:tcBorders>
            <w:noWrap w:val="0"/>
            <w:tcMar>
              <w:top w:w="0" w:type="dxa"/>
              <w:left w:w="0" w:type="dxa"/>
              <w:bottom w:w="0" w:type="dxa"/>
              <w:right w:w="0" w:type="dxa"/>
            </w:tcMar>
            <w:vAlign w:val="center"/>
          </w:tcPr>
          <w:p w14:paraId="3FFF0354">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rPr>
            </w:pPr>
            <w:r>
              <w:rPr>
                <w:rFonts w:ascii="宋体" w:hAnsi="宋体" w:eastAsia="宋体" w:cs="宋体"/>
                <w:color w:val="auto"/>
                <w:sz w:val="24"/>
              </w:rPr>
              <w:t> </w:t>
            </w:r>
            <w:r>
              <w:rPr>
                <w:rFonts w:ascii="宋体" w:hAnsi="宋体" w:eastAsia="宋体" w:cs="宋体"/>
                <w:color w:val="auto"/>
                <w:sz w:val="21"/>
              </w:rPr>
              <w:t>项目名称：</w:t>
            </w:r>
          </w:p>
        </w:tc>
        <w:tc>
          <w:tcPr>
            <w:tcW w:w="4436" w:type="dxa"/>
            <w:gridSpan w:val="6"/>
            <w:tcBorders>
              <w:top w:val="nil"/>
              <w:left w:val="nil"/>
              <w:bottom w:val="single" w:color="000000" w:sz="8" w:space="0"/>
              <w:right w:val="nil"/>
            </w:tcBorders>
            <w:noWrap w:val="0"/>
            <w:tcMar>
              <w:top w:w="0" w:type="dxa"/>
              <w:left w:w="0" w:type="dxa"/>
              <w:bottom w:w="0" w:type="dxa"/>
              <w:right w:w="0" w:type="dxa"/>
            </w:tcMar>
            <w:vAlign w:val="center"/>
          </w:tcPr>
          <w:p w14:paraId="5E50C86D">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rPr>
            </w:pPr>
            <w:r>
              <w:rPr>
                <w:rFonts w:ascii="宋体" w:hAnsi="宋体" w:eastAsia="宋体" w:cs="宋体"/>
                <w:color w:val="auto"/>
                <w:sz w:val="21"/>
              </w:rPr>
              <w:t>项目编号：         </w:t>
            </w:r>
          </w:p>
        </w:tc>
      </w:tr>
      <w:tr w14:paraId="2CA2671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913"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0DB1F4C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序号</w:t>
            </w:r>
          </w:p>
        </w:tc>
        <w:tc>
          <w:tcPr>
            <w:tcW w:w="2564"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1C13231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招标文件要求的商务条款</w:t>
            </w:r>
          </w:p>
        </w:tc>
        <w:tc>
          <w:tcPr>
            <w:tcW w:w="2411" w:type="dxa"/>
            <w:gridSpan w:val="2"/>
            <w:tcBorders>
              <w:top w:val="single" w:color="000000" w:sz="8" w:space="0"/>
              <w:left w:val="nil"/>
              <w:bottom w:val="single" w:color="000000" w:sz="8" w:space="0"/>
              <w:right w:val="single" w:color="000000" w:sz="8" w:space="0"/>
            </w:tcBorders>
            <w:noWrap w:val="0"/>
            <w:tcMar>
              <w:top w:w="0" w:type="dxa"/>
              <w:left w:w="0" w:type="dxa"/>
              <w:bottom w:w="0" w:type="dxa"/>
              <w:right w:w="0" w:type="dxa"/>
            </w:tcMar>
            <w:vAlign w:val="center"/>
          </w:tcPr>
          <w:p w14:paraId="735FB10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投标响应</w:t>
            </w:r>
          </w:p>
        </w:tc>
        <w:tc>
          <w:tcPr>
            <w:tcW w:w="2051" w:type="dxa"/>
            <w:gridSpan w:val="3"/>
            <w:tcBorders>
              <w:top w:val="single" w:color="000000" w:sz="8" w:space="0"/>
              <w:left w:val="nil"/>
              <w:bottom w:val="single" w:color="000000" w:sz="8" w:space="0"/>
              <w:right w:val="single" w:color="000000" w:sz="8" w:space="0"/>
            </w:tcBorders>
            <w:noWrap w:val="0"/>
            <w:tcMar>
              <w:top w:w="0" w:type="dxa"/>
              <w:left w:w="0" w:type="dxa"/>
              <w:bottom w:w="0" w:type="dxa"/>
              <w:right w:w="0" w:type="dxa"/>
            </w:tcMar>
            <w:vAlign w:val="center"/>
          </w:tcPr>
          <w:p w14:paraId="52C2367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偏离</w:t>
            </w:r>
          </w:p>
        </w:tc>
        <w:tc>
          <w:tcPr>
            <w:tcW w:w="1416" w:type="dxa"/>
            <w:gridSpan w:val="2"/>
            <w:tcBorders>
              <w:top w:val="single" w:color="000000" w:sz="8" w:space="0"/>
              <w:left w:val="nil"/>
              <w:bottom w:val="single" w:color="000000" w:sz="8" w:space="0"/>
              <w:right w:val="single" w:color="000000" w:sz="8" w:space="0"/>
            </w:tcBorders>
            <w:noWrap w:val="0"/>
            <w:tcMar>
              <w:top w:w="0" w:type="dxa"/>
              <w:left w:w="0" w:type="dxa"/>
              <w:bottom w:w="0" w:type="dxa"/>
              <w:right w:w="0" w:type="dxa"/>
            </w:tcMar>
            <w:vAlign w:val="center"/>
          </w:tcPr>
          <w:p w14:paraId="707E90B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备注</w:t>
            </w:r>
          </w:p>
        </w:tc>
      </w:tr>
      <w:tr w14:paraId="277C110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913"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1D37138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 </w:t>
            </w:r>
          </w:p>
        </w:tc>
        <w:tc>
          <w:tcPr>
            <w:tcW w:w="2564"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37CEFDC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 </w:t>
            </w:r>
          </w:p>
        </w:tc>
        <w:tc>
          <w:tcPr>
            <w:tcW w:w="2411" w:type="dxa"/>
            <w:gridSpan w:val="2"/>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3CCD978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 </w:t>
            </w:r>
          </w:p>
        </w:tc>
        <w:tc>
          <w:tcPr>
            <w:tcW w:w="2051" w:type="dxa"/>
            <w:gridSpan w:val="3"/>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1934E7F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 </w:t>
            </w:r>
          </w:p>
        </w:tc>
        <w:tc>
          <w:tcPr>
            <w:tcW w:w="1416" w:type="dxa"/>
            <w:gridSpan w:val="2"/>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62570AD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 </w:t>
            </w:r>
          </w:p>
        </w:tc>
      </w:tr>
      <w:tr w14:paraId="2D190A7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913"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14AB0A4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 </w:t>
            </w:r>
          </w:p>
        </w:tc>
        <w:tc>
          <w:tcPr>
            <w:tcW w:w="2564"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7E75AF2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 </w:t>
            </w:r>
          </w:p>
        </w:tc>
        <w:tc>
          <w:tcPr>
            <w:tcW w:w="2411" w:type="dxa"/>
            <w:gridSpan w:val="2"/>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2EFF00A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 </w:t>
            </w:r>
          </w:p>
        </w:tc>
        <w:tc>
          <w:tcPr>
            <w:tcW w:w="2051" w:type="dxa"/>
            <w:gridSpan w:val="3"/>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5C5969A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 </w:t>
            </w:r>
          </w:p>
        </w:tc>
        <w:tc>
          <w:tcPr>
            <w:tcW w:w="1416" w:type="dxa"/>
            <w:gridSpan w:val="2"/>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2DB7849F">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 </w:t>
            </w:r>
          </w:p>
        </w:tc>
      </w:tr>
      <w:tr w14:paraId="4CA0B3F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913"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30166F3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 </w:t>
            </w:r>
          </w:p>
        </w:tc>
        <w:tc>
          <w:tcPr>
            <w:tcW w:w="2564"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495BD21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 </w:t>
            </w:r>
          </w:p>
        </w:tc>
        <w:tc>
          <w:tcPr>
            <w:tcW w:w="2411" w:type="dxa"/>
            <w:gridSpan w:val="2"/>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590ECE8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 </w:t>
            </w:r>
          </w:p>
        </w:tc>
        <w:tc>
          <w:tcPr>
            <w:tcW w:w="2051" w:type="dxa"/>
            <w:gridSpan w:val="3"/>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5C9A5D0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 </w:t>
            </w:r>
          </w:p>
        </w:tc>
        <w:tc>
          <w:tcPr>
            <w:tcW w:w="1416" w:type="dxa"/>
            <w:gridSpan w:val="2"/>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676314C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 </w:t>
            </w:r>
          </w:p>
        </w:tc>
      </w:tr>
      <w:tr w14:paraId="0617C23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913"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068C13FC">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rPr>
            </w:pPr>
            <w:r>
              <w:rPr>
                <w:rFonts w:ascii="宋体" w:hAnsi="宋体" w:eastAsia="宋体" w:cs="宋体"/>
                <w:color w:val="auto"/>
                <w:sz w:val="21"/>
              </w:rPr>
              <w:t> </w:t>
            </w:r>
          </w:p>
        </w:tc>
        <w:tc>
          <w:tcPr>
            <w:tcW w:w="2564" w:type="dxa"/>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4671511E">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rPr>
            </w:pPr>
            <w:r>
              <w:rPr>
                <w:rFonts w:ascii="宋体" w:hAnsi="宋体" w:eastAsia="宋体" w:cs="宋体"/>
                <w:color w:val="auto"/>
                <w:sz w:val="21"/>
              </w:rPr>
              <w:t> </w:t>
            </w:r>
          </w:p>
        </w:tc>
        <w:tc>
          <w:tcPr>
            <w:tcW w:w="2411" w:type="dxa"/>
            <w:gridSpan w:val="2"/>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424DD439">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rPr>
            </w:pPr>
            <w:r>
              <w:rPr>
                <w:rFonts w:ascii="宋体" w:hAnsi="宋体" w:eastAsia="宋体" w:cs="宋体"/>
                <w:color w:val="auto"/>
                <w:sz w:val="21"/>
              </w:rPr>
              <w:t> </w:t>
            </w:r>
          </w:p>
        </w:tc>
        <w:tc>
          <w:tcPr>
            <w:tcW w:w="2051" w:type="dxa"/>
            <w:gridSpan w:val="3"/>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599A1E18">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rPr>
            </w:pPr>
            <w:r>
              <w:rPr>
                <w:rFonts w:ascii="宋体" w:hAnsi="宋体" w:eastAsia="宋体" w:cs="宋体"/>
                <w:color w:val="auto"/>
                <w:sz w:val="21"/>
              </w:rPr>
              <w:t> </w:t>
            </w:r>
          </w:p>
        </w:tc>
        <w:tc>
          <w:tcPr>
            <w:tcW w:w="1416" w:type="dxa"/>
            <w:gridSpan w:val="2"/>
            <w:tcBorders>
              <w:top w:val="nil"/>
              <w:left w:val="nil"/>
              <w:bottom w:val="single" w:color="000000" w:sz="8" w:space="0"/>
              <w:right w:val="single" w:color="000000" w:sz="8" w:space="0"/>
            </w:tcBorders>
            <w:noWrap w:val="0"/>
            <w:tcMar>
              <w:top w:w="0" w:type="dxa"/>
              <w:left w:w="0" w:type="dxa"/>
              <w:bottom w:w="0" w:type="dxa"/>
              <w:right w:w="0" w:type="dxa"/>
            </w:tcMar>
            <w:vAlign w:val="center"/>
          </w:tcPr>
          <w:p w14:paraId="055A70F1">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rPr>
            </w:pPr>
            <w:r>
              <w:rPr>
                <w:rFonts w:ascii="宋体" w:hAnsi="宋体" w:eastAsia="宋体" w:cs="宋体"/>
                <w:color w:val="auto"/>
                <w:sz w:val="21"/>
              </w:rPr>
              <w:t> </w:t>
            </w:r>
          </w:p>
        </w:tc>
      </w:tr>
      <w:tr w14:paraId="74194BE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gridAfter w:val="1"/>
          <w:wAfter w:w="653" w:type="dxa"/>
        </w:trPr>
        <w:tc>
          <w:tcPr>
            <w:tcW w:w="913" w:type="dxa"/>
            <w:tcBorders>
              <w:top w:val="nil"/>
              <w:left w:val="nil"/>
              <w:bottom w:val="nil"/>
              <w:right w:val="nil"/>
            </w:tcBorders>
            <w:noWrap w:val="0"/>
            <w:tcMar>
              <w:top w:w="0" w:type="dxa"/>
              <w:left w:w="0" w:type="dxa"/>
              <w:bottom w:w="0" w:type="dxa"/>
              <w:right w:w="0" w:type="dxa"/>
            </w:tcMar>
            <w:vAlign w:val="center"/>
          </w:tcPr>
          <w:p w14:paraId="2D7BD183">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rPr>
            </w:pPr>
            <w:r>
              <w:rPr>
                <w:rFonts w:ascii="宋体" w:hAnsi="宋体" w:eastAsia="宋体" w:cs="宋体"/>
                <w:color w:val="auto"/>
                <w:sz w:val="2"/>
              </w:rPr>
              <w:t> </w:t>
            </w:r>
          </w:p>
        </w:tc>
        <w:tc>
          <w:tcPr>
            <w:tcW w:w="2564" w:type="dxa"/>
            <w:tcBorders>
              <w:top w:val="nil"/>
              <w:left w:val="nil"/>
              <w:bottom w:val="nil"/>
              <w:right w:val="nil"/>
            </w:tcBorders>
            <w:noWrap w:val="0"/>
            <w:tcMar>
              <w:top w:w="0" w:type="dxa"/>
              <w:left w:w="0" w:type="dxa"/>
              <w:bottom w:w="0" w:type="dxa"/>
              <w:right w:w="0" w:type="dxa"/>
            </w:tcMar>
            <w:vAlign w:val="center"/>
          </w:tcPr>
          <w:p w14:paraId="21F06C56">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rPr>
            </w:pPr>
            <w:r>
              <w:rPr>
                <w:rFonts w:ascii="宋体" w:hAnsi="宋体" w:eastAsia="宋体" w:cs="宋体"/>
                <w:color w:val="auto"/>
                <w:sz w:val="2"/>
              </w:rPr>
              <w:t> </w:t>
            </w:r>
          </w:p>
        </w:tc>
        <w:tc>
          <w:tcPr>
            <w:tcW w:w="2411" w:type="dxa"/>
            <w:gridSpan w:val="2"/>
            <w:tcBorders>
              <w:top w:val="nil"/>
              <w:left w:val="nil"/>
              <w:bottom w:val="nil"/>
              <w:right w:val="nil"/>
            </w:tcBorders>
            <w:noWrap w:val="0"/>
            <w:tcMar>
              <w:top w:w="0" w:type="dxa"/>
              <w:left w:w="0" w:type="dxa"/>
              <w:bottom w:w="0" w:type="dxa"/>
              <w:right w:w="0" w:type="dxa"/>
            </w:tcMar>
            <w:vAlign w:val="center"/>
          </w:tcPr>
          <w:p w14:paraId="678E7CB3">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rPr>
            </w:pPr>
            <w:r>
              <w:rPr>
                <w:rFonts w:ascii="宋体" w:hAnsi="宋体" w:eastAsia="宋体" w:cs="宋体"/>
                <w:color w:val="auto"/>
                <w:sz w:val="2"/>
              </w:rPr>
              <w:t> </w:t>
            </w:r>
          </w:p>
        </w:tc>
        <w:tc>
          <w:tcPr>
            <w:tcW w:w="60" w:type="dxa"/>
            <w:tcBorders>
              <w:top w:val="nil"/>
              <w:left w:val="nil"/>
              <w:bottom w:val="nil"/>
              <w:right w:val="nil"/>
            </w:tcBorders>
            <w:noWrap w:val="0"/>
            <w:tcMar>
              <w:top w:w="0" w:type="dxa"/>
              <w:left w:w="0" w:type="dxa"/>
              <w:bottom w:w="0" w:type="dxa"/>
              <w:right w:w="0" w:type="dxa"/>
            </w:tcMar>
            <w:vAlign w:val="center"/>
          </w:tcPr>
          <w:p w14:paraId="0DAC6807">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rPr>
            </w:pPr>
            <w:r>
              <w:rPr>
                <w:rFonts w:ascii="宋体" w:hAnsi="宋体" w:eastAsia="宋体" w:cs="宋体"/>
                <w:color w:val="auto"/>
                <w:sz w:val="2"/>
              </w:rPr>
              <w:t> </w:t>
            </w:r>
          </w:p>
        </w:tc>
        <w:tc>
          <w:tcPr>
            <w:tcW w:w="1628" w:type="dxa"/>
            <w:tcBorders>
              <w:top w:val="nil"/>
              <w:left w:val="nil"/>
              <w:bottom w:val="nil"/>
              <w:right w:val="nil"/>
            </w:tcBorders>
            <w:noWrap w:val="0"/>
            <w:tcMar>
              <w:top w:w="0" w:type="dxa"/>
              <w:left w:w="0" w:type="dxa"/>
              <w:bottom w:w="0" w:type="dxa"/>
              <w:right w:w="0" w:type="dxa"/>
            </w:tcMar>
            <w:vAlign w:val="center"/>
          </w:tcPr>
          <w:p w14:paraId="39A7E5CE">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rPr>
            </w:pPr>
            <w:r>
              <w:rPr>
                <w:rFonts w:ascii="宋体" w:hAnsi="宋体" w:eastAsia="宋体" w:cs="宋体"/>
                <w:color w:val="auto"/>
                <w:sz w:val="2"/>
              </w:rPr>
              <w:t> </w:t>
            </w:r>
          </w:p>
        </w:tc>
        <w:tc>
          <w:tcPr>
            <w:tcW w:w="1125" w:type="dxa"/>
            <w:gridSpan w:val="2"/>
            <w:tcBorders>
              <w:top w:val="nil"/>
              <w:left w:val="nil"/>
              <w:bottom w:val="nil"/>
              <w:right w:val="nil"/>
            </w:tcBorders>
            <w:noWrap w:val="0"/>
            <w:tcMar>
              <w:top w:w="0" w:type="dxa"/>
              <w:left w:w="0" w:type="dxa"/>
              <w:bottom w:w="0" w:type="dxa"/>
              <w:right w:w="0" w:type="dxa"/>
            </w:tcMar>
            <w:vAlign w:val="center"/>
          </w:tcPr>
          <w:p w14:paraId="35145FBD">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rPr>
            </w:pPr>
            <w:r>
              <w:rPr>
                <w:rFonts w:ascii="宋体" w:hAnsi="宋体" w:eastAsia="宋体" w:cs="宋体"/>
                <w:color w:val="auto"/>
                <w:sz w:val="2"/>
              </w:rPr>
              <w:t> </w:t>
            </w:r>
          </w:p>
        </w:tc>
      </w:tr>
    </w:tbl>
    <w:p w14:paraId="49CCFBA8">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color w:val="auto"/>
        </w:rPr>
      </w:pPr>
      <w:r>
        <w:rPr>
          <w:rFonts w:ascii="宋体" w:hAnsi="宋体" w:eastAsia="宋体" w:cs="宋体"/>
          <w:color w:val="auto"/>
          <w:sz w:val="21"/>
        </w:rPr>
        <w:t>1、说明：如果行数不够，请自行增加。</w:t>
      </w:r>
    </w:p>
    <w:p w14:paraId="6C883EC5">
      <w:pPr>
        <w:pBdr>
          <w:top w:val="none" w:color="000000" w:sz="0" w:space="0"/>
          <w:left w:val="none" w:color="000000" w:sz="0" w:space="0"/>
          <w:bottom w:val="none" w:color="000000" w:sz="0" w:space="0"/>
          <w:right w:val="none" w:color="000000" w:sz="0" w:space="0"/>
        </w:pBdr>
        <w:spacing w:before="240" w:after="240" w:line="85" w:lineRule="atLeast"/>
        <w:ind w:left="0" w:right="0" w:firstLine="0"/>
        <w:rPr>
          <w:color w:val="auto"/>
        </w:rPr>
      </w:pPr>
      <w:r>
        <w:rPr>
          <w:rFonts w:ascii="Times New Roman" w:hAnsi="Times New Roman" w:eastAsia="Times New Roman" w:cs="Times New Roman"/>
          <w:color w:val="auto"/>
          <w:sz w:val="21"/>
        </w:rPr>
        <w:t>2</w:t>
      </w:r>
      <w:r>
        <w:rPr>
          <w:rFonts w:ascii="宋体" w:hAnsi="宋体" w:eastAsia="宋体" w:cs="宋体"/>
          <w:color w:val="auto"/>
          <w:sz w:val="21"/>
        </w:rPr>
        <w:t>、投标人应在上表中明确投标文件商务部分与招标文件要求的商务条款偏离情况，未在上表中说明的，如在投标文件其他内容中已有文字说明或相关证明材料的，则以已有文字说明或相关证明材料为准，但该表不作为供应商对所投项目关于商务条款等详细描述和说明的替代。</w:t>
      </w:r>
    </w:p>
    <w:p w14:paraId="50B7D81B">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 </w:t>
      </w:r>
    </w:p>
    <w:p w14:paraId="75A3EAFE">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hint="eastAsia" w:ascii="宋体" w:hAnsi="宋体" w:cs="宋体"/>
          <w:color w:val="auto"/>
          <w:sz w:val="21"/>
          <w:lang w:eastAsia="zh-CN"/>
        </w:rPr>
        <w:t>供应商名称</w:t>
      </w:r>
      <w:r>
        <w:rPr>
          <w:rFonts w:ascii="宋体" w:hAnsi="宋体" w:eastAsia="宋体" w:cs="宋体"/>
          <w:color w:val="auto"/>
          <w:sz w:val="21"/>
        </w:rPr>
        <w:t>（电子公章）：</w:t>
      </w:r>
    </w:p>
    <w:p w14:paraId="4BA5985F">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法定代表人（或授权代表）（签字）：</w:t>
      </w:r>
    </w:p>
    <w:p w14:paraId="40E30996">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日期：</w:t>
      </w:r>
    </w:p>
    <w:p w14:paraId="32F416A4">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color w:val="auto"/>
        </w:rPr>
      </w:pPr>
      <w:r>
        <w:rPr>
          <w:rFonts w:ascii="宋体" w:hAnsi="宋体" w:eastAsia="宋体" w:cs="宋体"/>
          <w:color w:val="auto"/>
          <w:sz w:val="21"/>
        </w:rPr>
        <w:t> </w:t>
      </w:r>
    </w:p>
    <w:p w14:paraId="6FD850FD">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rPr>
      </w:pPr>
      <w:r>
        <w:rPr>
          <w:color w:val="auto"/>
        </w:rPr>
        <w:br w:type="page" w:clear="all"/>
      </w:r>
    </w:p>
    <w:p w14:paraId="695946B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b/>
          <w:color w:val="auto"/>
          <w:sz w:val="24"/>
        </w:rPr>
        <w:t>附件七、投标人类似业绩情况表</w:t>
      </w:r>
    </w:p>
    <w:p w14:paraId="552398A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36"/>
        </w:rPr>
        <w:t>投标人近年来类似业绩情况表</w:t>
      </w:r>
    </w:p>
    <w:tbl>
      <w:tblPr>
        <w:tblStyle w:val="2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674"/>
        <w:gridCol w:w="1540"/>
        <w:gridCol w:w="1401"/>
        <w:gridCol w:w="980"/>
        <w:gridCol w:w="1021"/>
        <w:gridCol w:w="1499"/>
        <w:gridCol w:w="1120"/>
        <w:gridCol w:w="1120"/>
      </w:tblGrid>
      <w:tr w14:paraId="25E62F8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674" w:type="dxa"/>
            <w:tcBorders>
              <w:top w:val="single" w:color="000000" w:sz="8" w:space="0"/>
              <w:left w:val="single" w:color="000000" w:sz="8" w:space="0"/>
              <w:bottom w:val="single" w:color="000000" w:sz="8" w:space="0"/>
              <w:right w:val="single" w:color="000000" w:sz="8" w:space="0"/>
            </w:tcBorders>
            <w:noWrap w:val="0"/>
            <w:tcMar>
              <w:top w:w="0" w:type="dxa"/>
              <w:left w:w="0" w:type="dxa"/>
              <w:bottom w:w="0" w:type="dxa"/>
              <w:right w:w="0" w:type="dxa"/>
            </w:tcMar>
            <w:vAlign w:val="top"/>
          </w:tcPr>
          <w:p w14:paraId="2F7FEBF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序号</w:t>
            </w:r>
          </w:p>
        </w:tc>
        <w:tc>
          <w:tcPr>
            <w:tcW w:w="1540" w:type="dxa"/>
            <w:tcBorders>
              <w:top w:val="single" w:color="000000" w:sz="8" w:space="0"/>
              <w:left w:val="nil"/>
              <w:bottom w:val="single" w:color="000000" w:sz="8" w:space="0"/>
              <w:right w:val="single" w:color="000000" w:sz="8" w:space="0"/>
            </w:tcBorders>
            <w:noWrap w:val="0"/>
            <w:tcMar>
              <w:top w:w="0" w:type="dxa"/>
              <w:left w:w="0" w:type="dxa"/>
              <w:bottom w:w="0" w:type="dxa"/>
              <w:right w:w="0" w:type="dxa"/>
            </w:tcMar>
            <w:vAlign w:val="center"/>
          </w:tcPr>
          <w:p w14:paraId="04F2326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项目名称</w:t>
            </w:r>
          </w:p>
        </w:tc>
        <w:tc>
          <w:tcPr>
            <w:tcW w:w="1401" w:type="dxa"/>
            <w:tcBorders>
              <w:top w:val="single" w:color="000000" w:sz="8" w:space="0"/>
              <w:left w:val="nil"/>
              <w:bottom w:val="single" w:color="000000" w:sz="8" w:space="0"/>
              <w:right w:val="single" w:color="000000" w:sz="8" w:space="0"/>
            </w:tcBorders>
            <w:noWrap w:val="0"/>
            <w:tcMar>
              <w:top w:w="0" w:type="dxa"/>
              <w:left w:w="0" w:type="dxa"/>
              <w:bottom w:w="0" w:type="dxa"/>
              <w:right w:w="0" w:type="dxa"/>
            </w:tcMar>
            <w:vAlign w:val="center"/>
          </w:tcPr>
          <w:p w14:paraId="3F009D3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业主单位</w:t>
            </w:r>
          </w:p>
        </w:tc>
        <w:tc>
          <w:tcPr>
            <w:tcW w:w="980" w:type="dxa"/>
            <w:tcBorders>
              <w:top w:val="single" w:color="000000" w:sz="8" w:space="0"/>
              <w:left w:val="nil"/>
              <w:bottom w:val="single" w:color="000000" w:sz="8" w:space="0"/>
              <w:right w:val="single" w:color="000000" w:sz="8" w:space="0"/>
            </w:tcBorders>
            <w:noWrap w:val="0"/>
            <w:tcMar>
              <w:top w:w="0" w:type="dxa"/>
              <w:left w:w="0" w:type="dxa"/>
              <w:bottom w:w="0" w:type="dxa"/>
              <w:right w:w="0" w:type="dxa"/>
            </w:tcMar>
            <w:vAlign w:val="center"/>
          </w:tcPr>
          <w:p w14:paraId="38A3EAF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项目</w:t>
            </w:r>
          </w:p>
          <w:p w14:paraId="1E64C19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规模</w:t>
            </w:r>
          </w:p>
        </w:tc>
        <w:tc>
          <w:tcPr>
            <w:tcW w:w="1021" w:type="dxa"/>
            <w:tcBorders>
              <w:top w:val="single" w:color="000000" w:sz="8" w:space="0"/>
              <w:left w:val="nil"/>
              <w:bottom w:val="single" w:color="000000" w:sz="8" w:space="0"/>
              <w:right w:val="single" w:color="000000" w:sz="8" w:space="0"/>
            </w:tcBorders>
            <w:noWrap w:val="0"/>
            <w:tcMar>
              <w:top w:w="0" w:type="dxa"/>
              <w:left w:w="0" w:type="dxa"/>
              <w:bottom w:w="0" w:type="dxa"/>
              <w:right w:w="0" w:type="dxa"/>
            </w:tcMar>
            <w:vAlign w:val="center"/>
          </w:tcPr>
          <w:p w14:paraId="4A4A903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项目</w:t>
            </w:r>
          </w:p>
          <w:p w14:paraId="68833F4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内容</w:t>
            </w:r>
          </w:p>
        </w:tc>
        <w:tc>
          <w:tcPr>
            <w:tcW w:w="1499" w:type="dxa"/>
            <w:tcBorders>
              <w:top w:val="single" w:color="000000" w:sz="8" w:space="0"/>
              <w:left w:val="nil"/>
              <w:bottom w:val="single" w:color="000000" w:sz="8" w:space="0"/>
              <w:right w:val="single" w:color="000000" w:sz="8" w:space="0"/>
            </w:tcBorders>
            <w:noWrap w:val="0"/>
            <w:tcMar>
              <w:top w:w="0" w:type="dxa"/>
              <w:left w:w="0" w:type="dxa"/>
              <w:bottom w:w="0" w:type="dxa"/>
              <w:right w:w="0" w:type="dxa"/>
            </w:tcMar>
            <w:vAlign w:val="top"/>
          </w:tcPr>
          <w:p w14:paraId="0F10378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签约及服务</w:t>
            </w:r>
          </w:p>
          <w:p w14:paraId="339D7D7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时间</w:t>
            </w:r>
          </w:p>
        </w:tc>
        <w:tc>
          <w:tcPr>
            <w:tcW w:w="1120" w:type="dxa"/>
            <w:tcBorders>
              <w:top w:val="single" w:color="000000" w:sz="8" w:space="0"/>
              <w:left w:val="nil"/>
              <w:bottom w:val="single" w:color="000000" w:sz="8" w:space="0"/>
              <w:right w:val="single" w:color="000000" w:sz="8" w:space="0"/>
            </w:tcBorders>
            <w:noWrap w:val="0"/>
            <w:tcMar>
              <w:top w:w="0" w:type="dxa"/>
              <w:left w:w="0" w:type="dxa"/>
              <w:bottom w:w="0" w:type="dxa"/>
              <w:right w:w="0" w:type="dxa"/>
            </w:tcMar>
            <w:vAlign w:val="top"/>
          </w:tcPr>
          <w:p w14:paraId="144FC6A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联系人及电话</w:t>
            </w:r>
          </w:p>
        </w:tc>
        <w:tc>
          <w:tcPr>
            <w:tcW w:w="1120" w:type="dxa"/>
            <w:tcBorders>
              <w:top w:val="single" w:color="000000" w:sz="8" w:space="0"/>
              <w:left w:val="nil"/>
              <w:bottom w:val="single" w:color="000000" w:sz="8" w:space="0"/>
              <w:right w:val="single" w:color="000000" w:sz="8" w:space="0"/>
            </w:tcBorders>
            <w:noWrap w:val="0"/>
            <w:tcMar>
              <w:top w:w="0" w:type="dxa"/>
              <w:left w:w="0" w:type="dxa"/>
              <w:bottom w:w="0" w:type="dxa"/>
              <w:right w:w="0" w:type="dxa"/>
            </w:tcMar>
            <w:vAlign w:val="top"/>
          </w:tcPr>
          <w:p w14:paraId="293E2DA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备注</w:t>
            </w:r>
          </w:p>
        </w:tc>
      </w:tr>
      <w:tr w14:paraId="0C8CE6C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674"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top"/>
          </w:tcPr>
          <w:p w14:paraId="1A4266C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 </w:t>
            </w:r>
          </w:p>
        </w:tc>
        <w:tc>
          <w:tcPr>
            <w:tcW w:w="1540"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4C70117F">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 </w:t>
            </w:r>
          </w:p>
        </w:tc>
        <w:tc>
          <w:tcPr>
            <w:tcW w:w="1401"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6EDF6E59">
            <w:pPr>
              <w:pBdr>
                <w:top w:val="none" w:color="000000" w:sz="0" w:space="0"/>
                <w:left w:val="none" w:color="000000" w:sz="0" w:space="0"/>
                <w:bottom w:val="none" w:color="000000" w:sz="0" w:space="0"/>
                <w:right w:val="none" w:color="000000" w:sz="0" w:space="0"/>
              </w:pBdr>
              <w:spacing w:before="0" w:after="0" w:line="85" w:lineRule="atLeast"/>
              <w:ind w:left="0" w:right="0" w:firstLine="120"/>
              <w:jc w:val="both"/>
              <w:rPr>
                <w:color w:val="auto"/>
              </w:rPr>
            </w:pPr>
            <w:r>
              <w:rPr>
                <w:rFonts w:ascii="宋体" w:hAnsi="宋体" w:eastAsia="宋体" w:cs="宋体"/>
                <w:color w:val="auto"/>
                <w:sz w:val="21"/>
              </w:rPr>
              <w:t> </w:t>
            </w:r>
          </w:p>
        </w:tc>
        <w:tc>
          <w:tcPr>
            <w:tcW w:w="980"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3E08996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 </w:t>
            </w:r>
          </w:p>
        </w:tc>
        <w:tc>
          <w:tcPr>
            <w:tcW w:w="1021"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4FC9DF5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 </w:t>
            </w:r>
          </w:p>
        </w:tc>
        <w:tc>
          <w:tcPr>
            <w:tcW w:w="1499"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33DBCA7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 </w:t>
            </w:r>
          </w:p>
        </w:tc>
        <w:tc>
          <w:tcPr>
            <w:tcW w:w="1120"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34D5C40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 </w:t>
            </w:r>
          </w:p>
        </w:tc>
        <w:tc>
          <w:tcPr>
            <w:tcW w:w="1120"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39496C2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 </w:t>
            </w:r>
          </w:p>
        </w:tc>
      </w:tr>
      <w:tr w14:paraId="41B1686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674"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top"/>
          </w:tcPr>
          <w:p w14:paraId="6133CF9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 </w:t>
            </w:r>
          </w:p>
        </w:tc>
        <w:tc>
          <w:tcPr>
            <w:tcW w:w="1540"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7FD69F2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 </w:t>
            </w:r>
          </w:p>
        </w:tc>
        <w:tc>
          <w:tcPr>
            <w:tcW w:w="1401"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3F31596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 </w:t>
            </w:r>
          </w:p>
        </w:tc>
        <w:tc>
          <w:tcPr>
            <w:tcW w:w="980"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37327C9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 </w:t>
            </w:r>
          </w:p>
        </w:tc>
        <w:tc>
          <w:tcPr>
            <w:tcW w:w="1021"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3D4D4CD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 </w:t>
            </w:r>
          </w:p>
        </w:tc>
        <w:tc>
          <w:tcPr>
            <w:tcW w:w="1499"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6906B92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 </w:t>
            </w:r>
          </w:p>
        </w:tc>
        <w:tc>
          <w:tcPr>
            <w:tcW w:w="1120"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5B43060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 </w:t>
            </w:r>
          </w:p>
        </w:tc>
        <w:tc>
          <w:tcPr>
            <w:tcW w:w="1120"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616B2DB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 </w:t>
            </w:r>
          </w:p>
        </w:tc>
      </w:tr>
      <w:tr w14:paraId="78E26E5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674"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top"/>
          </w:tcPr>
          <w:p w14:paraId="062B9CC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 </w:t>
            </w:r>
          </w:p>
        </w:tc>
        <w:tc>
          <w:tcPr>
            <w:tcW w:w="1540"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5191B0D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 </w:t>
            </w:r>
          </w:p>
        </w:tc>
        <w:tc>
          <w:tcPr>
            <w:tcW w:w="1401"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0DF732B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 </w:t>
            </w:r>
          </w:p>
        </w:tc>
        <w:tc>
          <w:tcPr>
            <w:tcW w:w="980"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240A081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 </w:t>
            </w:r>
          </w:p>
        </w:tc>
        <w:tc>
          <w:tcPr>
            <w:tcW w:w="1021"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07FC34C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 </w:t>
            </w:r>
          </w:p>
        </w:tc>
        <w:tc>
          <w:tcPr>
            <w:tcW w:w="1499"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0C96BC5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 </w:t>
            </w:r>
          </w:p>
        </w:tc>
        <w:tc>
          <w:tcPr>
            <w:tcW w:w="1120"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761AF5D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 </w:t>
            </w:r>
          </w:p>
        </w:tc>
        <w:tc>
          <w:tcPr>
            <w:tcW w:w="1120" w:type="dxa"/>
            <w:tcBorders>
              <w:top w:val="nil"/>
              <w:left w:val="nil"/>
              <w:bottom w:val="single" w:color="000000" w:sz="8" w:space="0"/>
              <w:right w:val="single" w:color="000000" w:sz="8" w:space="0"/>
            </w:tcBorders>
            <w:noWrap w:val="0"/>
            <w:tcMar>
              <w:top w:w="0" w:type="dxa"/>
              <w:left w:w="0" w:type="dxa"/>
              <w:bottom w:w="0" w:type="dxa"/>
              <w:right w:w="0" w:type="dxa"/>
            </w:tcMar>
            <w:vAlign w:val="top"/>
          </w:tcPr>
          <w:p w14:paraId="6A0945D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 </w:t>
            </w:r>
          </w:p>
        </w:tc>
      </w:tr>
    </w:tbl>
    <w:p w14:paraId="7294E5FF">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hint="eastAsia" w:ascii="宋体" w:hAnsi="宋体" w:cs="宋体"/>
          <w:color w:val="auto"/>
          <w:sz w:val="21"/>
          <w:lang w:eastAsia="zh-CN"/>
        </w:rPr>
        <w:t>供应商名称</w:t>
      </w:r>
      <w:r>
        <w:rPr>
          <w:rFonts w:ascii="宋体" w:hAnsi="宋体" w:eastAsia="宋体" w:cs="宋体"/>
          <w:color w:val="auto"/>
          <w:sz w:val="21"/>
        </w:rPr>
        <w:t>（电子公章）：</w:t>
      </w:r>
    </w:p>
    <w:p w14:paraId="678A5A4F">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法定代表人（或授权代表）（签字）：</w:t>
      </w:r>
    </w:p>
    <w:p w14:paraId="64AC8994">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日期：</w:t>
      </w:r>
    </w:p>
    <w:p w14:paraId="4E088AF0">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说明：请投标人根据评标标准要求提供相关资料。</w:t>
      </w:r>
    </w:p>
    <w:p w14:paraId="6711EC2A">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rPr>
      </w:pPr>
      <w:r>
        <w:rPr>
          <w:color w:val="auto"/>
        </w:rPr>
        <w:br w:type="page" w:clear="all"/>
      </w:r>
    </w:p>
    <w:p w14:paraId="7A0B6E8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b/>
          <w:color w:val="auto"/>
          <w:sz w:val="21"/>
        </w:rPr>
        <w:t>附件八、拟参与本项目人员一览表</w:t>
      </w:r>
    </w:p>
    <w:p w14:paraId="34AC2BB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8"/>
        </w:rPr>
        <w:t>拟参与本项目人员一览表</w:t>
      </w:r>
    </w:p>
    <w:p w14:paraId="43E2A192">
      <w:pPr>
        <w:pBdr>
          <w:top w:val="none" w:color="000000" w:sz="0" w:space="0"/>
          <w:left w:val="none" w:color="000000" w:sz="0" w:space="0"/>
          <w:bottom w:val="none" w:color="000000" w:sz="0" w:space="0"/>
          <w:right w:val="none" w:color="000000" w:sz="0" w:space="0"/>
        </w:pBdr>
        <w:spacing w:before="100" w:after="100" w:line="85" w:lineRule="atLeast"/>
        <w:ind w:left="0" w:right="0" w:firstLine="211"/>
        <w:rPr>
          <w:color w:val="auto"/>
        </w:rPr>
      </w:pPr>
      <w:r>
        <w:rPr>
          <w:rFonts w:ascii="宋体" w:hAnsi="宋体" w:eastAsia="宋体" w:cs="宋体"/>
          <w:b/>
          <w:color w:val="auto"/>
          <w:sz w:val="21"/>
        </w:rPr>
        <w:t>项目名称：项目编号：</w:t>
      </w:r>
    </w:p>
    <w:tbl>
      <w:tblPr>
        <w:tblStyle w:val="2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673"/>
        <w:gridCol w:w="1129"/>
        <w:gridCol w:w="836"/>
        <w:gridCol w:w="894"/>
        <w:gridCol w:w="1429"/>
        <w:gridCol w:w="1174"/>
        <w:gridCol w:w="1071"/>
        <w:gridCol w:w="1271"/>
        <w:gridCol w:w="877"/>
      </w:tblGrid>
      <w:tr w14:paraId="01A534C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73" w:hRule="atLeast"/>
        </w:trPr>
        <w:tc>
          <w:tcPr>
            <w:tcW w:w="67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E4EFA8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b/>
                <w:color w:val="auto"/>
                <w:sz w:val="21"/>
              </w:rPr>
              <w:t>序号</w:t>
            </w:r>
          </w:p>
        </w:tc>
        <w:tc>
          <w:tcPr>
            <w:tcW w:w="1129"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1E5367C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b/>
                <w:color w:val="auto"/>
                <w:sz w:val="21"/>
              </w:rPr>
              <w:t>姓名</w:t>
            </w:r>
          </w:p>
        </w:tc>
        <w:tc>
          <w:tcPr>
            <w:tcW w:w="836"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4F2C0E3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b/>
                <w:color w:val="auto"/>
                <w:sz w:val="21"/>
              </w:rPr>
              <w:t>性别</w:t>
            </w:r>
          </w:p>
        </w:tc>
        <w:tc>
          <w:tcPr>
            <w:tcW w:w="894"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692141C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b/>
                <w:color w:val="auto"/>
                <w:sz w:val="21"/>
              </w:rPr>
              <w:t>年龄</w:t>
            </w:r>
          </w:p>
        </w:tc>
        <w:tc>
          <w:tcPr>
            <w:tcW w:w="1429"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0928685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b/>
                <w:color w:val="auto"/>
                <w:sz w:val="21"/>
              </w:rPr>
              <w:t>专业</w:t>
            </w:r>
          </w:p>
        </w:tc>
        <w:tc>
          <w:tcPr>
            <w:tcW w:w="1174"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33941D3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b/>
                <w:color w:val="auto"/>
                <w:sz w:val="21"/>
              </w:rPr>
              <w:t>学历</w:t>
            </w:r>
          </w:p>
        </w:tc>
        <w:tc>
          <w:tcPr>
            <w:tcW w:w="1071"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3B74ABE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b/>
                <w:color w:val="auto"/>
                <w:sz w:val="21"/>
              </w:rPr>
              <w:t>相关工作年限</w:t>
            </w:r>
          </w:p>
        </w:tc>
        <w:tc>
          <w:tcPr>
            <w:tcW w:w="1271"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7FA4420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b/>
                <w:color w:val="auto"/>
                <w:sz w:val="21"/>
              </w:rPr>
              <w:t>本项目中担任岗位</w:t>
            </w:r>
          </w:p>
        </w:tc>
        <w:tc>
          <w:tcPr>
            <w:tcW w:w="877"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top"/>
          </w:tcPr>
          <w:p w14:paraId="28280A8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b/>
                <w:color w:val="auto"/>
                <w:sz w:val="21"/>
              </w:rPr>
              <w:t>备注</w:t>
            </w:r>
          </w:p>
        </w:tc>
      </w:tr>
      <w:tr w14:paraId="18D4CFA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7" w:hRule="atLeast"/>
        </w:trPr>
        <w:tc>
          <w:tcPr>
            <w:tcW w:w="67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87A5E8A">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 </w:t>
            </w:r>
          </w:p>
        </w:tc>
        <w:tc>
          <w:tcPr>
            <w:tcW w:w="1129"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549CAC44">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 </w:t>
            </w:r>
          </w:p>
        </w:tc>
        <w:tc>
          <w:tcPr>
            <w:tcW w:w="836"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0727A1F1">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 </w:t>
            </w:r>
          </w:p>
        </w:tc>
        <w:tc>
          <w:tcPr>
            <w:tcW w:w="894"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2CF81CE1">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 </w:t>
            </w:r>
          </w:p>
        </w:tc>
        <w:tc>
          <w:tcPr>
            <w:tcW w:w="1429"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661A7952">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 </w:t>
            </w:r>
          </w:p>
        </w:tc>
        <w:tc>
          <w:tcPr>
            <w:tcW w:w="1174"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080DBB24">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 </w:t>
            </w:r>
          </w:p>
        </w:tc>
        <w:tc>
          <w:tcPr>
            <w:tcW w:w="1071"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715E753F">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 </w:t>
            </w:r>
          </w:p>
        </w:tc>
        <w:tc>
          <w:tcPr>
            <w:tcW w:w="1271"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3E4FA29D">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 </w:t>
            </w:r>
          </w:p>
        </w:tc>
        <w:tc>
          <w:tcPr>
            <w:tcW w:w="877"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2ABC9B0B">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 </w:t>
            </w:r>
          </w:p>
        </w:tc>
      </w:tr>
      <w:tr w14:paraId="390AE93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96" w:hRule="atLeast"/>
        </w:trPr>
        <w:tc>
          <w:tcPr>
            <w:tcW w:w="67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B5AA41B">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 </w:t>
            </w:r>
          </w:p>
        </w:tc>
        <w:tc>
          <w:tcPr>
            <w:tcW w:w="1129"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6E16C736">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 </w:t>
            </w:r>
          </w:p>
        </w:tc>
        <w:tc>
          <w:tcPr>
            <w:tcW w:w="836"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142A65AA">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 </w:t>
            </w:r>
          </w:p>
        </w:tc>
        <w:tc>
          <w:tcPr>
            <w:tcW w:w="894"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002B7528">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 </w:t>
            </w:r>
          </w:p>
        </w:tc>
        <w:tc>
          <w:tcPr>
            <w:tcW w:w="1429"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6341EA58">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 </w:t>
            </w:r>
          </w:p>
        </w:tc>
        <w:tc>
          <w:tcPr>
            <w:tcW w:w="1174"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707FC098">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 </w:t>
            </w:r>
          </w:p>
        </w:tc>
        <w:tc>
          <w:tcPr>
            <w:tcW w:w="1071"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335E07AE">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 </w:t>
            </w:r>
          </w:p>
        </w:tc>
        <w:tc>
          <w:tcPr>
            <w:tcW w:w="1271"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5DEA124E">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 </w:t>
            </w:r>
          </w:p>
        </w:tc>
        <w:tc>
          <w:tcPr>
            <w:tcW w:w="877"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21102F6E">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 </w:t>
            </w:r>
          </w:p>
        </w:tc>
      </w:tr>
      <w:tr w14:paraId="1A25A5D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7" w:hRule="atLeast"/>
        </w:trPr>
        <w:tc>
          <w:tcPr>
            <w:tcW w:w="67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0B8E042">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 </w:t>
            </w:r>
          </w:p>
        </w:tc>
        <w:tc>
          <w:tcPr>
            <w:tcW w:w="1129"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66B6E755">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 </w:t>
            </w:r>
          </w:p>
        </w:tc>
        <w:tc>
          <w:tcPr>
            <w:tcW w:w="836"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6BF1CBA2">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 </w:t>
            </w:r>
          </w:p>
        </w:tc>
        <w:tc>
          <w:tcPr>
            <w:tcW w:w="894"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35ED21E4">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 </w:t>
            </w:r>
          </w:p>
        </w:tc>
        <w:tc>
          <w:tcPr>
            <w:tcW w:w="1429"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1713210E">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 </w:t>
            </w:r>
          </w:p>
        </w:tc>
        <w:tc>
          <w:tcPr>
            <w:tcW w:w="1174"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250EC3C6">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 </w:t>
            </w:r>
          </w:p>
        </w:tc>
        <w:tc>
          <w:tcPr>
            <w:tcW w:w="1071"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168AE204">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 </w:t>
            </w:r>
          </w:p>
        </w:tc>
        <w:tc>
          <w:tcPr>
            <w:tcW w:w="1271"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6B5E9274">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 </w:t>
            </w:r>
          </w:p>
        </w:tc>
        <w:tc>
          <w:tcPr>
            <w:tcW w:w="877"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55C772C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 </w:t>
            </w:r>
          </w:p>
        </w:tc>
      </w:tr>
      <w:tr w14:paraId="193F7E2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7" w:hRule="atLeast"/>
        </w:trPr>
        <w:tc>
          <w:tcPr>
            <w:tcW w:w="67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208898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 </w:t>
            </w:r>
          </w:p>
        </w:tc>
        <w:tc>
          <w:tcPr>
            <w:tcW w:w="1129"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261E1A5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 </w:t>
            </w:r>
          </w:p>
        </w:tc>
        <w:tc>
          <w:tcPr>
            <w:tcW w:w="836"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6CD0BB6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 </w:t>
            </w:r>
          </w:p>
        </w:tc>
        <w:tc>
          <w:tcPr>
            <w:tcW w:w="894"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2128306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 </w:t>
            </w:r>
          </w:p>
        </w:tc>
        <w:tc>
          <w:tcPr>
            <w:tcW w:w="1429"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483E5B2B">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 </w:t>
            </w:r>
          </w:p>
        </w:tc>
        <w:tc>
          <w:tcPr>
            <w:tcW w:w="1174"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137D038B">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 </w:t>
            </w:r>
          </w:p>
        </w:tc>
        <w:tc>
          <w:tcPr>
            <w:tcW w:w="1071"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7E0A6698">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 </w:t>
            </w:r>
          </w:p>
        </w:tc>
        <w:tc>
          <w:tcPr>
            <w:tcW w:w="1271"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2F957F00">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 </w:t>
            </w:r>
          </w:p>
        </w:tc>
        <w:tc>
          <w:tcPr>
            <w:tcW w:w="877"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1AF5AE92">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 </w:t>
            </w:r>
          </w:p>
        </w:tc>
      </w:tr>
      <w:tr w14:paraId="4B7748E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7" w:hRule="atLeast"/>
        </w:trPr>
        <w:tc>
          <w:tcPr>
            <w:tcW w:w="67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66316F3">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 </w:t>
            </w:r>
          </w:p>
        </w:tc>
        <w:tc>
          <w:tcPr>
            <w:tcW w:w="1129"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32A1F8ED">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 </w:t>
            </w:r>
          </w:p>
        </w:tc>
        <w:tc>
          <w:tcPr>
            <w:tcW w:w="836"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7D4E4412">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 </w:t>
            </w:r>
          </w:p>
        </w:tc>
        <w:tc>
          <w:tcPr>
            <w:tcW w:w="894"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6618483F">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 </w:t>
            </w:r>
          </w:p>
        </w:tc>
        <w:tc>
          <w:tcPr>
            <w:tcW w:w="1429"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4E6E22F1">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 </w:t>
            </w:r>
          </w:p>
        </w:tc>
        <w:tc>
          <w:tcPr>
            <w:tcW w:w="1174"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4EB9718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 </w:t>
            </w:r>
          </w:p>
        </w:tc>
        <w:tc>
          <w:tcPr>
            <w:tcW w:w="1071"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6879ED4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 </w:t>
            </w:r>
          </w:p>
        </w:tc>
        <w:tc>
          <w:tcPr>
            <w:tcW w:w="1271"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4395EA78">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 </w:t>
            </w:r>
          </w:p>
        </w:tc>
        <w:tc>
          <w:tcPr>
            <w:tcW w:w="877"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72F1E3CD">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 </w:t>
            </w:r>
          </w:p>
        </w:tc>
      </w:tr>
      <w:tr w14:paraId="2E4C288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7" w:hRule="atLeast"/>
        </w:trPr>
        <w:tc>
          <w:tcPr>
            <w:tcW w:w="67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83F8703">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 </w:t>
            </w:r>
          </w:p>
        </w:tc>
        <w:tc>
          <w:tcPr>
            <w:tcW w:w="1129"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32448E55">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 </w:t>
            </w:r>
          </w:p>
        </w:tc>
        <w:tc>
          <w:tcPr>
            <w:tcW w:w="836"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09C9932F">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 </w:t>
            </w:r>
          </w:p>
        </w:tc>
        <w:tc>
          <w:tcPr>
            <w:tcW w:w="894"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223478BD">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 </w:t>
            </w:r>
          </w:p>
        </w:tc>
        <w:tc>
          <w:tcPr>
            <w:tcW w:w="1429"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76F94FE4">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 </w:t>
            </w:r>
          </w:p>
        </w:tc>
        <w:tc>
          <w:tcPr>
            <w:tcW w:w="1174"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4FA55982">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 </w:t>
            </w:r>
          </w:p>
        </w:tc>
        <w:tc>
          <w:tcPr>
            <w:tcW w:w="1071"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2521BC00">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 </w:t>
            </w:r>
          </w:p>
        </w:tc>
        <w:tc>
          <w:tcPr>
            <w:tcW w:w="1271"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6D63D7FD">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 </w:t>
            </w:r>
          </w:p>
        </w:tc>
        <w:tc>
          <w:tcPr>
            <w:tcW w:w="877"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62436EF5">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 </w:t>
            </w:r>
          </w:p>
        </w:tc>
      </w:tr>
      <w:tr w14:paraId="3C720B2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96" w:hRule="atLeast"/>
        </w:trPr>
        <w:tc>
          <w:tcPr>
            <w:tcW w:w="67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F5E1F82">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 </w:t>
            </w:r>
          </w:p>
        </w:tc>
        <w:tc>
          <w:tcPr>
            <w:tcW w:w="1129"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04FA5AD6">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 </w:t>
            </w:r>
          </w:p>
        </w:tc>
        <w:tc>
          <w:tcPr>
            <w:tcW w:w="836"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4EB17840">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 </w:t>
            </w:r>
          </w:p>
        </w:tc>
        <w:tc>
          <w:tcPr>
            <w:tcW w:w="894"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6A7533E8">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 </w:t>
            </w:r>
          </w:p>
        </w:tc>
        <w:tc>
          <w:tcPr>
            <w:tcW w:w="1429"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69EA5E4F">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 </w:t>
            </w:r>
          </w:p>
        </w:tc>
        <w:tc>
          <w:tcPr>
            <w:tcW w:w="1174"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3E953E4B">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 </w:t>
            </w:r>
          </w:p>
        </w:tc>
        <w:tc>
          <w:tcPr>
            <w:tcW w:w="1071"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0FCC8EEB">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 </w:t>
            </w:r>
          </w:p>
        </w:tc>
        <w:tc>
          <w:tcPr>
            <w:tcW w:w="1271"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3B9EC45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 </w:t>
            </w:r>
          </w:p>
        </w:tc>
        <w:tc>
          <w:tcPr>
            <w:tcW w:w="877"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1EBD74E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 </w:t>
            </w:r>
          </w:p>
        </w:tc>
      </w:tr>
      <w:tr w14:paraId="5319225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7" w:hRule="atLeast"/>
        </w:trPr>
        <w:tc>
          <w:tcPr>
            <w:tcW w:w="67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B0A6C1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 </w:t>
            </w:r>
          </w:p>
        </w:tc>
        <w:tc>
          <w:tcPr>
            <w:tcW w:w="1129"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43FFA052">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 </w:t>
            </w:r>
          </w:p>
        </w:tc>
        <w:tc>
          <w:tcPr>
            <w:tcW w:w="836"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72F190DF">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 </w:t>
            </w:r>
          </w:p>
        </w:tc>
        <w:tc>
          <w:tcPr>
            <w:tcW w:w="894"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44D83994">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 </w:t>
            </w:r>
          </w:p>
        </w:tc>
        <w:tc>
          <w:tcPr>
            <w:tcW w:w="1429"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6B668D53">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 </w:t>
            </w:r>
          </w:p>
        </w:tc>
        <w:tc>
          <w:tcPr>
            <w:tcW w:w="1174"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5558AFAE">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 </w:t>
            </w:r>
          </w:p>
        </w:tc>
        <w:tc>
          <w:tcPr>
            <w:tcW w:w="1071"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403434AB">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 </w:t>
            </w:r>
          </w:p>
        </w:tc>
        <w:tc>
          <w:tcPr>
            <w:tcW w:w="1271"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07C7E725">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 </w:t>
            </w:r>
          </w:p>
        </w:tc>
        <w:tc>
          <w:tcPr>
            <w:tcW w:w="877"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7FC8482D">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 </w:t>
            </w:r>
          </w:p>
        </w:tc>
      </w:tr>
    </w:tbl>
    <w:p w14:paraId="570133F9">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 </w:t>
      </w:r>
    </w:p>
    <w:p w14:paraId="38B57555">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hint="eastAsia" w:ascii="宋体" w:hAnsi="宋体" w:cs="宋体"/>
          <w:color w:val="auto"/>
          <w:sz w:val="21"/>
          <w:lang w:eastAsia="zh-CN"/>
        </w:rPr>
        <w:t>供应商名称</w:t>
      </w:r>
      <w:r>
        <w:rPr>
          <w:rFonts w:ascii="宋体" w:hAnsi="宋体" w:eastAsia="宋体" w:cs="宋体"/>
          <w:color w:val="auto"/>
          <w:sz w:val="21"/>
        </w:rPr>
        <w:t>（电子公章）：</w:t>
      </w:r>
    </w:p>
    <w:p w14:paraId="03512EB4">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法定代表人（或授权代表）（签字）：</w:t>
      </w:r>
    </w:p>
    <w:p w14:paraId="2269917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日期：</w:t>
      </w:r>
    </w:p>
    <w:p w14:paraId="3959EEE3">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 </w:t>
      </w:r>
    </w:p>
    <w:p w14:paraId="383ACF3F">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b/>
          <w:color w:val="auto"/>
          <w:sz w:val="28"/>
        </w:rPr>
        <w:t> </w:t>
      </w:r>
    </w:p>
    <w:p w14:paraId="10BA538A">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b/>
          <w:color w:val="auto"/>
          <w:sz w:val="21"/>
        </w:rPr>
        <w:t> </w:t>
      </w:r>
    </w:p>
    <w:p w14:paraId="61734E87">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rPr>
      </w:pPr>
      <w:r>
        <w:rPr>
          <w:color w:val="auto"/>
        </w:rPr>
        <w:br w:type="page" w:clear="all"/>
      </w:r>
    </w:p>
    <w:p w14:paraId="7200F59A">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color w:val="auto"/>
        </w:rPr>
      </w:pPr>
      <w:r>
        <w:rPr>
          <w:rFonts w:ascii="宋体" w:hAnsi="宋体" w:eastAsia="宋体" w:cs="宋体"/>
          <w:b/>
          <w:color w:val="auto"/>
          <w:sz w:val="21"/>
        </w:rPr>
        <w:t>附件九、资格证明文件</w:t>
      </w:r>
    </w:p>
    <w:p w14:paraId="667CE416">
      <w:pPr>
        <w:pBdr>
          <w:top w:val="none" w:color="000000" w:sz="0" w:space="0"/>
          <w:left w:val="none" w:color="000000" w:sz="0" w:space="0"/>
          <w:bottom w:val="none" w:color="000000" w:sz="0" w:space="0"/>
          <w:right w:val="none" w:color="000000" w:sz="0" w:space="0"/>
        </w:pBdr>
        <w:spacing w:before="0" w:after="0" w:line="85" w:lineRule="atLeast"/>
        <w:ind w:left="0" w:right="0" w:firstLine="480"/>
        <w:rPr>
          <w:color w:val="auto"/>
        </w:rPr>
      </w:pPr>
      <w:r>
        <w:rPr>
          <w:rFonts w:ascii="宋体" w:hAnsi="宋体" w:eastAsia="宋体" w:cs="宋体"/>
          <w:color w:val="auto"/>
          <w:sz w:val="24"/>
        </w:rPr>
        <w:t>（1）具有独立承担民事责任的能力（提供执业许可证，自然人的身份证明）；</w:t>
      </w:r>
    </w:p>
    <w:p w14:paraId="512A2721">
      <w:pPr>
        <w:pBdr>
          <w:top w:val="none" w:color="000000" w:sz="0" w:space="0"/>
          <w:left w:val="none" w:color="000000" w:sz="0" w:space="0"/>
          <w:bottom w:val="none" w:color="000000" w:sz="0" w:space="0"/>
          <w:right w:val="none" w:color="000000" w:sz="0" w:space="0"/>
        </w:pBdr>
        <w:spacing w:before="0" w:after="0" w:line="85" w:lineRule="atLeast"/>
        <w:ind w:left="0" w:right="0" w:firstLine="480"/>
        <w:rPr>
          <w:color w:val="auto"/>
        </w:rPr>
      </w:pPr>
      <w:r>
        <w:rPr>
          <w:rFonts w:ascii="宋体" w:hAnsi="宋体" w:eastAsia="宋体" w:cs="宋体"/>
          <w:color w:val="auto"/>
          <w:sz w:val="24"/>
        </w:rPr>
        <w:t>（2）具有良好的商业信誉和健全的财务会计制度；</w:t>
      </w:r>
    </w:p>
    <w:p w14:paraId="2B3A10BA">
      <w:pPr>
        <w:pBdr>
          <w:top w:val="none" w:color="000000" w:sz="0" w:space="0"/>
          <w:left w:val="none" w:color="000000" w:sz="0" w:space="0"/>
          <w:bottom w:val="none" w:color="000000" w:sz="0" w:space="0"/>
          <w:right w:val="none" w:color="000000" w:sz="0" w:space="0"/>
        </w:pBdr>
        <w:spacing w:before="0" w:after="0" w:line="85" w:lineRule="atLeast"/>
        <w:ind w:left="0" w:right="0" w:firstLine="480"/>
        <w:rPr>
          <w:color w:val="auto"/>
        </w:rPr>
      </w:pPr>
      <w:r>
        <w:rPr>
          <w:rFonts w:ascii="宋体" w:hAnsi="宋体" w:eastAsia="宋体" w:cs="宋体"/>
          <w:color w:val="auto"/>
          <w:sz w:val="24"/>
        </w:rPr>
        <w:t>（3）具有履行合同所必需的设备和专业技术能力（根据项目需求提供履行合同所必需的设备和专业技术能力的证明材料）；</w:t>
      </w:r>
    </w:p>
    <w:p w14:paraId="75E2761A">
      <w:pPr>
        <w:pBdr>
          <w:top w:val="none" w:color="000000" w:sz="0" w:space="0"/>
          <w:left w:val="none" w:color="000000" w:sz="0" w:space="0"/>
          <w:bottom w:val="none" w:color="000000" w:sz="0" w:space="0"/>
          <w:right w:val="none" w:color="000000" w:sz="0" w:space="0"/>
        </w:pBdr>
        <w:spacing w:before="0" w:after="0" w:line="85" w:lineRule="atLeast"/>
        <w:ind w:left="0" w:right="0" w:firstLine="480"/>
        <w:rPr>
          <w:color w:val="auto"/>
        </w:rPr>
      </w:pPr>
      <w:r>
        <w:rPr>
          <w:rFonts w:ascii="宋体" w:hAnsi="宋体" w:eastAsia="宋体" w:cs="宋体"/>
          <w:color w:val="auto"/>
          <w:sz w:val="24"/>
        </w:rPr>
        <w:t>（4）有依法缴纳税收和社会保障资金的良好记录；</w:t>
      </w:r>
    </w:p>
    <w:p w14:paraId="2F6DCE64">
      <w:pPr>
        <w:pBdr>
          <w:top w:val="none" w:color="000000" w:sz="0" w:space="0"/>
          <w:left w:val="none" w:color="000000" w:sz="0" w:space="0"/>
          <w:bottom w:val="none" w:color="000000" w:sz="0" w:space="0"/>
          <w:right w:val="none" w:color="000000" w:sz="0" w:space="0"/>
        </w:pBdr>
        <w:spacing w:before="0" w:after="0" w:line="85" w:lineRule="atLeast"/>
        <w:ind w:left="0" w:right="0" w:firstLine="480"/>
        <w:rPr>
          <w:color w:val="auto"/>
        </w:rPr>
      </w:pPr>
      <w:r>
        <w:rPr>
          <w:rFonts w:ascii="宋体" w:hAnsi="宋体" w:eastAsia="宋体" w:cs="宋体"/>
          <w:color w:val="auto"/>
          <w:sz w:val="24"/>
        </w:rPr>
        <w:t>（5）参加政府采购活动前三年内，在经营活动中没有重大违法记录（提供参加本次政府采购活动前3年内在经营活动中没有重大违法记录的书面声明）（格式见后附件）；</w:t>
      </w:r>
    </w:p>
    <w:p w14:paraId="62BD1AD8">
      <w:pPr>
        <w:pBdr>
          <w:top w:val="none" w:color="000000" w:sz="0" w:space="0"/>
          <w:left w:val="none" w:color="000000" w:sz="0" w:space="0"/>
          <w:bottom w:val="none" w:color="000000" w:sz="0" w:space="0"/>
          <w:right w:val="none" w:color="000000" w:sz="0" w:space="0"/>
        </w:pBdr>
        <w:spacing w:before="0" w:after="0" w:line="85" w:lineRule="atLeast"/>
        <w:ind w:left="0" w:right="0" w:firstLine="480"/>
        <w:rPr>
          <w:color w:val="auto"/>
        </w:rPr>
      </w:pPr>
      <w:r>
        <w:rPr>
          <w:rFonts w:ascii="宋体" w:hAnsi="宋体" w:eastAsia="宋体" w:cs="宋体"/>
          <w:color w:val="auto"/>
          <w:sz w:val="24"/>
        </w:rPr>
        <w:t>（6）法律、行政法规规定的其他条件。</w:t>
      </w:r>
    </w:p>
    <w:p w14:paraId="6D226C82">
      <w:pPr>
        <w:pBdr>
          <w:top w:val="none" w:color="000000" w:sz="0" w:space="0"/>
          <w:left w:val="none" w:color="000000" w:sz="0" w:space="0"/>
          <w:bottom w:val="none" w:color="000000" w:sz="0" w:space="0"/>
          <w:right w:val="none" w:color="000000" w:sz="0" w:space="0"/>
        </w:pBdr>
        <w:spacing w:before="0" w:after="0" w:line="85" w:lineRule="atLeast"/>
        <w:ind w:left="0" w:right="0" w:firstLine="480"/>
        <w:rPr>
          <w:color w:val="auto"/>
        </w:rPr>
      </w:pPr>
      <w:r>
        <w:rPr>
          <w:color w:val="auto"/>
        </w:rPr>
        <w:br w:type="page" w:clear="all"/>
      </w:r>
    </w:p>
    <w:p w14:paraId="130A5B25">
      <w:pPr>
        <w:pBdr>
          <w:top w:val="none" w:color="000000" w:sz="0" w:space="0"/>
          <w:left w:val="none" w:color="000000" w:sz="0" w:space="0"/>
          <w:bottom w:val="none" w:color="000000" w:sz="0" w:space="0"/>
          <w:right w:val="none" w:color="000000" w:sz="0" w:space="0"/>
        </w:pBdr>
        <w:spacing w:before="0" w:after="0" w:line="85" w:lineRule="atLeast"/>
        <w:ind w:left="0" w:right="0" w:firstLine="480"/>
        <w:rPr>
          <w:color w:val="auto"/>
        </w:rPr>
      </w:pPr>
      <w:r>
        <w:rPr>
          <w:rFonts w:ascii="宋体" w:hAnsi="宋体" w:eastAsia="宋体" w:cs="宋体"/>
          <w:color w:val="auto"/>
          <w:sz w:val="24"/>
        </w:rPr>
        <w:t>附件1：具有独立承担民事责任的能力（提供执业许可证，自然人的身份证明）；</w:t>
      </w:r>
    </w:p>
    <w:p w14:paraId="427F3DF5">
      <w:pPr>
        <w:pBdr>
          <w:top w:val="none" w:color="000000" w:sz="0" w:space="0"/>
          <w:left w:val="none" w:color="000000" w:sz="0" w:space="0"/>
          <w:bottom w:val="none" w:color="000000" w:sz="0" w:space="0"/>
          <w:right w:val="none" w:color="000000" w:sz="0" w:space="0"/>
        </w:pBdr>
        <w:spacing w:before="0" w:after="0" w:line="85" w:lineRule="atLeast"/>
        <w:ind w:left="0" w:right="0" w:firstLine="480"/>
        <w:rPr>
          <w:color w:val="auto"/>
        </w:rPr>
      </w:pPr>
      <w:r>
        <w:rPr>
          <w:color w:val="auto"/>
        </w:rPr>
        <w:br w:type="page" w:clear="all"/>
      </w:r>
    </w:p>
    <w:p w14:paraId="1FD9D257">
      <w:pPr>
        <w:pBdr>
          <w:top w:val="none" w:color="000000" w:sz="0" w:space="0"/>
          <w:left w:val="none" w:color="000000" w:sz="0" w:space="0"/>
          <w:bottom w:val="none" w:color="000000" w:sz="0" w:space="0"/>
          <w:right w:val="none" w:color="000000" w:sz="0" w:space="0"/>
        </w:pBdr>
        <w:spacing w:before="0" w:after="0" w:line="85" w:lineRule="atLeast"/>
        <w:ind w:left="0" w:right="0" w:firstLine="480"/>
        <w:rPr>
          <w:color w:val="auto"/>
        </w:rPr>
      </w:pPr>
      <w:r>
        <w:rPr>
          <w:rFonts w:ascii="宋体" w:hAnsi="宋体" w:eastAsia="宋体" w:cs="宋体"/>
          <w:color w:val="auto"/>
          <w:sz w:val="24"/>
        </w:rPr>
        <w:t>附件2：具有良好的商业信誉和健全的财务会计制度；</w:t>
      </w:r>
    </w:p>
    <w:p w14:paraId="537AD5AC">
      <w:pPr>
        <w:pBdr>
          <w:top w:val="none" w:color="000000" w:sz="0" w:space="0"/>
          <w:left w:val="none" w:color="000000" w:sz="0" w:space="0"/>
          <w:bottom w:val="none" w:color="000000" w:sz="0" w:space="0"/>
          <w:right w:val="none" w:color="000000" w:sz="0" w:space="0"/>
        </w:pBdr>
        <w:spacing w:before="0" w:after="0" w:line="85" w:lineRule="atLeast"/>
        <w:ind w:left="0" w:right="0" w:firstLine="480"/>
        <w:rPr>
          <w:color w:val="auto"/>
        </w:rPr>
      </w:pPr>
      <w:r>
        <w:rPr>
          <w:rFonts w:ascii="宋体" w:hAnsi="宋体" w:eastAsia="宋体" w:cs="宋体"/>
          <w:color w:val="auto"/>
          <w:sz w:val="24"/>
        </w:rPr>
        <w:t> </w:t>
      </w:r>
    </w:p>
    <w:p w14:paraId="6C71F286">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color w:val="auto"/>
        </w:rPr>
      </w:pPr>
      <w:r>
        <w:rPr>
          <w:color w:val="auto"/>
        </w:rPr>
        <w:br w:type="page" w:clear="all"/>
      </w:r>
    </w:p>
    <w:p w14:paraId="61DF84F9">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rPr>
          <w:color w:val="auto"/>
        </w:rPr>
      </w:pPr>
      <w:r>
        <w:rPr>
          <w:rFonts w:ascii="宋体" w:hAnsi="宋体" w:eastAsia="宋体" w:cs="宋体"/>
          <w:color w:val="auto"/>
          <w:sz w:val="24"/>
        </w:rPr>
        <w:t>附件3：具有履行合同所必需的设备和专业技术能力（根据项目需求提供履行合同所必需的设备和专业技术能力的证明材料）；</w:t>
      </w:r>
    </w:p>
    <w:p w14:paraId="177AD4A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32"/>
        </w:rPr>
        <w:t>具备履行合同所必需的设备和专业技术能力的声明格式</w:t>
      </w:r>
    </w:p>
    <w:p w14:paraId="0F83BB2E">
      <w:pPr>
        <w:pBdr>
          <w:top w:val="none" w:color="000000" w:sz="0" w:space="0"/>
          <w:left w:val="none" w:color="000000" w:sz="0" w:space="0"/>
          <w:bottom w:val="none" w:color="000000" w:sz="0" w:space="0"/>
          <w:right w:val="none" w:color="000000" w:sz="0" w:space="0"/>
        </w:pBdr>
        <w:spacing w:before="0" w:after="0" w:line="85" w:lineRule="atLeast"/>
        <w:ind w:left="0" w:right="0" w:firstLine="492"/>
        <w:jc w:val="both"/>
        <w:rPr>
          <w:color w:val="auto"/>
        </w:rPr>
      </w:pPr>
      <w:r>
        <w:rPr>
          <w:rFonts w:ascii="宋体" w:hAnsi="宋体" w:eastAsia="宋体" w:cs="宋体"/>
          <w:color w:val="auto"/>
          <w:sz w:val="21"/>
        </w:rPr>
        <w:t>我单位（供应商名称）郑重声明：我公司具备履行本项采购合同所必需的设备和专业技术能力，为履行本项采购合同我单位具备如下主要设备和主要专业技术能力：</w:t>
      </w:r>
    </w:p>
    <w:p w14:paraId="1CC1FB44">
      <w:pPr>
        <w:pBdr>
          <w:top w:val="none" w:color="000000" w:sz="0" w:space="0"/>
          <w:left w:val="none" w:color="000000" w:sz="0" w:space="0"/>
          <w:bottom w:val="none" w:color="000000" w:sz="0" w:space="0"/>
          <w:right w:val="none" w:color="000000" w:sz="0" w:space="0"/>
        </w:pBdr>
        <w:spacing w:before="0" w:after="0" w:line="85" w:lineRule="atLeast"/>
        <w:ind w:left="0" w:right="0" w:firstLine="492"/>
        <w:jc w:val="both"/>
        <w:rPr>
          <w:color w:val="auto"/>
        </w:rPr>
      </w:pPr>
      <w:r>
        <w:rPr>
          <w:rFonts w:ascii="宋体" w:hAnsi="宋体" w:eastAsia="宋体" w:cs="宋体"/>
          <w:color w:val="auto"/>
          <w:sz w:val="21"/>
        </w:rPr>
        <w:t>主要设备有：。( 若有 )</w:t>
      </w:r>
    </w:p>
    <w:p w14:paraId="49B17D71">
      <w:pPr>
        <w:pBdr>
          <w:top w:val="none" w:color="000000" w:sz="0" w:space="0"/>
          <w:left w:val="none" w:color="000000" w:sz="0" w:space="0"/>
          <w:bottom w:val="none" w:color="000000" w:sz="0" w:space="0"/>
          <w:right w:val="none" w:color="000000" w:sz="0" w:space="0"/>
        </w:pBdr>
        <w:spacing w:before="0" w:after="0" w:line="85" w:lineRule="atLeast"/>
        <w:ind w:left="0" w:right="0" w:firstLine="492"/>
        <w:jc w:val="both"/>
        <w:rPr>
          <w:color w:val="auto"/>
        </w:rPr>
      </w:pPr>
      <w:r>
        <w:rPr>
          <w:rFonts w:ascii="宋体" w:hAnsi="宋体" w:eastAsia="宋体" w:cs="宋体"/>
          <w:color w:val="auto"/>
          <w:sz w:val="21"/>
        </w:rPr>
        <w:t>主要专业技术能力有：。( 若有 )</w:t>
      </w:r>
    </w:p>
    <w:p w14:paraId="47040E0D">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 </w:t>
      </w:r>
    </w:p>
    <w:p w14:paraId="6E71C4C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 </w:t>
      </w:r>
    </w:p>
    <w:p w14:paraId="3FB2CC4D">
      <w:pPr>
        <w:pBdr>
          <w:top w:val="none" w:color="000000" w:sz="0" w:space="0"/>
          <w:left w:val="none" w:color="000000" w:sz="0" w:space="0"/>
          <w:bottom w:val="none" w:color="000000" w:sz="0" w:space="0"/>
          <w:right w:val="none" w:color="000000" w:sz="0" w:space="0"/>
        </w:pBdr>
        <w:spacing w:before="0" w:after="0" w:line="85" w:lineRule="atLeast"/>
        <w:ind w:left="0" w:right="0" w:firstLine="0"/>
        <w:jc w:val="right"/>
        <w:rPr>
          <w:color w:val="auto"/>
        </w:rPr>
      </w:pPr>
      <w:r>
        <w:rPr>
          <w:rFonts w:ascii="宋体" w:hAnsi="宋体" w:eastAsia="宋体" w:cs="宋体"/>
          <w:color w:val="auto"/>
          <w:sz w:val="21"/>
        </w:rPr>
        <w:t>                                         </w:t>
      </w:r>
      <w:r>
        <w:rPr>
          <w:rFonts w:hint="eastAsia" w:ascii="宋体" w:hAnsi="宋体" w:cs="宋体"/>
          <w:color w:val="auto"/>
          <w:sz w:val="21"/>
          <w:lang w:eastAsia="zh-CN"/>
        </w:rPr>
        <w:t>供应商名称</w:t>
      </w:r>
      <w:r>
        <w:rPr>
          <w:rFonts w:ascii="宋体" w:hAnsi="宋体" w:eastAsia="宋体" w:cs="宋体"/>
          <w:color w:val="auto"/>
          <w:sz w:val="21"/>
        </w:rPr>
        <w:t>：（电子公章）</w:t>
      </w:r>
    </w:p>
    <w:p w14:paraId="7A35C34A">
      <w:pPr>
        <w:pBdr>
          <w:top w:val="none" w:color="000000" w:sz="0" w:space="0"/>
          <w:left w:val="none" w:color="000000" w:sz="0" w:space="0"/>
          <w:bottom w:val="none" w:color="000000" w:sz="0" w:space="0"/>
          <w:right w:val="none" w:color="000000" w:sz="0" w:space="0"/>
        </w:pBdr>
        <w:spacing w:before="0" w:after="0" w:line="85" w:lineRule="atLeast"/>
        <w:ind w:left="0" w:right="0" w:firstLine="0"/>
        <w:jc w:val="right"/>
        <w:rPr>
          <w:color w:val="auto"/>
        </w:rPr>
      </w:pPr>
      <w:r>
        <w:rPr>
          <w:rFonts w:ascii="宋体" w:hAnsi="宋体" w:eastAsia="宋体" w:cs="宋体"/>
          <w:color w:val="auto"/>
          <w:sz w:val="21"/>
        </w:rPr>
        <w:t>日期：______年    月    日</w:t>
      </w:r>
    </w:p>
    <w:p w14:paraId="523E2B25">
      <w:pPr>
        <w:pBdr>
          <w:top w:val="none" w:color="000000" w:sz="0" w:space="0"/>
          <w:left w:val="none" w:color="000000" w:sz="0" w:space="0"/>
          <w:bottom w:val="none" w:color="000000" w:sz="0" w:space="0"/>
          <w:right w:val="none" w:color="000000" w:sz="0" w:space="0"/>
        </w:pBdr>
        <w:spacing w:before="0" w:after="0" w:line="85" w:lineRule="atLeast"/>
        <w:ind w:left="0" w:right="0" w:firstLine="420"/>
        <w:rPr>
          <w:color w:val="auto"/>
        </w:rPr>
      </w:pPr>
      <w:r>
        <w:rPr>
          <w:color w:val="auto"/>
        </w:rPr>
        <w:br w:type="page" w:clear="all"/>
      </w:r>
    </w:p>
    <w:p w14:paraId="2D2A3B13">
      <w:pPr>
        <w:pBdr>
          <w:top w:val="none" w:color="000000" w:sz="0" w:space="0"/>
          <w:left w:val="none" w:color="000000" w:sz="0" w:space="0"/>
          <w:bottom w:val="none" w:color="000000" w:sz="0" w:space="0"/>
          <w:right w:val="none" w:color="000000" w:sz="0" w:space="0"/>
        </w:pBdr>
        <w:spacing w:before="0" w:after="0" w:line="85" w:lineRule="atLeast"/>
        <w:ind w:left="0" w:right="0" w:firstLine="420"/>
        <w:rPr>
          <w:color w:val="auto"/>
        </w:rPr>
      </w:pPr>
      <w:r>
        <w:rPr>
          <w:rFonts w:ascii="宋体" w:hAnsi="宋体" w:eastAsia="宋体" w:cs="宋体"/>
          <w:color w:val="auto"/>
          <w:sz w:val="21"/>
        </w:rPr>
        <w:t>附件4：</w:t>
      </w:r>
      <w:r>
        <w:rPr>
          <w:rFonts w:ascii="宋体" w:hAnsi="宋体" w:eastAsia="宋体" w:cs="宋体"/>
          <w:color w:val="auto"/>
          <w:sz w:val="24"/>
        </w:rPr>
        <w:t>有依法缴纳税收和社会保障资金的良好记录；</w:t>
      </w:r>
    </w:p>
    <w:p w14:paraId="5DDDE21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4"/>
        </w:rPr>
        <w:t> </w:t>
      </w:r>
    </w:p>
    <w:p w14:paraId="027654C9">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color w:val="auto"/>
        </w:rPr>
        <w:br w:type="page" w:clear="all"/>
      </w:r>
    </w:p>
    <w:p w14:paraId="0E66F272">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4"/>
        </w:rPr>
        <w:t>附件5：参加政府采购活动前三年内，在经营活动中没有重大违法记录（提供参加本次政府采购活动前3年内在经营活动中没有重大违法记录的书面声明）</w:t>
      </w:r>
    </w:p>
    <w:p w14:paraId="6E6D8008">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b/>
          <w:color w:val="auto"/>
          <w:sz w:val="24"/>
        </w:rPr>
        <w:t> </w:t>
      </w:r>
    </w:p>
    <w:p w14:paraId="72D48B8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8"/>
        </w:rPr>
        <w:t> </w:t>
      </w:r>
    </w:p>
    <w:p w14:paraId="5704A52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36"/>
        </w:rPr>
        <w:t>无重大违法记录声明</w:t>
      </w:r>
    </w:p>
    <w:p w14:paraId="59BA874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 </w:t>
      </w:r>
    </w:p>
    <w:p w14:paraId="5016A9B4">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hint="eastAsia" w:ascii="宋体" w:hAnsi="宋体" w:cs="宋体"/>
          <w:color w:val="auto"/>
          <w:sz w:val="21"/>
          <w:lang w:eastAsia="zh-CN"/>
        </w:rPr>
        <w:t>南京市栖霞区水务局</w:t>
      </w:r>
      <w:r>
        <w:rPr>
          <w:rFonts w:ascii="宋体" w:hAnsi="宋体" w:eastAsia="宋体" w:cs="宋体"/>
          <w:color w:val="auto"/>
          <w:sz w:val="21"/>
        </w:rPr>
        <w:t>：</w:t>
      </w:r>
    </w:p>
    <w:p w14:paraId="24BB6B24">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 </w:t>
      </w:r>
    </w:p>
    <w:p w14:paraId="7A2AB2DD">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rPr>
          <w:color w:val="auto"/>
        </w:rPr>
      </w:pPr>
      <w:r>
        <w:rPr>
          <w:rFonts w:ascii="宋体" w:hAnsi="宋体" w:eastAsia="宋体" w:cs="宋体"/>
          <w:color w:val="auto"/>
          <w:sz w:val="21"/>
        </w:rPr>
        <w:t>我单位（供应商名称）郑重声明：</w:t>
      </w:r>
    </w:p>
    <w:p w14:paraId="0837619B">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rPr>
          <w:color w:val="auto"/>
        </w:rPr>
      </w:pPr>
      <w:r>
        <w:rPr>
          <w:rFonts w:ascii="宋体" w:hAnsi="宋体" w:eastAsia="宋体" w:cs="宋体"/>
          <w:color w:val="auto"/>
          <w:sz w:val="21"/>
        </w:rPr>
        <w:t>参加政府采购活动前3年内在经营活动中（在下划线上如实填写：有或没有）重大违法记录。</w:t>
      </w:r>
    </w:p>
    <w:p w14:paraId="58A7E63B">
      <w:pPr>
        <w:pBdr>
          <w:top w:val="none" w:color="000000" w:sz="0" w:space="0"/>
          <w:left w:val="none" w:color="000000" w:sz="0" w:space="0"/>
          <w:bottom w:val="none" w:color="000000" w:sz="0" w:space="0"/>
          <w:right w:val="none" w:color="000000" w:sz="0" w:space="0"/>
        </w:pBdr>
        <w:spacing w:before="0" w:after="0" w:line="85" w:lineRule="atLeast"/>
        <w:ind w:left="0" w:right="0" w:firstLine="315"/>
        <w:jc w:val="both"/>
        <w:rPr>
          <w:color w:val="auto"/>
        </w:rPr>
      </w:pPr>
      <w:r>
        <w:rPr>
          <w:rFonts w:ascii="宋体" w:hAnsi="宋体" w:eastAsia="宋体" w:cs="宋体"/>
          <w:color w:val="auto"/>
          <w:sz w:val="21"/>
        </w:rPr>
        <w:t>（说明：政府采购法第二十二条第一款第五项所称重大违法记录，是指供应商因违法经营受到刑事处罚或者责令停产停业、吊销许可证或者执照、较大数额罚款等行政处罚。）</w:t>
      </w:r>
    </w:p>
    <w:p w14:paraId="44706C89">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 </w:t>
      </w:r>
    </w:p>
    <w:p w14:paraId="16F11C73">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 </w:t>
      </w:r>
    </w:p>
    <w:p w14:paraId="78956745">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1260" w:firstLine="0"/>
        <w:jc w:val="center"/>
        <w:rPr>
          <w:color w:val="auto"/>
        </w:rPr>
      </w:pPr>
      <w:r>
        <w:rPr>
          <w:rFonts w:ascii="宋体" w:hAnsi="宋体" w:eastAsia="宋体" w:cs="宋体"/>
          <w:color w:val="auto"/>
          <w:sz w:val="21"/>
        </w:rPr>
        <w:t>                                </w:t>
      </w:r>
      <w:r>
        <w:rPr>
          <w:rFonts w:hint="eastAsia" w:ascii="宋体" w:hAnsi="宋体" w:cs="宋体"/>
          <w:color w:val="auto"/>
          <w:sz w:val="21"/>
          <w:lang w:eastAsia="zh-CN"/>
        </w:rPr>
        <w:t>供应商名称</w:t>
      </w:r>
      <w:r>
        <w:rPr>
          <w:rFonts w:ascii="宋体" w:hAnsi="宋体" w:eastAsia="宋体" w:cs="宋体"/>
          <w:color w:val="auto"/>
          <w:sz w:val="21"/>
        </w:rPr>
        <w:t>：（电子公章）</w:t>
      </w:r>
    </w:p>
    <w:p w14:paraId="36E5B500">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5250"/>
        <w:jc w:val="both"/>
        <w:rPr>
          <w:color w:val="auto"/>
        </w:rPr>
      </w:pPr>
      <w:r>
        <w:rPr>
          <w:rFonts w:ascii="宋体" w:hAnsi="宋体" w:eastAsia="宋体" w:cs="宋体"/>
          <w:color w:val="auto"/>
          <w:sz w:val="21"/>
        </w:rPr>
        <w:t>日期：</w:t>
      </w:r>
    </w:p>
    <w:p w14:paraId="58049454">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633" w:firstLine="0"/>
        <w:jc w:val="both"/>
        <w:rPr>
          <w:color w:val="auto"/>
        </w:rPr>
      </w:pPr>
      <w:r>
        <w:rPr>
          <w:color w:val="auto"/>
        </w:rPr>
        <w:br w:type="page" w:clear="all"/>
      </w:r>
    </w:p>
    <w:p w14:paraId="60739AEB">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633" w:firstLine="0"/>
        <w:jc w:val="both"/>
        <w:rPr>
          <w:color w:val="auto"/>
        </w:rPr>
      </w:pPr>
      <w:r>
        <w:rPr>
          <w:rFonts w:ascii="宋体" w:hAnsi="宋体" w:eastAsia="宋体" w:cs="宋体"/>
          <w:color w:val="auto"/>
          <w:sz w:val="24"/>
        </w:rPr>
        <w:t>附件6：法律、行政法规规定的其他条件。</w:t>
      </w:r>
    </w:p>
    <w:p w14:paraId="6BA2EB17">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20"/>
        <w:rPr>
          <w:color w:val="auto"/>
        </w:rPr>
      </w:pPr>
      <w:r>
        <w:rPr>
          <w:color w:val="auto"/>
        </w:rPr>
        <w:br w:type="page" w:clear="all"/>
      </w:r>
    </w:p>
    <w:p w14:paraId="12EAADED">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20"/>
        <w:rPr>
          <w:color w:val="auto"/>
        </w:rPr>
      </w:pPr>
      <w:r>
        <w:rPr>
          <w:rFonts w:ascii="宋体" w:hAnsi="宋体" w:eastAsia="宋体" w:cs="宋体"/>
          <w:color w:val="auto"/>
          <w:sz w:val="24"/>
        </w:rPr>
        <w:t>附件7：《南京市政府采购供应商信用记录表暨信用承诺书》</w:t>
      </w:r>
    </w:p>
    <w:p w14:paraId="63107CAD">
      <w:pPr>
        <w:pBdr>
          <w:top w:val="none" w:color="000000" w:sz="0" w:space="0"/>
          <w:left w:val="none" w:color="000000" w:sz="0" w:space="0"/>
          <w:bottom w:val="none" w:color="000000" w:sz="0" w:space="0"/>
          <w:right w:val="none" w:color="000000" w:sz="0" w:space="0"/>
        </w:pBdr>
        <w:spacing w:before="0" w:after="0" w:line="85" w:lineRule="atLeast"/>
        <w:ind w:left="0" w:right="0" w:firstLine="422"/>
        <w:jc w:val="center"/>
        <w:rPr>
          <w:color w:val="auto"/>
        </w:rPr>
      </w:pPr>
      <w:r>
        <w:rPr>
          <w:rFonts w:ascii="宋体" w:hAnsi="宋体" w:eastAsia="宋体" w:cs="宋体"/>
          <w:b/>
          <w:color w:val="auto"/>
          <w:sz w:val="21"/>
        </w:rPr>
        <w:t>《南京市政府采购供应商信用记录表暨信用承诺书》</w:t>
      </w:r>
    </w:p>
    <w:p w14:paraId="07FDD13B">
      <w:pPr>
        <w:pBdr>
          <w:top w:val="none" w:color="000000" w:sz="0" w:space="0"/>
          <w:left w:val="none" w:color="000000" w:sz="0" w:space="0"/>
          <w:bottom w:val="none" w:color="000000" w:sz="0" w:space="0"/>
          <w:right w:val="none" w:color="000000" w:sz="0" w:space="0"/>
        </w:pBdr>
        <w:spacing w:before="0" w:after="0" w:line="85" w:lineRule="atLeast"/>
        <w:ind w:left="0" w:right="0" w:firstLine="420"/>
        <w:rPr>
          <w:color w:val="auto"/>
        </w:rPr>
      </w:pPr>
      <w:r>
        <w:rPr>
          <w:rFonts w:ascii="宋体" w:hAnsi="宋体" w:eastAsia="宋体" w:cs="宋体"/>
          <w:color w:val="auto"/>
          <w:sz w:val="21"/>
        </w:rPr>
        <w:t>政府采购信用承诺：“根据《关于在政府采购活动中推行信用承诺制的通知》宁财购通〔2021〕5号规定， 参加南京地区政府采购活动的供应商，应以书面形式向采购人或政府采购代理机构作出信用承诺。信用承诺以《南京市政府采购供应商信用记录表暨信用承诺书》体现。供应商应尽早做好承诺书工作，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单位公章，</w:t>
      </w:r>
      <w:r>
        <w:rPr>
          <w:rFonts w:ascii="宋体" w:hAnsi="宋体" w:eastAsia="宋体" w:cs="宋体"/>
          <w:b/>
          <w:color w:val="auto"/>
          <w:sz w:val="21"/>
        </w:rPr>
        <w:t>上传至电子响应文件中，</w:t>
      </w:r>
      <w:r>
        <w:rPr>
          <w:rFonts w:ascii="宋体" w:hAnsi="宋体" w:eastAsia="宋体" w:cs="宋体"/>
          <w:color w:val="auto"/>
          <w:sz w:val="21"/>
        </w:rPr>
        <w:t>未按要求提供信用记录表的或未按要求签字盖章均作为无效投标。</w:t>
      </w:r>
    </w:p>
    <w:p w14:paraId="3D1E4E24">
      <w:pPr>
        <w:pBdr>
          <w:top w:val="none" w:color="000000" w:sz="0" w:space="0"/>
          <w:left w:val="none" w:color="000000" w:sz="0" w:space="0"/>
          <w:bottom w:val="none" w:color="000000" w:sz="0" w:space="0"/>
          <w:right w:val="none" w:color="000000" w:sz="0" w:space="0"/>
        </w:pBdr>
        <w:spacing w:before="0" w:after="0" w:line="85" w:lineRule="atLeast"/>
        <w:ind w:left="0" w:right="0" w:firstLine="420"/>
        <w:rPr>
          <w:color w:val="auto"/>
        </w:rPr>
      </w:pPr>
      <w:r>
        <w:rPr>
          <w:rFonts w:ascii="宋体" w:hAnsi="宋体" w:eastAsia="宋体" w:cs="宋体"/>
          <w:color w:val="auto"/>
          <w:sz w:val="21"/>
        </w:rPr>
        <w:t>在政府采购资格审查环节，供应商只需提供书面《南京市政府采购供应商信用记录表暨信用承诺书》，即可替代以下证明材料：</w:t>
      </w:r>
    </w:p>
    <w:p w14:paraId="28B57A64">
      <w:pPr>
        <w:pBdr>
          <w:top w:val="none" w:color="000000" w:sz="0" w:space="0"/>
          <w:left w:val="none" w:color="000000" w:sz="0" w:space="0"/>
          <w:bottom w:val="none" w:color="000000" w:sz="0" w:space="0"/>
          <w:right w:val="none" w:color="000000" w:sz="0" w:space="0"/>
        </w:pBdr>
        <w:spacing w:before="0" w:after="0" w:line="85" w:lineRule="atLeast"/>
        <w:ind w:left="0" w:right="0" w:firstLine="420"/>
        <w:rPr>
          <w:color w:val="auto"/>
        </w:rPr>
      </w:pPr>
      <w:r>
        <w:rPr>
          <w:rFonts w:ascii="宋体" w:hAnsi="宋体" w:eastAsia="宋体" w:cs="宋体"/>
          <w:color w:val="auto"/>
          <w:sz w:val="21"/>
        </w:rPr>
        <w:t>（1）符合国家相关规定的财务状况报告；</w:t>
      </w:r>
    </w:p>
    <w:p w14:paraId="23423793">
      <w:pPr>
        <w:pBdr>
          <w:top w:val="none" w:color="000000" w:sz="0" w:space="0"/>
          <w:left w:val="none" w:color="000000" w:sz="0" w:space="0"/>
          <w:bottom w:val="none" w:color="000000" w:sz="0" w:space="0"/>
          <w:right w:val="none" w:color="000000" w:sz="0" w:space="0"/>
        </w:pBdr>
        <w:spacing w:before="0" w:after="0" w:line="85" w:lineRule="atLeast"/>
        <w:ind w:left="0" w:right="0" w:firstLine="420"/>
        <w:rPr>
          <w:color w:val="auto"/>
        </w:rPr>
      </w:pPr>
      <w:r>
        <w:rPr>
          <w:rFonts w:ascii="宋体" w:hAnsi="宋体" w:eastAsia="宋体" w:cs="宋体"/>
          <w:color w:val="auto"/>
          <w:sz w:val="21"/>
        </w:rPr>
        <w:t>（2）依法缴纳税收的证明材料；</w:t>
      </w:r>
    </w:p>
    <w:p w14:paraId="46992042">
      <w:pPr>
        <w:pBdr>
          <w:top w:val="none" w:color="000000" w:sz="0" w:space="0"/>
          <w:left w:val="none" w:color="000000" w:sz="0" w:space="0"/>
          <w:bottom w:val="none" w:color="000000" w:sz="0" w:space="0"/>
          <w:right w:val="none" w:color="000000" w:sz="0" w:space="0"/>
        </w:pBdr>
        <w:spacing w:before="0" w:after="0" w:line="85" w:lineRule="atLeast"/>
        <w:ind w:left="0" w:right="0" w:firstLine="420"/>
        <w:rPr>
          <w:color w:val="auto"/>
        </w:rPr>
      </w:pPr>
      <w:r>
        <w:rPr>
          <w:rFonts w:ascii="宋体" w:hAnsi="宋体" w:eastAsia="宋体" w:cs="宋体"/>
          <w:color w:val="auto"/>
          <w:sz w:val="21"/>
        </w:rPr>
        <w:t>（3）依法缴纳社会保障资金的证明材料；</w:t>
      </w:r>
    </w:p>
    <w:p w14:paraId="68EE54F8">
      <w:pPr>
        <w:pBdr>
          <w:top w:val="none" w:color="000000" w:sz="0" w:space="0"/>
          <w:left w:val="none" w:color="000000" w:sz="0" w:space="0"/>
          <w:bottom w:val="none" w:color="000000" w:sz="0" w:space="0"/>
          <w:right w:val="none" w:color="000000" w:sz="0" w:space="0"/>
        </w:pBdr>
        <w:spacing w:before="0" w:after="0" w:line="85" w:lineRule="atLeast"/>
        <w:ind w:left="0" w:right="0" w:firstLine="420"/>
        <w:rPr>
          <w:color w:val="auto"/>
        </w:rPr>
      </w:pPr>
      <w:r>
        <w:rPr>
          <w:rFonts w:ascii="宋体" w:hAnsi="宋体" w:eastAsia="宋体" w:cs="宋体"/>
          <w:color w:val="auto"/>
          <w:sz w:val="21"/>
        </w:rPr>
        <w:t>（4）具备履行政府采购合同所必需的设备和专业技术能力的证明材料；</w:t>
      </w:r>
    </w:p>
    <w:p w14:paraId="68468101">
      <w:pPr>
        <w:pBdr>
          <w:top w:val="none" w:color="000000" w:sz="0" w:space="0"/>
          <w:left w:val="none" w:color="000000" w:sz="0" w:space="0"/>
          <w:bottom w:val="none" w:color="000000" w:sz="0" w:space="0"/>
          <w:right w:val="none" w:color="000000" w:sz="0" w:space="0"/>
        </w:pBdr>
        <w:spacing w:before="0" w:after="0" w:line="85" w:lineRule="atLeast"/>
        <w:ind w:left="0" w:right="0" w:firstLine="420"/>
        <w:rPr>
          <w:color w:val="auto"/>
        </w:rPr>
      </w:pPr>
      <w:r>
        <w:rPr>
          <w:rFonts w:ascii="宋体" w:hAnsi="宋体" w:eastAsia="宋体" w:cs="宋体"/>
          <w:color w:val="auto"/>
          <w:sz w:val="21"/>
        </w:rPr>
        <w:t>（5）参加政府采购活动前三年内在经营活动中没有重大违法记录的证明材料；</w:t>
      </w:r>
    </w:p>
    <w:p w14:paraId="300BEB5B">
      <w:pPr>
        <w:pBdr>
          <w:top w:val="none" w:color="000000" w:sz="0" w:space="0"/>
          <w:left w:val="none" w:color="000000" w:sz="0" w:space="0"/>
          <w:bottom w:val="none" w:color="000000" w:sz="0" w:space="0"/>
          <w:right w:val="none" w:color="000000" w:sz="0" w:space="0"/>
        </w:pBdr>
        <w:spacing w:before="0" w:after="0" w:line="85" w:lineRule="atLeast"/>
        <w:ind w:left="0" w:right="0" w:firstLine="420"/>
        <w:rPr>
          <w:color w:val="auto"/>
        </w:rPr>
      </w:pPr>
      <w:r>
        <w:rPr>
          <w:rFonts w:ascii="宋体" w:hAnsi="宋体" w:eastAsia="宋体" w:cs="宋体"/>
          <w:color w:val="auto"/>
          <w:sz w:val="21"/>
        </w:rPr>
        <w:t>（6）未被列入失信被执行人、重大税收违法失信主体、政府采购严重违法失信行为记录名单的证明材料。</w:t>
      </w:r>
    </w:p>
    <w:p w14:paraId="695B8F0F">
      <w:pPr>
        <w:pBdr>
          <w:top w:val="none" w:color="000000" w:sz="0" w:space="0"/>
          <w:left w:val="none" w:color="000000" w:sz="0" w:space="0"/>
          <w:bottom w:val="none" w:color="000000" w:sz="0" w:space="0"/>
          <w:right w:val="none" w:color="000000" w:sz="0" w:space="0"/>
        </w:pBdr>
        <w:spacing w:before="0" w:after="0" w:line="85" w:lineRule="atLeast"/>
        <w:ind w:left="0" w:right="0" w:firstLine="210"/>
        <w:jc w:val="both"/>
        <w:rPr>
          <w:color w:val="auto"/>
        </w:rPr>
      </w:pPr>
      <w:r>
        <w:rPr>
          <w:rFonts w:ascii="宋体" w:hAnsi="宋体" w:eastAsia="宋体" w:cs="宋体"/>
          <w:color w:val="auto"/>
          <w:sz w:val="21"/>
        </w:rPr>
        <w:t>供应商在中标（成交）后，应提供上述由信用承诺书替代的证明材料（一式伍份）（（1）参加本次政府采购活动前一年的经审计的财务报告（包括“四表一注”，法人成立满一年的提供）或参加本次政府采购活动前一年内的银行资信证明（法人或其他组织提供）或其他证明材料;（2）参加本次政府采购活动前半年内至少一个月依法缴纳税收和社会保障资金的证明材料；（3）具备履行政府采购合同所必需的设备和专业技术能力的证明材料；（4）参加政府采购活动前三年内在经营活动中没有重大违法记录的证明材料），加盖公章按采购文件要求胶装提交采购人或采购代理机构核验。经核验无误后，由采购人或采购代理机构发出中标（成交）通知书。</w:t>
      </w:r>
    </w:p>
    <w:p w14:paraId="24ED29C9">
      <w:pPr>
        <w:pBdr>
          <w:top w:val="none" w:color="000000" w:sz="0" w:space="0"/>
          <w:left w:val="none" w:color="000000" w:sz="0" w:space="0"/>
          <w:bottom w:val="none" w:color="000000" w:sz="0" w:space="0"/>
          <w:right w:val="none" w:color="000000" w:sz="0" w:space="0"/>
        </w:pBdr>
        <w:spacing w:before="0" w:after="0" w:line="85" w:lineRule="atLeast"/>
        <w:ind w:left="0" w:right="0" w:firstLine="420"/>
        <w:rPr>
          <w:color w:val="auto"/>
        </w:rPr>
      </w:pPr>
      <w:r>
        <w:rPr>
          <w:rFonts w:ascii="宋体" w:hAnsi="宋体" w:eastAsia="宋体" w:cs="宋体"/>
          <w:color w:val="auto"/>
          <w:sz w:val="21"/>
        </w:rPr>
        <w:t>供应商涉及以下情形的，不适用信用承诺，仍须提供上述证明材料：</w:t>
      </w:r>
    </w:p>
    <w:p w14:paraId="3C2C801F">
      <w:pPr>
        <w:pBdr>
          <w:top w:val="none" w:color="000000" w:sz="0" w:space="0"/>
          <w:left w:val="none" w:color="000000" w:sz="0" w:space="0"/>
          <w:bottom w:val="none" w:color="000000" w:sz="0" w:space="0"/>
          <w:right w:val="none" w:color="000000" w:sz="0" w:space="0"/>
        </w:pBdr>
        <w:spacing w:before="0" w:after="0" w:line="85" w:lineRule="atLeast"/>
        <w:ind w:left="0" w:right="0" w:firstLine="420"/>
        <w:rPr>
          <w:color w:val="auto"/>
        </w:rPr>
      </w:pPr>
      <w:r>
        <w:rPr>
          <w:rFonts w:ascii="宋体" w:hAnsi="宋体" w:eastAsia="宋体" w:cs="宋体"/>
          <w:color w:val="auto"/>
          <w:sz w:val="21"/>
        </w:rPr>
        <w:t>（1）供应商被列入严重失信主体名单；</w:t>
      </w:r>
    </w:p>
    <w:p w14:paraId="70BA8D0C">
      <w:pPr>
        <w:pBdr>
          <w:top w:val="none" w:color="000000" w:sz="0" w:space="0"/>
          <w:left w:val="none" w:color="000000" w:sz="0" w:space="0"/>
          <w:bottom w:val="none" w:color="000000" w:sz="0" w:space="0"/>
          <w:right w:val="none" w:color="000000" w:sz="0" w:space="0"/>
        </w:pBdr>
        <w:spacing w:before="0" w:after="0" w:line="85" w:lineRule="atLeast"/>
        <w:ind w:left="0" w:right="0" w:firstLine="420"/>
        <w:rPr>
          <w:color w:val="auto"/>
        </w:rPr>
      </w:pPr>
      <w:r>
        <w:rPr>
          <w:rFonts w:ascii="宋体" w:hAnsi="宋体" w:eastAsia="宋体" w:cs="宋体"/>
          <w:color w:val="auto"/>
          <w:sz w:val="21"/>
        </w:rPr>
        <w:t>（2）被相关监管部门作出行政处罚且尚在处罚有效期内；</w:t>
      </w:r>
    </w:p>
    <w:p w14:paraId="07917065">
      <w:pPr>
        <w:pBdr>
          <w:top w:val="none" w:color="000000" w:sz="0" w:space="0"/>
          <w:left w:val="none" w:color="000000" w:sz="0" w:space="0"/>
          <w:bottom w:val="none" w:color="000000" w:sz="0" w:space="0"/>
          <w:right w:val="none" w:color="000000" w:sz="0" w:space="0"/>
        </w:pBdr>
        <w:spacing w:before="0" w:after="0" w:line="85" w:lineRule="atLeast"/>
        <w:ind w:left="0" w:right="0" w:firstLine="420"/>
        <w:rPr>
          <w:color w:val="auto"/>
        </w:rPr>
      </w:pPr>
      <w:r>
        <w:rPr>
          <w:rFonts w:ascii="宋体" w:hAnsi="宋体" w:eastAsia="宋体" w:cs="宋体"/>
          <w:color w:val="auto"/>
          <w:sz w:val="21"/>
        </w:rPr>
        <w:t>（3）其他法律、行政法规规定的不适用信用承诺的情形。</w:t>
      </w:r>
    </w:p>
    <w:p w14:paraId="2193090F">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rPr>
      </w:pPr>
      <w:r>
        <w:rPr>
          <w:rFonts w:ascii="宋体" w:hAnsi="宋体" w:eastAsia="宋体" w:cs="宋体"/>
          <w:color w:val="auto"/>
          <w:sz w:val="21"/>
        </w:rPr>
        <w:t>供应商对信用承诺内容的真实性、合法性、有效性负责。如作出虚假信用承诺，视同为“提供虚假材料谋取中标、成交”的违法行为。</w:t>
      </w:r>
    </w:p>
    <w:p w14:paraId="47181BA4">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rPr>
      </w:pPr>
      <w:r>
        <w:rPr>
          <w:color w:val="auto"/>
        </w:rPr>
        <w:br w:type="page" w:clear="all"/>
      </w:r>
    </w:p>
    <w:p w14:paraId="683754C0">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rPr>
      </w:pPr>
      <w:r>
        <w:rPr>
          <w:rFonts w:ascii="宋体" w:hAnsi="宋体" w:eastAsia="宋体" w:cs="宋体"/>
          <w:b/>
          <w:color w:val="auto"/>
          <w:sz w:val="21"/>
        </w:rPr>
        <w:t>单位负责人、公司控股关系及公司管理关系释义：</w:t>
      </w:r>
    </w:p>
    <w:p w14:paraId="270E8061">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rPr>
          <w:color w:val="auto"/>
        </w:rPr>
      </w:pPr>
      <w:r>
        <w:rPr>
          <w:rFonts w:ascii="宋体" w:hAnsi="宋体" w:eastAsia="宋体" w:cs="宋体"/>
          <w:b/>
          <w:color w:val="auto"/>
          <w:sz w:val="21"/>
        </w:rPr>
        <w:t>①单位负责人：</w:t>
      </w:r>
      <w:r>
        <w:rPr>
          <w:rFonts w:ascii="宋体" w:hAnsi="宋体" w:eastAsia="宋体" w:cs="宋体"/>
          <w:color w:val="auto"/>
          <w:sz w:val="21"/>
        </w:rPr>
        <w:t>是指</w:t>
      </w:r>
      <w:r>
        <w:rPr>
          <w:rFonts w:ascii="宋体" w:hAnsi="宋体" w:eastAsia="宋体" w:cs="宋体"/>
          <w:b/>
          <w:color w:val="auto"/>
          <w:sz w:val="21"/>
        </w:rPr>
        <w:t xml:space="preserve">A </w:t>
      </w:r>
      <w:r>
        <w:rPr>
          <w:rFonts w:ascii="宋体" w:hAnsi="宋体" w:eastAsia="宋体" w:cs="宋体"/>
          <w:b/>
          <w:color w:val="auto"/>
          <w:sz w:val="21"/>
          <w:u w:val="single"/>
        </w:rPr>
        <w:t>单位法定代表人</w:t>
      </w:r>
      <w:r>
        <w:rPr>
          <w:rFonts w:ascii="宋体" w:hAnsi="宋体" w:eastAsia="宋体" w:cs="宋体"/>
          <w:color w:val="auto"/>
          <w:sz w:val="21"/>
        </w:rPr>
        <w:t>或者</w:t>
      </w:r>
      <w:r>
        <w:rPr>
          <w:rFonts w:ascii="宋体" w:hAnsi="宋体" w:eastAsia="宋体" w:cs="宋体"/>
          <w:b/>
          <w:color w:val="auto"/>
          <w:sz w:val="21"/>
        </w:rPr>
        <w:t xml:space="preserve">B </w:t>
      </w:r>
      <w:r>
        <w:rPr>
          <w:rFonts w:ascii="宋体" w:hAnsi="宋体" w:eastAsia="宋体" w:cs="宋体"/>
          <w:b/>
          <w:color w:val="auto"/>
          <w:sz w:val="21"/>
          <w:u w:val="single"/>
        </w:rPr>
        <w:t>法律、行政法规规定代表单位行使职权的主要负责人。</w:t>
      </w:r>
    </w:p>
    <w:p w14:paraId="0CE7740D">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rPr>
          <w:color w:val="auto"/>
        </w:rPr>
      </w:pPr>
      <w:r>
        <w:rPr>
          <w:rFonts w:ascii="宋体" w:hAnsi="宋体" w:eastAsia="宋体" w:cs="宋体"/>
          <w:b/>
          <w:color w:val="auto"/>
          <w:sz w:val="21"/>
        </w:rPr>
        <w:t>A：所谓法定代表人：</w:t>
      </w:r>
      <w:r>
        <w:rPr>
          <w:rFonts w:ascii="宋体" w:hAnsi="宋体" w:eastAsia="宋体" w:cs="宋体"/>
          <w:color w:val="auto"/>
          <w:sz w:val="21"/>
        </w:rPr>
        <w:t>是指由法律或者法人组织章程规定，代表法人对外行使民事权利、履行民事义务的负责人。如《公司法》规定，公司法定代表人依照公司章程的规定由董事长、执行董事或者经理担任；《中华人民共和国全民所有制工业企业法》（以下简称《全民所有制工业企业法》）规定，厂长是企业的法定代表人；国家机关的最高行政官员是机关法人的法定代表人等。</w:t>
      </w:r>
    </w:p>
    <w:p w14:paraId="67145CF5">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rPr>
          <w:color w:val="auto"/>
        </w:rPr>
      </w:pPr>
      <w:r>
        <w:rPr>
          <w:rFonts w:ascii="宋体" w:hAnsi="宋体" w:eastAsia="宋体" w:cs="宋体"/>
          <w:b/>
          <w:color w:val="auto"/>
          <w:sz w:val="21"/>
        </w:rPr>
        <w:t>B：所谓法律、行政法规规定代表单位行使职权的主要负责人：</w:t>
      </w:r>
      <w:r>
        <w:rPr>
          <w:rFonts w:ascii="宋体" w:hAnsi="宋体" w:eastAsia="宋体" w:cs="宋体"/>
          <w:color w:val="auto"/>
          <w:sz w:val="21"/>
        </w:rPr>
        <w:t>是指除法定代表人以外，法律、行政法规规定的代表单位行使职权的主要负责人。如个人独资企业的投资人，代表合伙企业执行合伙企业事务的合伙人等。</w:t>
      </w:r>
    </w:p>
    <w:p w14:paraId="6822B284">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rPr>
          <w:color w:val="auto"/>
        </w:rPr>
      </w:pPr>
      <w:r>
        <w:rPr>
          <w:rFonts w:ascii="宋体" w:hAnsi="宋体" w:eastAsia="宋体" w:cs="宋体"/>
          <w:color w:val="auto"/>
          <w:sz w:val="21"/>
        </w:rPr>
        <w:t> </w:t>
      </w:r>
    </w:p>
    <w:p w14:paraId="2E019C46">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rPr>
          <w:color w:val="auto"/>
        </w:rPr>
      </w:pPr>
      <w:r>
        <w:rPr>
          <w:rFonts w:ascii="宋体" w:hAnsi="宋体" w:eastAsia="宋体" w:cs="宋体"/>
          <w:b/>
          <w:color w:val="auto"/>
          <w:sz w:val="21"/>
        </w:rPr>
        <w:t>②控股关系：</w:t>
      </w:r>
      <w:r>
        <w:rPr>
          <w:rFonts w:ascii="宋体" w:hAnsi="宋体" w:eastAsia="宋体" w:cs="宋体"/>
          <w:color w:val="auto"/>
          <w:sz w:val="21"/>
        </w:rPr>
        <w:t>政府采购法实施条例所谓控股关系是指单位或个人股东的控股关系。控股的含义：根据《中华人民共和国公司法》第二百一十六条规定：“本法相关用语的含义：</w:t>
      </w:r>
      <w:r>
        <w:rPr>
          <w:rFonts w:ascii="宋体" w:hAnsi="宋体" w:eastAsia="宋体" w:cs="宋体"/>
          <w:b/>
          <w:color w:val="auto"/>
          <w:sz w:val="21"/>
        </w:rPr>
        <w:t xml:space="preserve">（二）控股股东，是指 A </w:t>
      </w:r>
      <w:r>
        <w:rPr>
          <w:rFonts w:ascii="宋体" w:hAnsi="宋体" w:eastAsia="宋体" w:cs="宋体"/>
          <w:b/>
          <w:color w:val="auto"/>
          <w:sz w:val="21"/>
          <w:u w:val="single"/>
        </w:rPr>
        <w:t>其出资额占有限责任公司资本总额百分之五十以上或者其持有的股份占股份有限公司股本总额百分之五十以上的股东</w:t>
      </w:r>
      <w:r>
        <w:rPr>
          <w:rFonts w:ascii="宋体" w:hAnsi="宋体" w:eastAsia="宋体" w:cs="宋体"/>
          <w:b/>
          <w:color w:val="auto"/>
          <w:sz w:val="21"/>
        </w:rPr>
        <w:t xml:space="preserve">；B </w:t>
      </w:r>
      <w:r>
        <w:rPr>
          <w:rFonts w:ascii="宋体" w:hAnsi="宋体" w:eastAsia="宋体" w:cs="宋体"/>
          <w:b/>
          <w:color w:val="auto"/>
          <w:sz w:val="21"/>
          <w:u w:val="single"/>
        </w:rPr>
        <w:t>出资额或者持有股份的比例虽然不足百分之五十，但依其出资额或者持有的股份所享有的表决权已足以对股东会、股东大会的决议产生重大影响的股东</w:t>
      </w:r>
      <w:r>
        <w:rPr>
          <w:rFonts w:ascii="宋体" w:hAnsi="宋体" w:eastAsia="宋体" w:cs="宋体"/>
          <w:color w:val="auto"/>
          <w:sz w:val="21"/>
        </w:rPr>
        <w:t>”。实践中，一般对 A 所述情形称为绝对控股，B 所述情形称为相对控股，政府采购法实施条例所称“控股”包括绝对控股和相对控股。</w:t>
      </w:r>
    </w:p>
    <w:p w14:paraId="37EE687C">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rPr>
          <w:color w:val="auto"/>
        </w:rPr>
      </w:pPr>
      <w:r>
        <w:rPr>
          <w:rFonts w:ascii="宋体" w:hAnsi="宋体" w:eastAsia="宋体" w:cs="宋体"/>
          <w:b/>
          <w:color w:val="auto"/>
          <w:sz w:val="21"/>
        </w:rPr>
        <w:t>③管理关系：</w:t>
      </w:r>
      <w:r>
        <w:rPr>
          <w:rFonts w:ascii="宋体" w:hAnsi="宋体" w:eastAsia="宋体" w:cs="宋体"/>
          <w:color w:val="auto"/>
          <w:sz w:val="21"/>
        </w:rPr>
        <w:t>政府采购法实施条例所谓管理关系是指不具有出资持股关系的其他单位之间存在的管理与被管理关系，如一些上下级关系的事业单位和团体组织。</w:t>
      </w:r>
    </w:p>
    <w:p w14:paraId="68D6DBCE">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633" w:firstLine="0"/>
        <w:rPr>
          <w:color w:val="auto"/>
        </w:rPr>
      </w:pPr>
      <w:r>
        <w:rPr>
          <w:rFonts w:ascii="宋体" w:hAnsi="宋体" w:eastAsia="宋体" w:cs="宋体"/>
          <w:b/>
          <w:color w:val="auto"/>
          <w:sz w:val="21"/>
        </w:rPr>
        <w:t> </w:t>
      </w:r>
    </w:p>
    <w:p w14:paraId="7591A87E">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rPr>
          <w:color w:val="auto"/>
        </w:rPr>
      </w:pPr>
      <w:r>
        <w:rPr>
          <w:rFonts w:ascii="Times New Roman" w:hAnsi="Times New Roman" w:eastAsia="Times New Roman" w:cs="Times New Roman"/>
          <w:color w:val="auto"/>
          <w:sz w:val="21"/>
        </w:rPr>
        <w:t> </w:t>
      </w:r>
    </w:p>
    <w:p w14:paraId="6259555E">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rPr>
          <w:color w:val="auto"/>
        </w:rPr>
      </w:pPr>
      <w:r>
        <w:rPr>
          <w:rFonts w:ascii="Times New Roman" w:hAnsi="Times New Roman" w:eastAsia="Times New Roman" w:cs="Times New Roman"/>
          <w:color w:val="auto"/>
          <w:sz w:val="21"/>
        </w:rPr>
        <w:t> </w:t>
      </w:r>
    </w:p>
    <w:p w14:paraId="0921FC27">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rPr>
          <w:color w:val="auto"/>
        </w:rPr>
      </w:pPr>
      <w:r>
        <w:rPr>
          <w:rFonts w:ascii="Times New Roman" w:hAnsi="Times New Roman" w:eastAsia="Times New Roman" w:cs="Times New Roman"/>
          <w:color w:val="auto"/>
          <w:sz w:val="21"/>
        </w:rPr>
        <w:t> </w:t>
      </w:r>
    </w:p>
    <w:p w14:paraId="0B8EC331">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633" w:firstLine="0"/>
        <w:rPr>
          <w:color w:val="auto"/>
        </w:rPr>
      </w:pPr>
      <w:r>
        <w:rPr>
          <w:rFonts w:ascii="宋体" w:hAnsi="宋体" w:eastAsia="宋体" w:cs="宋体"/>
          <w:b/>
          <w:color w:val="auto"/>
          <w:sz w:val="21"/>
        </w:rPr>
        <w:t> </w:t>
      </w:r>
    </w:p>
    <w:p w14:paraId="19D9600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color w:val="auto"/>
        </w:rPr>
        <w:br w:type="page" w:clear="all"/>
      </w:r>
    </w:p>
    <w:p w14:paraId="41D7E59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b/>
          <w:color w:val="auto"/>
          <w:sz w:val="21"/>
        </w:rPr>
        <w:t>附件十、中小企业声明函（服务）</w:t>
      </w:r>
    </w:p>
    <w:p w14:paraId="0ABBDDDF">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 </w:t>
      </w:r>
    </w:p>
    <w:p w14:paraId="2A817A57">
      <w:pPr>
        <w:pBdr>
          <w:top w:val="none" w:color="000000" w:sz="0" w:space="0"/>
          <w:left w:val="none" w:color="000000" w:sz="0" w:space="0"/>
          <w:bottom w:val="none" w:color="000000" w:sz="0" w:space="0"/>
          <w:right w:val="none" w:color="000000" w:sz="0" w:space="0"/>
        </w:pBdr>
        <w:spacing w:before="0" w:after="0" w:line="85" w:lineRule="atLeast"/>
        <w:ind w:left="0" w:right="0" w:firstLine="420"/>
        <w:rPr>
          <w:color w:val="auto"/>
        </w:rPr>
      </w:pPr>
      <w:r>
        <w:rPr>
          <w:rFonts w:ascii="宋体" w:hAnsi="宋体" w:eastAsia="宋体" w:cs="宋体"/>
          <w:color w:val="auto"/>
          <w:sz w:val="21"/>
        </w:rPr>
        <w:t>本公司郑重声明，根据《政府采购促进中小企业发展管理办法》（财库﹝2020﹞46 号）的规定，本公司参加</w:t>
      </w:r>
      <w:r>
        <w:rPr>
          <w:rFonts w:ascii="Calibri" w:hAnsi="Calibri" w:eastAsia="Calibri" w:cs="Calibri"/>
          <w:color w:val="auto"/>
          <w:sz w:val="21"/>
        </w:rPr>
        <w:t> </w:t>
      </w:r>
      <w:r>
        <w:rPr>
          <w:rFonts w:ascii="Calibri" w:hAnsi="Calibri" w:eastAsia="Calibri" w:cs="Calibri"/>
          <w:color w:val="auto"/>
          <w:sz w:val="21"/>
          <w:u w:val="single"/>
        </w:rPr>
        <w:t>          </w:t>
      </w:r>
      <w:r>
        <w:rPr>
          <w:rFonts w:ascii="宋体" w:hAnsi="宋体" w:eastAsia="宋体" w:cs="宋体"/>
          <w:color w:val="auto"/>
          <w:sz w:val="21"/>
        </w:rPr>
        <w:t>（单位名称）的</w:t>
      </w:r>
      <w:r>
        <w:rPr>
          <w:rFonts w:ascii="Calibri" w:hAnsi="Calibri" w:eastAsia="Calibri" w:cs="Calibri"/>
          <w:color w:val="auto"/>
          <w:sz w:val="21"/>
        </w:rPr>
        <w:t> </w:t>
      </w:r>
      <w:r>
        <w:rPr>
          <w:rFonts w:ascii="Calibri" w:hAnsi="Calibri" w:eastAsia="Calibri" w:cs="Calibri"/>
          <w:color w:val="auto"/>
          <w:sz w:val="21"/>
          <w:u w:val="single"/>
        </w:rPr>
        <w:t>          </w:t>
      </w:r>
      <w:r>
        <w:rPr>
          <w:rFonts w:ascii="宋体" w:hAnsi="宋体" w:eastAsia="宋体" w:cs="宋体"/>
          <w:color w:val="auto"/>
          <w:sz w:val="21"/>
        </w:rPr>
        <w:t>（项目名称）采购活动，服务全部由符合政策要求的中小企业承接。相关企业（含联合体中的中小企业、签订分包意向协议的中小企业）的具体情况如下：</w:t>
      </w:r>
    </w:p>
    <w:p w14:paraId="681B3AD2">
      <w:pPr>
        <w:pBdr>
          <w:top w:val="none" w:color="000000" w:sz="0" w:space="0"/>
          <w:left w:val="none" w:color="000000" w:sz="0" w:space="0"/>
          <w:bottom w:val="none" w:color="000000" w:sz="0" w:space="0"/>
          <w:right w:val="none" w:color="000000" w:sz="0" w:space="0"/>
        </w:pBdr>
        <w:spacing w:before="0" w:after="0" w:line="85" w:lineRule="atLeast"/>
        <w:ind w:left="0" w:right="0" w:firstLine="420"/>
        <w:rPr>
          <w:color w:val="auto"/>
        </w:rPr>
      </w:pPr>
      <w:r>
        <w:rPr>
          <w:rFonts w:ascii="宋体" w:hAnsi="宋体" w:eastAsia="宋体" w:cs="宋体"/>
          <w:color w:val="auto"/>
          <w:sz w:val="21"/>
        </w:rPr>
        <w:t xml:space="preserve">1. </w:t>
      </w:r>
      <w:r>
        <w:rPr>
          <w:rFonts w:ascii="Calibri" w:hAnsi="Calibri" w:eastAsia="Calibri" w:cs="Calibri"/>
          <w:color w:val="auto"/>
          <w:sz w:val="21"/>
          <w:u w:val="single"/>
        </w:rPr>
        <w:t>          </w:t>
      </w:r>
      <w:r>
        <w:rPr>
          <w:rFonts w:ascii="Calibri" w:hAnsi="Calibri" w:eastAsia="Calibri" w:cs="Calibri"/>
          <w:color w:val="auto"/>
          <w:sz w:val="21"/>
        </w:rPr>
        <w:t> </w:t>
      </w:r>
      <w:r>
        <w:rPr>
          <w:rFonts w:ascii="宋体" w:hAnsi="宋体" w:eastAsia="宋体" w:cs="宋体"/>
          <w:color w:val="auto"/>
          <w:sz w:val="21"/>
        </w:rPr>
        <w:t>（标的名称）</w:t>
      </w:r>
      <w:r>
        <w:rPr>
          <w:rFonts w:ascii="Calibri" w:hAnsi="Calibri" w:eastAsia="Calibri" w:cs="Calibri"/>
          <w:color w:val="auto"/>
          <w:sz w:val="21"/>
        </w:rPr>
        <w:t> </w:t>
      </w:r>
      <w:r>
        <w:rPr>
          <w:rFonts w:ascii="宋体" w:hAnsi="宋体" w:eastAsia="宋体" w:cs="宋体"/>
          <w:color w:val="auto"/>
          <w:sz w:val="21"/>
        </w:rPr>
        <w:t>，属于</w:t>
      </w:r>
      <w:r>
        <w:rPr>
          <w:rFonts w:ascii="Calibri" w:hAnsi="Calibri" w:eastAsia="Calibri" w:cs="Calibri"/>
          <w:color w:val="auto"/>
          <w:sz w:val="21"/>
          <w:u w:val="single"/>
        </w:rPr>
        <w:t> </w:t>
      </w:r>
      <w:r>
        <w:rPr>
          <w:rFonts w:ascii="宋体" w:hAnsi="宋体" w:eastAsia="宋体" w:cs="宋体"/>
          <w:color w:val="auto"/>
          <w:sz w:val="21"/>
          <w:u w:val="single"/>
        </w:rPr>
        <w:t>           </w:t>
      </w:r>
      <w:r>
        <w:rPr>
          <w:rFonts w:ascii="Calibri" w:hAnsi="Calibri" w:eastAsia="Calibri" w:cs="Calibri"/>
          <w:color w:val="auto"/>
          <w:sz w:val="21"/>
          <w:u w:val="single"/>
        </w:rPr>
        <w:t>  </w:t>
      </w:r>
      <w:r>
        <w:rPr>
          <w:rFonts w:ascii="宋体" w:hAnsi="宋体" w:eastAsia="宋体" w:cs="宋体"/>
          <w:color w:val="auto"/>
          <w:sz w:val="21"/>
        </w:rPr>
        <w:t>（所属行业）；</w:t>
      </w:r>
      <w:r>
        <w:rPr>
          <w:rFonts w:ascii="Calibri" w:hAnsi="Calibri" w:eastAsia="Calibri" w:cs="Calibri"/>
          <w:color w:val="auto"/>
          <w:sz w:val="21"/>
        </w:rPr>
        <w:t> </w:t>
      </w:r>
      <w:r>
        <w:rPr>
          <w:rFonts w:ascii="宋体" w:hAnsi="宋体" w:eastAsia="宋体" w:cs="宋体"/>
          <w:color w:val="auto"/>
          <w:sz w:val="21"/>
        </w:rPr>
        <w:t>承接企业为</w:t>
      </w:r>
      <w:r>
        <w:rPr>
          <w:rFonts w:ascii="Calibri" w:hAnsi="Calibri" w:eastAsia="Calibri" w:cs="Calibri"/>
          <w:color w:val="auto"/>
          <w:sz w:val="21"/>
        </w:rPr>
        <w:t> </w:t>
      </w:r>
      <w:r>
        <w:rPr>
          <w:rFonts w:ascii="Calibri" w:hAnsi="Calibri" w:eastAsia="Calibri" w:cs="Calibri"/>
          <w:color w:val="auto"/>
          <w:sz w:val="21"/>
          <w:u w:val="single"/>
        </w:rPr>
        <w:t>          </w:t>
      </w:r>
      <w:r>
        <w:rPr>
          <w:rFonts w:ascii="宋体" w:hAnsi="宋体" w:eastAsia="宋体" w:cs="宋体"/>
          <w:color w:val="auto"/>
          <w:sz w:val="21"/>
        </w:rPr>
        <w:t>（企业名称），从业人员</w:t>
      </w:r>
      <w:r>
        <w:rPr>
          <w:rFonts w:ascii="Calibri" w:hAnsi="Calibri" w:eastAsia="Calibri" w:cs="Calibri"/>
          <w:color w:val="auto"/>
          <w:sz w:val="21"/>
        </w:rPr>
        <w:t>  </w:t>
      </w:r>
      <w:r>
        <w:rPr>
          <w:rFonts w:ascii="Calibri" w:hAnsi="Calibri" w:eastAsia="Calibri" w:cs="Calibri"/>
          <w:color w:val="auto"/>
          <w:sz w:val="21"/>
          <w:u w:val="single"/>
        </w:rPr>
        <w:t>          </w:t>
      </w:r>
      <w:r>
        <w:rPr>
          <w:rFonts w:ascii="宋体" w:hAnsi="宋体" w:eastAsia="宋体" w:cs="宋体"/>
          <w:color w:val="auto"/>
          <w:sz w:val="21"/>
        </w:rPr>
        <w:t>人，营业收入为</w:t>
      </w:r>
      <w:r>
        <w:rPr>
          <w:rFonts w:ascii="Calibri" w:hAnsi="Calibri" w:eastAsia="Calibri" w:cs="Calibri"/>
          <w:color w:val="auto"/>
          <w:sz w:val="21"/>
        </w:rPr>
        <w:t>  </w:t>
      </w:r>
      <w:r>
        <w:rPr>
          <w:rFonts w:ascii="Calibri" w:hAnsi="Calibri" w:eastAsia="Calibri" w:cs="Calibri"/>
          <w:color w:val="auto"/>
          <w:sz w:val="21"/>
          <w:u w:val="single"/>
        </w:rPr>
        <w:t>          </w:t>
      </w:r>
      <w:r>
        <w:rPr>
          <w:rFonts w:ascii="宋体" w:hAnsi="宋体" w:eastAsia="宋体" w:cs="宋体"/>
          <w:color w:val="auto"/>
          <w:sz w:val="21"/>
        </w:rPr>
        <w:t>万元，资产总额为</w:t>
      </w:r>
      <w:r>
        <w:rPr>
          <w:rFonts w:ascii="Calibri" w:hAnsi="Calibri" w:eastAsia="Calibri" w:cs="Calibri"/>
          <w:color w:val="auto"/>
          <w:sz w:val="21"/>
        </w:rPr>
        <w:t>  </w:t>
      </w:r>
      <w:r>
        <w:rPr>
          <w:rFonts w:ascii="Calibri" w:hAnsi="Calibri" w:eastAsia="Calibri" w:cs="Calibri"/>
          <w:color w:val="auto"/>
          <w:sz w:val="21"/>
          <w:u w:val="single"/>
        </w:rPr>
        <w:t>          </w:t>
      </w:r>
      <w:r>
        <w:rPr>
          <w:rFonts w:ascii="宋体" w:hAnsi="宋体" w:eastAsia="宋体" w:cs="宋体"/>
          <w:color w:val="auto"/>
          <w:sz w:val="21"/>
        </w:rPr>
        <w:t>万元，属于</w:t>
      </w:r>
      <w:r>
        <w:rPr>
          <w:rFonts w:ascii="Calibri" w:hAnsi="Calibri" w:eastAsia="Calibri" w:cs="Calibri"/>
          <w:color w:val="auto"/>
          <w:sz w:val="21"/>
        </w:rPr>
        <w:t> </w:t>
      </w:r>
      <w:r>
        <w:rPr>
          <w:rFonts w:ascii="Calibri" w:hAnsi="Calibri" w:eastAsia="Calibri" w:cs="Calibri"/>
          <w:color w:val="auto"/>
          <w:sz w:val="21"/>
          <w:u w:val="single"/>
        </w:rPr>
        <w:t>          </w:t>
      </w:r>
      <w:r>
        <w:rPr>
          <w:rFonts w:ascii="宋体" w:hAnsi="宋体" w:eastAsia="宋体" w:cs="宋体"/>
          <w:color w:val="auto"/>
          <w:sz w:val="21"/>
        </w:rPr>
        <w:t>（中型企业、</w:t>
      </w:r>
      <w:r>
        <w:rPr>
          <w:rFonts w:ascii="Calibri" w:hAnsi="Calibri" w:eastAsia="Calibri" w:cs="Calibri"/>
          <w:color w:val="auto"/>
          <w:sz w:val="21"/>
        </w:rPr>
        <w:t> </w:t>
      </w:r>
      <w:r>
        <w:rPr>
          <w:rFonts w:ascii="宋体" w:hAnsi="宋体" w:eastAsia="宋体" w:cs="宋体"/>
          <w:color w:val="auto"/>
          <w:sz w:val="21"/>
        </w:rPr>
        <w:t>小型企业、微型企业）；</w:t>
      </w:r>
      <w:r>
        <w:rPr>
          <w:rFonts w:ascii="Calibri" w:hAnsi="Calibri" w:eastAsia="Calibri" w:cs="Calibri"/>
          <w:color w:val="auto"/>
          <w:sz w:val="21"/>
        </w:rPr>
        <w:t> </w:t>
      </w:r>
    </w:p>
    <w:p w14:paraId="18F4F25A">
      <w:pPr>
        <w:pBdr>
          <w:top w:val="none" w:color="000000" w:sz="0" w:space="0"/>
          <w:left w:val="none" w:color="000000" w:sz="0" w:space="0"/>
          <w:bottom w:val="none" w:color="000000" w:sz="0" w:space="0"/>
          <w:right w:val="none" w:color="000000" w:sz="0" w:space="0"/>
        </w:pBdr>
        <w:spacing w:before="0" w:after="0" w:line="85" w:lineRule="atLeast"/>
        <w:ind w:left="0" w:right="0" w:firstLine="420"/>
        <w:rPr>
          <w:color w:val="auto"/>
        </w:rPr>
      </w:pPr>
      <w:r>
        <w:rPr>
          <w:rFonts w:ascii="Calibri" w:hAnsi="Calibri" w:eastAsia="Calibri" w:cs="Calibri"/>
          <w:color w:val="auto"/>
          <w:sz w:val="21"/>
        </w:rPr>
        <w:t>……</w:t>
      </w:r>
    </w:p>
    <w:p w14:paraId="6C1A51FB">
      <w:pPr>
        <w:pBdr>
          <w:top w:val="none" w:color="000000" w:sz="0" w:space="0"/>
          <w:left w:val="none" w:color="000000" w:sz="0" w:space="0"/>
          <w:bottom w:val="none" w:color="000000" w:sz="0" w:space="0"/>
          <w:right w:val="none" w:color="000000" w:sz="0" w:space="0"/>
        </w:pBdr>
        <w:spacing w:before="0" w:after="0" w:line="85" w:lineRule="atLeast"/>
        <w:ind w:left="0" w:right="0" w:firstLine="420"/>
        <w:rPr>
          <w:color w:val="auto"/>
        </w:rPr>
      </w:pPr>
      <w:r>
        <w:rPr>
          <w:rFonts w:ascii="宋体" w:hAnsi="宋体" w:eastAsia="宋体" w:cs="宋体"/>
          <w:color w:val="auto"/>
          <w:sz w:val="21"/>
        </w:rPr>
        <w:t>以上企业，不属于大企业的分支机构，不存在控股股东为大企业的情形，也不存在与大企业的负责人为同一人的情形。</w:t>
      </w:r>
    </w:p>
    <w:p w14:paraId="1D69DCF0">
      <w:pPr>
        <w:pBdr>
          <w:top w:val="none" w:color="000000" w:sz="0" w:space="0"/>
          <w:left w:val="none" w:color="000000" w:sz="0" w:space="0"/>
          <w:bottom w:val="none" w:color="000000" w:sz="0" w:space="0"/>
          <w:right w:val="none" w:color="000000" w:sz="0" w:space="0"/>
        </w:pBdr>
        <w:spacing w:before="0" w:after="0" w:line="85" w:lineRule="atLeast"/>
        <w:ind w:left="0" w:right="0" w:firstLine="420"/>
        <w:rPr>
          <w:color w:val="auto"/>
        </w:rPr>
      </w:pPr>
      <w:r>
        <w:rPr>
          <w:rFonts w:ascii="宋体" w:hAnsi="宋体" w:eastAsia="宋体" w:cs="宋体"/>
          <w:color w:val="auto"/>
          <w:sz w:val="21"/>
        </w:rPr>
        <w:t>本企业对上述声明内容的真实性负责。如有虚假，将依法承担相应责任。</w:t>
      </w:r>
      <w:r>
        <w:rPr>
          <w:rFonts w:ascii="Calibri" w:hAnsi="Calibri" w:eastAsia="Calibri" w:cs="Calibri"/>
          <w:color w:val="auto"/>
          <w:sz w:val="21"/>
        </w:rPr>
        <w:t> </w:t>
      </w:r>
    </w:p>
    <w:p w14:paraId="6FA1D1F2">
      <w:pPr>
        <w:pBdr>
          <w:top w:val="none" w:color="000000" w:sz="0" w:space="0"/>
          <w:left w:val="none" w:color="000000" w:sz="0" w:space="0"/>
          <w:bottom w:val="none" w:color="000000" w:sz="0" w:space="0"/>
          <w:right w:val="none" w:color="000000" w:sz="0" w:space="0"/>
        </w:pBdr>
        <w:spacing w:before="0" w:after="0" w:line="85" w:lineRule="atLeast"/>
        <w:ind w:left="0" w:right="0" w:firstLine="4200"/>
        <w:rPr>
          <w:color w:val="auto"/>
        </w:rPr>
      </w:pPr>
      <w:r>
        <w:rPr>
          <w:rFonts w:ascii="宋体" w:hAnsi="宋体" w:eastAsia="宋体" w:cs="宋体"/>
          <w:color w:val="auto"/>
          <w:sz w:val="21"/>
        </w:rPr>
        <w:t> </w:t>
      </w:r>
    </w:p>
    <w:p w14:paraId="108E7DC0">
      <w:pPr>
        <w:pBdr>
          <w:top w:val="none" w:color="000000" w:sz="0" w:space="0"/>
          <w:left w:val="none" w:color="000000" w:sz="0" w:space="0"/>
          <w:bottom w:val="none" w:color="000000" w:sz="0" w:space="0"/>
          <w:right w:val="none" w:color="000000" w:sz="0" w:space="0"/>
        </w:pBdr>
        <w:spacing w:before="0" w:after="0" w:line="85" w:lineRule="atLeast"/>
        <w:ind w:left="0" w:right="0" w:firstLine="4200"/>
        <w:rPr>
          <w:color w:val="auto"/>
        </w:rPr>
      </w:pPr>
      <w:r>
        <w:rPr>
          <w:rFonts w:ascii="宋体" w:hAnsi="宋体" w:eastAsia="宋体" w:cs="宋体"/>
          <w:color w:val="auto"/>
          <w:sz w:val="21"/>
        </w:rPr>
        <w:t>企业名称（盖章）：</w:t>
      </w:r>
    </w:p>
    <w:p w14:paraId="3FC4AC3E">
      <w:pPr>
        <w:pBdr>
          <w:top w:val="none" w:color="000000" w:sz="0" w:space="0"/>
          <w:left w:val="none" w:color="000000" w:sz="0" w:space="0"/>
          <w:bottom w:val="none" w:color="000000" w:sz="0" w:space="0"/>
          <w:right w:val="none" w:color="000000" w:sz="0" w:space="0"/>
        </w:pBdr>
        <w:spacing w:before="0" w:after="0" w:line="85" w:lineRule="atLeast"/>
        <w:ind w:left="0" w:right="0" w:firstLine="4200"/>
        <w:rPr>
          <w:color w:val="auto"/>
        </w:rPr>
      </w:pPr>
      <w:r>
        <w:rPr>
          <w:rFonts w:ascii="宋体" w:hAnsi="宋体" w:eastAsia="宋体" w:cs="宋体"/>
          <w:color w:val="auto"/>
          <w:sz w:val="21"/>
        </w:rPr>
        <w:t>日　　　　　　期：</w:t>
      </w:r>
    </w:p>
    <w:p w14:paraId="2A31C5C3">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rPr>
      </w:pPr>
      <w:r>
        <w:rPr>
          <w:rFonts w:ascii="宋体" w:hAnsi="宋体" w:eastAsia="宋体" w:cs="宋体"/>
          <w:color w:val="auto"/>
          <w:sz w:val="21"/>
        </w:rPr>
        <w:t> </w:t>
      </w:r>
    </w:p>
    <w:p w14:paraId="6812C2FD">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rPr>
      </w:pPr>
      <w:r>
        <w:rPr>
          <w:rFonts w:ascii="宋体" w:hAnsi="宋体" w:eastAsia="宋体" w:cs="宋体"/>
          <w:b/>
          <w:color w:val="auto"/>
          <w:sz w:val="21"/>
        </w:rPr>
        <w:t>备注：</w:t>
      </w:r>
      <w:r>
        <w:rPr>
          <w:rFonts w:ascii="宋体" w:hAnsi="宋体" w:eastAsia="宋体" w:cs="宋体"/>
          <w:color w:val="auto"/>
          <w:sz w:val="21"/>
        </w:rPr>
        <w:t>从业人员、营业收入、资产总额填报上一年度数据，无上一年度数据的新成立企业可不填报。</w:t>
      </w:r>
    </w:p>
    <w:p w14:paraId="4CC3B61C">
      <w:pPr>
        <w:pBdr>
          <w:top w:val="none" w:color="000000" w:sz="0" w:space="0"/>
          <w:left w:val="none" w:color="000000" w:sz="0" w:space="0"/>
          <w:bottom w:val="none" w:color="000000" w:sz="0" w:space="0"/>
          <w:right w:val="none" w:color="000000" w:sz="0" w:space="0"/>
        </w:pBdr>
        <w:spacing w:before="0" w:after="120" w:line="85" w:lineRule="atLeast"/>
        <w:ind w:left="0" w:right="0" w:firstLine="220"/>
        <w:jc w:val="center"/>
        <w:rPr>
          <w:color w:val="auto"/>
        </w:rPr>
      </w:pPr>
      <w:r>
        <w:rPr>
          <w:color w:val="auto"/>
        </w:rPr>
        <w:br w:type="page" w:clear="all"/>
      </w:r>
    </w:p>
    <w:p w14:paraId="654332FA">
      <w:pPr>
        <w:pBdr>
          <w:top w:val="none" w:color="000000" w:sz="0" w:space="0"/>
          <w:left w:val="none" w:color="000000" w:sz="0" w:space="0"/>
          <w:bottom w:val="none" w:color="000000" w:sz="0" w:space="0"/>
          <w:right w:val="none" w:color="000000" w:sz="0" w:space="0"/>
        </w:pBdr>
        <w:spacing w:before="0" w:after="120" w:line="85" w:lineRule="atLeast"/>
        <w:ind w:left="0" w:right="0" w:firstLine="220"/>
        <w:jc w:val="center"/>
        <w:rPr>
          <w:color w:val="auto"/>
        </w:rPr>
      </w:pPr>
      <w:r>
        <w:rPr>
          <w:rFonts w:ascii="宋体" w:hAnsi="宋体" w:eastAsia="宋体" w:cs="宋体"/>
          <w:color w:val="auto"/>
          <w:sz w:val="21"/>
        </w:rPr>
        <w:t>中小企业划型标准规定工信部联企业〔</w:t>
      </w:r>
      <w:r>
        <w:rPr>
          <w:rFonts w:ascii="Times New Roman" w:hAnsi="Times New Roman" w:eastAsia="Times New Roman" w:cs="Times New Roman"/>
          <w:color w:val="auto"/>
          <w:sz w:val="21"/>
        </w:rPr>
        <w:t>2011</w:t>
      </w:r>
      <w:r>
        <w:rPr>
          <w:rFonts w:ascii="宋体" w:hAnsi="宋体" w:eastAsia="宋体" w:cs="宋体"/>
          <w:color w:val="auto"/>
          <w:sz w:val="21"/>
        </w:rPr>
        <w:t>〕</w:t>
      </w:r>
      <w:r>
        <w:rPr>
          <w:rFonts w:ascii="Times New Roman" w:hAnsi="Times New Roman" w:eastAsia="Times New Roman" w:cs="Times New Roman"/>
          <w:color w:val="auto"/>
          <w:sz w:val="21"/>
        </w:rPr>
        <w:t>300</w:t>
      </w:r>
      <w:r>
        <w:rPr>
          <w:rFonts w:ascii="宋体" w:hAnsi="宋体" w:eastAsia="宋体" w:cs="宋体"/>
          <w:color w:val="auto"/>
          <w:sz w:val="21"/>
        </w:rPr>
        <w:t>号</w:t>
      </w:r>
    </w:p>
    <w:p w14:paraId="4958B309">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Times New Roman" w:hAnsi="Times New Roman" w:eastAsia="Times New Roman" w:cs="Times New Roman"/>
          <w:color w:val="auto"/>
          <w:sz w:val="21"/>
        </w:rPr>
        <w:t> </w:t>
      </w:r>
    </w:p>
    <w:p w14:paraId="45EE0E46">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一、根据《中华人民共和国中小企业促进法》和《国务院关于进一步促进中小企业发展的若干意见》（国发〔</w:t>
      </w:r>
      <w:r>
        <w:rPr>
          <w:rFonts w:ascii="Times New Roman" w:hAnsi="Times New Roman" w:eastAsia="Times New Roman" w:cs="Times New Roman"/>
          <w:color w:val="auto"/>
          <w:sz w:val="21"/>
        </w:rPr>
        <w:t>2009</w:t>
      </w:r>
      <w:r>
        <w:rPr>
          <w:rFonts w:ascii="宋体" w:hAnsi="宋体" w:eastAsia="宋体" w:cs="宋体"/>
          <w:color w:val="auto"/>
          <w:sz w:val="21"/>
        </w:rPr>
        <w:t>〕</w:t>
      </w:r>
      <w:r>
        <w:rPr>
          <w:rFonts w:ascii="Times New Roman" w:hAnsi="Times New Roman" w:eastAsia="Times New Roman" w:cs="Times New Roman"/>
          <w:color w:val="auto"/>
          <w:sz w:val="21"/>
        </w:rPr>
        <w:t>36</w:t>
      </w:r>
      <w:r>
        <w:rPr>
          <w:rFonts w:ascii="宋体" w:hAnsi="宋体" w:eastAsia="宋体" w:cs="宋体"/>
          <w:color w:val="auto"/>
          <w:sz w:val="21"/>
        </w:rPr>
        <w:t>号</w:t>
      </w:r>
      <w:r>
        <w:rPr>
          <w:rFonts w:ascii="Times New Roman" w:hAnsi="Times New Roman" w:eastAsia="Times New Roman" w:cs="Times New Roman"/>
          <w:color w:val="auto"/>
          <w:sz w:val="21"/>
        </w:rPr>
        <w:t>)</w:t>
      </w:r>
      <w:r>
        <w:rPr>
          <w:rFonts w:ascii="宋体" w:hAnsi="宋体" w:eastAsia="宋体" w:cs="宋体"/>
          <w:color w:val="auto"/>
          <w:sz w:val="21"/>
        </w:rPr>
        <w:t>，制定本规定。</w:t>
      </w:r>
    </w:p>
    <w:p w14:paraId="3690EE1A">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二、中小企业划分为中型、小型、微型三种类型，具体标准根据企业从业人员、营业收入、资产总额等指标，结合行业特点制定。</w:t>
      </w:r>
    </w:p>
    <w:p w14:paraId="67CCE763">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1207D6BF">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四、各行业划型标准为：</w:t>
      </w:r>
    </w:p>
    <w:p w14:paraId="7960C40F">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（一）农、林、牧、渔业。营业收入</w:t>
      </w:r>
      <w:r>
        <w:rPr>
          <w:rFonts w:ascii="Times New Roman" w:hAnsi="Times New Roman" w:eastAsia="Times New Roman" w:cs="Times New Roman"/>
          <w:color w:val="auto"/>
          <w:sz w:val="21"/>
        </w:rPr>
        <w:t>20000</w:t>
      </w:r>
      <w:r>
        <w:rPr>
          <w:rFonts w:ascii="宋体" w:hAnsi="宋体" w:eastAsia="宋体" w:cs="宋体"/>
          <w:color w:val="auto"/>
          <w:sz w:val="21"/>
        </w:rPr>
        <w:t>万元以下的为中小微型企业。其中，营业收入</w:t>
      </w:r>
      <w:r>
        <w:rPr>
          <w:rFonts w:ascii="Times New Roman" w:hAnsi="Times New Roman" w:eastAsia="Times New Roman" w:cs="Times New Roman"/>
          <w:color w:val="auto"/>
          <w:sz w:val="21"/>
        </w:rPr>
        <w:t>500</w:t>
      </w:r>
      <w:r>
        <w:rPr>
          <w:rFonts w:ascii="宋体" w:hAnsi="宋体" w:eastAsia="宋体" w:cs="宋体"/>
          <w:color w:val="auto"/>
          <w:sz w:val="21"/>
        </w:rPr>
        <w:t>万元及以上的为中型企业，营业收入</w:t>
      </w:r>
      <w:r>
        <w:rPr>
          <w:rFonts w:ascii="Times New Roman" w:hAnsi="Times New Roman" w:eastAsia="Times New Roman" w:cs="Times New Roman"/>
          <w:color w:val="auto"/>
          <w:sz w:val="21"/>
        </w:rPr>
        <w:t>50</w:t>
      </w:r>
      <w:r>
        <w:rPr>
          <w:rFonts w:ascii="宋体" w:hAnsi="宋体" w:eastAsia="宋体" w:cs="宋体"/>
          <w:color w:val="auto"/>
          <w:sz w:val="21"/>
        </w:rPr>
        <w:t>万元及以上的为小型企业，营业收入</w:t>
      </w:r>
      <w:r>
        <w:rPr>
          <w:rFonts w:ascii="Times New Roman" w:hAnsi="Times New Roman" w:eastAsia="Times New Roman" w:cs="Times New Roman"/>
          <w:color w:val="auto"/>
          <w:sz w:val="21"/>
        </w:rPr>
        <w:t>50</w:t>
      </w:r>
      <w:r>
        <w:rPr>
          <w:rFonts w:ascii="宋体" w:hAnsi="宋体" w:eastAsia="宋体" w:cs="宋体"/>
          <w:color w:val="auto"/>
          <w:sz w:val="21"/>
        </w:rPr>
        <w:t>万元以下的为微型企业。</w:t>
      </w:r>
    </w:p>
    <w:p w14:paraId="055125A9">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（二）工业。从业人员</w:t>
      </w:r>
      <w:r>
        <w:rPr>
          <w:rFonts w:ascii="Times New Roman" w:hAnsi="Times New Roman" w:eastAsia="Times New Roman" w:cs="Times New Roman"/>
          <w:color w:val="auto"/>
          <w:sz w:val="21"/>
        </w:rPr>
        <w:t>1000</w:t>
      </w:r>
      <w:r>
        <w:rPr>
          <w:rFonts w:ascii="宋体" w:hAnsi="宋体" w:eastAsia="宋体" w:cs="宋体"/>
          <w:color w:val="auto"/>
          <w:sz w:val="21"/>
        </w:rPr>
        <w:t>人以下或营业收入</w:t>
      </w:r>
      <w:r>
        <w:rPr>
          <w:rFonts w:ascii="Times New Roman" w:hAnsi="Times New Roman" w:eastAsia="Times New Roman" w:cs="Times New Roman"/>
          <w:color w:val="auto"/>
          <w:sz w:val="21"/>
        </w:rPr>
        <w:t>40000</w:t>
      </w:r>
      <w:r>
        <w:rPr>
          <w:rFonts w:ascii="宋体" w:hAnsi="宋体" w:eastAsia="宋体" w:cs="宋体"/>
          <w:color w:val="auto"/>
          <w:sz w:val="21"/>
        </w:rPr>
        <w:t>万元以下的为中小微型企业。其中，从业人员</w:t>
      </w:r>
      <w:r>
        <w:rPr>
          <w:rFonts w:ascii="Times New Roman" w:hAnsi="Times New Roman" w:eastAsia="Times New Roman" w:cs="Times New Roman"/>
          <w:color w:val="auto"/>
          <w:sz w:val="21"/>
        </w:rPr>
        <w:t>300</w:t>
      </w:r>
      <w:r>
        <w:rPr>
          <w:rFonts w:ascii="宋体" w:hAnsi="宋体" w:eastAsia="宋体" w:cs="宋体"/>
          <w:color w:val="auto"/>
          <w:sz w:val="21"/>
        </w:rPr>
        <w:t>人及以上，且营业收入</w:t>
      </w:r>
      <w:r>
        <w:rPr>
          <w:rFonts w:ascii="Times New Roman" w:hAnsi="Times New Roman" w:eastAsia="Times New Roman" w:cs="Times New Roman"/>
          <w:color w:val="auto"/>
          <w:sz w:val="21"/>
        </w:rPr>
        <w:t>2000</w:t>
      </w:r>
      <w:r>
        <w:rPr>
          <w:rFonts w:ascii="宋体" w:hAnsi="宋体" w:eastAsia="宋体" w:cs="宋体"/>
          <w:color w:val="auto"/>
          <w:sz w:val="21"/>
        </w:rPr>
        <w:t>万元及以上的为中型企业；从业人员</w:t>
      </w:r>
      <w:r>
        <w:rPr>
          <w:rFonts w:ascii="Times New Roman" w:hAnsi="Times New Roman" w:eastAsia="Times New Roman" w:cs="Times New Roman"/>
          <w:color w:val="auto"/>
          <w:sz w:val="21"/>
        </w:rPr>
        <w:t>20</w:t>
      </w:r>
      <w:r>
        <w:rPr>
          <w:rFonts w:ascii="宋体" w:hAnsi="宋体" w:eastAsia="宋体" w:cs="宋体"/>
          <w:color w:val="auto"/>
          <w:sz w:val="21"/>
        </w:rPr>
        <w:t>人及以上，且营业收入</w:t>
      </w:r>
      <w:r>
        <w:rPr>
          <w:rFonts w:ascii="Times New Roman" w:hAnsi="Times New Roman" w:eastAsia="Times New Roman" w:cs="Times New Roman"/>
          <w:color w:val="auto"/>
          <w:sz w:val="21"/>
        </w:rPr>
        <w:t>300</w:t>
      </w:r>
      <w:r>
        <w:rPr>
          <w:rFonts w:ascii="宋体" w:hAnsi="宋体" w:eastAsia="宋体" w:cs="宋体"/>
          <w:color w:val="auto"/>
          <w:sz w:val="21"/>
        </w:rPr>
        <w:t>万元及以上的为小型企业；从业人员</w:t>
      </w:r>
      <w:r>
        <w:rPr>
          <w:rFonts w:ascii="Times New Roman" w:hAnsi="Times New Roman" w:eastAsia="Times New Roman" w:cs="Times New Roman"/>
          <w:color w:val="auto"/>
          <w:sz w:val="21"/>
        </w:rPr>
        <w:t>20</w:t>
      </w:r>
      <w:r>
        <w:rPr>
          <w:rFonts w:ascii="宋体" w:hAnsi="宋体" w:eastAsia="宋体" w:cs="宋体"/>
          <w:color w:val="auto"/>
          <w:sz w:val="21"/>
        </w:rPr>
        <w:t>人以下或营业收入</w:t>
      </w:r>
      <w:r>
        <w:rPr>
          <w:rFonts w:ascii="Times New Roman" w:hAnsi="Times New Roman" w:eastAsia="Times New Roman" w:cs="Times New Roman"/>
          <w:color w:val="auto"/>
          <w:sz w:val="21"/>
        </w:rPr>
        <w:t>300</w:t>
      </w:r>
      <w:r>
        <w:rPr>
          <w:rFonts w:ascii="宋体" w:hAnsi="宋体" w:eastAsia="宋体" w:cs="宋体"/>
          <w:color w:val="auto"/>
          <w:sz w:val="21"/>
        </w:rPr>
        <w:t>万元以下的为微型企业。</w:t>
      </w:r>
    </w:p>
    <w:p w14:paraId="4632B3CE">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（三）建筑业。营业收入</w:t>
      </w:r>
      <w:r>
        <w:rPr>
          <w:rFonts w:ascii="Times New Roman" w:hAnsi="Times New Roman" w:eastAsia="Times New Roman" w:cs="Times New Roman"/>
          <w:color w:val="auto"/>
          <w:sz w:val="21"/>
        </w:rPr>
        <w:t>80000</w:t>
      </w:r>
      <w:r>
        <w:rPr>
          <w:rFonts w:ascii="宋体" w:hAnsi="宋体" w:eastAsia="宋体" w:cs="宋体"/>
          <w:color w:val="auto"/>
          <w:sz w:val="21"/>
        </w:rPr>
        <w:t>万元以下或资产总额</w:t>
      </w:r>
      <w:r>
        <w:rPr>
          <w:rFonts w:ascii="Times New Roman" w:hAnsi="Times New Roman" w:eastAsia="Times New Roman" w:cs="Times New Roman"/>
          <w:color w:val="auto"/>
          <w:sz w:val="21"/>
        </w:rPr>
        <w:t>80000</w:t>
      </w:r>
      <w:r>
        <w:rPr>
          <w:rFonts w:ascii="宋体" w:hAnsi="宋体" w:eastAsia="宋体" w:cs="宋体"/>
          <w:color w:val="auto"/>
          <w:sz w:val="21"/>
        </w:rPr>
        <w:t>万元以下的为中小微型企业。其中，营业收入</w:t>
      </w:r>
      <w:r>
        <w:rPr>
          <w:rFonts w:ascii="Times New Roman" w:hAnsi="Times New Roman" w:eastAsia="Times New Roman" w:cs="Times New Roman"/>
          <w:color w:val="auto"/>
          <w:sz w:val="21"/>
        </w:rPr>
        <w:t>6000</w:t>
      </w:r>
      <w:r>
        <w:rPr>
          <w:rFonts w:ascii="宋体" w:hAnsi="宋体" w:eastAsia="宋体" w:cs="宋体"/>
          <w:color w:val="auto"/>
          <w:sz w:val="21"/>
        </w:rPr>
        <w:t>万元及以上，且资产总额</w:t>
      </w:r>
      <w:r>
        <w:rPr>
          <w:rFonts w:ascii="Times New Roman" w:hAnsi="Times New Roman" w:eastAsia="Times New Roman" w:cs="Times New Roman"/>
          <w:color w:val="auto"/>
          <w:sz w:val="21"/>
        </w:rPr>
        <w:t>5000</w:t>
      </w:r>
      <w:r>
        <w:rPr>
          <w:rFonts w:ascii="宋体" w:hAnsi="宋体" w:eastAsia="宋体" w:cs="宋体"/>
          <w:color w:val="auto"/>
          <w:sz w:val="21"/>
        </w:rPr>
        <w:t>万元及以上的为中型企业；营业收入</w:t>
      </w:r>
      <w:r>
        <w:rPr>
          <w:rFonts w:ascii="Times New Roman" w:hAnsi="Times New Roman" w:eastAsia="Times New Roman" w:cs="Times New Roman"/>
          <w:color w:val="auto"/>
          <w:sz w:val="21"/>
        </w:rPr>
        <w:t>300</w:t>
      </w:r>
      <w:r>
        <w:rPr>
          <w:rFonts w:ascii="宋体" w:hAnsi="宋体" w:eastAsia="宋体" w:cs="宋体"/>
          <w:color w:val="auto"/>
          <w:sz w:val="21"/>
        </w:rPr>
        <w:t>万元及以上，且资产总额</w:t>
      </w:r>
      <w:r>
        <w:rPr>
          <w:rFonts w:ascii="Times New Roman" w:hAnsi="Times New Roman" w:eastAsia="Times New Roman" w:cs="Times New Roman"/>
          <w:color w:val="auto"/>
          <w:sz w:val="21"/>
        </w:rPr>
        <w:t>300</w:t>
      </w:r>
      <w:r>
        <w:rPr>
          <w:rFonts w:ascii="宋体" w:hAnsi="宋体" w:eastAsia="宋体" w:cs="宋体"/>
          <w:color w:val="auto"/>
          <w:sz w:val="21"/>
        </w:rPr>
        <w:t>万元及以上的为小型企业；营业收入</w:t>
      </w:r>
      <w:r>
        <w:rPr>
          <w:rFonts w:ascii="Times New Roman" w:hAnsi="Times New Roman" w:eastAsia="Times New Roman" w:cs="Times New Roman"/>
          <w:color w:val="auto"/>
          <w:sz w:val="21"/>
        </w:rPr>
        <w:t>300</w:t>
      </w:r>
      <w:r>
        <w:rPr>
          <w:rFonts w:ascii="宋体" w:hAnsi="宋体" w:eastAsia="宋体" w:cs="宋体"/>
          <w:color w:val="auto"/>
          <w:sz w:val="21"/>
        </w:rPr>
        <w:t>万元以下或资产总额</w:t>
      </w:r>
      <w:r>
        <w:rPr>
          <w:rFonts w:ascii="Times New Roman" w:hAnsi="Times New Roman" w:eastAsia="Times New Roman" w:cs="Times New Roman"/>
          <w:color w:val="auto"/>
          <w:sz w:val="21"/>
        </w:rPr>
        <w:t>300</w:t>
      </w:r>
      <w:r>
        <w:rPr>
          <w:rFonts w:ascii="宋体" w:hAnsi="宋体" w:eastAsia="宋体" w:cs="宋体"/>
          <w:color w:val="auto"/>
          <w:sz w:val="21"/>
        </w:rPr>
        <w:t>万元以下的为微型企业。</w:t>
      </w:r>
    </w:p>
    <w:p w14:paraId="2B34EDD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（四）批发业。从业人员</w:t>
      </w:r>
      <w:r>
        <w:rPr>
          <w:rFonts w:ascii="Times New Roman" w:hAnsi="Times New Roman" w:eastAsia="Times New Roman" w:cs="Times New Roman"/>
          <w:color w:val="auto"/>
          <w:sz w:val="21"/>
        </w:rPr>
        <w:t>200</w:t>
      </w:r>
      <w:r>
        <w:rPr>
          <w:rFonts w:ascii="宋体" w:hAnsi="宋体" w:eastAsia="宋体" w:cs="宋体"/>
          <w:color w:val="auto"/>
          <w:sz w:val="21"/>
        </w:rPr>
        <w:t>人以下或营业收入</w:t>
      </w:r>
      <w:r>
        <w:rPr>
          <w:rFonts w:ascii="Times New Roman" w:hAnsi="Times New Roman" w:eastAsia="Times New Roman" w:cs="Times New Roman"/>
          <w:color w:val="auto"/>
          <w:sz w:val="21"/>
        </w:rPr>
        <w:t>40000</w:t>
      </w:r>
      <w:r>
        <w:rPr>
          <w:rFonts w:ascii="宋体" w:hAnsi="宋体" w:eastAsia="宋体" w:cs="宋体"/>
          <w:color w:val="auto"/>
          <w:sz w:val="21"/>
        </w:rPr>
        <w:t>万元以下的为中小微型企业。其中，从业人员</w:t>
      </w:r>
      <w:r>
        <w:rPr>
          <w:rFonts w:ascii="Times New Roman" w:hAnsi="Times New Roman" w:eastAsia="Times New Roman" w:cs="Times New Roman"/>
          <w:color w:val="auto"/>
          <w:sz w:val="21"/>
        </w:rPr>
        <w:t>20</w:t>
      </w:r>
      <w:r>
        <w:rPr>
          <w:rFonts w:ascii="宋体" w:hAnsi="宋体" w:eastAsia="宋体" w:cs="宋体"/>
          <w:color w:val="auto"/>
          <w:sz w:val="21"/>
        </w:rPr>
        <w:t>人及以上，且营业收入</w:t>
      </w:r>
      <w:r>
        <w:rPr>
          <w:rFonts w:ascii="Times New Roman" w:hAnsi="Times New Roman" w:eastAsia="Times New Roman" w:cs="Times New Roman"/>
          <w:color w:val="auto"/>
          <w:sz w:val="21"/>
        </w:rPr>
        <w:t>5000</w:t>
      </w:r>
      <w:r>
        <w:rPr>
          <w:rFonts w:ascii="宋体" w:hAnsi="宋体" w:eastAsia="宋体" w:cs="宋体"/>
          <w:color w:val="auto"/>
          <w:sz w:val="21"/>
        </w:rPr>
        <w:t>万元及以上的为中型企业；从业人员</w:t>
      </w:r>
      <w:r>
        <w:rPr>
          <w:rFonts w:ascii="Times New Roman" w:hAnsi="Times New Roman" w:eastAsia="Times New Roman" w:cs="Times New Roman"/>
          <w:color w:val="auto"/>
          <w:sz w:val="21"/>
        </w:rPr>
        <w:t>5</w:t>
      </w:r>
      <w:r>
        <w:rPr>
          <w:rFonts w:ascii="宋体" w:hAnsi="宋体" w:eastAsia="宋体" w:cs="宋体"/>
          <w:color w:val="auto"/>
          <w:sz w:val="21"/>
        </w:rPr>
        <w:t>人及以上，且营业收入</w:t>
      </w:r>
      <w:r>
        <w:rPr>
          <w:rFonts w:ascii="Times New Roman" w:hAnsi="Times New Roman" w:eastAsia="Times New Roman" w:cs="Times New Roman"/>
          <w:color w:val="auto"/>
          <w:sz w:val="21"/>
        </w:rPr>
        <w:t>1000</w:t>
      </w:r>
      <w:r>
        <w:rPr>
          <w:rFonts w:ascii="宋体" w:hAnsi="宋体" w:eastAsia="宋体" w:cs="宋体"/>
          <w:color w:val="auto"/>
          <w:sz w:val="21"/>
        </w:rPr>
        <w:t>万元及以上的为小型企业；从业人员</w:t>
      </w:r>
      <w:r>
        <w:rPr>
          <w:rFonts w:ascii="Times New Roman" w:hAnsi="Times New Roman" w:eastAsia="Times New Roman" w:cs="Times New Roman"/>
          <w:color w:val="auto"/>
          <w:sz w:val="21"/>
        </w:rPr>
        <w:t>5</w:t>
      </w:r>
      <w:r>
        <w:rPr>
          <w:rFonts w:ascii="宋体" w:hAnsi="宋体" w:eastAsia="宋体" w:cs="宋体"/>
          <w:color w:val="auto"/>
          <w:sz w:val="21"/>
        </w:rPr>
        <w:t>人以下或营业收入</w:t>
      </w:r>
      <w:r>
        <w:rPr>
          <w:rFonts w:ascii="Times New Roman" w:hAnsi="Times New Roman" w:eastAsia="Times New Roman" w:cs="Times New Roman"/>
          <w:color w:val="auto"/>
          <w:sz w:val="21"/>
        </w:rPr>
        <w:t>1000</w:t>
      </w:r>
      <w:r>
        <w:rPr>
          <w:rFonts w:ascii="宋体" w:hAnsi="宋体" w:eastAsia="宋体" w:cs="宋体"/>
          <w:color w:val="auto"/>
          <w:sz w:val="21"/>
        </w:rPr>
        <w:t>万元以下的为微型企业。</w:t>
      </w:r>
    </w:p>
    <w:p w14:paraId="16DF896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（五）零售业。从业人员</w:t>
      </w:r>
      <w:r>
        <w:rPr>
          <w:rFonts w:ascii="Times New Roman" w:hAnsi="Times New Roman" w:eastAsia="Times New Roman" w:cs="Times New Roman"/>
          <w:color w:val="auto"/>
          <w:sz w:val="21"/>
        </w:rPr>
        <w:t>300</w:t>
      </w:r>
      <w:r>
        <w:rPr>
          <w:rFonts w:ascii="宋体" w:hAnsi="宋体" w:eastAsia="宋体" w:cs="宋体"/>
          <w:color w:val="auto"/>
          <w:sz w:val="21"/>
        </w:rPr>
        <w:t>人以下或营业收入</w:t>
      </w:r>
      <w:r>
        <w:rPr>
          <w:rFonts w:ascii="Times New Roman" w:hAnsi="Times New Roman" w:eastAsia="Times New Roman" w:cs="Times New Roman"/>
          <w:color w:val="auto"/>
          <w:sz w:val="21"/>
        </w:rPr>
        <w:t>20000</w:t>
      </w:r>
      <w:r>
        <w:rPr>
          <w:rFonts w:ascii="宋体" w:hAnsi="宋体" w:eastAsia="宋体" w:cs="宋体"/>
          <w:color w:val="auto"/>
          <w:sz w:val="21"/>
        </w:rPr>
        <w:t>万元以下的为中小微型企业。其中，从业人员</w:t>
      </w:r>
      <w:r>
        <w:rPr>
          <w:rFonts w:ascii="Times New Roman" w:hAnsi="Times New Roman" w:eastAsia="Times New Roman" w:cs="Times New Roman"/>
          <w:color w:val="auto"/>
          <w:sz w:val="21"/>
        </w:rPr>
        <w:t>50</w:t>
      </w:r>
      <w:r>
        <w:rPr>
          <w:rFonts w:ascii="宋体" w:hAnsi="宋体" w:eastAsia="宋体" w:cs="宋体"/>
          <w:color w:val="auto"/>
          <w:sz w:val="21"/>
        </w:rPr>
        <w:t>人及以上，且营业收入</w:t>
      </w:r>
      <w:r>
        <w:rPr>
          <w:rFonts w:ascii="Times New Roman" w:hAnsi="Times New Roman" w:eastAsia="Times New Roman" w:cs="Times New Roman"/>
          <w:color w:val="auto"/>
          <w:sz w:val="21"/>
        </w:rPr>
        <w:t>500</w:t>
      </w:r>
      <w:r>
        <w:rPr>
          <w:rFonts w:ascii="宋体" w:hAnsi="宋体" w:eastAsia="宋体" w:cs="宋体"/>
          <w:color w:val="auto"/>
          <w:sz w:val="21"/>
        </w:rPr>
        <w:t>万元及以上的为中型企业；从业人员</w:t>
      </w:r>
      <w:r>
        <w:rPr>
          <w:rFonts w:ascii="Times New Roman" w:hAnsi="Times New Roman" w:eastAsia="Times New Roman" w:cs="Times New Roman"/>
          <w:color w:val="auto"/>
          <w:sz w:val="21"/>
        </w:rPr>
        <w:t>10</w:t>
      </w:r>
      <w:r>
        <w:rPr>
          <w:rFonts w:ascii="宋体" w:hAnsi="宋体" w:eastAsia="宋体" w:cs="宋体"/>
          <w:color w:val="auto"/>
          <w:sz w:val="21"/>
        </w:rPr>
        <w:t>人及以上，且营业收入</w:t>
      </w:r>
      <w:r>
        <w:rPr>
          <w:rFonts w:ascii="Times New Roman" w:hAnsi="Times New Roman" w:eastAsia="Times New Roman" w:cs="Times New Roman"/>
          <w:color w:val="auto"/>
          <w:sz w:val="21"/>
        </w:rPr>
        <w:t>100</w:t>
      </w:r>
      <w:r>
        <w:rPr>
          <w:rFonts w:ascii="宋体" w:hAnsi="宋体" w:eastAsia="宋体" w:cs="宋体"/>
          <w:color w:val="auto"/>
          <w:sz w:val="21"/>
        </w:rPr>
        <w:t>万元及以上的为小型企业；从业人员</w:t>
      </w:r>
      <w:r>
        <w:rPr>
          <w:rFonts w:ascii="Times New Roman" w:hAnsi="Times New Roman" w:eastAsia="Times New Roman" w:cs="Times New Roman"/>
          <w:color w:val="auto"/>
          <w:sz w:val="21"/>
        </w:rPr>
        <w:t>10</w:t>
      </w:r>
      <w:r>
        <w:rPr>
          <w:rFonts w:ascii="宋体" w:hAnsi="宋体" w:eastAsia="宋体" w:cs="宋体"/>
          <w:color w:val="auto"/>
          <w:sz w:val="21"/>
        </w:rPr>
        <w:t>人以下或营业收入</w:t>
      </w:r>
      <w:r>
        <w:rPr>
          <w:rFonts w:ascii="Times New Roman" w:hAnsi="Times New Roman" w:eastAsia="Times New Roman" w:cs="Times New Roman"/>
          <w:color w:val="auto"/>
          <w:sz w:val="21"/>
        </w:rPr>
        <w:t>100</w:t>
      </w:r>
      <w:r>
        <w:rPr>
          <w:rFonts w:ascii="宋体" w:hAnsi="宋体" w:eastAsia="宋体" w:cs="宋体"/>
          <w:color w:val="auto"/>
          <w:sz w:val="21"/>
        </w:rPr>
        <w:t>万元以下的为微型企业。</w:t>
      </w:r>
    </w:p>
    <w:p w14:paraId="4598E250">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（六）交通运输业。从业人员</w:t>
      </w:r>
      <w:r>
        <w:rPr>
          <w:rFonts w:ascii="Times New Roman" w:hAnsi="Times New Roman" w:eastAsia="Times New Roman" w:cs="Times New Roman"/>
          <w:color w:val="auto"/>
          <w:sz w:val="21"/>
        </w:rPr>
        <w:t>1000</w:t>
      </w:r>
      <w:r>
        <w:rPr>
          <w:rFonts w:ascii="宋体" w:hAnsi="宋体" w:eastAsia="宋体" w:cs="宋体"/>
          <w:color w:val="auto"/>
          <w:sz w:val="21"/>
        </w:rPr>
        <w:t>人以下或营业收入</w:t>
      </w:r>
      <w:r>
        <w:rPr>
          <w:rFonts w:ascii="Times New Roman" w:hAnsi="Times New Roman" w:eastAsia="Times New Roman" w:cs="Times New Roman"/>
          <w:color w:val="auto"/>
          <w:sz w:val="21"/>
        </w:rPr>
        <w:t>30000</w:t>
      </w:r>
      <w:r>
        <w:rPr>
          <w:rFonts w:ascii="宋体" w:hAnsi="宋体" w:eastAsia="宋体" w:cs="宋体"/>
          <w:color w:val="auto"/>
          <w:sz w:val="21"/>
        </w:rPr>
        <w:t>万元以下的为中小微型企业。其中，从业人员</w:t>
      </w:r>
      <w:r>
        <w:rPr>
          <w:rFonts w:ascii="Times New Roman" w:hAnsi="Times New Roman" w:eastAsia="Times New Roman" w:cs="Times New Roman"/>
          <w:color w:val="auto"/>
          <w:sz w:val="21"/>
        </w:rPr>
        <w:t>300</w:t>
      </w:r>
      <w:r>
        <w:rPr>
          <w:rFonts w:ascii="宋体" w:hAnsi="宋体" w:eastAsia="宋体" w:cs="宋体"/>
          <w:color w:val="auto"/>
          <w:sz w:val="21"/>
        </w:rPr>
        <w:t>人及以上，且营业收入</w:t>
      </w:r>
      <w:r>
        <w:rPr>
          <w:rFonts w:ascii="Times New Roman" w:hAnsi="Times New Roman" w:eastAsia="Times New Roman" w:cs="Times New Roman"/>
          <w:color w:val="auto"/>
          <w:sz w:val="21"/>
        </w:rPr>
        <w:t>3000</w:t>
      </w:r>
      <w:r>
        <w:rPr>
          <w:rFonts w:ascii="宋体" w:hAnsi="宋体" w:eastAsia="宋体" w:cs="宋体"/>
          <w:color w:val="auto"/>
          <w:sz w:val="21"/>
        </w:rPr>
        <w:t>万元及以上的为中型企业；从业人员</w:t>
      </w:r>
      <w:r>
        <w:rPr>
          <w:rFonts w:ascii="Times New Roman" w:hAnsi="Times New Roman" w:eastAsia="Times New Roman" w:cs="Times New Roman"/>
          <w:color w:val="auto"/>
          <w:sz w:val="21"/>
        </w:rPr>
        <w:t>20</w:t>
      </w:r>
      <w:r>
        <w:rPr>
          <w:rFonts w:ascii="宋体" w:hAnsi="宋体" w:eastAsia="宋体" w:cs="宋体"/>
          <w:color w:val="auto"/>
          <w:sz w:val="21"/>
        </w:rPr>
        <w:t>人及以上，且营业收入</w:t>
      </w:r>
      <w:r>
        <w:rPr>
          <w:rFonts w:ascii="Times New Roman" w:hAnsi="Times New Roman" w:eastAsia="Times New Roman" w:cs="Times New Roman"/>
          <w:color w:val="auto"/>
          <w:sz w:val="21"/>
        </w:rPr>
        <w:t>200</w:t>
      </w:r>
      <w:r>
        <w:rPr>
          <w:rFonts w:ascii="宋体" w:hAnsi="宋体" w:eastAsia="宋体" w:cs="宋体"/>
          <w:color w:val="auto"/>
          <w:sz w:val="21"/>
        </w:rPr>
        <w:t>万元及以上的为小型企业；从业人员</w:t>
      </w:r>
      <w:r>
        <w:rPr>
          <w:rFonts w:ascii="Times New Roman" w:hAnsi="Times New Roman" w:eastAsia="Times New Roman" w:cs="Times New Roman"/>
          <w:color w:val="auto"/>
          <w:sz w:val="21"/>
        </w:rPr>
        <w:t>20</w:t>
      </w:r>
      <w:r>
        <w:rPr>
          <w:rFonts w:ascii="宋体" w:hAnsi="宋体" w:eastAsia="宋体" w:cs="宋体"/>
          <w:color w:val="auto"/>
          <w:sz w:val="21"/>
        </w:rPr>
        <w:t>人以下或营业收入</w:t>
      </w:r>
      <w:r>
        <w:rPr>
          <w:rFonts w:ascii="Times New Roman" w:hAnsi="Times New Roman" w:eastAsia="Times New Roman" w:cs="Times New Roman"/>
          <w:color w:val="auto"/>
          <w:sz w:val="21"/>
        </w:rPr>
        <w:t>200</w:t>
      </w:r>
      <w:r>
        <w:rPr>
          <w:rFonts w:ascii="宋体" w:hAnsi="宋体" w:eastAsia="宋体" w:cs="宋体"/>
          <w:color w:val="auto"/>
          <w:sz w:val="21"/>
        </w:rPr>
        <w:t>万元以下的为微型企业。</w:t>
      </w:r>
    </w:p>
    <w:p w14:paraId="106CAE8B">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（七）仓储业。从业人员</w:t>
      </w:r>
      <w:r>
        <w:rPr>
          <w:rFonts w:ascii="Times New Roman" w:hAnsi="Times New Roman" w:eastAsia="Times New Roman" w:cs="Times New Roman"/>
          <w:color w:val="auto"/>
          <w:sz w:val="21"/>
        </w:rPr>
        <w:t>200</w:t>
      </w:r>
      <w:r>
        <w:rPr>
          <w:rFonts w:ascii="宋体" w:hAnsi="宋体" w:eastAsia="宋体" w:cs="宋体"/>
          <w:color w:val="auto"/>
          <w:sz w:val="21"/>
        </w:rPr>
        <w:t>人以下或营业收入</w:t>
      </w:r>
      <w:r>
        <w:rPr>
          <w:rFonts w:ascii="Times New Roman" w:hAnsi="Times New Roman" w:eastAsia="Times New Roman" w:cs="Times New Roman"/>
          <w:color w:val="auto"/>
          <w:sz w:val="21"/>
        </w:rPr>
        <w:t>30000</w:t>
      </w:r>
      <w:r>
        <w:rPr>
          <w:rFonts w:ascii="宋体" w:hAnsi="宋体" w:eastAsia="宋体" w:cs="宋体"/>
          <w:color w:val="auto"/>
          <w:sz w:val="21"/>
        </w:rPr>
        <w:t>万元以下的为中小微型企业。其中，从业人员</w:t>
      </w:r>
      <w:r>
        <w:rPr>
          <w:rFonts w:ascii="Times New Roman" w:hAnsi="Times New Roman" w:eastAsia="Times New Roman" w:cs="Times New Roman"/>
          <w:color w:val="auto"/>
          <w:sz w:val="21"/>
        </w:rPr>
        <w:t>100</w:t>
      </w:r>
      <w:r>
        <w:rPr>
          <w:rFonts w:ascii="宋体" w:hAnsi="宋体" w:eastAsia="宋体" w:cs="宋体"/>
          <w:color w:val="auto"/>
          <w:sz w:val="21"/>
        </w:rPr>
        <w:t>人及以上，且营业收入</w:t>
      </w:r>
      <w:r>
        <w:rPr>
          <w:rFonts w:ascii="Times New Roman" w:hAnsi="Times New Roman" w:eastAsia="Times New Roman" w:cs="Times New Roman"/>
          <w:color w:val="auto"/>
          <w:sz w:val="21"/>
        </w:rPr>
        <w:t>1000</w:t>
      </w:r>
      <w:r>
        <w:rPr>
          <w:rFonts w:ascii="宋体" w:hAnsi="宋体" w:eastAsia="宋体" w:cs="宋体"/>
          <w:color w:val="auto"/>
          <w:sz w:val="21"/>
        </w:rPr>
        <w:t>万元及以上的为中型企业；从业人员</w:t>
      </w:r>
      <w:r>
        <w:rPr>
          <w:rFonts w:ascii="Times New Roman" w:hAnsi="Times New Roman" w:eastAsia="Times New Roman" w:cs="Times New Roman"/>
          <w:color w:val="auto"/>
          <w:sz w:val="21"/>
        </w:rPr>
        <w:t>20</w:t>
      </w:r>
      <w:r>
        <w:rPr>
          <w:rFonts w:ascii="宋体" w:hAnsi="宋体" w:eastAsia="宋体" w:cs="宋体"/>
          <w:color w:val="auto"/>
          <w:sz w:val="21"/>
        </w:rPr>
        <w:t>人及以上，且营业收入</w:t>
      </w:r>
      <w:r>
        <w:rPr>
          <w:rFonts w:ascii="Times New Roman" w:hAnsi="Times New Roman" w:eastAsia="Times New Roman" w:cs="Times New Roman"/>
          <w:color w:val="auto"/>
          <w:sz w:val="21"/>
        </w:rPr>
        <w:t>100</w:t>
      </w:r>
      <w:r>
        <w:rPr>
          <w:rFonts w:ascii="宋体" w:hAnsi="宋体" w:eastAsia="宋体" w:cs="宋体"/>
          <w:color w:val="auto"/>
          <w:sz w:val="21"/>
        </w:rPr>
        <w:t>万元及以上的为小型企业；从业人员</w:t>
      </w:r>
      <w:r>
        <w:rPr>
          <w:rFonts w:ascii="Times New Roman" w:hAnsi="Times New Roman" w:eastAsia="Times New Roman" w:cs="Times New Roman"/>
          <w:color w:val="auto"/>
          <w:sz w:val="21"/>
        </w:rPr>
        <w:t>20</w:t>
      </w:r>
      <w:r>
        <w:rPr>
          <w:rFonts w:ascii="宋体" w:hAnsi="宋体" w:eastAsia="宋体" w:cs="宋体"/>
          <w:color w:val="auto"/>
          <w:sz w:val="21"/>
        </w:rPr>
        <w:t>人以下或营业收入</w:t>
      </w:r>
      <w:r>
        <w:rPr>
          <w:rFonts w:ascii="Times New Roman" w:hAnsi="Times New Roman" w:eastAsia="Times New Roman" w:cs="Times New Roman"/>
          <w:color w:val="auto"/>
          <w:sz w:val="21"/>
        </w:rPr>
        <w:t>100</w:t>
      </w:r>
      <w:r>
        <w:rPr>
          <w:rFonts w:ascii="宋体" w:hAnsi="宋体" w:eastAsia="宋体" w:cs="宋体"/>
          <w:color w:val="auto"/>
          <w:sz w:val="21"/>
        </w:rPr>
        <w:t>万元以下的为微型企业。</w:t>
      </w:r>
    </w:p>
    <w:p w14:paraId="3993F62D">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（八）邮政业。从业人员</w:t>
      </w:r>
      <w:r>
        <w:rPr>
          <w:rFonts w:ascii="Times New Roman" w:hAnsi="Times New Roman" w:eastAsia="Times New Roman" w:cs="Times New Roman"/>
          <w:color w:val="auto"/>
          <w:sz w:val="21"/>
        </w:rPr>
        <w:t>1000</w:t>
      </w:r>
      <w:r>
        <w:rPr>
          <w:rFonts w:ascii="宋体" w:hAnsi="宋体" w:eastAsia="宋体" w:cs="宋体"/>
          <w:color w:val="auto"/>
          <w:sz w:val="21"/>
        </w:rPr>
        <w:t>人以下或营业收入</w:t>
      </w:r>
      <w:r>
        <w:rPr>
          <w:rFonts w:ascii="Times New Roman" w:hAnsi="Times New Roman" w:eastAsia="Times New Roman" w:cs="Times New Roman"/>
          <w:color w:val="auto"/>
          <w:sz w:val="21"/>
        </w:rPr>
        <w:t>30000</w:t>
      </w:r>
      <w:r>
        <w:rPr>
          <w:rFonts w:ascii="宋体" w:hAnsi="宋体" w:eastAsia="宋体" w:cs="宋体"/>
          <w:color w:val="auto"/>
          <w:sz w:val="21"/>
        </w:rPr>
        <w:t>万元以下的为中小微型企业。其中，从业人员</w:t>
      </w:r>
      <w:r>
        <w:rPr>
          <w:rFonts w:ascii="Times New Roman" w:hAnsi="Times New Roman" w:eastAsia="Times New Roman" w:cs="Times New Roman"/>
          <w:color w:val="auto"/>
          <w:sz w:val="21"/>
        </w:rPr>
        <w:t>300</w:t>
      </w:r>
      <w:r>
        <w:rPr>
          <w:rFonts w:ascii="宋体" w:hAnsi="宋体" w:eastAsia="宋体" w:cs="宋体"/>
          <w:color w:val="auto"/>
          <w:sz w:val="21"/>
        </w:rPr>
        <w:t>人及以上，且营业收入</w:t>
      </w:r>
      <w:r>
        <w:rPr>
          <w:rFonts w:ascii="Times New Roman" w:hAnsi="Times New Roman" w:eastAsia="Times New Roman" w:cs="Times New Roman"/>
          <w:color w:val="auto"/>
          <w:sz w:val="21"/>
        </w:rPr>
        <w:t>2000</w:t>
      </w:r>
      <w:r>
        <w:rPr>
          <w:rFonts w:ascii="宋体" w:hAnsi="宋体" w:eastAsia="宋体" w:cs="宋体"/>
          <w:color w:val="auto"/>
          <w:sz w:val="21"/>
        </w:rPr>
        <w:t>万元及以上的为中型企业；从业人员</w:t>
      </w:r>
      <w:r>
        <w:rPr>
          <w:rFonts w:ascii="Times New Roman" w:hAnsi="Times New Roman" w:eastAsia="Times New Roman" w:cs="Times New Roman"/>
          <w:color w:val="auto"/>
          <w:sz w:val="21"/>
        </w:rPr>
        <w:t>20</w:t>
      </w:r>
      <w:r>
        <w:rPr>
          <w:rFonts w:ascii="宋体" w:hAnsi="宋体" w:eastAsia="宋体" w:cs="宋体"/>
          <w:color w:val="auto"/>
          <w:sz w:val="21"/>
        </w:rPr>
        <w:t>人及以上，且营业收入</w:t>
      </w:r>
      <w:r>
        <w:rPr>
          <w:rFonts w:ascii="Times New Roman" w:hAnsi="Times New Roman" w:eastAsia="Times New Roman" w:cs="Times New Roman"/>
          <w:color w:val="auto"/>
          <w:sz w:val="21"/>
        </w:rPr>
        <w:t>100</w:t>
      </w:r>
      <w:r>
        <w:rPr>
          <w:rFonts w:ascii="宋体" w:hAnsi="宋体" w:eastAsia="宋体" w:cs="宋体"/>
          <w:color w:val="auto"/>
          <w:sz w:val="21"/>
        </w:rPr>
        <w:t>万元及以上的为小型企业；从业人员</w:t>
      </w:r>
      <w:r>
        <w:rPr>
          <w:rFonts w:ascii="Times New Roman" w:hAnsi="Times New Roman" w:eastAsia="Times New Roman" w:cs="Times New Roman"/>
          <w:color w:val="auto"/>
          <w:sz w:val="21"/>
        </w:rPr>
        <w:t>20</w:t>
      </w:r>
      <w:r>
        <w:rPr>
          <w:rFonts w:ascii="宋体" w:hAnsi="宋体" w:eastAsia="宋体" w:cs="宋体"/>
          <w:color w:val="auto"/>
          <w:sz w:val="21"/>
        </w:rPr>
        <w:t>人以下或营业收入</w:t>
      </w:r>
      <w:r>
        <w:rPr>
          <w:rFonts w:ascii="Times New Roman" w:hAnsi="Times New Roman" w:eastAsia="Times New Roman" w:cs="Times New Roman"/>
          <w:color w:val="auto"/>
          <w:sz w:val="21"/>
        </w:rPr>
        <w:t>100</w:t>
      </w:r>
      <w:r>
        <w:rPr>
          <w:rFonts w:ascii="宋体" w:hAnsi="宋体" w:eastAsia="宋体" w:cs="宋体"/>
          <w:color w:val="auto"/>
          <w:sz w:val="21"/>
        </w:rPr>
        <w:t>万元以下的为微型企业。</w:t>
      </w:r>
    </w:p>
    <w:p w14:paraId="4BB41AA5">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（九）住宿业。从业人员</w:t>
      </w:r>
      <w:r>
        <w:rPr>
          <w:rFonts w:ascii="Times New Roman" w:hAnsi="Times New Roman" w:eastAsia="Times New Roman" w:cs="Times New Roman"/>
          <w:color w:val="auto"/>
          <w:sz w:val="21"/>
        </w:rPr>
        <w:t>300</w:t>
      </w:r>
      <w:r>
        <w:rPr>
          <w:rFonts w:ascii="宋体" w:hAnsi="宋体" w:eastAsia="宋体" w:cs="宋体"/>
          <w:color w:val="auto"/>
          <w:sz w:val="21"/>
        </w:rPr>
        <w:t>人以下或营业收入</w:t>
      </w:r>
      <w:r>
        <w:rPr>
          <w:rFonts w:ascii="Times New Roman" w:hAnsi="Times New Roman" w:eastAsia="Times New Roman" w:cs="Times New Roman"/>
          <w:color w:val="auto"/>
          <w:sz w:val="21"/>
        </w:rPr>
        <w:t>10000</w:t>
      </w:r>
      <w:r>
        <w:rPr>
          <w:rFonts w:ascii="宋体" w:hAnsi="宋体" w:eastAsia="宋体" w:cs="宋体"/>
          <w:color w:val="auto"/>
          <w:sz w:val="21"/>
        </w:rPr>
        <w:t>万元以下的为中小微型企业。其中，从业人员</w:t>
      </w:r>
      <w:r>
        <w:rPr>
          <w:rFonts w:ascii="Times New Roman" w:hAnsi="Times New Roman" w:eastAsia="Times New Roman" w:cs="Times New Roman"/>
          <w:color w:val="auto"/>
          <w:sz w:val="21"/>
        </w:rPr>
        <w:t>100</w:t>
      </w:r>
      <w:r>
        <w:rPr>
          <w:rFonts w:ascii="宋体" w:hAnsi="宋体" w:eastAsia="宋体" w:cs="宋体"/>
          <w:color w:val="auto"/>
          <w:sz w:val="21"/>
        </w:rPr>
        <w:t>人及以上，且营业收入</w:t>
      </w:r>
      <w:r>
        <w:rPr>
          <w:rFonts w:ascii="Times New Roman" w:hAnsi="Times New Roman" w:eastAsia="Times New Roman" w:cs="Times New Roman"/>
          <w:color w:val="auto"/>
          <w:sz w:val="21"/>
        </w:rPr>
        <w:t>2000</w:t>
      </w:r>
      <w:r>
        <w:rPr>
          <w:rFonts w:ascii="宋体" w:hAnsi="宋体" w:eastAsia="宋体" w:cs="宋体"/>
          <w:color w:val="auto"/>
          <w:sz w:val="21"/>
        </w:rPr>
        <w:t>万元及以上的为中型企业；从业人员</w:t>
      </w:r>
      <w:r>
        <w:rPr>
          <w:rFonts w:ascii="Times New Roman" w:hAnsi="Times New Roman" w:eastAsia="Times New Roman" w:cs="Times New Roman"/>
          <w:color w:val="auto"/>
          <w:sz w:val="21"/>
        </w:rPr>
        <w:t>10</w:t>
      </w:r>
      <w:r>
        <w:rPr>
          <w:rFonts w:ascii="宋体" w:hAnsi="宋体" w:eastAsia="宋体" w:cs="宋体"/>
          <w:color w:val="auto"/>
          <w:sz w:val="21"/>
        </w:rPr>
        <w:t>人及以上，且营业收入</w:t>
      </w:r>
      <w:r>
        <w:rPr>
          <w:rFonts w:ascii="Times New Roman" w:hAnsi="Times New Roman" w:eastAsia="Times New Roman" w:cs="Times New Roman"/>
          <w:color w:val="auto"/>
          <w:sz w:val="21"/>
        </w:rPr>
        <w:t>100</w:t>
      </w:r>
      <w:r>
        <w:rPr>
          <w:rFonts w:ascii="宋体" w:hAnsi="宋体" w:eastAsia="宋体" w:cs="宋体"/>
          <w:color w:val="auto"/>
          <w:sz w:val="21"/>
        </w:rPr>
        <w:t>万元及以上的为小型企业；从业人员</w:t>
      </w:r>
      <w:r>
        <w:rPr>
          <w:rFonts w:ascii="Times New Roman" w:hAnsi="Times New Roman" w:eastAsia="Times New Roman" w:cs="Times New Roman"/>
          <w:color w:val="auto"/>
          <w:sz w:val="21"/>
        </w:rPr>
        <w:t>10</w:t>
      </w:r>
      <w:r>
        <w:rPr>
          <w:rFonts w:ascii="宋体" w:hAnsi="宋体" w:eastAsia="宋体" w:cs="宋体"/>
          <w:color w:val="auto"/>
          <w:sz w:val="21"/>
        </w:rPr>
        <w:t>人以下或营业收入</w:t>
      </w:r>
      <w:r>
        <w:rPr>
          <w:rFonts w:ascii="Times New Roman" w:hAnsi="Times New Roman" w:eastAsia="Times New Roman" w:cs="Times New Roman"/>
          <w:color w:val="auto"/>
          <w:sz w:val="21"/>
        </w:rPr>
        <w:t>100</w:t>
      </w:r>
      <w:r>
        <w:rPr>
          <w:rFonts w:ascii="宋体" w:hAnsi="宋体" w:eastAsia="宋体" w:cs="宋体"/>
          <w:color w:val="auto"/>
          <w:sz w:val="21"/>
        </w:rPr>
        <w:t>万元以下的为微型企业。</w:t>
      </w:r>
    </w:p>
    <w:p w14:paraId="7FB15E1D">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（十）餐饮业。从业人员</w:t>
      </w:r>
      <w:r>
        <w:rPr>
          <w:rFonts w:ascii="Times New Roman" w:hAnsi="Times New Roman" w:eastAsia="Times New Roman" w:cs="Times New Roman"/>
          <w:color w:val="auto"/>
          <w:sz w:val="21"/>
        </w:rPr>
        <w:t>300</w:t>
      </w:r>
      <w:r>
        <w:rPr>
          <w:rFonts w:ascii="宋体" w:hAnsi="宋体" w:eastAsia="宋体" w:cs="宋体"/>
          <w:color w:val="auto"/>
          <w:sz w:val="21"/>
        </w:rPr>
        <w:t>人以下或营业收入</w:t>
      </w:r>
      <w:r>
        <w:rPr>
          <w:rFonts w:ascii="Times New Roman" w:hAnsi="Times New Roman" w:eastAsia="Times New Roman" w:cs="Times New Roman"/>
          <w:color w:val="auto"/>
          <w:sz w:val="21"/>
        </w:rPr>
        <w:t>10000</w:t>
      </w:r>
      <w:r>
        <w:rPr>
          <w:rFonts w:ascii="宋体" w:hAnsi="宋体" w:eastAsia="宋体" w:cs="宋体"/>
          <w:color w:val="auto"/>
          <w:sz w:val="21"/>
        </w:rPr>
        <w:t>万元以下的为中小微型企业。其中，从业人员</w:t>
      </w:r>
      <w:r>
        <w:rPr>
          <w:rFonts w:ascii="Times New Roman" w:hAnsi="Times New Roman" w:eastAsia="Times New Roman" w:cs="Times New Roman"/>
          <w:color w:val="auto"/>
          <w:sz w:val="21"/>
        </w:rPr>
        <w:t>100</w:t>
      </w:r>
      <w:r>
        <w:rPr>
          <w:rFonts w:ascii="宋体" w:hAnsi="宋体" w:eastAsia="宋体" w:cs="宋体"/>
          <w:color w:val="auto"/>
          <w:sz w:val="21"/>
        </w:rPr>
        <w:t>人及以上，且营业收入</w:t>
      </w:r>
      <w:r>
        <w:rPr>
          <w:rFonts w:ascii="Times New Roman" w:hAnsi="Times New Roman" w:eastAsia="Times New Roman" w:cs="Times New Roman"/>
          <w:color w:val="auto"/>
          <w:sz w:val="21"/>
        </w:rPr>
        <w:t>2000</w:t>
      </w:r>
      <w:r>
        <w:rPr>
          <w:rFonts w:ascii="宋体" w:hAnsi="宋体" w:eastAsia="宋体" w:cs="宋体"/>
          <w:color w:val="auto"/>
          <w:sz w:val="21"/>
        </w:rPr>
        <w:t>万元及以上的为中型企业；从业人员</w:t>
      </w:r>
      <w:r>
        <w:rPr>
          <w:rFonts w:ascii="Times New Roman" w:hAnsi="Times New Roman" w:eastAsia="Times New Roman" w:cs="Times New Roman"/>
          <w:color w:val="auto"/>
          <w:sz w:val="21"/>
        </w:rPr>
        <w:t>10</w:t>
      </w:r>
      <w:r>
        <w:rPr>
          <w:rFonts w:ascii="宋体" w:hAnsi="宋体" w:eastAsia="宋体" w:cs="宋体"/>
          <w:color w:val="auto"/>
          <w:sz w:val="21"/>
        </w:rPr>
        <w:t>人及以上，且营业收入</w:t>
      </w:r>
      <w:r>
        <w:rPr>
          <w:rFonts w:ascii="Times New Roman" w:hAnsi="Times New Roman" w:eastAsia="Times New Roman" w:cs="Times New Roman"/>
          <w:color w:val="auto"/>
          <w:sz w:val="21"/>
        </w:rPr>
        <w:t>100</w:t>
      </w:r>
      <w:r>
        <w:rPr>
          <w:rFonts w:ascii="宋体" w:hAnsi="宋体" w:eastAsia="宋体" w:cs="宋体"/>
          <w:color w:val="auto"/>
          <w:sz w:val="21"/>
        </w:rPr>
        <w:t>万元及以上的为小型企业；从业人员</w:t>
      </w:r>
      <w:r>
        <w:rPr>
          <w:rFonts w:ascii="Times New Roman" w:hAnsi="Times New Roman" w:eastAsia="Times New Roman" w:cs="Times New Roman"/>
          <w:color w:val="auto"/>
          <w:sz w:val="21"/>
        </w:rPr>
        <w:t>10</w:t>
      </w:r>
      <w:r>
        <w:rPr>
          <w:rFonts w:ascii="宋体" w:hAnsi="宋体" w:eastAsia="宋体" w:cs="宋体"/>
          <w:color w:val="auto"/>
          <w:sz w:val="21"/>
        </w:rPr>
        <w:t>人以下或营业收入</w:t>
      </w:r>
      <w:r>
        <w:rPr>
          <w:rFonts w:ascii="Times New Roman" w:hAnsi="Times New Roman" w:eastAsia="Times New Roman" w:cs="Times New Roman"/>
          <w:color w:val="auto"/>
          <w:sz w:val="21"/>
        </w:rPr>
        <w:t>100</w:t>
      </w:r>
      <w:r>
        <w:rPr>
          <w:rFonts w:ascii="宋体" w:hAnsi="宋体" w:eastAsia="宋体" w:cs="宋体"/>
          <w:color w:val="auto"/>
          <w:sz w:val="21"/>
        </w:rPr>
        <w:t>万元以下的为微型企业。</w:t>
      </w:r>
    </w:p>
    <w:p w14:paraId="25BD90F0">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（十一）信息传输业。从业人员</w:t>
      </w:r>
      <w:r>
        <w:rPr>
          <w:rFonts w:ascii="Times New Roman" w:hAnsi="Times New Roman" w:eastAsia="Times New Roman" w:cs="Times New Roman"/>
          <w:color w:val="auto"/>
          <w:sz w:val="21"/>
        </w:rPr>
        <w:t>2000</w:t>
      </w:r>
      <w:r>
        <w:rPr>
          <w:rFonts w:ascii="宋体" w:hAnsi="宋体" w:eastAsia="宋体" w:cs="宋体"/>
          <w:color w:val="auto"/>
          <w:sz w:val="21"/>
        </w:rPr>
        <w:t>人以下或营业收入</w:t>
      </w:r>
      <w:r>
        <w:rPr>
          <w:rFonts w:ascii="Times New Roman" w:hAnsi="Times New Roman" w:eastAsia="Times New Roman" w:cs="Times New Roman"/>
          <w:color w:val="auto"/>
          <w:sz w:val="21"/>
        </w:rPr>
        <w:t>100000</w:t>
      </w:r>
      <w:r>
        <w:rPr>
          <w:rFonts w:ascii="宋体" w:hAnsi="宋体" w:eastAsia="宋体" w:cs="宋体"/>
          <w:color w:val="auto"/>
          <w:sz w:val="21"/>
        </w:rPr>
        <w:t>万元以下的为中小微型企业。其中，从业人员</w:t>
      </w:r>
      <w:r>
        <w:rPr>
          <w:rFonts w:ascii="Times New Roman" w:hAnsi="Times New Roman" w:eastAsia="Times New Roman" w:cs="Times New Roman"/>
          <w:color w:val="auto"/>
          <w:sz w:val="21"/>
        </w:rPr>
        <w:t>100</w:t>
      </w:r>
      <w:r>
        <w:rPr>
          <w:rFonts w:ascii="宋体" w:hAnsi="宋体" w:eastAsia="宋体" w:cs="宋体"/>
          <w:color w:val="auto"/>
          <w:sz w:val="21"/>
        </w:rPr>
        <w:t>人及以上，且营业收入</w:t>
      </w:r>
      <w:r>
        <w:rPr>
          <w:rFonts w:ascii="Times New Roman" w:hAnsi="Times New Roman" w:eastAsia="Times New Roman" w:cs="Times New Roman"/>
          <w:color w:val="auto"/>
          <w:sz w:val="21"/>
        </w:rPr>
        <w:t>1000</w:t>
      </w:r>
      <w:r>
        <w:rPr>
          <w:rFonts w:ascii="宋体" w:hAnsi="宋体" w:eastAsia="宋体" w:cs="宋体"/>
          <w:color w:val="auto"/>
          <w:sz w:val="21"/>
        </w:rPr>
        <w:t>万元及以上的为中型企业；从业人员</w:t>
      </w:r>
      <w:r>
        <w:rPr>
          <w:rFonts w:ascii="Times New Roman" w:hAnsi="Times New Roman" w:eastAsia="Times New Roman" w:cs="Times New Roman"/>
          <w:color w:val="auto"/>
          <w:sz w:val="21"/>
        </w:rPr>
        <w:t>10</w:t>
      </w:r>
      <w:r>
        <w:rPr>
          <w:rFonts w:ascii="宋体" w:hAnsi="宋体" w:eastAsia="宋体" w:cs="宋体"/>
          <w:color w:val="auto"/>
          <w:sz w:val="21"/>
        </w:rPr>
        <w:t>人及以上，且营业收入</w:t>
      </w:r>
      <w:r>
        <w:rPr>
          <w:rFonts w:ascii="Times New Roman" w:hAnsi="Times New Roman" w:eastAsia="Times New Roman" w:cs="Times New Roman"/>
          <w:color w:val="auto"/>
          <w:sz w:val="21"/>
        </w:rPr>
        <w:t>100</w:t>
      </w:r>
      <w:r>
        <w:rPr>
          <w:rFonts w:ascii="宋体" w:hAnsi="宋体" w:eastAsia="宋体" w:cs="宋体"/>
          <w:color w:val="auto"/>
          <w:sz w:val="21"/>
        </w:rPr>
        <w:t>万元及以上的为小型企业；从业人员</w:t>
      </w:r>
      <w:r>
        <w:rPr>
          <w:rFonts w:ascii="Times New Roman" w:hAnsi="Times New Roman" w:eastAsia="Times New Roman" w:cs="Times New Roman"/>
          <w:color w:val="auto"/>
          <w:sz w:val="21"/>
        </w:rPr>
        <w:t>10</w:t>
      </w:r>
      <w:r>
        <w:rPr>
          <w:rFonts w:ascii="宋体" w:hAnsi="宋体" w:eastAsia="宋体" w:cs="宋体"/>
          <w:color w:val="auto"/>
          <w:sz w:val="21"/>
        </w:rPr>
        <w:t>人以下或营业收入</w:t>
      </w:r>
      <w:r>
        <w:rPr>
          <w:rFonts w:ascii="Times New Roman" w:hAnsi="Times New Roman" w:eastAsia="Times New Roman" w:cs="Times New Roman"/>
          <w:color w:val="auto"/>
          <w:sz w:val="21"/>
        </w:rPr>
        <w:t>100</w:t>
      </w:r>
      <w:r>
        <w:rPr>
          <w:rFonts w:ascii="宋体" w:hAnsi="宋体" w:eastAsia="宋体" w:cs="宋体"/>
          <w:color w:val="auto"/>
          <w:sz w:val="21"/>
        </w:rPr>
        <w:t>万元以下的为微型企业。</w:t>
      </w:r>
    </w:p>
    <w:p w14:paraId="44CBD57D">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（十二）软件和信息技术服务业。从业人员</w:t>
      </w:r>
      <w:r>
        <w:rPr>
          <w:rFonts w:ascii="Times New Roman" w:hAnsi="Times New Roman" w:eastAsia="Times New Roman" w:cs="Times New Roman"/>
          <w:color w:val="auto"/>
          <w:sz w:val="21"/>
        </w:rPr>
        <w:t>300</w:t>
      </w:r>
      <w:r>
        <w:rPr>
          <w:rFonts w:ascii="宋体" w:hAnsi="宋体" w:eastAsia="宋体" w:cs="宋体"/>
          <w:color w:val="auto"/>
          <w:sz w:val="21"/>
        </w:rPr>
        <w:t>人以下或营业收入</w:t>
      </w:r>
      <w:r>
        <w:rPr>
          <w:rFonts w:ascii="Times New Roman" w:hAnsi="Times New Roman" w:eastAsia="Times New Roman" w:cs="Times New Roman"/>
          <w:color w:val="auto"/>
          <w:sz w:val="21"/>
        </w:rPr>
        <w:t>10000</w:t>
      </w:r>
      <w:r>
        <w:rPr>
          <w:rFonts w:ascii="宋体" w:hAnsi="宋体" w:eastAsia="宋体" w:cs="宋体"/>
          <w:color w:val="auto"/>
          <w:sz w:val="21"/>
        </w:rPr>
        <w:t>万元以下的为中小微型企业。其中，从业人员</w:t>
      </w:r>
      <w:r>
        <w:rPr>
          <w:rFonts w:ascii="Times New Roman" w:hAnsi="Times New Roman" w:eastAsia="Times New Roman" w:cs="Times New Roman"/>
          <w:color w:val="auto"/>
          <w:sz w:val="21"/>
        </w:rPr>
        <w:t>100</w:t>
      </w:r>
      <w:r>
        <w:rPr>
          <w:rFonts w:ascii="宋体" w:hAnsi="宋体" w:eastAsia="宋体" w:cs="宋体"/>
          <w:color w:val="auto"/>
          <w:sz w:val="21"/>
        </w:rPr>
        <w:t>人及以上，且营业收入</w:t>
      </w:r>
      <w:r>
        <w:rPr>
          <w:rFonts w:ascii="Times New Roman" w:hAnsi="Times New Roman" w:eastAsia="Times New Roman" w:cs="Times New Roman"/>
          <w:color w:val="auto"/>
          <w:sz w:val="21"/>
        </w:rPr>
        <w:t>1000</w:t>
      </w:r>
      <w:r>
        <w:rPr>
          <w:rFonts w:ascii="宋体" w:hAnsi="宋体" w:eastAsia="宋体" w:cs="宋体"/>
          <w:color w:val="auto"/>
          <w:sz w:val="21"/>
        </w:rPr>
        <w:t>万元及以上的为中型企业；从业人员</w:t>
      </w:r>
      <w:r>
        <w:rPr>
          <w:rFonts w:ascii="Times New Roman" w:hAnsi="Times New Roman" w:eastAsia="Times New Roman" w:cs="Times New Roman"/>
          <w:color w:val="auto"/>
          <w:sz w:val="21"/>
        </w:rPr>
        <w:t>10</w:t>
      </w:r>
      <w:r>
        <w:rPr>
          <w:rFonts w:ascii="宋体" w:hAnsi="宋体" w:eastAsia="宋体" w:cs="宋体"/>
          <w:color w:val="auto"/>
          <w:sz w:val="21"/>
        </w:rPr>
        <w:t>人及以上，且营业收入</w:t>
      </w:r>
      <w:r>
        <w:rPr>
          <w:rFonts w:ascii="Times New Roman" w:hAnsi="Times New Roman" w:eastAsia="Times New Roman" w:cs="Times New Roman"/>
          <w:color w:val="auto"/>
          <w:sz w:val="21"/>
        </w:rPr>
        <w:t>50</w:t>
      </w:r>
      <w:r>
        <w:rPr>
          <w:rFonts w:ascii="宋体" w:hAnsi="宋体" w:eastAsia="宋体" w:cs="宋体"/>
          <w:color w:val="auto"/>
          <w:sz w:val="21"/>
        </w:rPr>
        <w:t>万元及以上的为小型企业；从业人员</w:t>
      </w:r>
      <w:r>
        <w:rPr>
          <w:rFonts w:ascii="Times New Roman" w:hAnsi="Times New Roman" w:eastAsia="Times New Roman" w:cs="Times New Roman"/>
          <w:color w:val="auto"/>
          <w:sz w:val="21"/>
        </w:rPr>
        <w:t>10</w:t>
      </w:r>
      <w:r>
        <w:rPr>
          <w:rFonts w:ascii="宋体" w:hAnsi="宋体" w:eastAsia="宋体" w:cs="宋体"/>
          <w:color w:val="auto"/>
          <w:sz w:val="21"/>
        </w:rPr>
        <w:t>人以下或营业收入</w:t>
      </w:r>
      <w:r>
        <w:rPr>
          <w:rFonts w:ascii="Times New Roman" w:hAnsi="Times New Roman" w:eastAsia="Times New Roman" w:cs="Times New Roman"/>
          <w:color w:val="auto"/>
          <w:sz w:val="21"/>
        </w:rPr>
        <w:t>50</w:t>
      </w:r>
      <w:r>
        <w:rPr>
          <w:rFonts w:ascii="宋体" w:hAnsi="宋体" w:eastAsia="宋体" w:cs="宋体"/>
          <w:color w:val="auto"/>
          <w:sz w:val="21"/>
        </w:rPr>
        <w:t>万元以下的为微型企业。</w:t>
      </w:r>
    </w:p>
    <w:p w14:paraId="699818A4">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（十三）房地产开发经营。营业收入</w:t>
      </w:r>
      <w:r>
        <w:rPr>
          <w:rFonts w:ascii="Times New Roman" w:hAnsi="Times New Roman" w:eastAsia="Times New Roman" w:cs="Times New Roman"/>
          <w:color w:val="auto"/>
          <w:sz w:val="21"/>
        </w:rPr>
        <w:t>200000</w:t>
      </w:r>
      <w:r>
        <w:rPr>
          <w:rFonts w:ascii="宋体" w:hAnsi="宋体" w:eastAsia="宋体" w:cs="宋体"/>
          <w:color w:val="auto"/>
          <w:sz w:val="21"/>
        </w:rPr>
        <w:t>万元以下或资产总额</w:t>
      </w:r>
      <w:r>
        <w:rPr>
          <w:rFonts w:ascii="Times New Roman" w:hAnsi="Times New Roman" w:eastAsia="Times New Roman" w:cs="Times New Roman"/>
          <w:color w:val="auto"/>
          <w:sz w:val="21"/>
        </w:rPr>
        <w:t>10000</w:t>
      </w:r>
      <w:r>
        <w:rPr>
          <w:rFonts w:ascii="宋体" w:hAnsi="宋体" w:eastAsia="宋体" w:cs="宋体"/>
          <w:color w:val="auto"/>
          <w:sz w:val="21"/>
        </w:rPr>
        <w:t>万元以下的为中小微型企业。其中，营业收入</w:t>
      </w:r>
      <w:r>
        <w:rPr>
          <w:rFonts w:ascii="Times New Roman" w:hAnsi="Times New Roman" w:eastAsia="Times New Roman" w:cs="Times New Roman"/>
          <w:color w:val="auto"/>
          <w:sz w:val="21"/>
        </w:rPr>
        <w:t>1000</w:t>
      </w:r>
      <w:r>
        <w:rPr>
          <w:rFonts w:ascii="宋体" w:hAnsi="宋体" w:eastAsia="宋体" w:cs="宋体"/>
          <w:color w:val="auto"/>
          <w:sz w:val="21"/>
        </w:rPr>
        <w:t>万元及以上，且资产总额</w:t>
      </w:r>
      <w:r>
        <w:rPr>
          <w:rFonts w:ascii="Times New Roman" w:hAnsi="Times New Roman" w:eastAsia="Times New Roman" w:cs="Times New Roman"/>
          <w:color w:val="auto"/>
          <w:sz w:val="21"/>
        </w:rPr>
        <w:t>5000</w:t>
      </w:r>
      <w:r>
        <w:rPr>
          <w:rFonts w:ascii="宋体" w:hAnsi="宋体" w:eastAsia="宋体" w:cs="宋体"/>
          <w:color w:val="auto"/>
          <w:sz w:val="21"/>
        </w:rPr>
        <w:t>万元及以上的为中型企业；营业收入</w:t>
      </w:r>
      <w:r>
        <w:rPr>
          <w:rFonts w:ascii="Times New Roman" w:hAnsi="Times New Roman" w:eastAsia="Times New Roman" w:cs="Times New Roman"/>
          <w:color w:val="auto"/>
          <w:sz w:val="21"/>
        </w:rPr>
        <w:t>100</w:t>
      </w:r>
      <w:r>
        <w:rPr>
          <w:rFonts w:ascii="宋体" w:hAnsi="宋体" w:eastAsia="宋体" w:cs="宋体"/>
          <w:color w:val="auto"/>
          <w:sz w:val="21"/>
        </w:rPr>
        <w:t>万元及以上，且资产总额</w:t>
      </w:r>
      <w:r>
        <w:rPr>
          <w:rFonts w:ascii="Times New Roman" w:hAnsi="Times New Roman" w:eastAsia="Times New Roman" w:cs="Times New Roman"/>
          <w:color w:val="auto"/>
          <w:sz w:val="21"/>
        </w:rPr>
        <w:t>2000</w:t>
      </w:r>
      <w:r>
        <w:rPr>
          <w:rFonts w:ascii="宋体" w:hAnsi="宋体" w:eastAsia="宋体" w:cs="宋体"/>
          <w:color w:val="auto"/>
          <w:sz w:val="21"/>
        </w:rPr>
        <w:t>万元及以上的为小型企业；营业收入</w:t>
      </w:r>
      <w:r>
        <w:rPr>
          <w:rFonts w:ascii="Times New Roman" w:hAnsi="Times New Roman" w:eastAsia="Times New Roman" w:cs="Times New Roman"/>
          <w:color w:val="auto"/>
          <w:sz w:val="21"/>
        </w:rPr>
        <w:t>100</w:t>
      </w:r>
      <w:r>
        <w:rPr>
          <w:rFonts w:ascii="宋体" w:hAnsi="宋体" w:eastAsia="宋体" w:cs="宋体"/>
          <w:color w:val="auto"/>
          <w:sz w:val="21"/>
        </w:rPr>
        <w:t>万元以下或资产总额</w:t>
      </w:r>
      <w:r>
        <w:rPr>
          <w:rFonts w:ascii="Times New Roman" w:hAnsi="Times New Roman" w:eastAsia="Times New Roman" w:cs="Times New Roman"/>
          <w:color w:val="auto"/>
          <w:sz w:val="21"/>
        </w:rPr>
        <w:t>2000</w:t>
      </w:r>
      <w:r>
        <w:rPr>
          <w:rFonts w:ascii="宋体" w:hAnsi="宋体" w:eastAsia="宋体" w:cs="宋体"/>
          <w:color w:val="auto"/>
          <w:sz w:val="21"/>
        </w:rPr>
        <w:t>万元以下的为微型企业。</w:t>
      </w:r>
    </w:p>
    <w:p w14:paraId="031EFC21">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（十四）物业管理。从业人员</w:t>
      </w:r>
      <w:r>
        <w:rPr>
          <w:rFonts w:ascii="Times New Roman" w:hAnsi="Times New Roman" w:eastAsia="Times New Roman" w:cs="Times New Roman"/>
          <w:color w:val="auto"/>
          <w:sz w:val="21"/>
        </w:rPr>
        <w:t>1000</w:t>
      </w:r>
      <w:r>
        <w:rPr>
          <w:rFonts w:ascii="宋体" w:hAnsi="宋体" w:eastAsia="宋体" w:cs="宋体"/>
          <w:color w:val="auto"/>
          <w:sz w:val="21"/>
        </w:rPr>
        <w:t>人以下或营业收入</w:t>
      </w:r>
      <w:r>
        <w:rPr>
          <w:rFonts w:ascii="Times New Roman" w:hAnsi="Times New Roman" w:eastAsia="Times New Roman" w:cs="Times New Roman"/>
          <w:color w:val="auto"/>
          <w:sz w:val="21"/>
        </w:rPr>
        <w:t>5000</w:t>
      </w:r>
      <w:r>
        <w:rPr>
          <w:rFonts w:ascii="宋体" w:hAnsi="宋体" w:eastAsia="宋体" w:cs="宋体"/>
          <w:color w:val="auto"/>
          <w:sz w:val="21"/>
        </w:rPr>
        <w:t>万元以下的为中小微型企业。其中，从业人员</w:t>
      </w:r>
      <w:r>
        <w:rPr>
          <w:rFonts w:ascii="Times New Roman" w:hAnsi="Times New Roman" w:eastAsia="Times New Roman" w:cs="Times New Roman"/>
          <w:color w:val="auto"/>
          <w:sz w:val="21"/>
        </w:rPr>
        <w:t>300</w:t>
      </w:r>
      <w:r>
        <w:rPr>
          <w:rFonts w:ascii="宋体" w:hAnsi="宋体" w:eastAsia="宋体" w:cs="宋体"/>
          <w:color w:val="auto"/>
          <w:sz w:val="21"/>
        </w:rPr>
        <w:t>人及以上，且营业收入</w:t>
      </w:r>
      <w:r>
        <w:rPr>
          <w:rFonts w:ascii="Times New Roman" w:hAnsi="Times New Roman" w:eastAsia="Times New Roman" w:cs="Times New Roman"/>
          <w:color w:val="auto"/>
          <w:sz w:val="21"/>
        </w:rPr>
        <w:t>1000</w:t>
      </w:r>
      <w:r>
        <w:rPr>
          <w:rFonts w:ascii="宋体" w:hAnsi="宋体" w:eastAsia="宋体" w:cs="宋体"/>
          <w:color w:val="auto"/>
          <w:sz w:val="21"/>
        </w:rPr>
        <w:t>万元及以上的为中型企业；从业人员</w:t>
      </w:r>
      <w:r>
        <w:rPr>
          <w:rFonts w:ascii="Times New Roman" w:hAnsi="Times New Roman" w:eastAsia="Times New Roman" w:cs="Times New Roman"/>
          <w:color w:val="auto"/>
          <w:sz w:val="21"/>
        </w:rPr>
        <w:t>100</w:t>
      </w:r>
      <w:r>
        <w:rPr>
          <w:rFonts w:ascii="宋体" w:hAnsi="宋体" w:eastAsia="宋体" w:cs="宋体"/>
          <w:color w:val="auto"/>
          <w:sz w:val="21"/>
        </w:rPr>
        <w:t>人及以上，且营业收入</w:t>
      </w:r>
      <w:r>
        <w:rPr>
          <w:rFonts w:ascii="Times New Roman" w:hAnsi="Times New Roman" w:eastAsia="Times New Roman" w:cs="Times New Roman"/>
          <w:color w:val="auto"/>
          <w:sz w:val="21"/>
        </w:rPr>
        <w:t>500</w:t>
      </w:r>
      <w:r>
        <w:rPr>
          <w:rFonts w:ascii="宋体" w:hAnsi="宋体" w:eastAsia="宋体" w:cs="宋体"/>
          <w:color w:val="auto"/>
          <w:sz w:val="21"/>
        </w:rPr>
        <w:t>万元及以上的为小型企业；从业人员</w:t>
      </w:r>
      <w:r>
        <w:rPr>
          <w:rFonts w:ascii="Times New Roman" w:hAnsi="Times New Roman" w:eastAsia="Times New Roman" w:cs="Times New Roman"/>
          <w:color w:val="auto"/>
          <w:sz w:val="21"/>
        </w:rPr>
        <w:t>100</w:t>
      </w:r>
      <w:r>
        <w:rPr>
          <w:rFonts w:ascii="宋体" w:hAnsi="宋体" w:eastAsia="宋体" w:cs="宋体"/>
          <w:color w:val="auto"/>
          <w:sz w:val="21"/>
        </w:rPr>
        <w:t>人以下或营业收入</w:t>
      </w:r>
      <w:r>
        <w:rPr>
          <w:rFonts w:ascii="Times New Roman" w:hAnsi="Times New Roman" w:eastAsia="Times New Roman" w:cs="Times New Roman"/>
          <w:color w:val="auto"/>
          <w:sz w:val="21"/>
        </w:rPr>
        <w:t>500</w:t>
      </w:r>
      <w:r>
        <w:rPr>
          <w:rFonts w:ascii="宋体" w:hAnsi="宋体" w:eastAsia="宋体" w:cs="宋体"/>
          <w:color w:val="auto"/>
          <w:sz w:val="21"/>
        </w:rPr>
        <w:t>万元以下的为微型企业。</w:t>
      </w:r>
    </w:p>
    <w:p w14:paraId="745003FF">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（十五）租赁和商务服务业。从业人员</w:t>
      </w:r>
      <w:r>
        <w:rPr>
          <w:rFonts w:ascii="Times New Roman" w:hAnsi="Times New Roman" w:eastAsia="Times New Roman" w:cs="Times New Roman"/>
          <w:color w:val="auto"/>
          <w:sz w:val="21"/>
        </w:rPr>
        <w:t>300</w:t>
      </w:r>
      <w:r>
        <w:rPr>
          <w:rFonts w:ascii="宋体" w:hAnsi="宋体" w:eastAsia="宋体" w:cs="宋体"/>
          <w:color w:val="auto"/>
          <w:sz w:val="21"/>
        </w:rPr>
        <w:t>人以下或资产总额</w:t>
      </w:r>
      <w:r>
        <w:rPr>
          <w:rFonts w:ascii="Times New Roman" w:hAnsi="Times New Roman" w:eastAsia="Times New Roman" w:cs="Times New Roman"/>
          <w:color w:val="auto"/>
          <w:sz w:val="21"/>
        </w:rPr>
        <w:t>120000</w:t>
      </w:r>
      <w:r>
        <w:rPr>
          <w:rFonts w:ascii="宋体" w:hAnsi="宋体" w:eastAsia="宋体" w:cs="宋体"/>
          <w:color w:val="auto"/>
          <w:sz w:val="21"/>
        </w:rPr>
        <w:t>万元以下的为中小微型企业。其中，从业人员</w:t>
      </w:r>
      <w:r>
        <w:rPr>
          <w:rFonts w:ascii="Times New Roman" w:hAnsi="Times New Roman" w:eastAsia="Times New Roman" w:cs="Times New Roman"/>
          <w:color w:val="auto"/>
          <w:sz w:val="21"/>
        </w:rPr>
        <w:t>100</w:t>
      </w:r>
      <w:r>
        <w:rPr>
          <w:rFonts w:ascii="宋体" w:hAnsi="宋体" w:eastAsia="宋体" w:cs="宋体"/>
          <w:color w:val="auto"/>
          <w:sz w:val="21"/>
        </w:rPr>
        <w:t>人及以上，且资产总额</w:t>
      </w:r>
      <w:r>
        <w:rPr>
          <w:rFonts w:ascii="Times New Roman" w:hAnsi="Times New Roman" w:eastAsia="Times New Roman" w:cs="Times New Roman"/>
          <w:color w:val="auto"/>
          <w:sz w:val="21"/>
        </w:rPr>
        <w:t>8000</w:t>
      </w:r>
      <w:r>
        <w:rPr>
          <w:rFonts w:ascii="宋体" w:hAnsi="宋体" w:eastAsia="宋体" w:cs="宋体"/>
          <w:color w:val="auto"/>
          <w:sz w:val="21"/>
        </w:rPr>
        <w:t>万元及以上的为中型企业；从业人员</w:t>
      </w:r>
      <w:r>
        <w:rPr>
          <w:rFonts w:ascii="Times New Roman" w:hAnsi="Times New Roman" w:eastAsia="Times New Roman" w:cs="Times New Roman"/>
          <w:color w:val="auto"/>
          <w:sz w:val="21"/>
        </w:rPr>
        <w:t>10</w:t>
      </w:r>
      <w:r>
        <w:rPr>
          <w:rFonts w:ascii="宋体" w:hAnsi="宋体" w:eastAsia="宋体" w:cs="宋体"/>
          <w:color w:val="auto"/>
          <w:sz w:val="21"/>
        </w:rPr>
        <w:t>人及以上，且资产总额</w:t>
      </w:r>
      <w:r>
        <w:rPr>
          <w:rFonts w:ascii="Times New Roman" w:hAnsi="Times New Roman" w:eastAsia="Times New Roman" w:cs="Times New Roman"/>
          <w:color w:val="auto"/>
          <w:sz w:val="21"/>
        </w:rPr>
        <w:t>100</w:t>
      </w:r>
      <w:r>
        <w:rPr>
          <w:rFonts w:ascii="宋体" w:hAnsi="宋体" w:eastAsia="宋体" w:cs="宋体"/>
          <w:color w:val="auto"/>
          <w:sz w:val="21"/>
        </w:rPr>
        <w:t>万元及以上的为小型企业；从业人员</w:t>
      </w:r>
      <w:r>
        <w:rPr>
          <w:rFonts w:ascii="Times New Roman" w:hAnsi="Times New Roman" w:eastAsia="Times New Roman" w:cs="Times New Roman"/>
          <w:color w:val="auto"/>
          <w:sz w:val="21"/>
        </w:rPr>
        <w:t>10</w:t>
      </w:r>
      <w:r>
        <w:rPr>
          <w:rFonts w:ascii="宋体" w:hAnsi="宋体" w:eastAsia="宋体" w:cs="宋体"/>
          <w:color w:val="auto"/>
          <w:sz w:val="21"/>
        </w:rPr>
        <w:t>人以下或资产总额</w:t>
      </w:r>
      <w:r>
        <w:rPr>
          <w:rFonts w:ascii="Times New Roman" w:hAnsi="Times New Roman" w:eastAsia="Times New Roman" w:cs="Times New Roman"/>
          <w:color w:val="auto"/>
          <w:sz w:val="21"/>
        </w:rPr>
        <w:t>100</w:t>
      </w:r>
      <w:r>
        <w:rPr>
          <w:rFonts w:ascii="宋体" w:hAnsi="宋体" w:eastAsia="宋体" w:cs="宋体"/>
          <w:color w:val="auto"/>
          <w:sz w:val="21"/>
        </w:rPr>
        <w:t>万元以下的为微型企业。</w:t>
      </w:r>
    </w:p>
    <w:p w14:paraId="07991EEF">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（十六）其他未列明行业。从业人员</w:t>
      </w:r>
      <w:r>
        <w:rPr>
          <w:rFonts w:ascii="Times New Roman" w:hAnsi="Times New Roman" w:eastAsia="Times New Roman" w:cs="Times New Roman"/>
          <w:color w:val="auto"/>
          <w:sz w:val="21"/>
        </w:rPr>
        <w:t>300</w:t>
      </w:r>
      <w:r>
        <w:rPr>
          <w:rFonts w:ascii="宋体" w:hAnsi="宋体" w:eastAsia="宋体" w:cs="宋体"/>
          <w:color w:val="auto"/>
          <w:sz w:val="21"/>
        </w:rPr>
        <w:t>人以下的为中小微型企业。其中，从业人员</w:t>
      </w:r>
      <w:r>
        <w:rPr>
          <w:rFonts w:ascii="Times New Roman" w:hAnsi="Times New Roman" w:eastAsia="Times New Roman" w:cs="Times New Roman"/>
          <w:color w:val="auto"/>
          <w:sz w:val="21"/>
        </w:rPr>
        <w:t>100</w:t>
      </w:r>
      <w:r>
        <w:rPr>
          <w:rFonts w:ascii="宋体" w:hAnsi="宋体" w:eastAsia="宋体" w:cs="宋体"/>
          <w:color w:val="auto"/>
          <w:sz w:val="21"/>
        </w:rPr>
        <w:t>人及以上的为中型企业；从业人员</w:t>
      </w:r>
      <w:r>
        <w:rPr>
          <w:rFonts w:ascii="Times New Roman" w:hAnsi="Times New Roman" w:eastAsia="Times New Roman" w:cs="Times New Roman"/>
          <w:color w:val="auto"/>
          <w:sz w:val="21"/>
        </w:rPr>
        <w:t>10</w:t>
      </w:r>
      <w:r>
        <w:rPr>
          <w:rFonts w:ascii="宋体" w:hAnsi="宋体" w:eastAsia="宋体" w:cs="宋体"/>
          <w:color w:val="auto"/>
          <w:sz w:val="21"/>
        </w:rPr>
        <w:t>人及以上的为小型企业；从业人员</w:t>
      </w:r>
      <w:r>
        <w:rPr>
          <w:rFonts w:ascii="Times New Roman" w:hAnsi="Times New Roman" w:eastAsia="Times New Roman" w:cs="Times New Roman"/>
          <w:color w:val="auto"/>
          <w:sz w:val="21"/>
        </w:rPr>
        <w:t>10</w:t>
      </w:r>
      <w:r>
        <w:rPr>
          <w:rFonts w:ascii="宋体" w:hAnsi="宋体" w:eastAsia="宋体" w:cs="宋体"/>
          <w:color w:val="auto"/>
          <w:sz w:val="21"/>
        </w:rPr>
        <w:t>人以下的为微型企业。</w:t>
      </w:r>
    </w:p>
    <w:p w14:paraId="35651CCA">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Times New Roman" w:hAnsi="Times New Roman" w:eastAsia="Times New Roman" w:cs="Times New Roman"/>
          <w:color w:val="auto"/>
          <w:sz w:val="24"/>
        </w:rPr>
        <w:t> </w:t>
      </w:r>
    </w:p>
    <w:p w14:paraId="62E96E59">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Times New Roman" w:hAnsi="Times New Roman" w:eastAsia="Times New Roman" w:cs="Times New Roman"/>
          <w:color w:val="auto"/>
          <w:sz w:val="24"/>
        </w:rPr>
        <w:t> </w:t>
      </w:r>
    </w:p>
    <w:p w14:paraId="6321C4E1">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Times New Roman" w:hAnsi="Times New Roman" w:eastAsia="Times New Roman" w:cs="Times New Roman"/>
          <w:color w:val="auto"/>
          <w:sz w:val="24"/>
        </w:rPr>
        <w:t> </w:t>
      </w:r>
    </w:p>
    <w:p w14:paraId="371CFAAE">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Calibri" w:hAnsi="Calibri" w:eastAsia="Calibri" w:cs="Calibri"/>
          <w:color w:val="auto"/>
          <w:sz w:val="21"/>
        </w:rPr>
        <w:t> </w:t>
      </w:r>
    </w:p>
    <w:p w14:paraId="463972C9">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633" w:firstLine="0"/>
        <w:jc w:val="center"/>
        <w:rPr>
          <w:color w:val="auto"/>
        </w:rPr>
      </w:pPr>
      <w:r>
        <w:rPr>
          <w:color w:val="auto"/>
        </w:rPr>
        <w:br w:type="page" w:clear="all"/>
      </w:r>
    </w:p>
    <w:p w14:paraId="25EB1035">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633" w:firstLine="0"/>
        <w:jc w:val="center"/>
        <w:rPr>
          <w:color w:val="auto"/>
        </w:rPr>
      </w:pPr>
      <w:r>
        <w:rPr>
          <w:rFonts w:ascii="宋体" w:hAnsi="宋体" w:eastAsia="宋体" w:cs="宋体"/>
          <w:b/>
          <w:color w:val="auto"/>
          <w:sz w:val="21"/>
        </w:rPr>
        <w:t>附件十一、残疾人福利性单位声明函、属于监狱企业的证明文件</w:t>
      </w:r>
    </w:p>
    <w:p w14:paraId="38E6D08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8"/>
        </w:rPr>
        <w:t>11-1残疾人福利性单位声明函</w:t>
      </w:r>
    </w:p>
    <w:p w14:paraId="3FF010F8">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rPr>
          <w:color w:val="auto"/>
        </w:rPr>
      </w:pPr>
      <w:r>
        <w:rPr>
          <w:rFonts w:ascii="Calibri" w:hAnsi="Calibri" w:eastAsia="Calibri" w:cs="Calibri"/>
          <w:color w:val="auto"/>
          <w:sz w:val="21"/>
        </w:rPr>
        <w:t> </w:t>
      </w:r>
    </w:p>
    <w:p w14:paraId="3050F778">
      <w:pPr>
        <w:pBdr>
          <w:top w:val="none" w:color="000000" w:sz="0" w:space="0"/>
          <w:left w:val="none" w:color="000000" w:sz="0" w:space="0"/>
          <w:bottom w:val="none" w:color="000000" w:sz="0" w:space="0"/>
          <w:right w:val="none" w:color="000000" w:sz="0" w:space="0"/>
        </w:pBdr>
        <w:spacing w:before="0" w:after="0" w:line="85" w:lineRule="atLeast"/>
        <w:ind w:left="0" w:right="0" w:firstLine="444"/>
        <w:jc w:val="both"/>
        <w:rPr>
          <w:color w:val="auto"/>
        </w:rPr>
      </w:pPr>
      <w:r>
        <w:rPr>
          <w:rFonts w:ascii="宋体" w:hAnsi="宋体" w:eastAsia="宋体" w:cs="宋体"/>
          <w:color w:val="auto"/>
          <w:spacing w:val="6"/>
          <w:sz w:val="21"/>
        </w:rPr>
        <w:t>本单位郑重声明，根据《财政部民政部中国残疾人联合会关于促进残疾人就业政府采购政策的通知》（财库</w:t>
      </w:r>
      <w:r>
        <w:rPr>
          <w:rFonts w:ascii="宋体" w:hAnsi="宋体" w:eastAsia="宋体" w:cs="宋体"/>
          <w:color w:val="auto"/>
          <w:sz w:val="21"/>
        </w:rPr>
        <w:t>〔2017〕 141</w:t>
      </w:r>
      <w:r>
        <w:rPr>
          <w:rFonts w:ascii="宋体" w:hAnsi="宋体" w:eastAsia="宋体" w:cs="宋体"/>
          <w:color w:val="auto"/>
          <w:spacing w:val="6"/>
          <w:sz w:val="21"/>
        </w:rPr>
        <w:t>号）的规定，本单位为（符合/不符合）条件的残疾人福利性单位，且本单位参加</w:t>
      </w:r>
      <w:r>
        <w:rPr>
          <w:rFonts w:ascii="宋体" w:hAnsi="宋体" w:eastAsia="宋体" w:cs="宋体"/>
          <w:color w:val="auto"/>
          <w:sz w:val="21"/>
        </w:rPr>
        <w:t>______</w:t>
      </w:r>
      <w:r>
        <w:rPr>
          <w:rFonts w:ascii="宋体" w:hAnsi="宋体" w:eastAsia="宋体" w:cs="宋体"/>
          <w:color w:val="auto"/>
          <w:spacing w:val="6"/>
          <w:sz w:val="21"/>
        </w:rPr>
        <w:t>单位的项目采购活动提供本单位制造的货物（由本单位承担工程/提供服务），或者提供其他残疾人福利性单位制造的货物（不包括使用非残疾人福利性单位注册商标的货物）。</w:t>
      </w:r>
    </w:p>
    <w:p w14:paraId="2F597C8F">
      <w:pPr>
        <w:pBdr>
          <w:top w:val="none" w:color="000000" w:sz="0" w:space="0"/>
          <w:left w:val="none" w:color="000000" w:sz="0" w:space="0"/>
          <w:bottom w:val="none" w:color="000000" w:sz="0" w:space="0"/>
          <w:right w:val="none" w:color="000000" w:sz="0" w:space="0"/>
        </w:pBdr>
        <w:spacing w:before="0" w:after="0" w:line="85" w:lineRule="atLeast"/>
        <w:ind w:left="0" w:right="0" w:firstLine="444"/>
        <w:jc w:val="both"/>
        <w:rPr>
          <w:color w:val="auto"/>
        </w:rPr>
      </w:pPr>
      <w:r>
        <w:rPr>
          <w:rFonts w:ascii="宋体" w:hAnsi="宋体" w:eastAsia="宋体" w:cs="宋体"/>
          <w:color w:val="auto"/>
          <w:spacing w:val="6"/>
          <w:sz w:val="21"/>
        </w:rPr>
        <w:t>本单位对上述声明的真实性负责。如有虚假，将依法承担相应责任。</w:t>
      </w:r>
    </w:p>
    <w:p w14:paraId="56C2E18E">
      <w:pPr>
        <w:pBdr>
          <w:top w:val="none" w:color="000000" w:sz="0" w:space="0"/>
          <w:left w:val="none" w:color="000000" w:sz="0" w:space="0"/>
          <w:bottom w:val="none" w:color="000000" w:sz="0" w:space="0"/>
          <w:right w:val="none" w:color="000000" w:sz="0" w:space="0"/>
        </w:pBdr>
        <w:spacing w:before="0" w:after="0" w:line="85" w:lineRule="atLeast"/>
        <w:ind w:left="0" w:right="0" w:firstLine="444"/>
        <w:jc w:val="both"/>
        <w:rPr>
          <w:color w:val="auto"/>
        </w:rPr>
      </w:pPr>
      <w:r>
        <w:rPr>
          <w:rFonts w:ascii="宋体" w:hAnsi="宋体" w:eastAsia="宋体" w:cs="宋体"/>
          <w:color w:val="auto"/>
          <w:spacing w:val="6"/>
          <w:sz w:val="21"/>
        </w:rPr>
        <w:t> </w:t>
      </w:r>
    </w:p>
    <w:p w14:paraId="21D90D41">
      <w:pPr>
        <w:pBdr>
          <w:top w:val="none" w:color="000000" w:sz="0" w:space="0"/>
          <w:left w:val="none" w:color="000000" w:sz="0" w:space="0"/>
          <w:bottom w:val="none" w:color="000000" w:sz="0" w:space="0"/>
          <w:right w:val="none" w:color="000000" w:sz="0" w:space="0"/>
        </w:pBdr>
        <w:spacing w:before="0" w:after="0" w:line="85" w:lineRule="atLeast"/>
        <w:ind w:left="0" w:right="0" w:firstLine="444"/>
        <w:jc w:val="both"/>
        <w:rPr>
          <w:color w:val="auto"/>
        </w:rPr>
      </w:pPr>
      <w:r>
        <w:rPr>
          <w:rFonts w:ascii="宋体" w:hAnsi="宋体" w:eastAsia="宋体" w:cs="宋体"/>
          <w:color w:val="auto"/>
          <w:spacing w:val="6"/>
          <w:sz w:val="21"/>
        </w:rPr>
        <w:t> </w:t>
      </w:r>
    </w:p>
    <w:p w14:paraId="16A528F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hint="eastAsia" w:ascii="宋体" w:hAnsi="宋体" w:cs="宋体"/>
          <w:color w:val="auto"/>
          <w:sz w:val="21"/>
          <w:lang w:eastAsia="zh-CN"/>
        </w:rPr>
        <w:t>供应商名称</w:t>
      </w:r>
      <w:r>
        <w:rPr>
          <w:rFonts w:ascii="宋体" w:hAnsi="宋体" w:eastAsia="宋体" w:cs="宋体"/>
          <w:color w:val="auto"/>
          <w:sz w:val="21"/>
        </w:rPr>
        <w:t>（电子公章）：</w:t>
      </w:r>
      <w:r>
        <w:rPr>
          <w:rFonts w:ascii="宋体" w:hAnsi="宋体" w:eastAsia="宋体" w:cs="宋体"/>
          <w:color w:val="auto"/>
          <w:sz w:val="21"/>
          <w:u w:val="single"/>
        </w:rPr>
        <w:tab/>
      </w:r>
      <w:r>
        <w:rPr>
          <w:rFonts w:ascii="宋体" w:hAnsi="宋体" w:eastAsia="宋体" w:cs="宋体"/>
          <w:color w:val="auto"/>
          <w:sz w:val="21"/>
          <w:u w:val="single"/>
        </w:rPr>
        <w:tab/>
      </w:r>
      <w:r>
        <w:rPr>
          <w:rFonts w:ascii="宋体" w:hAnsi="宋体" w:eastAsia="宋体" w:cs="宋体"/>
          <w:color w:val="auto"/>
          <w:sz w:val="21"/>
          <w:u w:val="single"/>
        </w:rPr>
        <w:tab/>
      </w:r>
      <w:r>
        <w:rPr>
          <w:rFonts w:ascii="宋体" w:hAnsi="宋体" w:eastAsia="宋体" w:cs="宋体"/>
          <w:color w:val="auto"/>
          <w:sz w:val="21"/>
          <w:u w:val="single"/>
        </w:rPr>
        <w:tab/>
      </w:r>
      <w:r>
        <w:rPr>
          <w:rFonts w:ascii="宋体" w:hAnsi="宋体" w:eastAsia="宋体" w:cs="宋体"/>
          <w:color w:val="auto"/>
          <w:sz w:val="21"/>
          <w:u w:val="single"/>
        </w:rPr>
        <w:tab/>
      </w:r>
      <w:r>
        <w:rPr>
          <w:rFonts w:ascii="宋体" w:hAnsi="宋体" w:eastAsia="宋体" w:cs="宋体"/>
          <w:color w:val="auto"/>
          <w:sz w:val="21"/>
          <w:u w:val="single"/>
        </w:rPr>
        <w:tab/>
      </w:r>
      <w:r>
        <w:rPr>
          <w:rFonts w:ascii="宋体" w:hAnsi="宋体" w:eastAsia="宋体" w:cs="宋体"/>
          <w:color w:val="auto"/>
          <w:sz w:val="21"/>
          <w:u w:val="single"/>
        </w:rPr>
        <w:tab/>
      </w:r>
      <w:r>
        <w:rPr>
          <w:rFonts w:ascii="宋体" w:hAnsi="宋体" w:eastAsia="宋体" w:cs="宋体"/>
          <w:color w:val="auto"/>
          <w:sz w:val="21"/>
          <w:u w:val="single"/>
        </w:rPr>
        <w:tab/>
      </w:r>
    </w:p>
    <w:p w14:paraId="0D5D1F5D">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法定代表人或授权代表（签字）：</w:t>
      </w:r>
      <w:r>
        <w:rPr>
          <w:rFonts w:ascii="宋体" w:hAnsi="宋体" w:eastAsia="宋体" w:cs="宋体"/>
          <w:color w:val="auto"/>
          <w:sz w:val="21"/>
          <w:u w:val="single"/>
        </w:rPr>
        <w:tab/>
      </w:r>
      <w:r>
        <w:rPr>
          <w:rFonts w:ascii="宋体" w:hAnsi="宋体" w:eastAsia="宋体" w:cs="宋体"/>
          <w:color w:val="auto"/>
          <w:sz w:val="21"/>
          <w:u w:val="single"/>
        </w:rPr>
        <w:tab/>
      </w:r>
      <w:r>
        <w:rPr>
          <w:rFonts w:ascii="宋体" w:hAnsi="宋体" w:eastAsia="宋体" w:cs="宋体"/>
          <w:color w:val="auto"/>
          <w:sz w:val="21"/>
          <w:u w:val="single"/>
        </w:rPr>
        <w:tab/>
      </w:r>
      <w:r>
        <w:rPr>
          <w:rFonts w:ascii="宋体" w:hAnsi="宋体" w:eastAsia="宋体" w:cs="宋体"/>
          <w:color w:val="auto"/>
          <w:sz w:val="21"/>
          <w:u w:val="single"/>
        </w:rPr>
        <w:tab/>
      </w:r>
      <w:r>
        <w:rPr>
          <w:rFonts w:ascii="宋体" w:hAnsi="宋体" w:eastAsia="宋体" w:cs="宋体"/>
          <w:color w:val="auto"/>
          <w:sz w:val="21"/>
          <w:u w:val="single"/>
        </w:rPr>
        <w:tab/>
      </w:r>
    </w:p>
    <w:p w14:paraId="3FC4502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日期：</w:t>
      </w:r>
      <w:r>
        <w:rPr>
          <w:rFonts w:ascii="宋体" w:hAnsi="宋体" w:eastAsia="宋体" w:cs="宋体"/>
          <w:color w:val="auto"/>
          <w:sz w:val="21"/>
          <w:u w:val="single"/>
        </w:rPr>
        <w:tab/>
      </w:r>
      <w:r>
        <w:rPr>
          <w:rFonts w:ascii="宋体" w:hAnsi="宋体" w:eastAsia="宋体" w:cs="宋体"/>
          <w:color w:val="auto"/>
          <w:sz w:val="21"/>
          <w:u w:val="single"/>
        </w:rPr>
        <w:tab/>
      </w:r>
      <w:r>
        <w:rPr>
          <w:rFonts w:ascii="宋体" w:hAnsi="宋体" w:eastAsia="宋体" w:cs="宋体"/>
          <w:color w:val="auto"/>
          <w:sz w:val="21"/>
          <w:u w:val="single"/>
        </w:rPr>
        <w:tab/>
      </w:r>
      <w:r>
        <w:rPr>
          <w:rFonts w:ascii="宋体" w:hAnsi="宋体" w:eastAsia="宋体" w:cs="宋体"/>
          <w:color w:val="auto"/>
          <w:sz w:val="21"/>
          <w:u w:val="single"/>
        </w:rPr>
        <w:tab/>
      </w:r>
      <w:r>
        <w:rPr>
          <w:rFonts w:ascii="宋体" w:hAnsi="宋体" w:eastAsia="宋体" w:cs="宋体"/>
          <w:color w:val="auto"/>
          <w:sz w:val="21"/>
          <w:u w:val="single"/>
        </w:rPr>
        <w:tab/>
      </w:r>
      <w:r>
        <w:rPr>
          <w:rFonts w:ascii="宋体" w:hAnsi="宋体" w:eastAsia="宋体" w:cs="宋体"/>
          <w:color w:val="auto"/>
          <w:sz w:val="21"/>
          <w:u w:val="single"/>
        </w:rPr>
        <w:tab/>
      </w:r>
      <w:r>
        <w:rPr>
          <w:rFonts w:ascii="宋体" w:hAnsi="宋体" w:eastAsia="宋体" w:cs="宋体"/>
          <w:color w:val="auto"/>
          <w:sz w:val="21"/>
          <w:u w:val="single"/>
        </w:rPr>
        <w:tab/>
      </w:r>
      <w:r>
        <w:rPr>
          <w:rFonts w:ascii="宋体" w:hAnsi="宋体" w:eastAsia="宋体" w:cs="宋体"/>
          <w:color w:val="auto"/>
          <w:sz w:val="21"/>
          <w:u w:val="single"/>
        </w:rPr>
        <w:tab/>
      </w:r>
      <w:r>
        <w:rPr>
          <w:rFonts w:ascii="宋体" w:hAnsi="宋体" w:eastAsia="宋体" w:cs="宋体"/>
          <w:color w:val="auto"/>
          <w:sz w:val="21"/>
          <w:u w:val="single"/>
        </w:rPr>
        <w:tab/>
      </w:r>
      <w:r>
        <w:rPr>
          <w:rFonts w:ascii="宋体" w:hAnsi="宋体" w:eastAsia="宋体" w:cs="宋体"/>
          <w:color w:val="auto"/>
          <w:sz w:val="21"/>
          <w:u w:val="single"/>
        </w:rPr>
        <w:tab/>
      </w:r>
      <w:r>
        <w:rPr>
          <w:rFonts w:ascii="宋体" w:hAnsi="宋体" w:eastAsia="宋体" w:cs="宋体"/>
          <w:color w:val="auto"/>
          <w:sz w:val="21"/>
          <w:u w:val="single"/>
        </w:rPr>
        <w:tab/>
      </w:r>
    </w:p>
    <w:p w14:paraId="747CB4BD">
      <w:pPr>
        <w:pBdr>
          <w:top w:val="none" w:color="000000" w:sz="0" w:space="0"/>
          <w:left w:val="none" w:color="000000" w:sz="0" w:space="0"/>
          <w:bottom w:val="none" w:color="000000" w:sz="0" w:space="0"/>
          <w:right w:val="none" w:color="000000" w:sz="0" w:space="0"/>
        </w:pBdr>
        <w:spacing w:before="0" w:after="0" w:line="85" w:lineRule="atLeast"/>
        <w:ind w:left="0" w:right="0" w:firstLine="470"/>
        <w:jc w:val="center"/>
        <w:rPr>
          <w:color w:val="auto"/>
        </w:rPr>
      </w:pPr>
      <w:r>
        <w:rPr>
          <w:rFonts w:ascii="仿宋" w:hAnsi="仿宋" w:eastAsia="仿宋" w:cs="仿宋"/>
          <w:color w:val="auto"/>
          <w:sz w:val="24"/>
        </w:rPr>
        <w:t> </w:t>
      </w:r>
    </w:p>
    <w:p w14:paraId="1AAB0151">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rPr>
          <w:color w:val="auto"/>
        </w:rPr>
      </w:pPr>
      <w:r>
        <w:rPr>
          <w:rFonts w:ascii="宋体" w:hAnsi="宋体" w:eastAsia="宋体" w:cs="宋体"/>
          <w:color w:val="auto"/>
          <w:sz w:val="21"/>
        </w:rPr>
        <w:t>注：具体以《关于促进残疾人就业政府采购政策的通知》（财库〔2017〕141号）的规定为准。</w:t>
      </w:r>
    </w:p>
    <w:p w14:paraId="45A4BD4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1"/>
        </w:rPr>
        <w:t> </w:t>
      </w:r>
    </w:p>
    <w:p w14:paraId="59623AC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宋体" w:hAnsi="宋体" w:eastAsia="宋体" w:cs="宋体"/>
          <w:color w:val="auto"/>
          <w:sz w:val="28"/>
        </w:rPr>
        <w:t> </w:t>
      </w:r>
    </w:p>
    <w:p w14:paraId="74C19D5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8"/>
        </w:rPr>
        <w:t>11-2属于监狱企业的证明文件</w:t>
      </w:r>
    </w:p>
    <w:p w14:paraId="2B1BCB1D">
      <w:pPr>
        <w:pBdr>
          <w:top w:val="none" w:color="000000" w:sz="0" w:space="0"/>
          <w:left w:val="none" w:color="000000" w:sz="0" w:space="0"/>
          <w:bottom w:val="none" w:color="000000" w:sz="0" w:space="0"/>
          <w:right w:val="none" w:color="000000" w:sz="0" w:space="0"/>
        </w:pBdr>
        <w:spacing w:before="0" w:after="0" w:line="85" w:lineRule="atLeast"/>
        <w:ind w:left="0" w:right="0" w:firstLine="480"/>
        <w:rPr>
          <w:color w:val="auto"/>
        </w:rPr>
      </w:pPr>
      <w:r>
        <w:rPr>
          <w:rFonts w:ascii="宋体" w:hAnsi="宋体" w:eastAsia="宋体" w:cs="宋体"/>
          <w:color w:val="auto"/>
          <w:sz w:val="24"/>
        </w:rPr>
        <w:t> </w:t>
      </w:r>
    </w:p>
    <w:p w14:paraId="17A86BE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rPr>
      </w:pPr>
      <w:r>
        <w:rPr>
          <w:rFonts w:ascii="宋体" w:hAnsi="宋体" w:eastAsia="宋体" w:cs="宋体"/>
          <w:color w:val="auto"/>
          <w:sz w:val="21"/>
        </w:rPr>
        <w:t>（提供由省级以上监狱管理局、戒毒管理局（含新疆生产建设兵团）出具的属于监狱企业的证明文件，不符合可不提供）</w:t>
      </w:r>
    </w:p>
    <w:p w14:paraId="07C61F73">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rPr>
      </w:pPr>
      <w:r>
        <w:rPr>
          <w:rFonts w:ascii="Times New Roman" w:hAnsi="Times New Roman" w:eastAsia="Times New Roman" w:cs="Times New Roman"/>
          <w:color w:val="auto"/>
          <w:sz w:val="24"/>
        </w:rPr>
        <w:t> </w:t>
      </w:r>
    </w:p>
    <w:p w14:paraId="720763C9">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633" w:firstLine="0"/>
        <w:rPr>
          <w:color w:val="auto"/>
        </w:rPr>
      </w:pPr>
      <w:r>
        <w:rPr>
          <w:color w:val="auto"/>
        </w:rPr>
        <w:br w:type="page" w:clear="all"/>
      </w:r>
    </w:p>
    <w:p w14:paraId="6AB0ABE1">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rPr>
      </w:pPr>
      <w:r>
        <w:rPr>
          <w:rFonts w:ascii="宋体" w:hAnsi="宋体" w:eastAsia="宋体" w:cs="宋体"/>
          <w:b/>
          <w:color w:val="auto"/>
          <w:sz w:val="21"/>
        </w:rPr>
        <w:t> </w:t>
      </w:r>
    </w:p>
    <w:p w14:paraId="716DDC97">
      <w:pPr>
        <w:pBdr>
          <w:top w:val="none" w:color="000000" w:sz="0" w:space="0"/>
          <w:left w:val="none" w:color="000000" w:sz="0" w:space="0"/>
          <w:bottom w:val="none" w:color="000000" w:sz="0" w:space="0"/>
          <w:right w:val="none" w:color="000000" w:sz="0" w:space="0"/>
        </w:pBdr>
        <w:spacing w:before="240" w:after="240" w:line="85" w:lineRule="atLeast"/>
        <w:ind w:left="0" w:right="0" w:firstLine="422"/>
        <w:rPr>
          <w:color w:val="auto"/>
        </w:rPr>
      </w:pPr>
      <w:r>
        <w:rPr>
          <w:rFonts w:ascii="宋体" w:hAnsi="宋体" w:eastAsia="宋体" w:cs="宋体"/>
          <w:b/>
          <w:color w:val="auto"/>
          <w:sz w:val="21"/>
        </w:rPr>
        <w:t>附件十二、服务方案</w:t>
      </w:r>
    </w:p>
    <w:p w14:paraId="7DF442A9">
      <w:pPr>
        <w:pBdr>
          <w:top w:val="none" w:color="000000" w:sz="0" w:space="0"/>
          <w:left w:val="none" w:color="000000" w:sz="0" w:space="0"/>
          <w:bottom w:val="none" w:color="000000" w:sz="0" w:space="0"/>
          <w:right w:val="none" w:color="000000" w:sz="0" w:space="0"/>
        </w:pBdr>
        <w:spacing w:before="240" w:after="240" w:line="85" w:lineRule="atLeast"/>
        <w:ind w:left="0" w:right="0" w:firstLine="422"/>
        <w:rPr>
          <w:color w:val="auto"/>
        </w:rPr>
      </w:pPr>
      <w:r>
        <w:rPr>
          <w:rFonts w:ascii="宋体" w:hAnsi="宋体" w:eastAsia="宋体" w:cs="宋体"/>
          <w:b/>
          <w:color w:val="auto"/>
          <w:sz w:val="21"/>
        </w:rPr>
        <w:t> </w:t>
      </w:r>
    </w:p>
    <w:p w14:paraId="0A19880B">
      <w:pPr>
        <w:pBdr>
          <w:top w:val="none" w:color="000000" w:sz="0" w:space="0"/>
          <w:left w:val="none" w:color="000000" w:sz="0" w:space="0"/>
          <w:bottom w:val="none" w:color="000000" w:sz="0" w:space="0"/>
          <w:right w:val="none" w:color="000000" w:sz="0" w:space="0"/>
        </w:pBdr>
        <w:spacing w:before="240" w:after="240" w:line="85" w:lineRule="atLeast"/>
        <w:ind w:left="0" w:right="0" w:firstLine="422"/>
        <w:rPr>
          <w:color w:val="auto"/>
        </w:rPr>
      </w:pPr>
      <w:r>
        <w:rPr>
          <w:rFonts w:ascii="宋体" w:hAnsi="宋体" w:eastAsia="宋体" w:cs="宋体"/>
          <w:b/>
          <w:color w:val="auto"/>
          <w:sz w:val="21"/>
        </w:rPr>
        <w:t>（各投标人根据招标文件规定的服务方案打分细则内容，格式自拟）</w:t>
      </w:r>
    </w:p>
    <w:p w14:paraId="7E626FD2">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rPr>
          <w:color w:val="auto"/>
        </w:rPr>
      </w:pPr>
      <w:r>
        <w:rPr>
          <w:rFonts w:ascii="宋体" w:hAnsi="宋体" w:eastAsia="宋体" w:cs="宋体"/>
          <w:b/>
          <w:color w:val="auto"/>
          <w:sz w:val="21"/>
        </w:rPr>
        <w:t> </w:t>
      </w:r>
    </w:p>
    <w:p w14:paraId="3D3D4E21">
      <w:pPr>
        <w:pBdr>
          <w:top w:val="none" w:color="000000" w:sz="0" w:space="0"/>
          <w:left w:val="none" w:color="000000" w:sz="0" w:space="0"/>
          <w:bottom w:val="none" w:color="000000" w:sz="0" w:space="0"/>
          <w:right w:val="none" w:color="000000" w:sz="0" w:space="0"/>
        </w:pBdr>
        <w:spacing w:before="240" w:after="240" w:line="85" w:lineRule="atLeast"/>
        <w:ind w:left="0" w:right="0" w:firstLine="420"/>
        <w:rPr>
          <w:color w:val="auto"/>
        </w:rPr>
      </w:pPr>
      <w:r>
        <w:rPr>
          <w:rFonts w:ascii="Times New Roman" w:hAnsi="Times New Roman" w:eastAsia="Times New Roman" w:cs="Times New Roman"/>
          <w:color w:val="auto"/>
          <w:sz w:val="21"/>
        </w:rPr>
        <w:t> </w:t>
      </w:r>
    </w:p>
    <w:p w14:paraId="443274ED">
      <w:pPr>
        <w:pBdr>
          <w:top w:val="none" w:color="000000" w:sz="0" w:space="0"/>
          <w:left w:val="none" w:color="000000" w:sz="0" w:space="0"/>
          <w:bottom w:val="none" w:color="000000" w:sz="0" w:space="0"/>
          <w:right w:val="none" w:color="000000" w:sz="0" w:space="0"/>
        </w:pBdr>
        <w:spacing w:before="240" w:after="240" w:line="85" w:lineRule="atLeast"/>
        <w:ind w:left="0" w:right="0" w:firstLine="420"/>
        <w:rPr>
          <w:color w:val="auto"/>
        </w:rPr>
      </w:pPr>
      <w:r>
        <w:rPr>
          <w:rFonts w:ascii="Times New Roman" w:hAnsi="Times New Roman" w:eastAsia="Times New Roman" w:cs="Times New Roman"/>
          <w:color w:val="auto"/>
          <w:sz w:val="21"/>
        </w:rPr>
        <w:t> </w:t>
      </w:r>
    </w:p>
    <w:p w14:paraId="136002CD">
      <w:pPr>
        <w:pBdr>
          <w:top w:val="none" w:color="000000" w:sz="0" w:space="0"/>
          <w:left w:val="none" w:color="000000" w:sz="0" w:space="0"/>
          <w:bottom w:val="none" w:color="000000" w:sz="0" w:space="0"/>
          <w:right w:val="none" w:color="000000" w:sz="0" w:space="0"/>
        </w:pBdr>
        <w:spacing w:before="240" w:after="240" w:line="85" w:lineRule="atLeast"/>
        <w:ind w:left="0" w:right="0" w:firstLine="420"/>
        <w:rPr>
          <w:color w:val="auto"/>
        </w:rPr>
      </w:pPr>
      <w:r>
        <w:rPr>
          <w:rFonts w:ascii="Times New Roman" w:hAnsi="Times New Roman" w:eastAsia="Times New Roman" w:cs="Times New Roman"/>
          <w:color w:val="auto"/>
          <w:sz w:val="21"/>
        </w:rPr>
        <w:t> </w:t>
      </w:r>
    </w:p>
    <w:p w14:paraId="16BBE652">
      <w:pPr>
        <w:pBdr>
          <w:top w:val="none" w:color="000000" w:sz="0" w:space="0"/>
          <w:left w:val="none" w:color="000000" w:sz="0" w:space="0"/>
          <w:bottom w:val="none" w:color="000000" w:sz="0" w:space="0"/>
          <w:right w:val="none" w:color="000000" w:sz="0" w:space="0"/>
        </w:pBdr>
        <w:spacing w:before="240" w:after="240" w:line="85" w:lineRule="atLeast"/>
        <w:ind w:left="0" w:right="0" w:firstLine="422"/>
        <w:rPr>
          <w:color w:val="auto"/>
        </w:rPr>
      </w:pPr>
      <w:r>
        <w:rPr>
          <w:rFonts w:ascii="宋体" w:hAnsi="宋体" w:eastAsia="宋体" w:cs="宋体"/>
          <w:b/>
          <w:color w:val="auto"/>
          <w:sz w:val="21"/>
        </w:rPr>
        <w:t> </w:t>
      </w:r>
    </w:p>
    <w:p w14:paraId="684DDCD2">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rPr>
          <w:color w:val="auto"/>
        </w:rPr>
      </w:pPr>
      <w:r>
        <w:rPr>
          <w:rFonts w:ascii="宋体" w:hAnsi="宋体" w:eastAsia="宋体" w:cs="宋体"/>
          <w:b/>
          <w:color w:val="auto"/>
          <w:sz w:val="21"/>
        </w:rPr>
        <w:t>附件十三、其他</w:t>
      </w:r>
    </w:p>
    <w:p w14:paraId="13BAF2FC">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633" w:firstLine="0"/>
        <w:rPr>
          <w:color w:val="auto"/>
        </w:rPr>
      </w:pPr>
      <w:r>
        <w:rPr>
          <w:rFonts w:ascii="宋体" w:hAnsi="宋体" w:eastAsia="宋体" w:cs="宋体"/>
          <w:b/>
          <w:color w:val="auto"/>
          <w:sz w:val="21"/>
        </w:rPr>
        <w:t>（各投标人根据采购文件规定的打分细则对应提供相关证明材料等，格式自拟）</w:t>
      </w:r>
    </w:p>
    <w:p w14:paraId="762EEA14">
      <w:pPr>
        <w:pBdr>
          <w:top w:val="none" w:color="000000" w:sz="0" w:space="0"/>
          <w:left w:val="none" w:color="000000" w:sz="0" w:space="0"/>
          <w:bottom w:val="none" w:color="000000" w:sz="0" w:space="0"/>
          <w:right w:val="none" w:color="000000" w:sz="0" w:space="0"/>
        </w:pBdr>
        <w:spacing w:before="240" w:after="240" w:line="85" w:lineRule="atLeast"/>
        <w:ind w:left="0" w:right="0" w:firstLine="420"/>
        <w:rPr>
          <w:color w:val="auto"/>
        </w:rPr>
      </w:pPr>
      <w:r>
        <w:rPr>
          <w:rFonts w:ascii="Times New Roman" w:hAnsi="Times New Roman" w:eastAsia="Times New Roman" w:cs="Times New Roman"/>
          <w:color w:val="auto"/>
          <w:sz w:val="21"/>
        </w:rPr>
        <w:t> </w:t>
      </w:r>
    </w:p>
    <w:p w14:paraId="2D5E3221">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633" w:firstLine="0"/>
        <w:rPr>
          <w:color w:val="auto"/>
        </w:rPr>
      </w:pPr>
      <w:r>
        <w:rPr>
          <w:rFonts w:ascii="宋体" w:hAnsi="宋体" w:eastAsia="宋体" w:cs="宋体"/>
          <w:b/>
          <w:color w:val="auto"/>
          <w:sz w:val="21"/>
        </w:rPr>
        <w:t> </w:t>
      </w:r>
    </w:p>
    <w:p w14:paraId="3F6DD39D">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22"/>
        <w:jc w:val="both"/>
        <w:rPr>
          <w:color w:val="auto"/>
        </w:rPr>
      </w:pPr>
      <w:r>
        <w:rPr>
          <w:rFonts w:ascii="宋体" w:hAnsi="宋体" w:eastAsia="宋体" w:cs="宋体"/>
          <w:b/>
          <w:color w:val="auto"/>
          <w:sz w:val="21"/>
        </w:rPr>
        <w:t> </w:t>
      </w:r>
    </w:p>
    <w:p w14:paraId="03B63720">
      <w:pPr>
        <w:rPr>
          <w:color w:val="auto"/>
        </w:rPr>
      </w:pPr>
    </w:p>
    <w:sectPr>
      <w:headerReference r:id="rId4" w:type="first"/>
      <w:footerReference r:id="rId6" w:type="first"/>
      <w:headerReference r:id="rId3" w:type="default"/>
      <w:footerReference r:id="rId5" w:type="default"/>
      <w:pgSz w:w="11906" w:h="16838"/>
      <w:pgMar w:top="1440" w:right="1080" w:bottom="1440" w:left="1080" w:header="851" w:footer="992" w:gutter="0"/>
      <w:pgBorders>
        <w:top w:val="none" w:sz="0" w:space="0"/>
        <w:left w:val="none" w:sz="0" w:space="0"/>
        <w:bottom w:val="none" w:sz="0" w:space="0"/>
        <w:right w:val="none" w:sz="0" w:space="0"/>
      </w:pgBorders>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方正仿宋简体">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创艺简仿宋">
    <w:altName w:val="方正舒体"/>
    <w:panose1 w:val="020B0503020202020204"/>
    <w:charset w:val="00"/>
    <w:family w:val="auto"/>
    <w:pitch w:val="default"/>
    <w:sig w:usb0="00000000" w:usb1="00000000" w:usb2="00000000" w:usb3="00000000" w:csb0="00000000" w:csb1="00000000"/>
  </w:font>
  <w:font w:name="方正舒体">
    <w:panose1 w:val="02010601030101010101"/>
    <w:charset w:val="86"/>
    <w:family w:val="auto"/>
    <w:pitch w:val="default"/>
    <w:sig w:usb0="00000003" w:usb1="080E0000" w:usb2="00000000" w:usb3="00000000" w:csb0="00040000" w:csb1="00000000"/>
  </w:font>
  <w:font w:name="幼圆">
    <w:panose1 w:val="02010509060101010101"/>
    <w:charset w:val="86"/>
    <w:family w:val="auto"/>
    <w:pitch w:val="default"/>
    <w:sig w:usb0="00000001" w:usb1="080E0000" w:usb2="00000000" w:usb3="00000000" w:csb0="00040000"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monospac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Verdana">
    <w:panose1 w:val="020B0604030504040204"/>
    <w:charset w:val="00"/>
    <w:family w:val="auto"/>
    <w:pitch w:val="default"/>
    <w:sig w:usb0="A00006FF" w:usb1="4000205B" w:usb2="00000010"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Ari">
    <w:altName w:val="Segoe Print"/>
    <w:panose1 w:val="020B06060202020302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等线">
    <w:panose1 w:val="02010600030101010101"/>
    <w:charset w:val="86"/>
    <w:family w:val="auto"/>
    <w:pitch w:val="default"/>
    <w:sig w:usb0="A00002BF" w:usb1="38CF7CFA" w:usb2="00000016" w:usb3="00000000" w:csb0="0004000F" w:csb1="00000000"/>
  </w:font>
  <w:font w:name="华文楷体">
    <w:panose1 w:val="02010600040101010101"/>
    <w:charset w:val="86"/>
    <w:family w:val="auto"/>
    <w:pitch w:val="default"/>
    <w:sig w:usb0="00000287" w:usb1="080F0000" w:usb2="00000000" w:usb3="00000000" w:csb0="0004009F" w:csb1="DFD70000"/>
  </w:font>
  <w:font w:name="Arial Unicode MS">
    <w:altName w:val="宋体"/>
    <w:panose1 w:val="020B0604020202020204"/>
    <w:charset w:val="86"/>
    <w:family w:val="auto"/>
    <w:pitch w:val="default"/>
    <w:sig w:usb0="00000000" w:usb1="00000000" w:usb2="0000003F" w:usb3="00000000" w:csb0="603F01FF" w:csb1="FFFF0000"/>
  </w:font>
  <w:font w:name="ˎ̥">
    <w:altName w:val="DejaVu Math TeX Gyre"/>
    <w:panose1 w:val="020B0503020202020204"/>
    <w:charset w:val="00"/>
    <w:family w:val="auto"/>
    <w:pitch w:val="default"/>
    <w:sig w:usb0="00000000" w:usb1="00000000" w:usb2="00000000" w:usb3="00000000" w:csb0="00000000" w:csb1="00000000"/>
  </w:font>
  <w:font w:name="Trebuchet MS">
    <w:panose1 w:val="020B0603020202020204"/>
    <w:charset w:val="00"/>
    <w:family w:val="auto"/>
    <w:pitch w:val="default"/>
    <w:sig w:usb0="00000687" w:usb1="00000000" w:usb2="00000000" w:usb3="00000000" w:csb0="2000009F" w:csb1="00000000"/>
  </w:font>
  <w:font w:name="Tahoma">
    <w:panose1 w:val="020B0604030504040204"/>
    <w:charset w:val="00"/>
    <w:family w:val="auto"/>
    <w:pitch w:val="default"/>
    <w:sig w:usb0="E1002EFF" w:usb1="C000605B" w:usb2="00000029" w:usb3="00000000" w:csb0="200101FF" w:csb1="20280000"/>
  </w:font>
  <w:font w:name="方正仿宋_GBK">
    <w:altName w:val="微软雅黑"/>
    <w:panose1 w:val="02000000000000000000"/>
    <w:charset w:val="86"/>
    <w:family w:val="auto"/>
    <w:pitch w:val="default"/>
    <w:sig w:usb0="00000000" w:usb1="00000000" w:usb2="00082016" w:usb3="00000000" w:csb0="00040001"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83BDD3">
    <w:pPr>
      <w:pStyle w:val="259"/>
      <w:jc w:val="center"/>
      <w:rPr>
        <w:rStyle w:val="306"/>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374D9DD">
                          <w:pPr>
                            <w:pStyle w:val="217"/>
                            <w:tabs>
                              <w:tab w:val="clear" w:pos="4153"/>
                              <w:tab w:val="clear" w:pos="8306"/>
                            </w:tabs>
                          </w:pPr>
                          <w:r>
                            <w:t xml:space="preserve">第 </w:t>
                          </w:r>
                          <w:r>
                            <w:fldChar w:fldCharType="begin"/>
                          </w:r>
                          <w:r>
                            <w:instrText xml:space="preserve"> PAGE  \* MERGEFORMAT </w:instrText>
                          </w:r>
                          <w:r>
                            <w:fldChar w:fldCharType="separate"/>
                          </w:r>
                          <w:r>
                            <w:t>22</w:t>
                          </w:r>
                          <w:r>
                            <w:fldChar w:fldCharType="end"/>
                          </w:r>
                          <w:r>
                            <w:t xml:space="preserve"> 页 共 </w:t>
                          </w:r>
                          <w:r>
                            <w:fldChar w:fldCharType="begin"/>
                          </w:r>
                          <w:r>
                            <w:instrText xml:space="preserve"> NUMPAGES  \* MERGEFORMAT </w:instrText>
                          </w:r>
                          <w:r>
                            <w:fldChar w:fldCharType="separate"/>
                          </w:r>
                          <w:r>
                            <w:t>68</w:t>
                          </w:r>
                          <w:r>
                            <w:fldChar w:fldCharType="end"/>
                          </w:r>
                          <w:r>
                            <w:t xml:space="preserve"> 页</w:t>
                          </w:r>
                        </w:p>
                        <w:p w14:paraId="28956F4D"/>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xtipNQBAACnAwAADgAAAGRycy9lMm9Eb2MueG1srVNLjtswDN0X6B0E&#10;7Rs7G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PcbYqTUAQAApwMAAA4AAAAAAAAAAQAgAAAAHgEA&#10;AGRycy9lMm9Eb2MueG1sUEsFBgAAAAAGAAYAWQEAAGQFAAAAAA==&#10;">
              <v:fill on="f" focussize="0,0"/>
              <v:stroke on="f"/>
              <v:imagedata o:title=""/>
              <o:lock v:ext="edit" aspectratio="f"/>
              <v:textbox inset="0mm,0mm,0mm,0mm" style="mso-fit-shape-to-text:t;">
                <w:txbxContent>
                  <w:p w14:paraId="1374D9DD">
                    <w:pPr>
                      <w:pStyle w:val="217"/>
                      <w:tabs>
                        <w:tab w:val="clear" w:pos="4153"/>
                        <w:tab w:val="clear" w:pos="8306"/>
                      </w:tabs>
                    </w:pPr>
                    <w:r>
                      <w:t xml:space="preserve">第 </w:t>
                    </w:r>
                    <w:r>
                      <w:fldChar w:fldCharType="begin"/>
                    </w:r>
                    <w:r>
                      <w:instrText xml:space="preserve"> PAGE  \* MERGEFORMAT </w:instrText>
                    </w:r>
                    <w:r>
                      <w:fldChar w:fldCharType="separate"/>
                    </w:r>
                    <w:r>
                      <w:t>22</w:t>
                    </w:r>
                    <w:r>
                      <w:fldChar w:fldCharType="end"/>
                    </w:r>
                    <w:r>
                      <w:t xml:space="preserve"> 页 共 </w:t>
                    </w:r>
                    <w:r>
                      <w:fldChar w:fldCharType="begin"/>
                    </w:r>
                    <w:r>
                      <w:instrText xml:space="preserve"> NUMPAGES  \* MERGEFORMAT </w:instrText>
                    </w:r>
                    <w:r>
                      <w:fldChar w:fldCharType="separate"/>
                    </w:r>
                    <w:r>
                      <w:t>68</w:t>
                    </w:r>
                    <w:r>
                      <w:fldChar w:fldCharType="end"/>
                    </w:r>
                    <w:r>
                      <w:t xml:space="preserve"> 页</w:t>
                    </w:r>
                  </w:p>
                  <w:p w14:paraId="28956F4D"/>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0B6F2D">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71FD94C9">
                          <w:pPr>
                            <w:pStyle w:val="217"/>
                            <w:tabs>
                              <w:tab w:val="clear" w:pos="4153"/>
                              <w:tab w:val="clear" w:pos="8306"/>
                            </w:tabs>
                          </w:pPr>
                          <w:r>
                            <w:t xml:space="preserve">第 </w:t>
                          </w:r>
                          <w:r>
                            <w:fldChar w:fldCharType="begin"/>
                          </w:r>
                          <w:r>
                            <w:instrText xml:space="preserve"> PAGE  \* MERGEFORMAT </w:instrText>
                          </w:r>
                          <w:r>
                            <w:fldChar w:fldCharType="separate"/>
                          </w:r>
                          <w:r>
                            <w:t>46</w:t>
                          </w:r>
                          <w:r>
                            <w:fldChar w:fldCharType="end"/>
                          </w:r>
                          <w:r>
                            <w:t xml:space="preserve"> 页 共 </w:t>
                          </w:r>
                          <w:r>
                            <w:fldChar w:fldCharType="begin"/>
                          </w:r>
                          <w:r>
                            <w:instrText xml:space="preserve"> NUMPAGES  \* MERGEFORMAT </w:instrText>
                          </w:r>
                          <w:r>
                            <w:fldChar w:fldCharType="separate"/>
                          </w:r>
                          <w:r>
                            <w:t>68</w:t>
                          </w:r>
                          <w:r>
                            <w:fldChar w:fldCharType="end"/>
                          </w:r>
                          <w:r>
                            <w:t xml:space="preserve"> 页</w:t>
                          </w:r>
                        </w:p>
                        <w:p w14:paraId="4FC9B154"/>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BYxm9QBAACnAwAADgAAAGRycy9lMm9Eb2MueG1srVNLjtswDN0X6B0E&#10;7Rs7w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AQWMZvUAQAApwMAAA4AAAAAAAAAAQAgAAAAHgEA&#10;AGRycy9lMm9Eb2MueG1sUEsFBgAAAAAGAAYAWQEAAGQFAAAAAA==&#10;">
              <v:fill on="f" focussize="0,0"/>
              <v:stroke on="f"/>
              <v:imagedata o:title=""/>
              <o:lock v:ext="edit" aspectratio="f"/>
              <v:textbox inset="0mm,0mm,0mm,0mm" style="mso-fit-shape-to-text:t;">
                <w:txbxContent>
                  <w:p w14:paraId="71FD94C9">
                    <w:pPr>
                      <w:pStyle w:val="217"/>
                      <w:tabs>
                        <w:tab w:val="clear" w:pos="4153"/>
                        <w:tab w:val="clear" w:pos="8306"/>
                      </w:tabs>
                    </w:pPr>
                    <w:r>
                      <w:t xml:space="preserve">第 </w:t>
                    </w:r>
                    <w:r>
                      <w:fldChar w:fldCharType="begin"/>
                    </w:r>
                    <w:r>
                      <w:instrText xml:space="preserve"> PAGE  \* MERGEFORMAT </w:instrText>
                    </w:r>
                    <w:r>
                      <w:fldChar w:fldCharType="separate"/>
                    </w:r>
                    <w:r>
                      <w:t>46</w:t>
                    </w:r>
                    <w:r>
                      <w:fldChar w:fldCharType="end"/>
                    </w:r>
                    <w:r>
                      <w:t xml:space="preserve"> 页 共 </w:t>
                    </w:r>
                    <w:r>
                      <w:fldChar w:fldCharType="begin"/>
                    </w:r>
                    <w:r>
                      <w:instrText xml:space="preserve"> NUMPAGES  \* MERGEFORMAT </w:instrText>
                    </w:r>
                    <w:r>
                      <w:fldChar w:fldCharType="separate"/>
                    </w:r>
                    <w:r>
                      <w:t>68</w:t>
                    </w:r>
                    <w:r>
                      <w:fldChar w:fldCharType="end"/>
                    </w:r>
                    <w:r>
                      <w:t xml:space="preserve"> 页</w:t>
                    </w:r>
                  </w:p>
                  <w:p w14:paraId="4FC9B154"/>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C5273F">
    <w:pPr>
      <w:widowControl w:val="0"/>
      <w:pBdr>
        <w:top w:val="none" w:color="000000" w:sz="0" w:space="1"/>
        <w:left w:val="none" w:color="000000" w:sz="0" w:space="4"/>
        <w:right w:val="none" w:color="000000" w:sz="0" w:space="4"/>
      </w:pBdr>
      <w:tabs>
        <w:tab w:val="center" w:pos="4153"/>
        <w:tab w:val="right" w:pos="8306"/>
      </w:tabs>
      <w:rPr>
        <w:rFonts w:ascii="宋体" w:hAnsi="宋体" w:cs="宋体"/>
        <w:b/>
        <w:bCs/>
        <w:color w:val="000000"/>
        <w:sz w:val="18"/>
        <w:szCs w:val="21"/>
        <w:lang w:val="zh-TW"/>
      </w:rPr>
    </w:pPr>
  </w:p>
  <w:p w14:paraId="0E1CF332">
    <w:pPr>
      <w:pStyle w:val="219"/>
      <w:jc w:val="right"/>
    </w:pPr>
    <w:r>
      <w:rPr>
        <w:rFonts w:hint="eastAsia" w:ascii="宋体" w:hAnsi="宋体" w:cs="宋体"/>
        <w:b/>
        <w:bCs/>
        <w:color w:val="000000"/>
        <w:sz w:val="22"/>
        <w:szCs w:val="21"/>
        <w:lang w:eastAsia="zh-CN"/>
      </w:rPr>
      <w:t>仙林地区市政雨水管道养护及应急抢修服务项目</w:t>
    </w:r>
    <w:r>
      <w:rPr>
        <w:rFonts w:hint="eastAsia" w:ascii="宋体" w:hAnsi="宋体" w:cs="宋体"/>
        <w:b/>
        <w:bCs/>
        <w:color w:val="000000"/>
        <w:sz w:val="22"/>
        <w:szCs w:val="21"/>
        <w:lang w:val="zh-TW"/>
      </w:rPr>
      <w:t>招标文件</w:t>
    </w:r>
  </w:p>
  <w:p w14:paraId="0FC83546">
    <w:pPr>
      <w:pStyle w:val="294"/>
      <w:pBdr>
        <w:bottom w:val="none" w:color="000000" w:sz="0" w:space="0"/>
      </w:pBdr>
      <w:rPr>
        <w:rStyle w:val="30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AC6959">
    <w:pPr>
      <w:widowControl w:val="0"/>
      <w:pBdr>
        <w:top w:val="none" w:color="000000" w:sz="0" w:space="1"/>
        <w:left w:val="none" w:color="000000" w:sz="0" w:space="4"/>
        <w:right w:val="none" w:color="000000" w:sz="0" w:space="4"/>
      </w:pBdr>
      <w:tabs>
        <w:tab w:val="center" w:pos="4153"/>
        <w:tab w:val="right" w:pos="8306"/>
      </w:tabs>
      <w:rPr>
        <w:rFonts w:ascii="宋体" w:hAnsi="宋体" w:cs="宋体"/>
        <w:b/>
        <w:bCs/>
        <w:color w:val="000000"/>
        <w:sz w:val="18"/>
        <w:szCs w:val="21"/>
        <w:lang w:val="zh-TW"/>
      </w:rPr>
    </w:pPr>
  </w:p>
  <w:p w14:paraId="50AAE6BB">
    <w:pPr>
      <w:pStyle w:val="219"/>
      <w:jc w:val="right"/>
      <w:rPr>
        <w:sz w:val="18"/>
        <w:szCs w:val="18"/>
      </w:rPr>
    </w:pPr>
    <w:r>
      <w:rPr>
        <w:rFonts w:hint="eastAsia" w:ascii="宋体" w:hAnsi="宋体" w:cs="宋体"/>
        <w:b/>
        <w:bCs/>
        <w:color w:val="000000"/>
        <w:sz w:val="18"/>
        <w:szCs w:val="18"/>
        <w:lang w:val="zh-TW"/>
      </w:rPr>
      <w:t>仙林地区市政雨水管道养护及应急抢修服务项目招标文件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F79593"/>
    <w:multiLevelType w:val="singleLevel"/>
    <w:tmpl w:val="B1F79593"/>
    <w:lvl w:ilvl="0" w:tentative="0">
      <w:start w:val="1"/>
      <w:numFmt w:val="decimal"/>
      <w:suff w:val="nothing"/>
      <w:lvlText w:val="%1）"/>
      <w:lvlJc w:val="left"/>
    </w:lvl>
  </w:abstractNum>
  <w:abstractNum w:abstractNumId="1">
    <w:nsid w:val="B5E306ED"/>
    <w:multiLevelType w:val="multilevel"/>
    <w:tmpl w:val="B5E306ED"/>
    <w:lvl w:ilvl="0" w:tentative="0">
      <w:start w:val="1"/>
      <w:numFmt w:val="decimal"/>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F205925"/>
    <w:multiLevelType w:val="multilevel"/>
    <w:tmpl w:val="BF205925"/>
    <w:lvl w:ilvl="0" w:tentative="0">
      <w:start w:val="1"/>
      <w:numFmt w:val="decimal"/>
      <w:lvlText w:val="%1."/>
      <w:lvlJc w:val="left"/>
      <w:pPr>
        <w:ind w:left="630" w:hanging="420"/>
      </w:pPr>
    </w:lvl>
    <w:lvl w:ilvl="1" w:tentative="0">
      <w:start w:val="1"/>
      <w:numFmt w:val="decimal"/>
      <w:lvlText w:val="%2)"/>
      <w:lvlJc w:val="left"/>
      <w:pPr>
        <w:ind w:left="990" w:hanging="360"/>
      </w:pPr>
    </w:lvl>
    <w:lvl w:ilvl="2" w:tentative="0">
      <w:start w:val="1"/>
      <w:numFmt w:val="decimal"/>
      <w:lvlText w:val="%3."/>
      <w:lvlJc w:val="right"/>
      <w:pPr>
        <w:ind w:left="1470" w:hanging="420"/>
      </w:pPr>
    </w:lvl>
    <w:lvl w:ilvl="3" w:tentative="0">
      <w:start w:val="1"/>
      <w:numFmt w:val="decimal"/>
      <w:lvlText w:val="%4."/>
      <w:lvlJc w:val="left"/>
      <w:pPr>
        <w:ind w:left="1890" w:hanging="420"/>
      </w:pPr>
    </w:lvl>
    <w:lvl w:ilvl="4" w:tentative="0">
      <w:start w:val="1"/>
      <w:numFmt w:val="lowerLetter"/>
      <w:lvlText w:val="%5)"/>
      <w:lvlJc w:val="left"/>
      <w:pPr>
        <w:ind w:left="2310" w:hanging="420"/>
      </w:pPr>
    </w:lvl>
    <w:lvl w:ilvl="5" w:tentative="0">
      <w:start w:val="1"/>
      <w:numFmt w:val="decimal"/>
      <w:lvlText w:val="%6."/>
      <w:lvlJc w:val="right"/>
      <w:pPr>
        <w:ind w:left="2730" w:hanging="420"/>
      </w:pPr>
    </w:lvl>
    <w:lvl w:ilvl="6" w:tentative="0">
      <w:start w:val="1"/>
      <w:numFmt w:val="decimal"/>
      <w:lvlText w:val="%7."/>
      <w:lvlJc w:val="left"/>
      <w:pPr>
        <w:ind w:left="3150" w:hanging="420"/>
      </w:pPr>
    </w:lvl>
    <w:lvl w:ilvl="7" w:tentative="0">
      <w:start w:val="1"/>
      <w:numFmt w:val="lowerLetter"/>
      <w:lvlText w:val="%8)"/>
      <w:lvlJc w:val="left"/>
      <w:pPr>
        <w:ind w:left="3570" w:hanging="420"/>
      </w:pPr>
    </w:lvl>
    <w:lvl w:ilvl="8" w:tentative="0">
      <w:start w:val="1"/>
      <w:numFmt w:val="decimal"/>
      <w:lvlText w:val="%9."/>
      <w:lvlJc w:val="right"/>
      <w:pPr>
        <w:ind w:left="3990" w:hanging="420"/>
      </w:pPr>
    </w:lvl>
  </w:abstractNum>
  <w:abstractNum w:abstractNumId="3">
    <w:nsid w:val="CB153F12"/>
    <w:multiLevelType w:val="singleLevel"/>
    <w:tmpl w:val="CB153F12"/>
    <w:lvl w:ilvl="0" w:tentative="0">
      <w:start w:val="1"/>
      <w:numFmt w:val="decimal"/>
      <w:suff w:val="nothing"/>
      <w:lvlText w:val="（%1）"/>
      <w:lvlJc w:val="left"/>
    </w:lvl>
  </w:abstractNum>
  <w:abstractNum w:abstractNumId="4">
    <w:nsid w:val="CF092B84"/>
    <w:multiLevelType w:val="multilevel"/>
    <w:tmpl w:val="CF092B84"/>
    <w:lvl w:ilvl="0" w:tentative="0">
      <w:start w:val="1"/>
      <w:numFmt w:val="chineseCountingThousand"/>
      <w:pStyle w:val="331"/>
      <w:suff w:val="nothing"/>
      <w:lvlText w:val="第%1章"/>
      <w:lvlJc w:val="left"/>
      <w:pPr>
        <w:ind w:left="3402"/>
      </w:pPr>
      <w:rPr>
        <w:rFonts w:cs="Times New Roman"/>
      </w:rPr>
    </w:lvl>
    <w:lvl w:ilvl="1" w:tentative="0">
      <w:start w:val="1"/>
      <w:numFmt w:val="lowerLetter"/>
      <w:pStyle w:val="355"/>
      <w:lvlText w:val="%1)"/>
      <w:lvlJc w:val="left"/>
      <w:pPr>
        <w:ind w:left="840" w:hanging="420"/>
      </w:pPr>
      <w:rPr>
        <w:rFonts w:cs="Times New Roman"/>
      </w:rPr>
    </w:lvl>
    <w:lvl w:ilvl="2" w:tentative="0">
      <w:start w:val="1"/>
      <w:numFmt w:val="lowerRoman"/>
      <w:pStyle w:val="368"/>
      <w:lvlText w:val="%1."/>
      <w:lvlJc w:val="right"/>
      <w:pPr>
        <w:ind w:left="1260" w:hanging="420"/>
      </w:pPr>
      <w:rPr>
        <w:rFonts w:cs="Times New Roman"/>
      </w:rPr>
    </w:lvl>
    <w:lvl w:ilvl="3" w:tentative="0">
      <w:start w:val="1"/>
      <w:numFmt w:val="decimal"/>
      <w:pStyle w:val="352"/>
      <w:lvlText w:val="%1."/>
      <w:lvlJc w:val="left"/>
      <w:pPr>
        <w:ind w:left="1680" w:hanging="420"/>
      </w:pPr>
      <w:rPr>
        <w:rFonts w:cs="Times New Roman"/>
      </w:rPr>
    </w:lvl>
    <w:lvl w:ilvl="4" w:tentative="0">
      <w:start w:val="1"/>
      <w:numFmt w:val="lowerLetter"/>
      <w:pStyle w:val="361"/>
      <w:lvlText w:val="%1)"/>
      <w:lvlJc w:val="left"/>
      <w:pPr>
        <w:ind w:left="2100" w:hanging="420"/>
      </w:pPr>
      <w:rPr>
        <w:rFonts w:cs="Times New Roman"/>
      </w:rPr>
    </w:lvl>
    <w:lvl w:ilvl="5" w:tentative="0">
      <w:start w:val="1"/>
      <w:numFmt w:val="lowerRoman"/>
      <w:pStyle w:val="335"/>
      <w:lvlText w:val="%1."/>
      <w:lvlJc w:val="right"/>
      <w:pPr>
        <w:ind w:left="2520" w:hanging="420"/>
      </w:pPr>
      <w:rPr>
        <w:rFonts w:cs="Times New Roman"/>
      </w:rPr>
    </w:lvl>
    <w:lvl w:ilvl="6" w:tentative="0">
      <w:start w:val="1"/>
      <w:numFmt w:val="decimal"/>
      <w:pStyle w:val="382"/>
      <w:lvlText w:val="%1."/>
      <w:lvlJc w:val="left"/>
      <w:pPr>
        <w:ind w:left="2940" w:hanging="420"/>
      </w:pPr>
      <w:rPr>
        <w:rFonts w:cs="Times New Roman"/>
      </w:rPr>
    </w:lvl>
    <w:lvl w:ilvl="7" w:tentative="0">
      <w:start w:val="1"/>
      <w:numFmt w:val="lowerLetter"/>
      <w:pStyle w:val="334"/>
      <w:lvlText w:val="%1)"/>
      <w:lvlJc w:val="left"/>
      <w:pPr>
        <w:ind w:left="3360" w:hanging="420"/>
      </w:pPr>
      <w:rPr>
        <w:rFonts w:cs="Times New Roman"/>
      </w:rPr>
    </w:lvl>
    <w:lvl w:ilvl="8" w:tentative="0">
      <w:start w:val="1"/>
      <w:numFmt w:val="lowerRoman"/>
      <w:pStyle w:val="349"/>
      <w:lvlText w:val="%1."/>
      <w:lvlJc w:val="right"/>
      <w:pPr>
        <w:ind w:left="3780" w:hanging="420"/>
      </w:pPr>
      <w:rPr>
        <w:rFonts w:cs="Times New Roman"/>
      </w:rPr>
    </w:lvl>
  </w:abstractNum>
  <w:abstractNum w:abstractNumId="5">
    <w:nsid w:val="0053208E"/>
    <w:multiLevelType w:val="multilevel"/>
    <w:tmpl w:val="0053208E"/>
    <w:lvl w:ilvl="0" w:tentative="0">
      <w:start w:val="1"/>
      <w:numFmt w:val="upperLetter"/>
      <w:pStyle w:val="269"/>
      <w:lvlText w:val="%1."/>
      <w:lvlJc w:val="left"/>
      <w:pPr>
        <w:ind w:left="720" w:hanging="720"/>
      </w:pPr>
      <w:rPr>
        <w:rFonts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3ED09FA7"/>
    <w:multiLevelType w:val="singleLevel"/>
    <w:tmpl w:val="3ED09FA7"/>
    <w:lvl w:ilvl="0" w:tentative="0">
      <w:start w:val="1"/>
      <w:numFmt w:val="decimal"/>
      <w:lvlText w:val="%1."/>
      <w:lvlJc w:val="left"/>
      <w:pPr>
        <w:tabs>
          <w:tab w:val="left" w:pos="312"/>
        </w:tabs>
      </w:pPr>
    </w:lvl>
  </w:abstractNum>
  <w:abstractNum w:abstractNumId="7">
    <w:nsid w:val="591D31B3"/>
    <w:multiLevelType w:val="singleLevel"/>
    <w:tmpl w:val="591D31B3"/>
    <w:lvl w:ilvl="0" w:tentative="0">
      <w:start w:val="2"/>
      <w:numFmt w:val="chineseCounting"/>
      <w:suff w:val="nothing"/>
      <w:lvlText w:val="%1、"/>
      <w:lvlJc w:val="left"/>
      <w:rPr>
        <w:rFonts w:hint="eastAsia"/>
      </w:rPr>
    </w:lvl>
  </w:abstractNum>
  <w:abstractNum w:abstractNumId="8">
    <w:nsid w:val="59ADCABA"/>
    <w:multiLevelType w:val="multilevel"/>
    <w:tmpl w:val="59ADCABA"/>
    <w:lvl w:ilvl="0" w:tentative="0">
      <w:start w:val="1"/>
      <w:numFmt w:val="decimal"/>
      <w:lvlText w:val="（%1）"/>
      <w:lvlJc w:val="left"/>
      <w:pPr>
        <w:ind w:left="0" w:firstLine="0"/>
      </w:pPr>
    </w:lvl>
    <w:lvl w:ilvl="1" w:tentative="0">
      <w:start w:val="1"/>
      <w:numFmt w:val="decimal"/>
      <w:lvlText w:val="%2."/>
      <w:lvlJc w:val="left"/>
      <w:pPr>
        <w:ind w:left="1440" w:hanging="360"/>
      </w:pPr>
    </w:lvl>
    <w:lvl w:ilvl="2" w:tentative="0">
      <w:start w:val="1"/>
      <w:numFmt w:val="decimal"/>
      <w:lvlText w:val="%3."/>
      <w:lvlJc w:val="left"/>
      <w:pPr>
        <w:ind w:left="2160" w:hanging="360"/>
      </w:pPr>
    </w:lvl>
    <w:lvl w:ilvl="3" w:tentative="0">
      <w:start w:val="1"/>
      <w:numFmt w:val="decimal"/>
      <w:lvlText w:val="%4."/>
      <w:lvlJc w:val="left"/>
      <w:pPr>
        <w:ind w:left="2880" w:hanging="360"/>
      </w:pPr>
    </w:lvl>
    <w:lvl w:ilvl="4" w:tentative="0">
      <w:start w:val="1"/>
      <w:numFmt w:val="decimal"/>
      <w:lvlText w:val="%5."/>
      <w:lvlJc w:val="left"/>
      <w:pPr>
        <w:ind w:left="3600" w:hanging="360"/>
      </w:pPr>
    </w:lvl>
    <w:lvl w:ilvl="5" w:tentative="0">
      <w:start w:val="1"/>
      <w:numFmt w:val="decimal"/>
      <w:lvlText w:val="%6."/>
      <w:lvlJc w:val="left"/>
      <w:pPr>
        <w:ind w:left="4320" w:hanging="360"/>
      </w:pPr>
    </w:lvl>
    <w:lvl w:ilvl="6" w:tentative="0">
      <w:start w:val="1"/>
      <w:numFmt w:val="decimal"/>
      <w:lvlText w:val="%7."/>
      <w:lvlJc w:val="left"/>
      <w:pPr>
        <w:ind w:left="5040" w:hanging="360"/>
      </w:pPr>
    </w:lvl>
    <w:lvl w:ilvl="7" w:tentative="0">
      <w:start w:val="1"/>
      <w:numFmt w:val="decimal"/>
      <w:lvlText w:val="%8."/>
      <w:lvlJc w:val="left"/>
      <w:pPr>
        <w:ind w:left="5760" w:hanging="360"/>
      </w:pPr>
    </w:lvl>
    <w:lvl w:ilvl="8" w:tentative="0">
      <w:start w:val="1"/>
      <w:numFmt w:val="decimal"/>
      <w:lvlText w:val="%9."/>
      <w:lvlJc w:val="left"/>
      <w:pPr>
        <w:ind w:left="6480" w:hanging="360"/>
      </w:pPr>
    </w:lvl>
  </w:abstractNum>
  <w:num w:numId="1">
    <w:abstractNumId w:val="5"/>
  </w:num>
  <w:num w:numId="2">
    <w:abstractNumId w:val="4"/>
  </w:num>
  <w:num w:numId="3">
    <w:abstractNumId w:val="8"/>
  </w:num>
  <w:num w:numId="4">
    <w:abstractNumId w:val="2"/>
  </w:num>
  <w:num w:numId="5">
    <w:abstractNumId w:val="7"/>
  </w:num>
  <w:num w:numId="6">
    <w:abstractNumId w:val="6"/>
  </w:num>
  <w:num w:numId="7">
    <w:abstractNumId w:val="3"/>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5C7268"/>
    <w:rsid w:val="029D5F34"/>
    <w:rsid w:val="10F20DDB"/>
    <w:rsid w:val="12BF2618"/>
    <w:rsid w:val="137B32C6"/>
    <w:rsid w:val="14EC447B"/>
    <w:rsid w:val="15AE7982"/>
    <w:rsid w:val="168B1A72"/>
    <w:rsid w:val="16C84A74"/>
    <w:rsid w:val="16E54A4E"/>
    <w:rsid w:val="17482195"/>
    <w:rsid w:val="1B7844FB"/>
    <w:rsid w:val="1BA13194"/>
    <w:rsid w:val="1C0302FC"/>
    <w:rsid w:val="1C98760D"/>
    <w:rsid w:val="1EB83620"/>
    <w:rsid w:val="217E28FF"/>
    <w:rsid w:val="23B8005D"/>
    <w:rsid w:val="249A3508"/>
    <w:rsid w:val="25401C79"/>
    <w:rsid w:val="28F75607"/>
    <w:rsid w:val="2B82123D"/>
    <w:rsid w:val="30A0057F"/>
    <w:rsid w:val="311E37B6"/>
    <w:rsid w:val="333F17C2"/>
    <w:rsid w:val="34853B4C"/>
    <w:rsid w:val="3B424545"/>
    <w:rsid w:val="3D6222EE"/>
    <w:rsid w:val="410924C1"/>
    <w:rsid w:val="43653127"/>
    <w:rsid w:val="44605A3B"/>
    <w:rsid w:val="47392608"/>
    <w:rsid w:val="47513B8F"/>
    <w:rsid w:val="4B1B446B"/>
    <w:rsid w:val="4B59022F"/>
    <w:rsid w:val="5503669C"/>
    <w:rsid w:val="55C4407D"/>
    <w:rsid w:val="56472660"/>
    <w:rsid w:val="578F2469"/>
    <w:rsid w:val="57F30C49"/>
    <w:rsid w:val="59EE791A"/>
    <w:rsid w:val="5B2B06FA"/>
    <w:rsid w:val="5D4852D5"/>
    <w:rsid w:val="5EC21376"/>
    <w:rsid w:val="60A72DA9"/>
    <w:rsid w:val="618F6740"/>
    <w:rsid w:val="664726D9"/>
    <w:rsid w:val="68182006"/>
    <w:rsid w:val="6A0709B4"/>
    <w:rsid w:val="704F0C7C"/>
    <w:rsid w:val="70C920F0"/>
    <w:rsid w:val="72F86CBC"/>
    <w:rsid w:val="745D771F"/>
    <w:rsid w:val="773E13B6"/>
    <w:rsid w:val="7A3E3B4E"/>
    <w:rsid w:val="7C286864"/>
    <w:rsid w:val="7C947A56"/>
    <w:rsid w:val="7F734BF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95"/>
    <w:qFormat/>
    <w:uiPriority w:val="0"/>
    <w:pPr>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34"/>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5"/>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6"/>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37"/>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38"/>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39"/>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0"/>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2"/>
    <w:unhideWhenUsed/>
    <w:qFormat/>
    <w:uiPriority w:val="9"/>
    <w:pPr>
      <w:keepNext/>
      <w:keepLines/>
      <w:spacing w:before="320" w:after="200"/>
      <w:outlineLvl w:val="8"/>
    </w:pPr>
    <w:rPr>
      <w:rFonts w:ascii="Arial" w:hAnsi="Arial" w:eastAsia="Arial" w:cs="Arial"/>
      <w:i/>
      <w:iCs/>
      <w:sz w:val="21"/>
      <w:szCs w:val="21"/>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toc 5"/>
    <w:basedOn w:val="1"/>
    <w:next w:val="1"/>
    <w:unhideWhenUsed/>
    <w:qFormat/>
    <w:uiPriority w:val="39"/>
    <w:pPr>
      <w:spacing w:after="57"/>
      <w:ind w:left="1134" w:right="0" w:firstLine="0"/>
    </w:pPr>
  </w:style>
  <w:style w:type="paragraph" w:styleId="14">
    <w:name w:val="toc 3"/>
    <w:basedOn w:val="1"/>
    <w:next w:val="1"/>
    <w:unhideWhenUsed/>
    <w:qFormat/>
    <w:uiPriority w:val="39"/>
    <w:pPr>
      <w:spacing w:after="57"/>
      <w:ind w:left="567" w:right="0" w:firstLine="0"/>
    </w:pPr>
  </w:style>
  <w:style w:type="paragraph" w:styleId="15">
    <w:name w:val="toc 8"/>
    <w:basedOn w:val="1"/>
    <w:next w:val="1"/>
    <w:unhideWhenUsed/>
    <w:qFormat/>
    <w:uiPriority w:val="39"/>
    <w:pPr>
      <w:spacing w:after="57"/>
      <w:ind w:left="1984" w:right="0" w:firstLine="0"/>
    </w:pPr>
  </w:style>
  <w:style w:type="paragraph" w:styleId="16">
    <w:name w:val="endnote text"/>
    <w:basedOn w:val="1"/>
    <w:link w:val="180"/>
    <w:semiHidden/>
    <w:unhideWhenUsed/>
    <w:qFormat/>
    <w:uiPriority w:val="99"/>
    <w:pPr>
      <w:spacing w:after="0" w:line="240" w:lineRule="auto"/>
    </w:pPr>
    <w:rPr>
      <w:sz w:val="20"/>
    </w:rPr>
  </w:style>
  <w:style w:type="paragraph" w:styleId="17">
    <w:name w:val="footer"/>
    <w:basedOn w:val="1"/>
    <w:link w:val="53"/>
    <w:unhideWhenUsed/>
    <w:qFormat/>
    <w:uiPriority w:val="99"/>
    <w:pPr>
      <w:tabs>
        <w:tab w:val="center" w:pos="7143"/>
        <w:tab w:val="right" w:pos="14287"/>
      </w:tabs>
      <w:spacing w:after="0" w:line="240" w:lineRule="auto"/>
    </w:pPr>
  </w:style>
  <w:style w:type="paragraph" w:styleId="18">
    <w:name w:val="header"/>
    <w:basedOn w:val="1"/>
    <w:link w:val="51"/>
    <w:unhideWhenUsed/>
    <w:qFormat/>
    <w:uiPriority w:val="99"/>
    <w:pPr>
      <w:tabs>
        <w:tab w:val="center" w:pos="7143"/>
        <w:tab w:val="right" w:pos="14287"/>
      </w:tabs>
      <w:spacing w:after="0" w:line="240" w:lineRule="auto"/>
    </w:pPr>
  </w:style>
  <w:style w:type="paragraph" w:styleId="19">
    <w:name w:val="toc 1"/>
    <w:basedOn w:val="1"/>
    <w:next w:val="1"/>
    <w:unhideWhenUsed/>
    <w:qFormat/>
    <w:uiPriority w:val="39"/>
    <w:pPr>
      <w:spacing w:after="57"/>
      <w:ind w:left="0" w:right="0" w:firstLine="0"/>
    </w:pPr>
  </w:style>
  <w:style w:type="paragraph" w:styleId="20">
    <w:name w:val="toc 4"/>
    <w:basedOn w:val="1"/>
    <w:next w:val="1"/>
    <w:unhideWhenUsed/>
    <w:qFormat/>
    <w:uiPriority w:val="39"/>
    <w:pPr>
      <w:spacing w:after="57"/>
      <w:ind w:left="850" w:right="0" w:firstLine="0"/>
    </w:pPr>
  </w:style>
  <w:style w:type="paragraph" w:styleId="21">
    <w:name w:val="Subtitle"/>
    <w:basedOn w:val="1"/>
    <w:next w:val="1"/>
    <w:link w:val="46"/>
    <w:qFormat/>
    <w:uiPriority w:val="11"/>
    <w:pPr>
      <w:spacing w:before="200" w:after="200"/>
    </w:pPr>
    <w:rPr>
      <w:sz w:val="24"/>
      <w:szCs w:val="24"/>
    </w:rPr>
  </w:style>
  <w:style w:type="paragraph" w:styleId="22">
    <w:name w:val="footnote text"/>
    <w:basedOn w:val="1"/>
    <w:link w:val="179"/>
    <w:semiHidden/>
    <w:unhideWhenUsed/>
    <w:qFormat/>
    <w:uiPriority w:val="99"/>
    <w:pPr>
      <w:spacing w:after="40" w:line="240" w:lineRule="auto"/>
    </w:pPr>
    <w:rPr>
      <w:sz w:val="18"/>
    </w:rPr>
  </w:style>
  <w:style w:type="paragraph" w:styleId="23">
    <w:name w:val="toc 6"/>
    <w:basedOn w:val="1"/>
    <w:next w:val="1"/>
    <w:unhideWhenUsed/>
    <w:qFormat/>
    <w:uiPriority w:val="39"/>
    <w:pPr>
      <w:spacing w:after="57"/>
      <w:ind w:left="1417" w:right="0" w:firstLine="0"/>
    </w:pPr>
  </w:style>
  <w:style w:type="paragraph" w:styleId="24">
    <w:name w:val="table of figures"/>
    <w:basedOn w:val="1"/>
    <w:next w:val="1"/>
    <w:unhideWhenUsed/>
    <w:qFormat/>
    <w:uiPriority w:val="99"/>
    <w:pPr>
      <w:spacing w:after="0" w:afterAutospacing="0"/>
    </w:pPr>
  </w:style>
  <w:style w:type="paragraph" w:styleId="25">
    <w:name w:val="toc 2"/>
    <w:basedOn w:val="1"/>
    <w:next w:val="1"/>
    <w:unhideWhenUsed/>
    <w:qFormat/>
    <w:uiPriority w:val="39"/>
    <w:pPr>
      <w:spacing w:after="57"/>
      <w:ind w:left="283" w:right="0" w:firstLine="0"/>
    </w:pPr>
  </w:style>
  <w:style w:type="paragraph" w:styleId="26">
    <w:name w:val="toc 9"/>
    <w:basedOn w:val="1"/>
    <w:next w:val="1"/>
    <w:unhideWhenUsed/>
    <w:qFormat/>
    <w:uiPriority w:val="39"/>
    <w:pPr>
      <w:spacing w:after="57"/>
      <w:ind w:left="2268" w:right="0" w:firstLine="0"/>
    </w:pPr>
  </w:style>
  <w:style w:type="paragraph" w:styleId="27">
    <w:name w:val="Title"/>
    <w:basedOn w:val="1"/>
    <w:next w:val="1"/>
    <w:link w:val="45"/>
    <w:qFormat/>
    <w:uiPriority w:val="10"/>
    <w:pPr>
      <w:spacing w:before="300" w:after="200"/>
      <w:contextualSpacing/>
    </w:pPr>
    <w:rPr>
      <w:sz w:val="48"/>
      <w:szCs w:val="48"/>
    </w:rPr>
  </w:style>
  <w:style w:type="table" w:styleId="29">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1">
    <w:name w:val="endnote reference"/>
    <w:semiHidden/>
    <w:unhideWhenUsed/>
    <w:qFormat/>
    <w:uiPriority w:val="99"/>
    <w:rPr>
      <w:vertAlign w:val="superscript"/>
    </w:rPr>
  </w:style>
  <w:style w:type="character" w:styleId="32">
    <w:name w:val="Hyperlink"/>
    <w:unhideWhenUsed/>
    <w:qFormat/>
    <w:uiPriority w:val="99"/>
    <w:rPr>
      <w:color w:val="0000FF" w:themeColor="hyperlink"/>
      <w:u w:val="single"/>
      <w14:textFill>
        <w14:solidFill>
          <w14:schemeClr w14:val="hlink"/>
        </w14:solidFill>
      </w14:textFill>
    </w:rPr>
  </w:style>
  <w:style w:type="character" w:styleId="33">
    <w:name w:val="footnote reference"/>
    <w:unhideWhenUsed/>
    <w:qFormat/>
    <w:uiPriority w:val="99"/>
    <w:rPr>
      <w:vertAlign w:val="superscript"/>
    </w:rPr>
  </w:style>
  <w:style w:type="character" w:customStyle="1" w:styleId="34">
    <w:name w:val="Heading 1 Char"/>
    <w:link w:val="2"/>
    <w:qFormat/>
    <w:uiPriority w:val="9"/>
    <w:rPr>
      <w:rFonts w:ascii="Arial" w:hAnsi="Arial" w:eastAsia="Arial" w:cs="Arial"/>
      <w:sz w:val="40"/>
      <w:szCs w:val="40"/>
    </w:rPr>
  </w:style>
  <w:style w:type="character" w:customStyle="1" w:styleId="35">
    <w:name w:val="Heading 2 Char"/>
    <w:link w:val="3"/>
    <w:qFormat/>
    <w:uiPriority w:val="9"/>
    <w:rPr>
      <w:rFonts w:ascii="Arial" w:hAnsi="Arial" w:eastAsia="Arial" w:cs="Arial"/>
      <w:sz w:val="34"/>
    </w:rPr>
  </w:style>
  <w:style w:type="character" w:customStyle="1" w:styleId="36">
    <w:name w:val="Heading 3 Char"/>
    <w:link w:val="4"/>
    <w:qFormat/>
    <w:uiPriority w:val="9"/>
    <w:rPr>
      <w:rFonts w:ascii="Arial" w:hAnsi="Arial" w:eastAsia="Arial" w:cs="Arial"/>
      <w:sz w:val="30"/>
      <w:szCs w:val="30"/>
    </w:rPr>
  </w:style>
  <w:style w:type="character" w:customStyle="1" w:styleId="37">
    <w:name w:val="Heading 4 Char"/>
    <w:link w:val="5"/>
    <w:qFormat/>
    <w:uiPriority w:val="9"/>
    <w:rPr>
      <w:rFonts w:ascii="Arial" w:hAnsi="Arial" w:eastAsia="Arial" w:cs="Arial"/>
      <w:b/>
      <w:bCs/>
      <w:sz w:val="26"/>
      <w:szCs w:val="26"/>
    </w:rPr>
  </w:style>
  <w:style w:type="character" w:customStyle="1" w:styleId="38">
    <w:name w:val="Heading 5 Char"/>
    <w:link w:val="6"/>
    <w:qFormat/>
    <w:uiPriority w:val="9"/>
    <w:rPr>
      <w:rFonts w:ascii="Arial" w:hAnsi="Arial" w:eastAsia="Arial" w:cs="Arial"/>
      <w:b/>
      <w:bCs/>
      <w:sz w:val="24"/>
      <w:szCs w:val="24"/>
    </w:rPr>
  </w:style>
  <w:style w:type="character" w:customStyle="1" w:styleId="39">
    <w:name w:val="Heading 6 Char"/>
    <w:link w:val="7"/>
    <w:qFormat/>
    <w:uiPriority w:val="9"/>
    <w:rPr>
      <w:rFonts w:ascii="Arial" w:hAnsi="Arial" w:eastAsia="Arial" w:cs="Arial"/>
      <w:b/>
      <w:bCs/>
      <w:sz w:val="22"/>
      <w:szCs w:val="22"/>
    </w:rPr>
  </w:style>
  <w:style w:type="character" w:customStyle="1" w:styleId="40">
    <w:name w:val="Heading 7 Char"/>
    <w:link w:val="8"/>
    <w:qFormat/>
    <w:uiPriority w:val="9"/>
    <w:rPr>
      <w:rFonts w:ascii="Arial" w:hAnsi="Arial" w:eastAsia="Arial" w:cs="Arial"/>
      <w:b/>
      <w:bCs/>
      <w:i/>
      <w:iCs/>
      <w:sz w:val="22"/>
      <w:szCs w:val="22"/>
    </w:rPr>
  </w:style>
  <w:style w:type="character" w:customStyle="1" w:styleId="41">
    <w:name w:val="Heading 8 Char"/>
    <w:link w:val="9"/>
    <w:qFormat/>
    <w:uiPriority w:val="9"/>
    <w:rPr>
      <w:rFonts w:ascii="Arial" w:hAnsi="Arial" w:eastAsia="Arial" w:cs="Arial"/>
      <w:i/>
      <w:iCs/>
      <w:sz w:val="22"/>
      <w:szCs w:val="22"/>
    </w:rPr>
  </w:style>
  <w:style w:type="character" w:customStyle="1" w:styleId="42">
    <w:name w:val="Heading 9 Char"/>
    <w:link w:val="10"/>
    <w:qFormat/>
    <w:uiPriority w:val="9"/>
    <w:rPr>
      <w:rFonts w:ascii="Arial" w:hAnsi="Arial" w:eastAsia="Arial" w:cs="Arial"/>
      <w:i/>
      <w:iCs/>
      <w:sz w:val="21"/>
      <w:szCs w:val="21"/>
    </w:rPr>
  </w:style>
  <w:style w:type="paragraph" w:styleId="43">
    <w:name w:val="List Paragraph"/>
    <w:basedOn w:val="1"/>
    <w:qFormat/>
    <w:uiPriority w:val="34"/>
    <w:pPr>
      <w:ind w:left="720"/>
      <w:contextualSpacing/>
    </w:pPr>
  </w:style>
  <w:style w:type="paragraph" w:styleId="44">
    <w:name w:val="No Spacing"/>
    <w:qFormat/>
    <w:uiPriority w:val="1"/>
    <w:pPr>
      <w:spacing w:before="0" w:after="0" w:line="240" w:lineRule="auto"/>
    </w:pPr>
    <w:rPr>
      <w:rFonts w:hint="default" w:ascii="Times New Roman" w:hAnsi="Times New Roman" w:eastAsia="宋体" w:cs="Times New Roman"/>
    </w:rPr>
  </w:style>
  <w:style w:type="character" w:customStyle="1" w:styleId="45">
    <w:name w:val="Title Char"/>
    <w:link w:val="27"/>
    <w:qFormat/>
    <w:uiPriority w:val="10"/>
    <w:rPr>
      <w:sz w:val="48"/>
      <w:szCs w:val="48"/>
    </w:rPr>
  </w:style>
  <w:style w:type="character" w:customStyle="1" w:styleId="46">
    <w:name w:val="Subtitle Char"/>
    <w:link w:val="21"/>
    <w:qFormat/>
    <w:uiPriority w:val="11"/>
    <w:rPr>
      <w:sz w:val="24"/>
      <w:szCs w:val="24"/>
    </w:rPr>
  </w:style>
  <w:style w:type="paragraph" w:styleId="47">
    <w:name w:val="Quote"/>
    <w:basedOn w:val="1"/>
    <w:next w:val="1"/>
    <w:link w:val="48"/>
    <w:qFormat/>
    <w:uiPriority w:val="29"/>
    <w:pPr>
      <w:ind w:left="720" w:right="720"/>
    </w:pPr>
    <w:rPr>
      <w:i/>
    </w:rPr>
  </w:style>
  <w:style w:type="character" w:customStyle="1" w:styleId="48">
    <w:name w:val="Quote Char"/>
    <w:link w:val="47"/>
    <w:qFormat/>
    <w:uiPriority w:val="29"/>
    <w:rPr>
      <w:i/>
    </w:rPr>
  </w:style>
  <w:style w:type="paragraph" w:styleId="49">
    <w:name w:val="Intense Quote"/>
    <w:basedOn w:val="1"/>
    <w:next w:val="1"/>
    <w:link w:val="5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0">
    <w:name w:val="Intense Quote Char"/>
    <w:link w:val="49"/>
    <w:qFormat/>
    <w:uiPriority w:val="30"/>
    <w:rPr>
      <w:i/>
    </w:rPr>
  </w:style>
  <w:style w:type="character" w:customStyle="1" w:styleId="51">
    <w:name w:val="Header Char"/>
    <w:link w:val="18"/>
    <w:qFormat/>
    <w:uiPriority w:val="99"/>
  </w:style>
  <w:style w:type="character" w:customStyle="1" w:styleId="52">
    <w:name w:val="Footer Char"/>
    <w:link w:val="17"/>
    <w:qFormat/>
    <w:uiPriority w:val="99"/>
  </w:style>
  <w:style w:type="character" w:customStyle="1" w:styleId="53">
    <w:name w:val="Caption Char"/>
    <w:link w:val="17"/>
    <w:qFormat/>
    <w:uiPriority w:val="99"/>
  </w:style>
  <w:style w:type="table" w:customStyle="1" w:styleId="54">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5">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6">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7">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1">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2">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3">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4">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5">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6">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7">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69">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0">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1">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2">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3">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4">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6">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7">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8">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9">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0">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1">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3">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9">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0">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1">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2">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3">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4">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5">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6">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7">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98">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99">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0">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1">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2">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3">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4">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5">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6">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7">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8">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09">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0">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1">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2">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3">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4">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5">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6">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7">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8">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19">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0">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1">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2">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3">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4">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5">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6">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7">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8">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29">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0">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1">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2">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3">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4">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5">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6">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7">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8">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39">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0">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1">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2">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3">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4">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5">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6">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7">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48">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9">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0">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1">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2">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3">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4">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5">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6">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7">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8">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9">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0">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1">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2">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3">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4">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5">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7">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8">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9">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0">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1">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2">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3">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4">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5">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6">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7">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8">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79">
    <w:name w:val="Footnote Text Char"/>
    <w:link w:val="22"/>
    <w:qFormat/>
    <w:uiPriority w:val="99"/>
    <w:rPr>
      <w:sz w:val="18"/>
    </w:rPr>
  </w:style>
  <w:style w:type="character" w:customStyle="1" w:styleId="180">
    <w:name w:val="Endnote Text Char"/>
    <w:link w:val="16"/>
    <w:qFormat/>
    <w:uiPriority w:val="99"/>
    <w:rPr>
      <w:sz w:val="20"/>
    </w:rPr>
  </w:style>
  <w:style w:type="paragraph" w:customStyle="1" w:styleId="181">
    <w:name w:val="TOC Heading"/>
    <w:unhideWhenUsed/>
    <w:qFormat/>
    <w:uiPriority w:val="39"/>
    <w:rPr>
      <w:rFonts w:hint="default" w:ascii="Times New Roman" w:hAnsi="Times New Roman" w:eastAsia="宋体" w:cs="Times New Roman"/>
    </w:rPr>
  </w:style>
  <w:style w:type="paragraph" w:customStyle="1" w:styleId="182">
    <w:name w:val="标题 11"/>
    <w:basedOn w:val="1"/>
    <w:next w:val="1"/>
    <w:link w:val="196"/>
    <w:qFormat/>
    <w:uiPriority w:val="99"/>
    <w:pPr>
      <w:keepNext/>
      <w:keepLines/>
      <w:widowControl w:val="0"/>
      <w:spacing w:before="340" w:after="330" w:line="578" w:lineRule="auto"/>
      <w:jc w:val="center"/>
      <w:outlineLvl w:val="0"/>
    </w:pPr>
    <w:rPr>
      <w:b/>
      <w:bCs/>
      <w:sz w:val="44"/>
      <w:szCs w:val="44"/>
    </w:rPr>
  </w:style>
  <w:style w:type="paragraph" w:customStyle="1" w:styleId="183">
    <w:name w:val="标题 21"/>
    <w:basedOn w:val="1"/>
    <w:next w:val="1"/>
    <w:link w:val="197"/>
    <w:qFormat/>
    <w:uiPriority w:val="99"/>
    <w:pPr>
      <w:keepNext/>
      <w:keepLines/>
      <w:widowControl w:val="0"/>
      <w:spacing w:before="260" w:after="260" w:line="415" w:lineRule="auto"/>
      <w:outlineLvl w:val="1"/>
    </w:pPr>
    <w:rPr>
      <w:rFonts w:ascii="Arial" w:hAnsi="Arial" w:eastAsia="黑体"/>
      <w:b/>
      <w:bCs/>
      <w:sz w:val="32"/>
      <w:szCs w:val="32"/>
    </w:rPr>
  </w:style>
  <w:style w:type="paragraph" w:customStyle="1" w:styleId="184">
    <w:name w:val="标题 31"/>
    <w:basedOn w:val="1"/>
    <w:next w:val="1"/>
    <w:link w:val="198"/>
    <w:qFormat/>
    <w:uiPriority w:val="99"/>
    <w:pPr>
      <w:keepNext/>
      <w:keepLines/>
      <w:widowControl w:val="0"/>
      <w:spacing w:before="260" w:after="260" w:line="416" w:lineRule="auto"/>
      <w:outlineLvl w:val="2"/>
    </w:pPr>
    <w:rPr>
      <w:b/>
      <w:bCs/>
      <w:sz w:val="32"/>
      <w:szCs w:val="32"/>
    </w:rPr>
  </w:style>
  <w:style w:type="paragraph" w:customStyle="1" w:styleId="185">
    <w:name w:val="标题 41"/>
    <w:basedOn w:val="1"/>
    <w:next w:val="1"/>
    <w:link w:val="199"/>
    <w:qFormat/>
    <w:uiPriority w:val="99"/>
    <w:pPr>
      <w:keepNext/>
      <w:keepLines/>
      <w:widowControl w:val="0"/>
      <w:spacing w:before="280" w:after="290" w:line="376" w:lineRule="auto"/>
      <w:outlineLvl w:val="3"/>
    </w:pPr>
    <w:rPr>
      <w:rFonts w:ascii="Cambria" w:hAnsi="Cambria"/>
      <w:b/>
      <w:bCs/>
      <w:sz w:val="28"/>
      <w:szCs w:val="28"/>
    </w:rPr>
  </w:style>
  <w:style w:type="paragraph" w:customStyle="1" w:styleId="186">
    <w:name w:val="标题 51"/>
    <w:basedOn w:val="1"/>
    <w:next w:val="1"/>
    <w:link w:val="200"/>
    <w:qFormat/>
    <w:uiPriority w:val="99"/>
    <w:pPr>
      <w:keepNext/>
      <w:keepLines/>
      <w:widowControl w:val="0"/>
      <w:spacing w:before="280" w:after="290" w:line="376" w:lineRule="auto"/>
      <w:outlineLvl w:val="4"/>
    </w:pPr>
    <w:rPr>
      <w:b/>
      <w:bCs/>
      <w:sz w:val="28"/>
      <w:szCs w:val="28"/>
    </w:rPr>
  </w:style>
  <w:style w:type="paragraph" w:customStyle="1" w:styleId="187">
    <w:name w:val="标题 61"/>
    <w:basedOn w:val="1"/>
    <w:next w:val="1"/>
    <w:link w:val="201"/>
    <w:qFormat/>
    <w:uiPriority w:val="99"/>
    <w:pPr>
      <w:keepNext/>
      <w:keepLines/>
      <w:widowControl w:val="0"/>
      <w:spacing w:before="240" w:after="64" w:line="320" w:lineRule="auto"/>
      <w:outlineLvl w:val="5"/>
    </w:pPr>
    <w:rPr>
      <w:rFonts w:ascii="Cambria" w:hAnsi="Cambria"/>
      <w:b/>
      <w:bCs/>
      <w:sz w:val="24"/>
    </w:rPr>
  </w:style>
  <w:style w:type="paragraph" w:customStyle="1" w:styleId="188">
    <w:name w:val="标题 71"/>
    <w:basedOn w:val="1"/>
    <w:next w:val="1"/>
    <w:link w:val="202"/>
    <w:qFormat/>
    <w:uiPriority w:val="99"/>
    <w:pPr>
      <w:keepNext/>
      <w:keepLines/>
      <w:widowControl w:val="0"/>
      <w:spacing w:before="240" w:after="64" w:line="320" w:lineRule="auto"/>
      <w:outlineLvl w:val="6"/>
    </w:pPr>
    <w:rPr>
      <w:b/>
      <w:bCs/>
      <w:sz w:val="24"/>
    </w:rPr>
  </w:style>
  <w:style w:type="paragraph" w:customStyle="1" w:styleId="189">
    <w:name w:val="标题 81"/>
    <w:basedOn w:val="1"/>
    <w:next w:val="1"/>
    <w:link w:val="203"/>
    <w:qFormat/>
    <w:uiPriority w:val="99"/>
    <w:pPr>
      <w:keepNext/>
      <w:keepLines/>
      <w:widowControl w:val="0"/>
      <w:spacing w:before="240" w:after="64" w:line="320" w:lineRule="auto"/>
      <w:outlineLvl w:val="7"/>
    </w:pPr>
    <w:rPr>
      <w:rFonts w:ascii="Cambria" w:hAnsi="Cambria"/>
      <w:sz w:val="24"/>
    </w:rPr>
  </w:style>
  <w:style w:type="paragraph" w:customStyle="1" w:styleId="190">
    <w:name w:val="标题 91"/>
    <w:basedOn w:val="1"/>
    <w:next w:val="1"/>
    <w:link w:val="204"/>
    <w:qFormat/>
    <w:uiPriority w:val="99"/>
    <w:pPr>
      <w:keepNext/>
      <w:keepLines/>
      <w:widowControl w:val="0"/>
      <w:spacing w:before="240" w:after="64" w:line="320" w:lineRule="auto"/>
      <w:outlineLvl w:val="8"/>
    </w:pPr>
    <w:rPr>
      <w:rFonts w:ascii="Cambria" w:hAnsi="Cambria"/>
      <w:szCs w:val="21"/>
    </w:rPr>
  </w:style>
  <w:style w:type="character" w:customStyle="1" w:styleId="191">
    <w:name w:val="默认段落字体1"/>
    <w:link w:val="1"/>
    <w:unhideWhenUsed/>
    <w:qFormat/>
    <w:uiPriority w:val="1"/>
  </w:style>
  <w:style w:type="table" w:customStyle="1" w:styleId="192">
    <w:name w:val="普通表格1"/>
    <w:unhideWhenUsed/>
    <w:qFormat/>
    <w:uiPriority w:val="99"/>
  </w:style>
  <w:style w:type="paragraph" w:customStyle="1" w:styleId="193">
    <w:name w:val="正文文本1"/>
    <w:basedOn w:val="1"/>
    <w:next w:val="194"/>
    <w:link w:val="195"/>
    <w:qFormat/>
    <w:uiPriority w:val="99"/>
    <w:rPr>
      <w:sz w:val="24"/>
    </w:rPr>
  </w:style>
  <w:style w:type="paragraph" w:customStyle="1" w:styleId="194">
    <w:name w:val="xl27"/>
    <w:basedOn w:val="1"/>
    <w:qFormat/>
    <w:uiPriority w:val="0"/>
    <w:pPr>
      <w:widowControl/>
      <w:spacing w:before="100" w:beforeAutospacing="1" w:after="100" w:afterAutospacing="1"/>
      <w:jc w:val="center"/>
    </w:pPr>
    <w:rPr>
      <w:rFonts w:ascii="宋体" w:hAnsi="宋体"/>
      <w:sz w:val="28"/>
      <w:szCs w:val="28"/>
    </w:rPr>
  </w:style>
  <w:style w:type="character" w:customStyle="1" w:styleId="195">
    <w:name w:val="正文文本 Char"/>
    <w:link w:val="193"/>
    <w:semiHidden/>
    <w:qFormat/>
    <w:uiPriority w:val="99"/>
    <w:rPr>
      <w:rFonts w:cs="Times New Roman"/>
      <w:sz w:val="24"/>
      <w:szCs w:val="24"/>
    </w:rPr>
  </w:style>
  <w:style w:type="character" w:customStyle="1" w:styleId="196">
    <w:name w:val="标题 1 Char"/>
    <w:link w:val="182"/>
    <w:qFormat/>
    <w:uiPriority w:val="99"/>
    <w:rPr>
      <w:rFonts w:cs="Times New Roman"/>
      <w:b/>
      <w:bCs/>
      <w:sz w:val="44"/>
      <w:szCs w:val="44"/>
    </w:rPr>
  </w:style>
  <w:style w:type="character" w:customStyle="1" w:styleId="197">
    <w:name w:val="标题 2 Char"/>
    <w:link w:val="183"/>
    <w:qFormat/>
    <w:uiPriority w:val="99"/>
    <w:rPr>
      <w:rFonts w:ascii="Arial" w:hAnsi="Arial" w:eastAsia="黑体" w:cs="Arial"/>
      <w:b/>
      <w:bCs/>
      <w:sz w:val="32"/>
      <w:szCs w:val="32"/>
    </w:rPr>
  </w:style>
  <w:style w:type="character" w:customStyle="1" w:styleId="198">
    <w:name w:val="标题 3 Char"/>
    <w:link w:val="184"/>
    <w:qFormat/>
    <w:uiPriority w:val="99"/>
    <w:rPr>
      <w:rFonts w:cs="Times New Roman"/>
      <w:b/>
      <w:bCs/>
      <w:sz w:val="32"/>
      <w:szCs w:val="32"/>
    </w:rPr>
  </w:style>
  <w:style w:type="character" w:customStyle="1" w:styleId="199">
    <w:name w:val="标题 4 Char"/>
    <w:link w:val="185"/>
    <w:qFormat/>
    <w:uiPriority w:val="99"/>
    <w:rPr>
      <w:rFonts w:ascii="Cambria" w:hAnsi="Cambria" w:cs="Times New Roman"/>
      <w:b/>
      <w:bCs/>
      <w:sz w:val="28"/>
      <w:szCs w:val="28"/>
    </w:rPr>
  </w:style>
  <w:style w:type="character" w:customStyle="1" w:styleId="200">
    <w:name w:val="标题 5 Char"/>
    <w:link w:val="186"/>
    <w:qFormat/>
    <w:uiPriority w:val="99"/>
    <w:rPr>
      <w:rFonts w:cs="Times New Roman"/>
      <w:b/>
      <w:bCs/>
      <w:sz w:val="28"/>
      <w:szCs w:val="28"/>
    </w:rPr>
  </w:style>
  <w:style w:type="character" w:customStyle="1" w:styleId="201">
    <w:name w:val="标题 6 Char"/>
    <w:link w:val="187"/>
    <w:qFormat/>
    <w:uiPriority w:val="99"/>
    <w:rPr>
      <w:rFonts w:ascii="Cambria" w:hAnsi="Cambria" w:cs="Times New Roman"/>
      <w:b/>
      <w:bCs/>
      <w:sz w:val="24"/>
      <w:szCs w:val="24"/>
    </w:rPr>
  </w:style>
  <w:style w:type="character" w:customStyle="1" w:styleId="202">
    <w:name w:val="标题 7 Char"/>
    <w:link w:val="188"/>
    <w:qFormat/>
    <w:uiPriority w:val="99"/>
    <w:rPr>
      <w:rFonts w:cs="Times New Roman"/>
      <w:b/>
      <w:bCs/>
      <w:sz w:val="24"/>
      <w:szCs w:val="24"/>
    </w:rPr>
  </w:style>
  <w:style w:type="character" w:customStyle="1" w:styleId="203">
    <w:name w:val="标题 8 Char"/>
    <w:link w:val="189"/>
    <w:qFormat/>
    <w:uiPriority w:val="99"/>
    <w:rPr>
      <w:rFonts w:ascii="Cambria" w:hAnsi="Cambria" w:cs="Times New Roman"/>
      <w:sz w:val="24"/>
      <w:szCs w:val="24"/>
    </w:rPr>
  </w:style>
  <w:style w:type="character" w:customStyle="1" w:styleId="204">
    <w:name w:val="标题 9 Char"/>
    <w:link w:val="190"/>
    <w:qFormat/>
    <w:uiPriority w:val="99"/>
    <w:rPr>
      <w:rFonts w:ascii="Cambria" w:hAnsi="Cambria" w:cs="Times New Roman"/>
      <w:sz w:val="21"/>
      <w:szCs w:val="21"/>
    </w:rPr>
  </w:style>
  <w:style w:type="paragraph" w:customStyle="1" w:styleId="205">
    <w:name w:val="正文缩进1"/>
    <w:basedOn w:val="1"/>
    <w:semiHidden/>
    <w:qFormat/>
    <w:uiPriority w:val="99"/>
    <w:pPr>
      <w:widowControl w:val="0"/>
      <w:ind w:firstLine="420"/>
    </w:pPr>
  </w:style>
  <w:style w:type="paragraph" w:customStyle="1" w:styleId="206">
    <w:name w:val="批注文字1"/>
    <w:basedOn w:val="1"/>
    <w:link w:val="207"/>
    <w:qFormat/>
    <w:uiPriority w:val="0"/>
    <w:pPr>
      <w:widowControl w:val="0"/>
      <w:contextualSpacing/>
      <w:jc w:val="left"/>
    </w:pPr>
    <w:rPr>
      <w:color w:val="0000FF"/>
      <w:sz w:val="24"/>
    </w:rPr>
  </w:style>
  <w:style w:type="character" w:customStyle="1" w:styleId="207">
    <w:name w:val="批注文字 Char"/>
    <w:link w:val="206"/>
    <w:qFormat/>
    <w:uiPriority w:val="0"/>
    <w:rPr>
      <w:rFonts w:cs="Times New Roman"/>
      <w:color w:val="0000FF"/>
      <w:sz w:val="24"/>
      <w:szCs w:val="24"/>
      <w:lang w:val="en-US" w:eastAsia="zh-CN" w:bidi="ar-SA"/>
    </w:rPr>
  </w:style>
  <w:style w:type="paragraph" w:customStyle="1" w:styleId="208">
    <w:name w:val="正文文本缩进1"/>
    <w:basedOn w:val="1"/>
    <w:next w:val="1"/>
    <w:qFormat/>
    <w:uiPriority w:val="0"/>
    <w:pPr>
      <w:spacing w:line="520" w:lineRule="exact"/>
      <w:ind w:left="570"/>
    </w:pPr>
    <w:rPr>
      <w:rFonts w:ascii="方正仿宋简体" w:hAnsi="创艺简仿宋" w:eastAsia="方正仿宋简体"/>
      <w:sz w:val="24"/>
    </w:rPr>
  </w:style>
  <w:style w:type="paragraph" w:customStyle="1" w:styleId="209">
    <w:name w:val="目录 51"/>
    <w:basedOn w:val="1"/>
    <w:next w:val="1"/>
    <w:semiHidden/>
    <w:qFormat/>
    <w:uiPriority w:val="99"/>
    <w:pPr>
      <w:ind w:left="840"/>
      <w:jc w:val="left"/>
    </w:pPr>
    <w:rPr>
      <w:sz w:val="18"/>
    </w:rPr>
  </w:style>
  <w:style w:type="paragraph" w:customStyle="1" w:styleId="210">
    <w:name w:val="目录 31"/>
    <w:basedOn w:val="1"/>
    <w:next w:val="1"/>
    <w:semiHidden/>
    <w:qFormat/>
    <w:uiPriority w:val="99"/>
    <w:pPr>
      <w:ind w:left="420"/>
      <w:jc w:val="left"/>
    </w:pPr>
    <w:rPr>
      <w:i/>
      <w:sz w:val="20"/>
    </w:rPr>
  </w:style>
  <w:style w:type="paragraph" w:customStyle="1" w:styleId="211">
    <w:name w:val="纯文本11"/>
    <w:basedOn w:val="1"/>
    <w:link w:val="212"/>
    <w:qFormat/>
    <w:uiPriority w:val="99"/>
    <w:pPr>
      <w:widowControl w:val="0"/>
    </w:pPr>
    <w:rPr>
      <w:rFonts w:ascii="宋体" w:hAnsi="Courier New"/>
      <w:sz w:val="20"/>
      <w:szCs w:val="20"/>
    </w:rPr>
  </w:style>
  <w:style w:type="character" w:customStyle="1" w:styleId="212">
    <w:name w:val="纯文本 Char"/>
    <w:link w:val="211"/>
    <w:qFormat/>
    <w:uiPriority w:val="99"/>
    <w:rPr>
      <w:rFonts w:ascii="宋体" w:hAnsi="Courier New" w:cs="Times New Roman"/>
    </w:rPr>
  </w:style>
  <w:style w:type="paragraph" w:customStyle="1" w:styleId="213">
    <w:name w:val="日期1"/>
    <w:basedOn w:val="1"/>
    <w:next w:val="1"/>
    <w:link w:val="214"/>
    <w:qFormat/>
    <w:uiPriority w:val="99"/>
    <w:rPr>
      <w:sz w:val="24"/>
      <w:szCs w:val="20"/>
    </w:rPr>
  </w:style>
  <w:style w:type="character" w:customStyle="1" w:styleId="214">
    <w:name w:val="日期 Char"/>
    <w:link w:val="213"/>
    <w:qFormat/>
    <w:uiPriority w:val="99"/>
    <w:rPr>
      <w:rFonts w:cs="Times New Roman"/>
      <w:sz w:val="24"/>
    </w:rPr>
  </w:style>
  <w:style w:type="paragraph" w:customStyle="1" w:styleId="215">
    <w:name w:val="批注框文本1"/>
    <w:basedOn w:val="1"/>
    <w:link w:val="216"/>
    <w:qFormat/>
    <w:uiPriority w:val="0"/>
    <w:rPr>
      <w:sz w:val="18"/>
      <w:szCs w:val="18"/>
    </w:rPr>
  </w:style>
  <w:style w:type="character" w:customStyle="1" w:styleId="216">
    <w:name w:val="批注框文本 Char"/>
    <w:link w:val="215"/>
    <w:qFormat/>
    <w:uiPriority w:val="0"/>
    <w:rPr>
      <w:rFonts w:cs="Times New Roman"/>
      <w:sz w:val="18"/>
      <w:szCs w:val="18"/>
    </w:rPr>
  </w:style>
  <w:style w:type="paragraph" w:customStyle="1" w:styleId="217">
    <w:name w:val="页脚11"/>
    <w:basedOn w:val="1"/>
    <w:link w:val="218"/>
    <w:qFormat/>
    <w:uiPriority w:val="0"/>
    <w:pPr>
      <w:tabs>
        <w:tab w:val="center" w:pos="4153"/>
        <w:tab w:val="right" w:pos="8306"/>
      </w:tabs>
      <w:jc w:val="left"/>
    </w:pPr>
    <w:rPr>
      <w:sz w:val="18"/>
      <w:szCs w:val="18"/>
    </w:rPr>
  </w:style>
  <w:style w:type="character" w:customStyle="1" w:styleId="218">
    <w:name w:val="页脚 Char"/>
    <w:link w:val="217"/>
    <w:qFormat/>
    <w:uiPriority w:val="0"/>
    <w:rPr>
      <w:rFonts w:cs="Times New Roman"/>
      <w:sz w:val="18"/>
      <w:szCs w:val="18"/>
    </w:rPr>
  </w:style>
  <w:style w:type="paragraph" w:customStyle="1" w:styleId="219">
    <w:name w:val="页眉11"/>
    <w:basedOn w:val="1"/>
    <w:link w:val="220"/>
    <w:qFormat/>
    <w:uiPriority w:val="0"/>
    <w:pPr>
      <w:pBdr>
        <w:bottom w:val="single" w:color="000000" w:sz="6" w:space="1"/>
      </w:pBdr>
      <w:tabs>
        <w:tab w:val="center" w:pos="4153"/>
        <w:tab w:val="right" w:pos="8306"/>
      </w:tabs>
      <w:jc w:val="center"/>
    </w:pPr>
    <w:rPr>
      <w:sz w:val="18"/>
      <w:szCs w:val="18"/>
    </w:rPr>
  </w:style>
  <w:style w:type="character" w:customStyle="1" w:styleId="220">
    <w:name w:val="页眉 Char"/>
    <w:link w:val="219"/>
    <w:qFormat/>
    <w:uiPriority w:val="0"/>
    <w:rPr>
      <w:rFonts w:cs="Times New Roman"/>
      <w:sz w:val="18"/>
      <w:szCs w:val="18"/>
    </w:rPr>
  </w:style>
  <w:style w:type="paragraph" w:customStyle="1" w:styleId="221">
    <w:name w:val="目录 41"/>
    <w:basedOn w:val="1"/>
    <w:next w:val="1"/>
    <w:semiHidden/>
    <w:qFormat/>
    <w:uiPriority w:val="99"/>
    <w:pPr>
      <w:ind w:left="630"/>
      <w:jc w:val="left"/>
    </w:pPr>
    <w:rPr>
      <w:sz w:val="18"/>
    </w:rPr>
  </w:style>
  <w:style w:type="paragraph" w:customStyle="1" w:styleId="222">
    <w:name w:val="列表1"/>
    <w:basedOn w:val="223"/>
    <w:qFormat/>
    <w:uiPriority w:val="99"/>
    <w:pPr>
      <w:spacing w:after="120"/>
      <w:jc w:val="left"/>
    </w:pPr>
    <w:rPr>
      <w:rFonts w:eastAsia="宋体"/>
      <w:b w:val="0"/>
    </w:rPr>
  </w:style>
  <w:style w:type="paragraph" w:customStyle="1" w:styleId="223">
    <w:name w:val="BodyText1"/>
    <w:basedOn w:val="1"/>
    <w:link w:val="224"/>
    <w:qFormat/>
    <w:uiPriority w:val="99"/>
    <w:pPr>
      <w:jc w:val="center"/>
    </w:pPr>
    <w:rPr>
      <w:rFonts w:eastAsia="幼圆"/>
      <w:b/>
      <w:sz w:val="24"/>
      <w:szCs w:val="20"/>
    </w:rPr>
  </w:style>
  <w:style w:type="character" w:customStyle="1" w:styleId="224">
    <w:name w:val="UserStyle_52"/>
    <w:link w:val="223"/>
    <w:qFormat/>
    <w:uiPriority w:val="99"/>
    <w:rPr>
      <w:rFonts w:eastAsia="幼圆"/>
      <w:b/>
      <w:sz w:val="24"/>
    </w:rPr>
  </w:style>
  <w:style w:type="paragraph" w:customStyle="1" w:styleId="225">
    <w:name w:val="目录 21"/>
    <w:basedOn w:val="1"/>
    <w:next w:val="1"/>
    <w:semiHidden/>
    <w:qFormat/>
    <w:uiPriority w:val="0"/>
    <w:pPr>
      <w:widowControl/>
      <w:tabs>
        <w:tab w:val="left" w:pos="960"/>
        <w:tab w:val="right" w:leader="dot" w:pos="8296"/>
      </w:tabs>
      <w:ind w:left="240" w:firstLine="22"/>
      <w:jc w:val="left"/>
    </w:pPr>
    <w:rPr>
      <w:rFonts w:ascii="Calibri" w:hAnsi="Calibri" w:eastAsia="仿宋_GB2312"/>
      <w:smallCaps/>
      <w:sz w:val="20"/>
      <w:szCs w:val="20"/>
      <w:lang w:val="fr-FR" w:eastAsia="fr-FR"/>
    </w:rPr>
  </w:style>
  <w:style w:type="paragraph" w:customStyle="1" w:styleId="226">
    <w:name w:val="HTML 预设格式1"/>
    <w:basedOn w:val="1"/>
    <w:link w:val="227"/>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rPr>
  </w:style>
  <w:style w:type="character" w:customStyle="1" w:styleId="227">
    <w:name w:val="HTML 预设格式 Char"/>
    <w:link w:val="226"/>
    <w:semiHidden/>
    <w:qFormat/>
    <w:uiPriority w:val="99"/>
    <w:rPr>
      <w:rFonts w:ascii="宋体" w:hAnsi="宋体" w:cs="宋体"/>
      <w:sz w:val="24"/>
      <w:szCs w:val="24"/>
    </w:rPr>
  </w:style>
  <w:style w:type="paragraph" w:customStyle="1" w:styleId="228">
    <w:name w:val="普通(网站)1"/>
    <w:basedOn w:val="1"/>
    <w:qFormat/>
    <w:uiPriority w:val="99"/>
    <w:pPr>
      <w:spacing w:before="100" w:beforeAutospacing="1" w:after="100" w:afterAutospacing="1"/>
      <w:jc w:val="left"/>
    </w:pPr>
    <w:rPr>
      <w:rFonts w:ascii="Arial" w:hAnsi="Arial" w:cs="Arial"/>
      <w:sz w:val="24"/>
    </w:rPr>
  </w:style>
  <w:style w:type="paragraph" w:customStyle="1" w:styleId="229">
    <w:name w:val="标题1"/>
    <w:basedOn w:val="1"/>
    <w:link w:val="230"/>
    <w:qFormat/>
    <w:uiPriority w:val="99"/>
    <w:pPr>
      <w:jc w:val="center"/>
    </w:pPr>
    <w:rPr>
      <w:b/>
      <w:sz w:val="30"/>
      <w:szCs w:val="20"/>
    </w:rPr>
  </w:style>
  <w:style w:type="character" w:customStyle="1" w:styleId="230">
    <w:name w:val="标题 Char"/>
    <w:link w:val="229"/>
    <w:qFormat/>
    <w:uiPriority w:val="99"/>
    <w:rPr>
      <w:rFonts w:cs="Times New Roman"/>
      <w:b/>
      <w:sz w:val="30"/>
    </w:rPr>
  </w:style>
  <w:style w:type="paragraph" w:customStyle="1" w:styleId="231">
    <w:name w:val="批注主题1"/>
    <w:basedOn w:val="206"/>
    <w:next w:val="206"/>
    <w:link w:val="232"/>
    <w:qFormat/>
    <w:uiPriority w:val="0"/>
    <w:rPr>
      <w:b/>
      <w:bCs/>
      <w:color w:val="000000"/>
    </w:rPr>
  </w:style>
  <w:style w:type="character" w:customStyle="1" w:styleId="232">
    <w:name w:val="批注主题 Char"/>
    <w:link w:val="231"/>
    <w:qFormat/>
    <w:uiPriority w:val="0"/>
    <w:rPr>
      <w:rFonts w:cs="Times New Roman"/>
      <w:b/>
      <w:bCs/>
      <w:sz w:val="24"/>
      <w:szCs w:val="24"/>
    </w:rPr>
  </w:style>
  <w:style w:type="table" w:customStyle="1" w:styleId="233">
    <w:name w:val="网格型11"/>
    <w:basedOn w:val="192"/>
    <w:qFormat/>
    <w:uiPriority w:val="99"/>
  </w:style>
  <w:style w:type="character" w:customStyle="1" w:styleId="234">
    <w:name w:val="已访问的超链接1"/>
    <w:link w:val="1"/>
    <w:qFormat/>
    <w:uiPriority w:val="99"/>
    <w:rPr>
      <w:rFonts w:cs="Times New Roman"/>
      <w:color w:val="000000"/>
      <w:sz w:val="18"/>
    </w:rPr>
  </w:style>
  <w:style w:type="character" w:customStyle="1" w:styleId="235">
    <w:name w:val="强调1"/>
    <w:link w:val="1"/>
    <w:qFormat/>
    <w:uiPriority w:val="99"/>
    <w:rPr>
      <w:rFonts w:cs="Times New Roman"/>
      <w:color w:val="CC0000"/>
    </w:rPr>
  </w:style>
  <w:style w:type="character" w:customStyle="1" w:styleId="236">
    <w:name w:val="HTML 打字机1"/>
    <w:link w:val="1"/>
    <w:unhideWhenUsed/>
    <w:qFormat/>
    <w:uiPriority w:val="99"/>
    <w:rPr>
      <w:rFonts w:ascii="monospace" w:hAnsi="monospace" w:eastAsia="monospace" w:cs="monospace"/>
      <w:sz w:val="20"/>
    </w:rPr>
  </w:style>
  <w:style w:type="character" w:customStyle="1" w:styleId="237">
    <w:name w:val="HTML 缩写1"/>
    <w:link w:val="1"/>
    <w:unhideWhenUsed/>
    <w:qFormat/>
    <w:uiPriority w:val="99"/>
  </w:style>
  <w:style w:type="character" w:customStyle="1" w:styleId="238">
    <w:name w:val="超链接1"/>
    <w:link w:val="1"/>
    <w:qFormat/>
    <w:uiPriority w:val="0"/>
    <w:rPr>
      <w:rFonts w:cs="Times New Roman"/>
      <w:color w:val="000000"/>
      <w:sz w:val="18"/>
    </w:rPr>
  </w:style>
  <w:style w:type="character" w:customStyle="1" w:styleId="239">
    <w:name w:val="HTML 代码1"/>
    <w:link w:val="1"/>
    <w:unhideWhenUsed/>
    <w:qFormat/>
    <w:uiPriority w:val="99"/>
    <w:rPr>
      <w:rFonts w:ascii="monospace" w:hAnsi="monospace" w:eastAsia="monospace" w:cs="monospace"/>
      <w:sz w:val="20"/>
    </w:rPr>
  </w:style>
  <w:style w:type="character" w:customStyle="1" w:styleId="240">
    <w:name w:val="批注引用1"/>
    <w:link w:val="1"/>
    <w:qFormat/>
    <w:uiPriority w:val="0"/>
    <w:rPr>
      <w:rFonts w:cs="Times New Roman"/>
      <w:sz w:val="21"/>
      <w:szCs w:val="21"/>
    </w:rPr>
  </w:style>
  <w:style w:type="character" w:customStyle="1" w:styleId="241">
    <w:name w:val="HTML 引文1"/>
    <w:link w:val="1"/>
    <w:unhideWhenUsed/>
    <w:qFormat/>
    <w:uiPriority w:val="99"/>
    <w:rPr>
      <w:color w:val="008000"/>
    </w:rPr>
  </w:style>
  <w:style w:type="character" w:customStyle="1" w:styleId="242">
    <w:name w:val="HTML 键盘1"/>
    <w:link w:val="1"/>
    <w:unhideWhenUsed/>
    <w:qFormat/>
    <w:uiPriority w:val="99"/>
    <w:rPr>
      <w:rFonts w:ascii="monospace" w:hAnsi="monospace" w:eastAsia="monospace" w:cs="monospace"/>
      <w:sz w:val="20"/>
    </w:rPr>
  </w:style>
  <w:style w:type="character" w:customStyle="1" w:styleId="243">
    <w:name w:val="HTML 样本1"/>
    <w:link w:val="1"/>
    <w:unhideWhenUsed/>
    <w:qFormat/>
    <w:uiPriority w:val="99"/>
    <w:rPr>
      <w:rFonts w:ascii="monospace" w:hAnsi="monospace" w:eastAsia="monospace" w:cs="monospace"/>
    </w:rPr>
  </w:style>
  <w:style w:type="character" w:customStyle="1" w:styleId="244">
    <w:name w:val="UserStyle_39"/>
    <w:link w:val="245"/>
    <w:qFormat/>
    <w:uiPriority w:val="99"/>
    <w:rPr>
      <w:rFonts w:ascii="Arial" w:hAnsi="Arial"/>
      <w:sz w:val="24"/>
    </w:rPr>
  </w:style>
  <w:style w:type="paragraph" w:customStyle="1" w:styleId="245">
    <w:name w:val="UserStyle_40"/>
    <w:basedOn w:val="246"/>
    <w:link w:val="244"/>
    <w:qFormat/>
    <w:uiPriority w:val="99"/>
  </w:style>
  <w:style w:type="paragraph" w:customStyle="1" w:styleId="246">
    <w:name w:val="UserStyle_9"/>
    <w:basedOn w:val="1"/>
    <w:link w:val="247"/>
    <w:qFormat/>
    <w:uiPriority w:val="99"/>
    <w:pPr>
      <w:ind w:left="3240" w:hanging="3240"/>
    </w:pPr>
    <w:rPr>
      <w:rFonts w:ascii="Arial" w:hAnsi="Arial"/>
      <w:sz w:val="24"/>
      <w:szCs w:val="20"/>
    </w:rPr>
  </w:style>
  <w:style w:type="character" w:customStyle="1" w:styleId="247">
    <w:name w:val="UserStyle_8"/>
    <w:link w:val="246"/>
    <w:qFormat/>
    <w:uiPriority w:val="99"/>
    <w:rPr>
      <w:rFonts w:ascii="Arial" w:hAnsi="Arial"/>
      <w:sz w:val="24"/>
    </w:rPr>
  </w:style>
  <w:style w:type="character" w:customStyle="1" w:styleId="248">
    <w:name w:val="UserStyle_35"/>
    <w:link w:val="1"/>
    <w:qFormat/>
    <w:uiPriority w:val="99"/>
    <w:rPr>
      <w:rFonts w:ascii="Cambria" w:hAnsi="Cambria"/>
      <w:b/>
      <w:sz w:val="24"/>
    </w:rPr>
  </w:style>
  <w:style w:type="character" w:customStyle="1" w:styleId="249">
    <w:name w:val="UserStyle_46"/>
    <w:link w:val="1"/>
    <w:qFormat/>
    <w:uiPriority w:val="99"/>
    <w:rPr>
      <w:rFonts w:ascii="Verdana" w:hAnsi="Verdana"/>
      <w:sz w:val="21"/>
    </w:rPr>
  </w:style>
  <w:style w:type="character" w:customStyle="1" w:styleId="250">
    <w:name w:val="UserStyle_14"/>
    <w:link w:val="1"/>
    <w:qFormat/>
    <w:uiPriority w:val="99"/>
    <w:rPr>
      <w:rFonts w:ascii="宋体" w:hAnsi="宋体" w:eastAsia="宋体"/>
      <w:color w:val="000000"/>
      <w:sz w:val="20"/>
    </w:rPr>
  </w:style>
  <w:style w:type="character" w:customStyle="1" w:styleId="251">
    <w:name w:val="UserStyle_47"/>
    <w:link w:val="252"/>
    <w:qFormat/>
    <w:uiPriority w:val="99"/>
    <w:rPr>
      <w:rFonts w:ascii="宋体" w:hAnsi="Courier New" w:eastAsia="楷体_GB2312"/>
      <w:sz w:val="26"/>
    </w:rPr>
  </w:style>
  <w:style w:type="paragraph" w:customStyle="1" w:styleId="252">
    <w:name w:val="UserStyle_48"/>
    <w:basedOn w:val="1"/>
    <w:link w:val="251"/>
    <w:qFormat/>
    <w:uiPriority w:val="99"/>
    <w:rPr>
      <w:rFonts w:ascii="宋体" w:hAnsi="Courier New" w:eastAsia="楷体_GB2312"/>
      <w:sz w:val="26"/>
      <w:szCs w:val="20"/>
    </w:rPr>
  </w:style>
  <w:style w:type="character" w:customStyle="1" w:styleId="253">
    <w:name w:val="UserStyle_13"/>
    <w:link w:val="1"/>
    <w:qFormat/>
    <w:uiPriority w:val="99"/>
    <w:rPr>
      <w:rFonts w:ascii="宋体" w:hAnsi="宋体" w:eastAsia="宋体"/>
      <w:color w:val="000000"/>
      <w:sz w:val="24"/>
    </w:rPr>
  </w:style>
  <w:style w:type="character" w:customStyle="1" w:styleId="254">
    <w:name w:val="UserStyle_44"/>
    <w:link w:val="1"/>
    <w:qFormat/>
    <w:uiPriority w:val="99"/>
    <w:rPr>
      <w:rFonts w:ascii="Cambria" w:hAnsi="Cambria"/>
      <w:sz w:val="21"/>
    </w:rPr>
  </w:style>
  <w:style w:type="character" w:customStyle="1" w:styleId="255">
    <w:name w:val="UserStyle_45"/>
    <w:link w:val="1"/>
    <w:qFormat/>
    <w:uiPriority w:val="99"/>
    <w:rPr>
      <w:b/>
      <w:sz w:val="24"/>
    </w:rPr>
  </w:style>
  <w:style w:type="character" w:customStyle="1" w:styleId="256">
    <w:name w:val="UserStyle_19"/>
    <w:link w:val="1"/>
    <w:qFormat/>
    <w:uiPriority w:val="99"/>
    <w:rPr>
      <w:b/>
      <w:sz w:val="28"/>
    </w:rPr>
  </w:style>
  <w:style w:type="character" w:customStyle="1" w:styleId="257">
    <w:name w:val="UserStyle_32"/>
    <w:link w:val="1"/>
    <w:qFormat/>
    <w:uiPriority w:val="99"/>
    <w:rPr>
      <w:rFonts w:ascii="Cambria" w:hAnsi="Cambria"/>
      <w:b/>
      <w:sz w:val="32"/>
    </w:rPr>
  </w:style>
  <w:style w:type="character" w:customStyle="1" w:styleId="258">
    <w:name w:val="UserStyle_16"/>
    <w:link w:val="259"/>
    <w:qFormat/>
    <w:uiPriority w:val="99"/>
    <w:rPr>
      <w:sz w:val="18"/>
    </w:rPr>
  </w:style>
  <w:style w:type="paragraph" w:customStyle="1" w:styleId="259">
    <w:name w:val="页脚1"/>
    <w:basedOn w:val="1"/>
    <w:link w:val="258"/>
    <w:qFormat/>
    <w:uiPriority w:val="99"/>
    <w:pPr>
      <w:tabs>
        <w:tab w:val="center" w:pos="4153"/>
        <w:tab w:val="right" w:pos="8306"/>
      </w:tabs>
      <w:jc w:val="left"/>
    </w:pPr>
    <w:rPr>
      <w:sz w:val="18"/>
      <w:szCs w:val="20"/>
    </w:rPr>
  </w:style>
  <w:style w:type="character" w:customStyle="1" w:styleId="260">
    <w:name w:val="UserStyle_29"/>
    <w:link w:val="1"/>
    <w:qFormat/>
    <w:uiPriority w:val="99"/>
    <w:rPr>
      <w:rFonts w:eastAsia="宋体"/>
      <w:sz w:val="24"/>
      <w:lang w:val="en-US" w:eastAsia="zh-CN"/>
    </w:rPr>
  </w:style>
  <w:style w:type="character" w:customStyle="1" w:styleId="261">
    <w:name w:val="UserStyle_36"/>
    <w:link w:val="1"/>
    <w:qFormat/>
    <w:uiPriority w:val="99"/>
    <w:rPr>
      <w:rFonts w:eastAsia="宋体"/>
      <w:sz w:val="18"/>
      <w:lang w:val="en-US" w:eastAsia="zh-CN"/>
    </w:rPr>
  </w:style>
  <w:style w:type="character" w:customStyle="1" w:styleId="262">
    <w:name w:val="HtmlCode1"/>
    <w:link w:val="1"/>
    <w:qFormat/>
    <w:uiPriority w:val="99"/>
    <w:rPr>
      <w:rFonts w:ascii="Courier New" w:hAnsi="Courier New"/>
      <w:sz w:val="20"/>
    </w:rPr>
  </w:style>
  <w:style w:type="character" w:customStyle="1" w:styleId="263">
    <w:name w:val="UserStyle_31"/>
    <w:link w:val="264"/>
    <w:semiHidden/>
    <w:qFormat/>
    <w:uiPriority w:val="99"/>
    <w:rPr>
      <w:rFonts w:ascii="Courier New" w:hAnsi="Courier New"/>
      <w:lang w:val="en-US" w:eastAsia="zh-CN" w:bidi="ar-SA"/>
    </w:rPr>
  </w:style>
  <w:style w:type="paragraph" w:customStyle="1" w:styleId="264">
    <w:name w:val="宏文本1"/>
    <w:link w:val="263"/>
    <w:semiHidden/>
    <w:qFormat/>
    <w:uiPriority w:val="99"/>
    <w:pPr>
      <w:tabs>
        <w:tab w:val="left" w:pos="480"/>
        <w:tab w:val="left" w:pos="960"/>
        <w:tab w:val="left" w:pos="1440"/>
        <w:tab w:val="left" w:pos="1920"/>
        <w:tab w:val="left" w:pos="2400"/>
        <w:tab w:val="left" w:pos="2880"/>
        <w:tab w:val="left" w:pos="3360"/>
        <w:tab w:val="left" w:pos="3840"/>
        <w:tab w:val="left" w:pos="4320"/>
      </w:tabs>
    </w:pPr>
    <w:rPr>
      <w:rFonts w:hint="default" w:ascii="Courier New" w:hAnsi="Courier New" w:eastAsia="宋体" w:cs="Times New Roman"/>
      <w:lang w:val="en-US" w:eastAsia="zh-CN" w:bidi="ar-SA"/>
    </w:rPr>
  </w:style>
  <w:style w:type="character" w:customStyle="1" w:styleId="265">
    <w:name w:val="UserStyle_22"/>
    <w:link w:val="1"/>
    <w:qFormat/>
    <w:uiPriority w:val="99"/>
    <w:rPr>
      <w:rFonts w:ascii="Times New Roman" w:hAnsi="Times New Roman"/>
      <w:color w:val="000000"/>
      <w:sz w:val="21"/>
    </w:rPr>
  </w:style>
  <w:style w:type="character" w:customStyle="1" w:styleId="266">
    <w:name w:val="UserStyle_26"/>
    <w:link w:val="267"/>
    <w:qFormat/>
    <w:uiPriority w:val="99"/>
    <w:rPr>
      <w:sz w:val="24"/>
    </w:rPr>
  </w:style>
  <w:style w:type="paragraph" w:customStyle="1" w:styleId="267">
    <w:name w:val="BodyTextIndent1"/>
    <w:basedOn w:val="1"/>
    <w:link w:val="266"/>
    <w:qFormat/>
    <w:uiPriority w:val="99"/>
    <w:pPr>
      <w:spacing w:after="120"/>
      <w:ind w:left="420"/>
    </w:pPr>
    <w:rPr>
      <w:sz w:val="24"/>
      <w:szCs w:val="20"/>
    </w:rPr>
  </w:style>
  <w:style w:type="character" w:customStyle="1" w:styleId="268">
    <w:name w:val="UserStyle_50"/>
    <w:link w:val="269"/>
    <w:qFormat/>
    <w:uiPriority w:val="99"/>
    <w:rPr>
      <w:rFonts w:ascii="宋体"/>
      <w:sz w:val="28"/>
    </w:rPr>
  </w:style>
  <w:style w:type="paragraph" w:customStyle="1" w:styleId="269">
    <w:name w:val="UserStyle_51"/>
    <w:basedOn w:val="1"/>
    <w:link w:val="268"/>
    <w:qFormat/>
    <w:uiPriority w:val="99"/>
    <w:pPr>
      <w:numPr>
        <w:ilvl w:val="0"/>
        <w:numId w:val="1"/>
      </w:numPr>
      <w:tabs>
        <w:tab w:val="left" w:pos="720"/>
      </w:tabs>
      <w:spacing w:before="120"/>
      <w:ind w:left="0" w:firstLine="0"/>
    </w:pPr>
    <w:rPr>
      <w:rFonts w:ascii="宋体"/>
      <w:sz w:val="28"/>
      <w:szCs w:val="20"/>
    </w:rPr>
  </w:style>
  <w:style w:type="character" w:customStyle="1" w:styleId="270">
    <w:name w:val="UserStyle_20"/>
    <w:link w:val="1"/>
    <w:qFormat/>
    <w:uiPriority w:val="99"/>
    <w:rPr>
      <w:rFonts w:eastAsia="宋体"/>
      <w:sz w:val="18"/>
      <w:lang w:val="en-US" w:eastAsia="zh-CN"/>
    </w:rPr>
  </w:style>
  <w:style w:type="character" w:customStyle="1" w:styleId="271">
    <w:name w:val="UserStyle_28"/>
    <w:link w:val="1"/>
    <w:qFormat/>
    <w:uiPriority w:val="99"/>
    <w:rPr>
      <w:rFonts w:ascii="宋体" w:hAnsi="宋体" w:eastAsia="宋体"/>
      <w:color w:val="000000"/>
      <w:sz w:val="21"/>
    </w:rPr>
  </w:style>
  <w:style w:type="character" w:customStyle="1" w:styleId="272">
    <w:name w:val="UserStyle_43"/>
    <w:link w:val="1"/>
    <w:qFormat/>
    <w:uiPriority w:val="99"/>
    <w:rPr>
      <w:rFonts w:ascii="Cambria" w:hAnsi="Cambria"/>
      <w:b/>
      <w:sz w:val="28"/>
    </w:rPr>
  </w:style>
  <w:style w:type="character" w:customStyle="1" w:styleId="273">
    <w:name w:val="UserStyle_10"/>
    <w:link w:val="1"/>
    <w:qFormat/>
    <w:uiPriority w:val="99"/>
    <w:rPr>
      <w:rFonts w:ascii="Times New Roman" w:hAnsi="Times New Roman" w:eastAsia="宋体"/>
      <w:sz w:val="24"/>
    </w:rPr>
  </w:style>
  <w:style w:type="character" w:customStyle="1" w:styleId="274">
    <w:name w:val="HtmlCite1"/>
    <w:link w:val="1"/>
    <w:qFormat/>
    <w:uiPriority w:val="99"/>
    <w:rPr>
      <w:color w:val="008000"/>
    </w:rPr>
  </w:style>
  <w:style w:type="character" w:customStyle="1" w:styleId="275">
    <w:name w:val="UserStyle_3"/>
    <w:link w:val="276"/>
    <w:qFormat/>
    <w:uiPriority w:val="99"/>
    <w:rPr>
      <w:b/>
      <w:sz w:val="24"/>
    </w:rPr>
  </w:style>
  <w:style w:type="paragraph" w:customStyle="1" w:styleId="276">
    <w:name w:val="AnnotationSubject1"/>
    <w:basedOn w:val="277"/>
    <w:next w:val="277"/>
    <w:link w:val="275"/>
    <w:qFormat/>
    <w:uiPriority w:val="99"/>
    <w:rPr>
      <w:b/>
    </w:rPr>
  </w:style>
  <w:style w:type="paragraph" w:customStyle="1" w:styleId="277">
    <w:name w:val="AnnotationText1"/>
    <w:basedOn w:val="1"/>
    <w:link w:val="278"/>
    <w:qFormat/>
    <w:uiPriority w:val="99"/>
    <w:pPr>
      <w:jc w:val="left"/>
    </w:pPr>
    <w:rPr>
      <w:sz w:val="24"/>
      <w:szCs w:val="20"/>
    </w:rPr>
  </w:style>
  <w:style w:type="character" w:customStyle="1" w:styleId="278">
    <w:name w:val="UserStyle_30"/>
    <w:link w:val="277"/>
    <w:qFormat/>
    <w:uiPriority w:val="99"/>
    <w:rPr>
      <w:sz w:val="24"/>
    </w:rPr>
  </w:style>
  <w:style w:type="character" w:customStyle="1" w:styleId="279">
    <w:name w:val="UserStyle_5"/>
    <w:link w:val="1"/>
    <w:qFormat/>
    <w:uiPriority w:val="99"/>
    <w:rPr>
      <w:b/>
      <w:sz w:val="44"/>
    </w:rPr>
  </w:style>
  <w:style w:type="character" w:customStyle="1" w:styleId="280">
    <w:name w:val="font71"/>
    <w:link w:val="1"/>
    <w:qFormat/>
    <w:uiPriority w:val="0"/>
    <w:rPr>
      <w:rFonts w:hint="eastAsia" w:ascii="宋体" w:hAnsi="宋体" w:eastAsia="宋体" w:cs="宋体"/>
      <w:color w:val="000000"/>
      <w:sz w:val="21"/>
      <w:szCs w:val="21"/>
      <w:u w:val="none"/>
    </w:rPr>
  </w:style>
  <w:style w:type="character" w:customStyle="1" w:styleId="281">
    <w:name w:val="font81"/>
    <w:link w:val="1"/>
    <w:qFormat/>
    <w:uiPriority w:val="0"/>
    <w:rPr>
      <w:rFonts w:hint="eastAsia" w:ascii="宋体" w:hAnsi="宋体" w:eastAsia="宋体" w:cs="宋体"/>
      <w:color w:val="FF0000"/>
      <w:sz w:val="20"/>
      <w:szCs w:val="20"/>
      <w:u w:val="none"/>
    </w:rPr>
  </w:style>
  <w:style w:type="character" w:customStyle="1" w:styleId="282">
    <w:name w:val="font01"/>
    <w:link w:val="1"/>
    <w:qFormat/>
    <w:uiPriority w:val="99"/>
    <w:rPr>
      <w:rFonts w:ascii="Times New Roman" w:hAnsi="Times New Roman"/>
      <w:color w:val="000000"/>
      <w:sz w:val="24"/>
      <w:u w:val="none"/>
    </w:rPr>
  </w:style>
  <w:style w:type="character" w:customStyle="1" w:styleId="283">
    <w:name w:val="font101"/>
    <w:link w:val="1"/>
    <w:qFormat/>
    <w:uiPriority w:val="0"/>
    <w:rPr>
      <w:rFonts w:hint="eastAsia" w:ascii="宋体" w:hAnsi="宋体" w:eastAsia="宋体" w:cs="宋体"/>
      <w:color w:val="FF0000"/>
      <w:sz w:val="21"/>
      <w:szCs w:val="21"/>
      <w:u w:val="none"/>
    </w:rPr>
  </w:style>
  <w:style w:type="character" w:customStyle="1" w:styleId="284">
    <w:name w:val="UserStyle_27"/>
    <w:link w:val="1"/>
    <w:qFormat/>
    <w:uiPriority w:val="99"/>
    <w:rPr>
      <w:rFonts w:eastAsia="宋体"/>
      <w:sz w:val="24"/>
      <w:lang w:val="en-US" w:eastAsia="zh-CN"/>
    </w:rPr>
  </w:style>
  <w:style w:type="character" w:customStyle="1" w:styleId="285">
    <w:name w:val="UserStyle_12"/>
    <w:link w:val="1"/>
    <w:qFormat/>
    <w:uiPriority w:val="99"/>
  </w:style>
  <w:style w:type="character" w:customStyle="1" w:styleId="286">
    <w:name w:val="UserStyle_37"/>
    <w:link w:val="1"/>
    <w:qFormat/>
    <w:uiPriority w:val="99"/>
    <w:rPr>
      <w:rFonts w:ascii="Cambria" w:hAnsi="Cambria"/>
      <w:sz w:val="24"/>
    </w:rPr>
  </w:style>
  <w:style w:type="character" w:customStyle="1" w:styleId="287">
    <w:name w:val="UserStyle_2"/>
    <w:link w:val="288"/>
    <w:qFormat/>
    <w:uiPriority w:val="99"/>
    <w:rPr>
      <w:sz w:val="21"/>
    </w:rPr>
  </w:style>
  <w:style w:type="paragraph" w:customStyle="1" w:styleId="288">
    <w:name w:val="BodyText21"/>
    <w:basedOn w:val="1"/>
    <w:link w:val="287"/>
    <w:qFormat/>
    <w:uiPriority w:val="99"/>
    <w:pPr>
      <w:spacing w:after="120" w:line="480" w:lineRule="auto"/>
    </w:pPr>
    <w:rPr>
      <w:szCs w:val="20"/>
    </w:rPr>
  </w:style>
  <w:style w:type="character" w:customStyle="1" w:styleId="289">
    <w:name w:val="纯文本 Char1"/>
    <w:link w:val="1"/>
    <w:semiHidden/>
    <w:qFormat/>
    <w:uiPriority w:val="99"/>
    <w:rPr>
      <w:rFonts w:ascii="宋体" w:hAnsi="Courier New" w:cs="Courier New"/>
      <w:sz w:val="21"/>
      <w:szCs w:val="21"/>
    </w:rPr>
  </w:style>
  <w:style w:type="character" w:customStyle="1" w:styleId="290">
    <w:name w:val="UserStyle_33"/>
    <w:link w:val="1"/>
    <w:qFormat/>
    <w:uiPriority w:val="99"/>
    <w:rPr>
      <w:rFonts w:eastAsia="宋体"/>
      <w:sz w:val="24"/>
      <w:lang w:val="en-US" w:eastAsia="zh-CN"/>
    </w:rPr>
  </w:style>
  <w:style w:type="character" w:customStyle="1" w:styleId="291">
    <w:name w:val="UserStyle_11"/>
    <w:link w:val="292"/>
    <w:qFormat/>
    <w:uiPriority w:val="99"/>
    <w:rPr>
      <w:sz w:val="16"/>
    </w:rPr>
  </w:style>
  <w:style w:type="paragraph" w:customStyle="1" w:styleId="292">
    <w:name w:val="BodyText31"/>
    <w:basedOn w:val="1"/>
    <w:link w:val="291"/>
    <w:qFormat/>
    <w:uiPriority w:val="99"/>
    <w:pPr>
      <w:spacing w:after="120"/>
    </w:pPr>
    <w:rPr>
      <w:sz w:val="16"/>
      <w:szCs w:val="20"/>
    </w:rPr>
  </w:style>
  <w:style w:type="character" w:customStyle="1" w:styleId="293">
    <w:name w:val="UserStyle_7"/>
    <w:link w:val="294"/>
    <w:qFormat/>
    <w:uiPriority w:val="99"/>
    <w:rPr>
      <w:sz w:val="18"/>
    </w:rPr>
  </w:style>
  <w:style w:type="paragraph" w:customStyle="1" w:styleId="294">
    <w:name w:val="页眉1"/>
    <w:basedOn w:val="1"/>
    <w:link w:val="293"/>
    <w:qFormat/>
    <w:uiPriority w:val="99"/>
    <w:pPr>
      <w:pBdr>
        <w:bottom w:val="single" w:color="000000" w:sz="6" w:space="1"/>
      </w:pBdr>
      <w:tabs>
        <w:tab w:val="center" w:pos="4153"/>
        <w:tab w:val="right" w:pos="8306"/>
      </w:tabs>
      <w:jc w:val="center"/>
    </w:pPr>
    <w:rPr>
      <w:sz w:val="18"/>
      <w:szCs w:val="20"/>
    </w:rPr>
  </w:style>
  <w:style w:type="character" w:customStyle="1" w:styleId="295">
    <w:name w:val="UserStyle_23"/>
    <w:link w:val="1"/>
    <w:qFormat/>
    <w:uiPriority w:val="99"/>
    <w:rPr>
      <w:rFonts w:ascii="Calibri" w:hAnsi="Calibri"/>
      <w:color w:val="000000"/>
      <w:sz w:val="24"/>
    </w:rPr>
  </w:style>
  <w:style w:type="character" w:customStyle="1" w:styleId="296">
    <w:name w:val="AnnotationReference1"/>
    <w:link w:val="1"/>
    <w:qFormat/>
    <w:uiPriority w:val="99"/>
    <w:rPr>
      <w:sz w:val="21"/>
    </w:rPr>
  </w:style>
  <w:style w:type="character" w:customStyle="1" w:styleId="297">
    <w:name w:val="c-icon28"/>
    <w:link w:val="1"/>
    <w:qFormat/>
    <w:uiPriority w:val="0"/>
  </w:style>
  <w:style w:type="character" w:customStyle="1" w:styleId="298">
    <w:name w:val="hover27"/>
    <w:link w:val="1"/>
    <w:qFormat/>
    <w:uiPriority w:val="0"/>
    <w:rPr>
      <w:color w:val="315EFB"/>
    </w:rPr>
  </w:style>
  <w:style w:type="character" w:customStyle="1" w:styleId="299">
    <w:name w:val="font91"/>
    <w:link w:val="1"/>
    <w:qFormat/>
    <w:uiPriority w:val="0"/>
    <w:rPr>
      <w:rFonts w:hint="eastAsia" w:ascii="宋体" w:hAnsi="宋体" w:eastAsia="宋体" w:cs="宋体"/>
      <w:b/>
      <w:bCs/>
      <w:color w:val="FF0000"/>
      <w:sz w:val="21"/>
      <w:szCs w:val="21"/>
      <w:u w:val="none"/>
    </w:rPr>
  </w:style>
  <w:style w:type="character" w:customStyle="1" w:styleId="300">
    <w:name w:val="hover26"/>
    <w:link w:val="1"/>
    <w:qFormat/>
    <w:uiPriority w:val="0"/>
  </w:style>
  <w:style w:type="character" w:customStyle="1" w:styleId="301">
    <w:name w:val="UserStyle_15"/>
    <w:link w:val="1"/>
    <w:qFormat/>
    <w:uiPriority w:val="99"/>
    <w:rPr>
      <w:rFonts w:eastAsia="宋体"/>
      <w:sz w:val="24"/>
      <w:lang w:val="en-US" w:eastAsia="zh-CN"/>
    </w:rPr>
  </w:style>
  <w:style w:type="character" w:customStyle="1" w:styleId="302">
    <w:name w:val="UserStyle_1"/>
    <w:link w:val="303"/>
    <w:qFormat/>
    <w:uiPriority w:val="99"/>
    <w:rPr>
      <w:sz w:val="24"/>
    </w:rPr>
  </w:style>
  <w:style w:type="paragraph" w:customStyle="1" w:styleId="303">
    <w:name w:val="NormalIndent1"/>
    <w:basedOn w:val="1"/>
    <w:link w:val="302"/>
    <w:qFormat/>
    <w:uiPriority w:val="99"/>
    <w:pPr>
      <w:ind w:firstLine="420"/>
    </w:pPr>
    <w:rPr>
      <w:sz w:val="24"/>
      <w:szCs w:val="20"/>
    </w:rPr>
  </w:style>
  <w:style w:type="character" w:customStyle="1" w:styleId="304">
    <w:name w:val="UserStyle_41"/>
    <w:link w:val="305"/>
    <w:qFormat/>
    <w:uiPriority w:val="99"/>
    <w:rPr>
      <w:sz w:val="16"/>
    </w:rPr>
  </w:style>
  <w:style w:type="paragraph" w:customStyle="1" w:styleId="305">
    <w:name w:val="BodyTextIndent31"/>
    <w:basedOn w:val="1"/>
    <w:link w:val="304"/>
    <w:qFormat/>
    <w:uiPriority w:val="99"/>
    <w:pPr>
      <w:spacing w:after="120"/>
      <w:ind w:left="420"/>
    </w:pPr>
    <w:rPr>
      <w:sz w:val="16"/>
      <w:szCs w:val="20"/>
    </w:rPr>
  </w:style>
  <w:style w:type="character" w:customStyle="1" w:styleId="306">
    <w:name w:val="NormalCharacter1"/>
    <w:link w:val="1"/>
    <w:qFormat/>
    <w:uiPriority w:val="0"/>
  </w:style>
  <w:style w:type="character" w:customStyle="1" w:styleId="307">
    <w:name w:val="UserStyle_49"/>
    <w:link w:val="1"/>
    <w:qFormat/>
    <w:uiPriority w:val="99"/>
    <w:rPr>
      <w:b/>
      <w:sz w:val="32"/>
    </w:rPr>
  </w:style>
  <w:style w:type="character" w:customStyle="1" w:styleId="308">
    <w:name w:val="font21"/>
    <w:link w:val="1"/>
    <w:qFormat/>
    <w:uiPriority w:val="0"/>
    <w:rPr>
      <w:rFonts w:hint="eastAsia" w:ascii="宋体" w:hAnsi="宋体" w:eastAsia="宋体" w:cs="宋体"/>
      <w:b/>
      <w:bCs/>
      <w:color w:val="000000"/>
      <w:sz w:val="21"/>
      <w:szCs w:val="21"/>
      <w:u w:val="none"/>
    </w:rPr>
  </w:style>
  <w:style w:type="character" w:customStyle="1" w:styleId="309">
    <w:name w:val="UserStyle_21"/>
    <w:link w:val="310"/>
    <w:qFormat/>
    <w:uiPriority w:val="99"/>
    <w:rPr>
      <w:sz w:val="18"/>
    </w:rPr>
  </w:style>
  <w:style w:type="paragraph" w:customStyle="1" w:styleId="310">
    <w:name w:val="Acetate1"/>
    <w:basedOn w:val="1"/>
    <w:link w:val="309"/>
    <w:qFormat/>
    <w:uiPriority w:val="99"/>
    <w:rPr>
      <w:sz w:val="18"/>
      <w:szCs w:val="20"/>
    </w:rPr>
  </w:style>
  <w:style w:type="character" w:customStyle="1" w:styleId="311">
    <w:name w:val="font31"/>
    <w:link w:val="1"/>
    <w:qFormat/>
    <w:uiPriority w:val="99"/>
    <w:rPr>
      <w:rFonts w:ascii="宋体" w:hAnsi="宋体" w:eastAsia="宋体"/>
      <w:color w:val="000000"/>
      <w:sz w:val="24"/>
      <w:u w:val="none"/>
    </w:rPr>
  </w:style>
  <w:style w:type="character" w:customStyle="1" w:styleId="312">
    <w:name w:val="font51"/>
    <w:link w:val="1"/>
    <w:qFormat/>
    <w:uiPriority w:val="0"/>
    <w:rPr>
      <w:rFonts w:hint="eastAsia" w:ascii="仿宋" w:hAnsi="仿宋" w:eastAsia="仿宋" w:cs="仿宋"/>
      <w:color w:val="FF0000"/>
      <w:sz w:val="20"/>
      <w:szCs w:val="20"/>
      <w:u w:val="none"/>
    </w:rPr>
  </w:style>
  <w:style w:type="character" w:customStyle="1" w:styleId="313">
    <w:name w:val="UserStyle_34"/>
    <w:link w:val="314"/>
    <w:qFormat/>
    <w:uiPriority w:val="99"/>
    <w:rPr>
      <w:rFonts w:ascii="宋体"/>
      <w:sz w:val="18"/>
    </w:rPr>
  </w:style>
  <w:style w:type="paragraph" w:customStyle="1" w:styleId="314">
    <w:name w:val="NavPane1"/>
    <w:basedOn w:val="1"/>
    <w:link w:val="313"/>
    <w:qFormat/>
    <w:uiPriority w:val="99"/>
    <w:rPr>
      <w:rFonts w:ascii="宋体"/>
      <w:sz w:val="18"/>
      <w:szCs w:val="20"/>
    </w:rPr>
  </w:style>
  <w:style w:type="character" w:customStyle="1" w:styleId="315">
    <w:name w:val="UserStyle_42"/>
    <w:link w:val="316"/>
    <w:qFormat/>
    <w:uiPriority w:val="99"/>
    <w:rPr>
      <w:rFonts w:ascii="宋体" w:hAnsi="Arial"/>
      <w:sz w:val="28"/>
    </w:rPr>
  </w:style>
  <w:style w:type="paragraph" w:customStyle="1" w:styleId="316">
    <w:name w:val="BodyTextIndent21"/>
    <w:basedOn w:val="1"/>
    <w:link w:val="315"/>
    <w:qFormat/>
    <w:uiPriority w:val="99"/>
    <w:pPr>
      <w:spacing w:line="500" w:lineRule="exact"/>
      <w:ind w:left="-210" w:hanging="20"/>
    </w:pPr>
    <w:rPr>
      <w:rFonts w:ascii="宋体" w:hAnsi="Arial"/>
      <w:sz w:val="28"/>
      <w:szCs w:val="20"/>
    </w:rPr>
  </w:style>
  <w:style w:type="character" w:customStyle="1" w:styleId="317">
    <w:name w:val="UserStyle_17"/>
    <w:link w:val="318"/>
    <w:qFormat/>
    <w:uiPriority w:val="99"/>
    <w:rPr>
      <w:sz w:val="24"/>
    </w:rPr>
  </w:style>
  <w:style w:type="paragraph" w:customStyle="1" w:styleId="318">
    <w:name w:val="UserStyle_18"/>
    <w:basedOn w:val="1"/>
    <w:link w:val="317"/>
    <w:qFormat/>
    <w:uiPriority w:val="99"/>
    <w:pPr>
      <w:tabs>
        <w:tab w:val="left" w:pos="1020"/>
        <w:tab w:val="left" w:pos="1090"/>
      </w:tabs>
      <w:spacing w:after="60" w:line="264" w:lineRule="auto"/>
      <w:ind w:left="1098" w:hanging="2"/>
    </w:pPr>
    <w:rPr>
      <w:sz w:val="24"/>
      <w:szCs w:val="20"/>
    </w:rPr>
  </w:style>
  <w:style w:type="character" w:customStyle="1" w:styleId="319">
    <w:name w:val="font41"/>
    <w:link w:val="1"/>
    <w:qFormat/>
    <w:uiPriority w:val="0"/>
    <w:rPr>
      <w:rFonts w:hint="eastAsia" w:ascii="宋体" w:hAnsi="宋体" w:eastAsia="宋体" w:cs="宋体"/>
      <w:b/>
      <w:bCs/>
      <w:color w:val="000000"/>
      <w:sz w:val="21"/>
      <w:szCs w:val="21"/>
      <w:u w:val="none"/>
    </w:rPr>
  </w:style>
  <w:style w:type="character" w:customStyle="1" w:styleId="320">
    <w:name w:val="font11"/>
    <w:link w:val="1"/>
    <w:qFormat/>
    <w:uiPriority w:val="0"/>
    <w:rPr>
      <w:rFonts w:hint="eastAsia" w:ascii="宋体" w:hAnsi="宋体" w:eastAsia="宋体" w:cs="宋体"/>
      <w:b/>
      <w:bCs/>
      <w:color w:val="000000"/>
      <w:sz w:val="22"/>
      <w:szCs w:val="22"/>
      <w:u w:val="none"/>
    </w:rPr>
  </w:style>
  <w:style w:type="character" w:customStyle="1" w:styleId="321">
    <w:name w:val="PageNumber1"/>
    <w:link w:val="1"/>
    <w:qFormat/>
    <w:uiPriority w:val="99"/>
    <w:rPr>
      <w:rFonts w:eastAsia="宋体"/>
      <w:b/>
      <w:sz w:val="24"/>
      <w:lang w:val="en-US" w:eastAsia="zh-CN"/>
    </w:rPr>
  </w:style>
  <w:style w:type="character" w:customStyle="1" w:styleId="322">
    <w:name w:val="UserStyle_24"/>
    <w:link w:val="323"/>
    <w:qFormat/>
    <w:uiPriority w:val="99"/>
    <w:rPr>
      <w:rFonts w:ascii="宋体"/>
      <w:color w:val="000000"/>
      <w:sz w:val="24"/>
      <w:szCs w:val="24"/>
      <w:lang w:val="en-US" w:eastAsia="zh-CN" w:bidi="ar-SA"/>
    </w:rPr>
  </w:style>
  <w:style w:type="paragraph" w:customStyle="1" w:styleId="323">
    <w:name w:val="UserStyle_25"/>
    <w:link w:val="322"/>
    <w:qFormat/>
    <w:uiPriority w:val="99"/>
    <w:rPr>
      <w:rFonts w:hint="default" w:ascii="宋体" w:hAnsi="Times New Roman" w:eastAsia="宋体" w:cs="Times New Roman"/>
      <w:color w:val="000000"/>
      <w:sz w:val="24"/>
      <w:szCs w:val="24"/>
      <w:lang w:val="en-US" w:eastAsia="zh-CN" w:bidi="ar-SA"/>
    </w:rPr>
  </w:style>
  <w:style w:type="character" w:customStyle="1" w:styleId="324">
    <w:name w:val="font112"/>
    <w:link w:val="1"/>
    <w:qFormat/>
    <w:uiPriority w:val="0"/>
    <w:rPr>
      <w:rFonts w:hint="eastAsia" w:ascii="宋体" w:hAnsi="宋体" w:eastAsia="宋体" w:cs="宋体"/>
      <w:color w:val="555555"/>
      <w:sz w:val="21"/>
      <w:szCs w:val="21"/>
      <w:u w:val="none"/>
    </w:rPr>
  </w:style>
  <w:style w:type="character" w:customStyle="1" w:styleId="325">
    <w:name w:val="UserStyle_0"/>
    <w:link w:val="326"/>
    <w:qFormat/>
    <w:uiPriority w:val="99"/>
    <w:rPr>
      <w:rFonts w:ascii="Ari"/>
      <w:lang w:val="en-US" w:eastAsia="zh-CN"/>
    </w:rPr>
  </w:style>
  <w:style w:type="paragraph" w:customStyle="1" w:styleId="326">
    <w:name w:val="PlainText1"/>
    <w:basedOn w:val="1"/>
    <w:link w:val="325"/>
    <w:qFormat/>
    <w:uiPriority w:val="99"/>
    <w:rPr>
      <w:rFonts w:ascii="Ari"/>
      <w:sz w:val="20"/>
      <w:szCs w:val="20"/>
    </w:rPr>
  </w:style>
  <w:style w:type="character" w:customStyle="1" w:styleId="327">
    <w:name w:val="UserStyle_38"/>
    <w:link w:val="1"/>
    <w:qFormat/>
    <w:uiPriority w:val="99"/>
  </w:style>
  <w:style w:type="character" w:customStyle="1" w:styleId="328">
    <w:name w:val="Max1"/>
    <w:link w:val="1"/>
    <w:semiHidden/>
    <w:qFormat/>
    <w:uiPriority w:val="99"/>
    <w:rPr>
      <w:color w:val="808080"/>
    </w:rPr>
  </w:style>
  <w:style w:type="paragraph" w:customStyle="1" w:styleId="329">
    <w:name w:val="UserStyle_75"/>
    <w:basedOn w:val="1"/>
    <w:qFormat/>
    <w:uiPriority w:val="99"/>
    <w:pPr>
      <w:tabs>
        <w:tab w:val="left" w:pos="795"/>
      </w:tabs>
      <w:ind w:left="795" w:hanging="360"/>
    </w:pPr>
    <w:rPr>
      <w:sz w:val="24"/>
    </w:rPr>
  </w:style>
  <w:style w:type="paragraph" w:customStyle="1" w:styleId="330">
    <w:name w:val="WPSOffice手动目录 1"/>
    <w:qFormat/>
    <w:uiPriority w:val="0"/>
    <w:rPr>
      <w:rFonts w:hint="default" w:ascii="Times New Roman" w:hAnsi="Times New Roman" w:eastAsia="宋体" w:cs="Times New Roman"/>
      <w:lang w:val="en-US" w:eastAsia="zh-CN" w:bidi="ar-SA"/>
    </w:rPr>
  </w:style>
  <w:style w:type="paragraph" w:customStyle="1" w:styleId="331">
    <w:name w:val="Heading11"/>
    <w:basedOn w:val="1"/>
    <w:next w:val="1"/>
    <w:qFormat/>
    <w:uiPriority w:val="99"/>
    <w:pPr>
      <w:keepNext/>
      <w:keepLines/>
      <w:numPr>
        <w:ilvl w:val="0"/>
        <w:numId w:val="2"/>
      </w:numPr>
      <w:spacing w:before="340" w:after="330" w:line="578" w:lineRule="auto"/>
      <w:jc w:val="center"/>
    </w:pPr>
    <w:rPr>
      <w:b/>
      <w:bCs/>
      <w:sz w:val="32"/>
      <w:szCs w:val="44"/>
    </w:rPr>
  </w:style>
  <w:style w:type="paragraph" w:customStyle="1" w:styleId="332">
    <w:name w:val="266"/>
    <w:basedOn w:val="331"/>
    <w:next w:val="1"/>
    <w:qFormat/>
    <w:uiPriority w:val="99"/>
    <w:pPr>
      <w:numPr>
        <w:ilvl w:val="0"/>
        <w:numId w:val="0"/>
      </w:numPr>
      <w:spacing w:before="480" w:after="0" w:line="276" w:lineRule="auto"/>
      <w:jc w:val="left"/>
    </w:pPr>
    <w:rPr>
      <w:rFonts w:ascii="Cambria" w:hAnsi="Cambria"/>
      <w:color w:val="365F91"/>
      <w:sz w:val="28"/>
      <w:szCs w:val="28"/>
    </w:rPr>
  </w:style>
  <w:style w:type="paragraph" w:customStyle="1" w:styleId="333">
    <w:name w:val="UserStyle_58"/>
    <w:basedOn w:val="1"/>
    <w:qFormat/>
    <w:uiPriority w:val="99"/>
    <w:pPr>
      <w:jc w:val="left"/>
    </w:pPr>
    <w:rPr>
      <w:sz w:val="24"/>
    </w:rPr>
  </w:style>
  <w:style w:type="paragraph" w:customStyle="1" w:styleId="334">
    <w:name w:val="Heading81"/>
    <w:basedOn w:val="1"/>
    <w:next w:val="1"/>
    <w:qFormat/>
    <w:uiPriority w:val="99"/>
    <w:pPr>
      <w:keepNext/>
      <w:keepLines/>
      <w:numPr>
        <w:ilvl w:val="7"/>
        <w:numId w:val="2"/>
      </w:numPr>
      <w:tabs>
        <w:tab w:val="left" w:pos="3360"/>
      </w:tabs>
      <w:spacing w:before="240" w:after="64" w:line="320" w:lineRule="auto"/>
    </w:pPr>
    <w:rPr>
      <w:rFonts w:ascii="Cambria" w:hAnsi="Cambria"/>
      <w:sz w:val="24"/>
    </w:rPr>
  </w:style>
  <w:style w:type="paragraph" w:customStyle="1" w:styleId="335">
    <w:name w:val="Heading61"/>
    <w:basedOn w:val="1"/>
    <w:next w:val="1"/>
    <w:qFormat/>
    <w:uiPriority w:val="99"/>
    <w:pPr>
      <w:keepNext/>
      <w:keepLines/>
      <w:numPr>
        <w:ilvl w:val="5"/>
        <w:numId w:val="2"/>
      </w:numPr>
      <w:tabs>
        <w:tab w:val="left" w:pos="360"/>
        <w:tab w:val="left" w:pos="2520"/>
      </w:tabs>
      <w:spacing w:before="240" w:after="64" w:line="320" w:lineRule="auto"/>
      <w:ind w:left="0" w:firstLine="0"/>
    </w:pPr>
    <w:rPr>
      <w:rFonts w:ascii="Cambria" w:hAnsi="Cambria"/>
      <w:b/>
      <w:bCs/>
      <w:sz w:val="24"/>
    </w:rPr>
  </w:style>
  <w:style w:type="paragraph" w:customStyle="1" w:styleId="336">
    <w:name w:val="UserStyle_61"/>
    <w:basedOn w:val="314"/>
    <w:qFormat/>
    <w:uiPriority w:val="99"/>
    <w:pPr>
      <w:shd w:val="clear" w:color="auto" w:fill="000080"/>
      <w:spacing w:line="360" w:lineRule="auto"/>
    </w:pPr>
    <w:rPr>
      <w:rFonts w:ascii="Times New Roman"/>
      <w:sz w:val="21"/>
    </w:rPr>
  </w:style>
  <w:style w:type="paragraph" w:customStyle="1" w:styleId="337">
    <w:name w:val="_Style 7"/>
    <w:basedOn w:val="182"/>
    <w:next w:val="1"/>
    <w:qFormat/>
    <w:uiPriority w:val="99"/>
    <w:pPr>
      <w:tabs>
        <w:tab w:val="left" w:pos="1440"/>
        <w:tab w:val="left" w:pos="5670"/>
      </w:tabs>
      <w:outlineLvl w:val="9"/>
    </w:pPr>
  </w:style>
  <w:style w:type="paragraph" w:customStyle="1" w:styleId="338">
    <w:name w:val="font5"/>
    <w:basedOn w:val="1"/>
    <w:qFormat/>
    <w:uiPriority w:val="99"/>
    <w:pPr>
      <w:spacing w:before="100" w:beforeAutospacing="1" w:after="100" w:afterAutospacing="1"/>
      <w:jc w:val="left"/>
    </w:pPr>
    <w:rPr>
      <w:rFonts w:ascii="宋体" w:hAnsi="宋体" w:cs="宋体"/>
      <w:sz w:val="18"/>
      <w:szCs w:val="18"/>
    </w:rPr>
  </w:style>
  <w:style w:type="paragraph" w:customStyle="1" w:styleId="339">
    <w:name w:val="UserStyle_68"/>
    <w:basedOn w:val="1"/>
    <w:qFormat/>
    <w:uiPriority w:val="99"/>
    <w:pPr>
      <w:tabs>
        <w:tab w:val="left" w:pos="709"/>
        <w:tab w:val="left" w:pos="2268"/>
        <w:tab w:val="right" w:pos="10206"/>
      </w:tabs>
      <w:ind w:left="2268" w:hanging="2268"/>
    </w:pPr>
    <w:rPr>
      <w:sz w:val="24"/>
      <w:szCs w:val="20"/>
      <w:lang w:val="de-DE" w:eastAsia="de-DE"/>
    </w:rPr>
  </w:style>
  <w:style w:type="paragraph" w:customStyle="1" w:styleId="340">
    <w:name w:val="UserStyle_70"/>
    <w:basedOn w:val="1"/>
    <w:qFormat/>
    <w:uiPriority w:val="99"/>
    <w:pPr>
      <w:spacing w:line="360" w:lineRule="auto"/>
      <w:ind w:firstLine="200"/>
    </w:pPr>
    <w:rPr>
      <w:sz w:val="24"/>
      <w:szCs w:val="28"/>
    </w:rPr>
  </w:style>
  <w:style w:type="paragraph" w:customStyle="1" w:styleId="341">
    <w:name w:val="TOC11"/>
    <w:basedOn w:val="1"/>
    <w:next w:val="1"/>
    <w:qFormat/>
    <w:uiPriority w:val="99"/>
  </w:style>
  <w:style w:type="paragraph" w:customStyle="1" w:styleId="342">
    <w:name w:val="UserStyle_76"/>
    <w:basedOn w:val="1"/>
    <w:qFormat/>
    <w:uiPriority w:val="99"/>
    <w:rPr>
      <w:szCs w:val="20"/>
    </w:rPr>
  </w:style>
  <w:style w:type="paragraph" w:customStyle="1" w:styleId="343">
    <w:name w:val="UserStyle_73"/>
    <w:basedOn w:val="1"/>
    <w:qFormat/>
    <w:uiPriority w:val="99"/>
    <w:pPr>
      <w:ind w:firstLine="420"/>
      <w:jc w:val="left"/>
    </w:pPr>
    <w:rPr>
      <w:sz w:val="24"/>
    </w:rPr>
  </w:style>
  <w:style w:type="paragraph" w:customStyle="1" w:styleId="344">
    <w:name w:val="xl72"/>
    <w:basedOn w:val="1"/>
    <w:qFormat/>
    <w:uiPriority w:val="99"/>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4"/>
    </w:rPr>
  </w:style>
  <w:style w:type="paragraph" w:customStyle="1" w:styleId="345">
    <w:name w:val="UserStyle_54"/>
    <w:basedOn w:val="1"/>
    <w:next w:val="1"/>
    <w:qFormat/>
    <w:uiPriority w:val="99"/>
    <w:rPr>
      <w:sz w:val="24"/>
      <w:szCs w:val="20"/>
    </w:rPr>
  </w:style>
  <w:style w:type="paragraph" w:customStyle="1" w:styleId="346">
    <w:name w:val="178"/>
    <w:qFormat/>
    <w:uiPriority w:val="99"/>
    <w:rPr>
      <w:rFonts w:hint="default" w:ascii="Times New Roman" w:hAnsi="Times New Roman" w:eastAsia="宋体" w:cs="Times New Roman"/>
      <w:sz w:val="21"/>
      <w:szCs w:val="24"/>
      <w:lang w:val="en-US" w:eastAsia="zh-CN" w:bidi="ar-SA"/>
    </w:rPr>
  </w:style>
  <w:style w:type="paragraph" w:customStyle="1" w:styleId="347">
    <w:name w:val="首行缩进"/>
    <w:basedOn w:val="1"/>
    <w:qFormat/>
    <w:uiPriority w:val="0"/>
    <w:pPr>
      <w:ind w:firstLine="480"/>
    </w:pPr>
    <w:rPr>
      <w:szCs w:val="20"/>
      <w:lang w:val="zh-CN"/>
    </w:rPr>
  </w:style>
  <w:style w:type="paragraph" w:customStyle="1" w:styleId="348">
    <w:name w:val="179"/>
    <w:basedOn w:val="1"/>
    <w:qFormat/>
    <w:uiPriority w:val="99"/>
    <w:pPr>
      <w:ind w:firstLine="420"/>
    </w:pPr>
  </w:style>
  <w:style w:type="paragraph" w:customStyle="1" w:styleId="349">
    <w:name w:val="Heading91"/>
    <w:basedOn w:val="1"/>
    <w:next w:val="1"/>
    <w:qFormat/>
    <w:uiPriority w:val="99"/>
    <w:pPr>
      <w:keepNext/>
      <w:keepLines/>
      <w:numPr>
        <w:ilvl w:val="8"/>
        <w:numId w:val="2"/>
      </w:numPr>
      <w:tabs>
        <w:tab w:val="left" w:pos="3780"/>
      </w:tabs>
      <w:spacing w:before="240" w:after="64" w:line="320" w:lineRule="auto"/>
    </w:pPr>
    <w:rPr>
      <w:rFonts w:ascii="Cambria" w:hAnsi="Cambria"/>
      <w:szCs w:val="21"/>
    </w:rPr>
  </w:style>
  <w:style w:type="paragraph" w:customStyle="1" w:styleId="350">
    <w:name w:val="列出段落1"/>
    <w:basedOn w:val="1"/>
    <w:qFormat/>
    <w:uiPriority w:val="34"/>
    <w:pPr>
      <w:widowControl w:val="0"/>
      <w:ind w:firstLine="420"/>
    </w:pPr>
    <w:rPr>
      <w:szCs w:val="20"/>
    </w:rPr>
  </w:style>
  <w:style w:type="paragraph" w:customStyle="1" w:styleId="351">
    <w:name w:val="UserStyle_57"/>
    <w:next w:val="1"/>
    <w:qFormat/>
    <w:uiPriority w:val="99"/>
    <w:rPr>
      <w:rFonts w:hint="default" w:ascii="Arial" w:hAnsi="Arial" w:eastAsia="宋体" w:cs="Times New Roman"/>
      <w:sz w:val="22"/>
      <w:szCs w:val="22"/>
      <w:lang w:val="de-DE" w:eastAsia="de-DE" w:bidi="ar-SA"/>
    </w:rPr>
  </w:style>
  <w:style w:type="paragraph" w:customStyle="1" w:styleId="352">
    <w:name w:val="Heading41"/>
    <w:basedOn w:val="1"/>
    <w:next w:val="1"/>
    <w:qFormat/>
    <w:uiPriority w:val="99"/>
    <w:pPr>
      <w:keepNext/>
      <w:keepLines/>
      <w:numPr>
        <w:ilvl w:val="3"/>
        <w:numId w:val="2"/>
      </w:numPr>
      <w:tabs>
        <w:tab w:val="left" w:pos="1680"/>
      </w:tabs>
      <w:spacing w:before="280" w:after="290" w:line="376" w:lineRule="auto"/>
    </w:pPr>
    <w:rPr>
      <w:rFonts w:ascii="Cambria" w:hAnsi="Cambria"/>
      <w:b/>
      <w:bCs/>
      <w:sz w:val="28"/>
      <w:szCs w:val="28"/>
    </w:rPr>
  </w:style>
  <w:style w:type="paragraph" w:customStyle="1" w:styleId="353">
    <w:name w:val="HtmlNormal1"/>
    <w:basedOn w:val="1"/>
    <w:qFormat/>
    <w:uiPriority w:val="99"/>
    <w:pPr>
      <w:spacing w:before="100" w:beforeAutospacing="1" w:after="100" w:afterAutospacing="1"/>
      <w:jc w:val="left"/>
    </w:pPr>
    <w:rPr>
      <w:rFonts w:ascii="宋体" w:hAnsi="宋体"/>
      <w:sz w:val="24"/>
    </w:rPr>
  </w:style>
  <w:style w:type="paragraph" w:customStyle="1" w:styleId="354">
    <w:name w:val="UserStyle_53"/>
    <w:basedOn w:val="355"/>
    <w:next w:val="223"/>
    <w:qFormat/>
    <w:uiPriority w:val="99"/>
    <w:pPr>
      <w:tabs>
        <w:tab w:val="left" w:pos="840"/>
      </w:tabs>
      <w:spacing w:before="156" w:after="156" w:line="360" w:lineRule="auto"/>
    </w:pPr>
    <w:rPr>
      <w:bCs w:val="0"/>
      <w:sz w:val="24"/>
    </w:rPr>
  </w:style>
  <w:style w:type="paragraph" w:customStyle="1" w:styleId="355">
    <w:name w:val="Heading21"/>
    <w:basedOn w:val="1"/>
    <w:next w:val="1"/>
    <w:qFormat/>
    <w:uiPriority w:val="99"/>
    <w:pPr>
      <w:keepNext/>
      <w:keepLines/>
      <w:numPr>
        <w:ilvl w:val="1"/>
        <w:numId w:val="2"/>
      </w:numPr>
      <w:tabs>
        <w:tab w:val="left" w:pos="840"/>
      </w:tabs>
      <w:spacing w:before="260" w:after="260" w:line="416" w:lineRule="auto"/>
    </w:pPr>
    <w:rPr>
      <w:rFonts w:ascii="Cambria" w:hAnsi="Cambria"/>
      <w:b/>
      <w:bCs/>
      <w:sz w:val="32"/>
      <w:szCs w:val="32"/>
    </w:rPr>
  </w:style>
  <w:style w:type="paragraph" w:customStyle="1" w:styleId="356">
    <w:name w:val="UserStyle_55"/>
    <w:basedOn w:val="1"/>
    <w:qFormat/>
    <w:uiPriority w:val="99"/>
    <w:pPr>
      <w:ind w:left="720"/>
      <w:contextualSpacing/>
      <w:jc w:val="left"/>
    </w:pPr>
    <w:rPr>
      <w:rFonts w:ascii="Arial" w:hAnsi="Arial" w:eastAsia="黑体"/>
      <w:sz w:val="24"/>
      <w:lang w:eastAsia="en-US"/>
    </w:rPr>
  </w:style>
  <w:style w:type="paragraph" w:customStyle="1" w:styleId="357">
    <w:name w:val="xl68"/>
    <w:basedOn w:val="1"/>
    <w:qFormat/>
    <w:uiPriority w:val="99"/>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4"/>
    </w:rPr>
  </w:style>
  <w:style w:type="paragraph" w:customStyle="1" w:styleId="358">
    <w:name w:val="UserStyle_78"/>
    <w:basedOn w:val="1"/>
    <w:qFormat/>
    <w:uiPriority w:val="99"/>
    <w:pPr>
      <w:spacing w:line="480" w:lineRule="atLeast"/>
      <w:ind w:firstLine="567"/>
    </w:pPr>
    <w:rPr>
      <w:rFonts w:ascii="Ari" w:eastAsia="Times New Roman"/>
      <w:sz w:val="28"/>
      <w:szCs w:val="20"/>
    </w:rPr>
  </w:style>
  <w:style w:type="paragraph" w:customStyle="1" w:styleId="359">
    <w:name w:val="UserStyle_62"/>
    <w:basedOn w:val="1"/>
    <w:qFormat/>
    <w:uiPriority w:val="99"/>
    <w:pPr>
      <w:spacing w:line="420" w:lineRule="exact"/>
      <w:ind w:left="600" w:hanging="600"/>
    </w:pPr>
    <w:rPr>
      <w:rFonts w:ascii="宋体" w:hAnsi="宋体"/>
      <w:color w:val="000000"/>
      <w:sz w:val="24"/>
      <w:szCs w:val="20"/>
    </w:rPr>
  </w:style>
  <w:style w:type="paragraph" w:customStyle="1" w:styleId="360">
    <w:name w:val="UserStyle_63"/>
    <w:basedOn w:val="1"/>
    <w:qFormat/>
    <w:uiPriority w:val="99"/>
    <w:pPr>
      <w:spacing w:line="460" w:lineRule="exact"/>
      <w:ind w:firstLine="560"/>
      <w:jc w:val="left"/>
    </w:pPr>
    <w:rPr>
      <w:rFonts w:ascii="仿宋_GB2312" w:hAnsi="仿宋_GB2312" w:eastAsia="仿宋_GB2312"/>
      <w:sz w:val="28"/>
      <w:szCs w:val="20"/>
    </w:rPr>
  </w:style>
  <w:style w:type="paragraph" w:customStyle="1" w:styleId="361">
    <w:name w:val="Heading51"/>
    <w:basedOn w:val="1"/>
    <w:next w:val="1"/>
    <w:qFormat/>
    <w:uiPriority w:val="99"/>
    <w:pPr>
      <w:keepNext/>
      <w:keepLines/>
      <w:numPr>
        <w:ilvl w:val="4"/>
        <w:numId w:val="2"/>
      </w:numPr>
      <w:tabs>
        <w:tab w:val="left" w:pos="2100"/>
      </w:tabs>
      <w:spacing w:before="280" w:after="290" w:line="376" w:lineRule="auto"/>
    </w:pPr>
    <w:rPr>
      <w:b/>
      <w:bCs/>
      <w:sz w:val="28"/>
      <w:szCs w:val="28"/>
    </w:rPr>
  </w:style>
  <w:style w:type="paragraph" w:customStyle="1" w:styleId="362">
    <w:name w:val="UserStyle_79"/>
    <w:basedOn w:val="1"/>
    <w:qFormat/>
    <w:uiPriority w:val="99"/>
    <w:pPr>
      <w:jc w:val="left"/>
    </w:pPr>
    <w:rPr>
      <w:rFonts w:ascii="Calibri" w:hAnsi="Calibri"/>
      <w:sz w:val="22"/>
      <w:lang w:eastAsia="en-US"/>
    </w:rPr>
  </w:style>
  <w:style w:type="paragraph" w:customStyle="1" w:styleId="363">
    <w:name w:val="ListBullet1"/>
    <w:basedOn w:val="1"/>
    <w:qFormat/>
    <w:uiPriority w:val="99"/>
    <w:pPr>
      <w:tabs>
        <w:tab w:val="left" w:pos="0"/>
      </w:tabs>
    </w:pPr>
    <w:rPr>
      <w:szCs w:val="20"/>
    </w:rPr>
  </w:style>
  <w:style w:type="paragraph" w:customStyle="1" w:styleId="364">
    <w:name w:val="正文 New New New New New New New"/>
    <w:qFormat/>
    <w:uiPriority w:val="99"/>
    <w:pPr>
      <w:widowControl w:val="0"/>
      <w:jc w:val="both"/>
    </w:pPr>
    <w:rPr>
      <w:rFonts w:hint="default" w:ascii="Times New Roman" w:hAnsi="Times New Roman" w:eastAsia="宋体" w:cs="Times New Roman"/>
      <w:sz w:val="21"/>
      <w:lang w:val="en-US" w:eastAsia="zh-CN" w:bidi="ar-SA"/>
    </w:rPr>
  </w:style>
  <w:style w:type="paragraph" w:customStyle="1" w:styleId="365">
    <w:name w:val="UserStyle_77"/>
    <w:basedOn w:val="1"/>
    <w:qFormat/>
    <w:uiPriority w:val="99"/>
    <w:pPr>
      <w:tabs>
        <w:tab w:val="left" w:pos="360"/>
        <w:tab w:val="left" w:pos="1545"/>
      </w:tabs>
      <w:ind w:left="360" w:hanging="360"/>
    </w:pPr>
    <w:rPr>
      <w:szCs w:val="20"/>
    </w:rPr>
  </w:style>
  <w:style w:type="paragraph" w:customStyle="1" w:styleId="366">
    <w:name w:val="xl73"/>
    <w:basedOn w:val="1"/>
    <w:qFormat/>
    <w:uiPriority w:val="99"/>
    <w:pPr>
      <w:shd w:val="clear" w:color="000000" w:fill="FFFFFF"/>
      <w:spacing w:before="100" w:beforeAutospacing="1" w:after="100" w:afterAutospacing="1"/>
      <w:jc w:val="center"/>
    </w:pPr>
    <w:rPr>
      <w:rFonts w:ascii="宋体" w:hAnsi="宋体" w:cs="宋体"/>
      <w:b/>
      <w:bCs/>
      <w:sz w:val="36"/>
      <w:szCs w:val="36"/>
    </w:rPr>
  </w:style>
  <w:style w:type="paragraph" w:customStyle="1" w:styleId="367">
    <w:name w:val="正文（绿盟科技）"/>
    <w:qFormat/>
    <w:uiPriority w:val="0"/>
    <w:pPr>
      <w:spacing w:line="300" w:lineRule="auto"/>
    </w:pPr>
    <w:rPr>
      <w:rFonts w:hint="default" w:ascii="Arial" w:hAnsi="Arial" w:eastAsia="宋体" w:cs="黑体"/>
      <w:sz w:val="21"/>
      <w:szCs w:val="21"/>
      <w:lang w:val="en-US" w:eastAsia="zh-CN" w:bidi="ar-SA"/>
    </w:rPr>
  </w:style>
  <w:style w:type="paragraph" w:customStyle="1" w:styleId="368">
    <w:name w:val="Heading31"/>
    <w:basedOn w:val="1"/>
    <w:next w:val="1"/>
    <w:qFormat/>
    <w:uiPriority w:val="99"/>
    <w:pPr>
      <w:keepNext/>
      <w:keepLines/>
      <w:numPr>
        <w:ilvl w:val="2"/>
        <w:numId w:val="2"/>
      </w:numPr>
      <w:tabs>
        <w:tab w:val="left" w:pos="1260"/>
      </w:tabs>
      <w:spacing w:before="260" w:after="260" w:line="416" w:lineRule="auto"/>
    </w:pPr>
    <w:rPr>
      <w:b/>
      <w:bCs/>
      <w:sz w:val="32"/>
      <w:szCs w:val="32"/>
    </w:rPr>
  </w:style>
  <w:style w:type="paragraph" w:customStyle="1" w:styleId="369">
    <w:name w:val="UserStyle_74"/>
    <w:basedOn w:val="1"/>
    <w:qFormat/>
    <w:uiPriority w:val="99"/>
  </w:style>
  <w:style w:type="paragraph" w:customStyle="1" w:styleId="370">
    <w:name w:val="UserStyle_56"/>
    <w:basedOn w:val="368"/>
    <w:next w:val="1"/>
    <w:qFormat/>
    <w:uiPriority w:val="99"/>
    <w:pPr>
      <w:spacing w:before="0" w:after="0" w:line="400" w:lineRule="exact"/>
    </w:pPr>
    <w:rPr>
      <w:rFonts w:eastAsia="黑体"/>
      <w:b w:val="0"/>
      <w:bCs w:val="0"/>
      <w:sz w:val="24"/>
      <w:szCs w:val="20"/>
    </w:rPr>
  </w:style>
  <w:style w:type="paragraph" w:customStyle="1" w:styleId="371">
    <w:name w:val="UserStyle_65"/>
    <w:basedOn w:val="1"/>
    <w:qFormat/>
    <w:uiPriority w:val="99"/>
    <w:pPr>
      <w:ind w:firstLine="200"/>
    </w:pPr>
    <w:rPr>
      <w:sz w:val="24"/>
      <w:szCs w:val="20"/>
    </w:rPr>
  </w:style>
  <w:style w:type="paragraph" w:customStyle="1" w:styleId="372">
    <w:name w:val="UserStyle_60"/>
    <w:basedOn w:val="1"/>
    <w:qFormat/>
    <w:uiPriority w:val="99"/>
    <w:pPr>
      <w:tabs>
        <w:tab w:val="left" w:pos="0"/>
        <w:tab w:val="left" w:pos="420"/>
        <w:tab w:val="left" w:pos="709"/>
      </w:tabs>
    </w:pPr>
    <w:rPr>
      <w:rFonts w:ascii="宋体" w:hAnsi="宋体"/>
      <w:szCs w:val="20"/>
    </w:rPr>
  </w:style>
  <w:style w:type="paragraph" w:customStyle="1" w:styleId="373">
    <w:name w:val="UserStyle_71"/>
    <w:basedOn w:val="1"/>
    <w:qFormat/>
    <w:uiPriority w:val="99"/>
    <w:rPr>
      <w:b/>
      <w:bCs/>
      <w:sz w:val="24"/>
    </w:rPr>
  </w:style>
  <w:style w:type="paragraph" w:customStyle="1" w:styleId="374">
    <w:name w:val="列出段落"/>
    <w:basedOn w:val="1"/>
    <w:qFormat/>
    <w:uiPriority w:val="34"/>
    <w:pPr>
      <w:ind w:firstLine="420"/>
      <w:jc w:val="left"/>
    </w:pPr>
    <w:rPr>
      <w:rFonts w:ascii="宋体" w:hAnsi="宋体" w:cs="宋体"/>
      <w:sz w:val="24"/>
      <w:szCs w:val="20"/>
    </w:rPr>
  </w:style>
  <w:style w:type="paragraph" w:customStyle="1" w:styleId="375">
    <w:name w:val="UserStyle_67"/>
    <w:basedOn w:val="1"/>
    <w:qFormat/>
    <w:uiPriority w:val="99"/>
    <w:pPr>
      <w:spacing w:line="480" w:lineRule="exact"/>
      <w:ind w:left="830" w:hanging="534"/>
      <w:jc w:val="left"/>
    </w:pPr>
    <w:rPr>
      <w:rFonts w:ascii="仿宋_GB2312" w:hAnsi="仿宋_GB2312" w:eastAsia="仿宋_GB2312"/>
      <w:sz w:val="28"/>
      <w:szCs w:val="20"/>
    </w:rPr>
  </w:style>
  <w:style w:type="paragraph" w:customStyle="1" w:styleId="376">
    <w:name w:val="UserStyle_69"/>
    <w:basedOn w:val="1"/>
    <w:qFormat/>
    <w:uiPriority w:val="99"/>
    <w:pPr>
      <w:spacing w:line="360" w:lineRule="auto"/>
      <w:ind w:firstLine="200"/>
    </w:pPr>
    <w:rPr>
      <w:rFonts w:ascii="仿宋_GB2312" w:hAnsi="Calibri"/>
      <w:sz w:val="24"/>
      <w:szCs w:val="21"/>
    </w:rPr>
  </w:style>
  <w:style w:type="paragraph" w:customStyle="1" w:styleId="377">
    <w:name w:val="UserStyle_72"/>
    <w:basedOn w:val="1"/>
    <w:qFormat/>
    <w:uiPriority w:val="99"/>
    <w:pPr>
      <w:spacing w:before="100" w:beforeAutospacing="1" w:after="100" w:afterAutospacing="1"/>
      <w:jc w:val="left"/>
    </w:pPr>
    <w:rPr>
      <w:rFonts w:ascii="宋体" w:hAnsi="宋体"/>
      <w:sz w:val="24"/>
    </w:rPr>
  </w:style>
  <w:style w:type="paragraph" w:customStyle="1" w:styleId="378">
    <w:name w:val="修订"/>
    <w:semiHidden/>
    <w:qFormat/>
    <w:uiPriority w:val="99"/>
    <w:rPr>
      <w:rFonts w:hint="default" w:ascii="Times New Roman" w:hAnsi="Times New Roman" w:eastAsia="宋体" w:cs="Times New Roman"/>
      <w:sz w:val="21"/>
      <w:szCs w:val="24"/>
      <w:lang w:val="en-US" w:eastAsia="zh-CN" w:bidi="ar-SA"/>
    </w:rPr>
  </w:style>
  <w:style w:type="paragraph" w:customStyle="1" w:styleId="379">
    <w:name w:val="UserStyle_64"/>
    <w:basedOn w:val="1"/>
    <w:qFormat/>
    <w:uiPriority w:val="99"/>
    <w:pPr>
      <w:spacing w:after="160" w:line="240" w:lineRule="exact"/>
      <w:jc w:val="left"/>
    </w:pPr>
    <w:rPr>
      <w:rFonts w:ascii="Verdana" w:hAnsi="Verdana" w:eastAsia="仿宋_GB2312"/>
      <w:sz w:val="24"/>
      <w:szCs w:val="20"/>
      <w:lang w:eastAsia="en-US"/>
    </w:rPr>
  </w:style>
  <w:style w:type="paragraph" w:customStyle="1" w:styleId="380">
    <w:name w:val="xl69"/>
    <w:basedOn w:val="1"/>
    <w:qFormat/>
    <w:uiPriority w:val="99"/>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4"/>
    </w:rPr>
  </w:style>
  <w:style w:type="paragraph" w:customStyle="1" w:styleId="381">
    <w:name w:val="正文_0"/>
    <w:qFormat/>
    <w:uiPriority w:val="0"/>
    <w:pPr>
      <w:widowControl w:val="0"/>
      <w:jc w:val="both"/>
    </w:pPr>
    <w:rPr>
      <w:rFonts w:hint="default" w:ascii="Calibri" w:hAnsi="Calibri" w:eastAsia="宋体" w:cs="Times New Roman"/>
      <w:lang w:val="en-US" w:eastAsia="zh-CN" w:bidi="ar-SA"/>
    </w:rPr>
  </w:style>
  <w:style w:type="paragraph" w:customStyle="1" w:styleId="382">
    <w:name w:val="Heading71"/>
    <w:basedOn w:val="1"/>
    <w:next w:val="1"/>
    <w:qFormat/>
    <w:uiPriority w:val="99"/>
    <w:pPr>
      <w:keepNext/>
      <w:keepLines/>
      <w:numPr>
        <w:ilvl w:val="6"/>
        <w:numId w:val="2"/>
      </w:numPr>
      <w:tabs>
        <w:tab w:val="left" w:pos="360"/>
        <w:tab w:val="left" w:pos="2940"/>
      </w:tabs>
      <w:spacing w:before="240" w:after="64" w:line="320" w:lineRule="auto"/>
      <w:ind w:left="0" w:firstLine="0"/>
    </w:pPr>
    <w:rPr>
      <w:b/>
      <w:bCs/>
      <w:sz w:val="24"/>
    </w:rPr>
  </w:style>
  <w:style w:type="paragraph" w:customStyle="1" w:styleId="383">
    <w:name w:val="UserStyle_66"/>
    <w:basedOn w:val="1"/>
    <w:qFormat/>
    <w:uiPriority w:val="99"/>
    <w:pPr>
      <w:spacing w:after="160" w:line="240" w:lineRule="exact"/>
      <w:jc w:val="left"/>
    </w:pPr>
  </w:style>
  <w:style w:type="paragraph" w:customStyle="1" w:styleId="384">
    <w:name w:val="xl70"/>
    <w:basedOn w:val="1"/>
    <w:qFormat/>
    <w:uiPriority w:val="99"/>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4"/>
    </w:rPr>
  </w:style>
  <w:style w:type="paragraph" w:customStyle="1" w:styleId="385">
    <w:name w:val="纯文本1"/>
    <w:basedOn w:val="1"/>
    <w:qFormat/>
    <w:uiPriority w:val="0"/>
    <w:pPr>
      <w:widowControl w:val="0"/>
    </w:pPr>
    <w:rPr>
      <w:rFonts w:hint="eastAsia" w:ascii="宋体" w:hAnsi="Courier New" w:eastAsia="楷体_GB2312"/>
      <w:sz w:val="28"/>
      <w:szCs w:val="20"/>
    </w:rPr>
  </w:style>
  <w:style w:type="paragraph" w:customStyle="1" w:styleId="386">
    <w:name w:val="xl71"/>
    <w:basedOn w:val="1"/>
    <w:qFormat/>
    <w:uiPriority w:val="99"/>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4"/>
    </w:rPr>
  </w:style>
  <w:style w:type="paragraph" w:customStyle="1" w:styleId="387">
    <w:name w:val="UserStyle_59"/>
    <w:basedOn w:val="1"/>
    <w:qFormat/>
    <w:uiPriority w:val="99"/>
    <w:pPr>
      <w:ind w:left="720"/>
      <w:contextualSpacing/>
      <w:jc w:val="left"/>
    </w:pPr>
    <w:rPr>
      <w:rFonts w:ascii="Arial" w:hAnsi="Arial" w:eastAsia="黑体"/>
      <w:sz w:val="24"/>
      <w:lang w:eastAsia="en-US"/>
    </w:rPr>
  </w:style>
  <w:style w:type="paragraph" w:customStyle="1" w:styleId="388">
    <w:name w:val="xl74"/>
    <w:basedOn w:val="1"/>
    <w:qFormat/>
    <w:uiPriority w:val="99"/>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b/>
      <w:bCs/>
      <w:sz w:val="24"/>
    </w:rPr>
  </w:style>
  <w:style w:type="table" w:customStyle="1" w:styleId="389">
    <w:name w:val="网格型21"/>
    <w:basedOn w:val="192"/>
    <w:qFormat/>
    <w:uiPriority w:val="39"/>
  </w:style>
  <w:style w:type="table" w:customStyle="1" w:styleId="390">
    <w:name w:val="TableNormal1"/>
    <w:qFormat/>
    <w:uiPriority w:val="99"/>
    <w:rPr>
      <w:lang w:val="en-US" w:eastAsia="zh-CN" w:bidi="ar-SA"/>
    </w:rPr>
  </w:style>
  <w:style w:type="table" w:customStyle="1" w:styleId="391">
    <w:name w:val="网格型2"/>
    <w:basedOn w:val="192"/>
    <w:qFormat/>
    <w:uiPriority w:val="39"/>
    <w:rPr>
      <w:rFonts w:ascii="等线" w:hAnsi="等线" w:eastAsia="等线"/>
    </w:rPr>
  </w:style>
  <w:style w:type="table" w:customStyle="1" w:styleId="392">
    <w:name w:val="TableGrid1"/>
    <w:basedOn w:val="390"/>
    <w:qFormat/>
    <w:uiPriority w:val="99"/>
  </w:style>
  <w:style w:type="table" w:customStyle="1" w:styleId="393">
    <w:name w:val="网格型3"/>
    <w:basedOn w:val="192"/>
    <w:qFormat/>
    <w:uiPriority w:val="39"/>
    <w:rPr>
      <w:rFonts w:ascii="等线" w:hAnsi="等线" w:eastAsia="等线" w:cs="Times New Roman"/>
      <w:sz w:val="21"/>
      <w:szCs w:val="24"/>
    </w:rPr>
  </w:style>
  <w:style w:type="table" w:customStyle="1" w:styleId="394">
    <w:name w:val="网格型1"/>
    <w:qFormat/>
    <w:uiPriority w:val="99"/>
    <w:pPr>
      <w:widowControl w:val="0"/>
      <w:jc w:val="both"/>
    </w:pPr>
    <w:rPr>
      <w:lang w:val="en-US" w:eastAsia="zh-CN" w:bidi="ar-SA"/>
    </w:rPr>
  </w:style>
  <w:style w:type="character" w:customStyle="1" w:styleId="395">
    <w:name w:val="active16"/>
    <w:link w:val="1"/>
    <w:qFormat/>
    <w:uiPriority w:val="0"/>
    <w:rPr>
      <w:color w:val="FFFFFF"/>
      <w:shd w:val="clear" w:color="auto" w:fill="0F5BB9"/>
    </w:rPr>
  </w:style>
  <w:style w:type="paragraph" w:customStyle="1" w:styleId="396">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397">
    <w:name w:val="1.1"/>
    <w:basedOn w:val="1"/>
    <w:next w:val="1"/>
    <w:qFormat/>
    <w:uiPriority w:val="0"/>
    <w:pPr>
      <w:spacing w:line="360" w:lineRule="auto"/>
      <w:outlineLvl w:val="1"/>
    </w:pPr>
    <w:rPr>
      <w:rFonts w:ascii="Cambria" w:hAnsi="Cambria" w:eastAsia="黑体"/>
      <w:b/>
      <w:sz w:val="36"/>
    </w:rPr>
  </w:style>
  <w:style w:type="table" w:customStyle="1" w:styleId="398">
    <w:name w:val="网格型4"/>
    <w:basedOn w:val="192"/>
    <w:qFormat/>
    <w:uiPriority w:val="0"/>
    <w:pPr>
      <w:widowControl w:val="0"/>
      <w:jc w:val="both"/>
    </w:pPr>
  </w:style>
  <w:style w:type="paragraph" w:customStyle="1" w:styleId="399">
    <w:name w:val="正文 A"/>
    <w:qFormat/>
    <w:uiPriority w:val="99"/>
    <w:rPr>
      <w:rFonts w:hint="default" w:ascii="Arial Unicode MS" w:hAnsi="Arial Unicode MS" w:eastAsia="宋体" w:cs="Arial Unicode MS"/>
      <w:color w:val="000000"/>
      <w:lang w:val="en-US" w:eastAsia="zh-CN" w:bidi="ar-SA"/>
    </w:rPr>
  </w:style>
  <w:style w:type="table" w:customStyle="1" w:styleId="400">
    <w:name w:val="网格型5"/>
    <w:basedOn w:val="192"/>
    <w:qFormat/>
    <w:uiPriority w:val="0"/>
    <w:rPr>
      <w:rFonts w:ascii="Calibri" w:hAnsi="Calibri" w:cs="Calibri"/>
      <w:sz w:val="21"/>
      <w:szCs w:val="22"/>
    </w:rPr>
  </w:style>
  <w:style w:type="paragraph" w:customStyle="1" w:styleId="401">
    <w:name w:val="标题1，章节第一层"/>
    <w:basedOn w:val="402"/>
    <w:next w:val="402"/>
    <w:qFormat/>
    <w:uiPriority w:val="0"/>
    <w:pPr>
      <w:tabs>
        <w:tab w:val="left" w:pos="693"/>
      </w:tabs>
      <w:ind w:left="272" w:hanging="272"/>
      <w:jc w:val="center"/>
      <w:outlineLvl w:val="0"/>
    </w:pPr>
    <w:rPr>
      <w:rFonts w:eastAsia="ˎ̥"/>
      <w:color w:val="000000"/>
      <w:sz w:val="32"/>
      <w:szCs w:val="24"/>
      <w:lang w:val="zh-CN"/>
    </w:rPr>
  </w:style>
  <w:style w:type="paragraph" w:customStyle="1" w:styleId="402">
    <w:name w:val="正文格式"/>
    <w:basedOn w:val="1"/>
    <w:qFormat/>
    <w:uiPriority w:val="0"/>
    <w:pPr>
      <w:widowControl/>
      <w:spacing w:line="360" w:lineRule="auto"/>
      <w:ind w:left="178" w:right="44" w:hanging="178"/>
      <w:jc w:val="left"/>
    </w:pPr>
    <w:rPr>
      <w:rFonts w:ascii="Trebuchet MS" w:hAnsi="Trebuchet MS" w:eastAsia="等线" w:cs="Tahoma"/>
      <w:bCs/>
      <w:szCs w:val="21"/>
    </w:rPr>
  </w:style>
  <w:style w:type="table" w:customStyle="1" w:styleId="403">
    <w:name w:val="Table Normal"/>
    <w:autoRedefine/>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Hewlett-Pack</Company>
  <Pages>98</Pages>
  <Words>13313</Words>
  <Characters>14112</Characters>
  <TotalTime>2</TotalTime>
  <ScaleCrop>false</ScaleCrop>
  <LinksUpToDate>false</LinksUpToDate>
  <CharactersWithSpaces>14261</CharactersWithSpaces>
  <Application>WPS Office_12.1.0.26373_F1E327BC-269C-435d-A152-05C5408002CA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2025-12-22T03:30:00Z</dcterms:created>
  <dc:creator>309</dc:creator>
  <cp:lastModifiedBy>54978</cp:lastModifiedBy>
  <dcterms:modified xsi:type="dcterms:W3CDTF">2026-05-25T05:41:01Z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eyJoZGlkIjoiM2MyZWM1ZTJlOGI5ZjQ4YmIwNGI3NjRjODZjYjM1NjkiLCJ1c2VySWQiOiIxMDQyMzcwNzQyIn0=</vt:lpwstr>
  </property>
  <property fmtid="{D5CDD505-2E9C-101B-9397-08002B2CF9AE}" pid="3" name="KSOProductBuildVer">
    <vt:lpwstr>2052-12.1.0.26373</vt:lpwstr>
  </property>
  <property fmtid="{D5CDD505-2E9C-101B-9397-08002B2CF9AE}" pid="4" name="ICV">
    <vt:lpwstr>0CC27C3BE30D4BB685DD1C0BA3685514_13</vt:lpwstr>
  </property>
</Properties>
</file>