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Times New Roman"/>
          <w:color w:val="000000" w:themeColor="text1"/>
          <w:sz w:val="20"/>
          <w:szCs w:val="20"/>
          <w:highlight w:val="none"/>
          <w14:textFill>
            <w14:solidFill>
              <w14:schemeClr w14:val="tx1"/>
            </w14:solidFill>
          </w14:textFill>
        </w:rPr>
      </w:pPr>
      <w:r>
        <w:rPr>
          <w:rFonts w:eastAsia="Times New Roman"/>
          <w:color w:val="000000" w:themeColor="text1"/>
          <w:sz w:val="20"/>
          <w:szCs w:val="20"/>
          <w:highlight w:val="none"/>
          <w14:textFill>
            <w14:solidFill>
              <w14:schemeClr w14:val="tx1"/>
            </w14:solidFill>
          </w14:textFill>
        </w:rPr>
      </w:r>
      <w:r/>
    </w:p>
    <w:p>
      <w:pPr>
        <w:spacing w:before="5"/>
        <w:rPr>
          <w:rFonts w:eastAsia="Times New Roman"/>
          <w:color w:val="000000" w:themeColor="text1"/>
          <w:sz w:val="29"/>
          <w:szCs w:val="29"/>
          <w:highlight w:val="none"/>
          <w14:textFill>
            <w14:solidFill>
              <w14:schemeClr w14:val="tx1"/>
            </w14:solidFill>
          </w14:textFill>
        </w:rPr>
      </w:pPr>
      <w:r>
        <w:rPr>
          <w:rFonts w:eastAsia="Times New Roman"/>
          <w:color w:val="000000" w:themeColor="text1"/>
          <w:sz w:val="29"/>
          <w:szCs w:val="29"/>
          <w:highlight w:val="none"/>
          <w14:textFill>
            <w14:solidFill>
              <w14:schemeClr w14:val="tx1"/>
            </w14:solidFill>
          </w14:textFill>
        </w:rPr>
      </w:r>
      <w:r/>
    </w:p>
    <w:p>
      <w:pPr>
        <w:jc w:val="center"/>
        <w:spacing w:line="820" w:lineRule="exact"/>
        <w:rPr>
          <w:rFonts w:cs="黑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pacing w:val="5"/>
          <w:sz w:val="72"/>
          <w:szCs w:val="72"/>
          <w:highlight w:val="none"/>
          <w:lang w:eastAsia="zh-CN"/>
          <w14:textFill>
            <w14:solidFill>
              <w14:schemeClr w14:val="tx1"/>
            </w14:solidFill>
          </w14:textFill>
        </w:rPr>
        <w:t xml:space="preserve">竞争性磋商文件</w:t>
      </w:r>
      <w:r/>
    </w:p>
    <w:p>
      <w:pPr>
        <w:jc w:val="center"/>
        <w:spacing w:before="9"/>
        <w:rPr>
          <w:rFonts w:ascii="黑体" w:hAnsi="黑体" w:eastAsia="黑体"/>
          <w:color w:val="000000" w:themeColor="text1"/>
          <w:sz w:val="52"/>
          <w:szCs w:val="52"/>
          <w:highlight w:val="none"/>
          <w:lang w:eastAsia="zh-CN"/>
          <w14:textFill>
            <w14:solidFill>
              <w14:schemeClr w14:val="tx1"/>
            </w14:solidFill>
          </w14:textFill>
        </w:rPr>
      </w:pPr>
      <w:r>
        <w:rPr>
          <w:rFonts w:ascii="黑体" w:hAnsi="黑体" w:eastAsia="黑体"/>
          <w:color w:val="000000" w:themeColor="text1"/>
          <w:sz w:val="52"/>
          <w:szCs w:val="52"/>
          <w:highlight w:val="none"/>
          <w:lang w:eastAsia="zh-CN"/>
          <w14:textFill>
            <w14:solidFill>
              <w14:schemeClr w14:val="tx1"/>
            </w14:solidFill>
          </w14:textFill>
        </w:rPr>
      </w:r>
      <w:r/>
    </w:p>
    <w:p>
      <w:pPr>
        <w:jc w:val="center"/>
        <w:spacing w:before="9"/>
        <w:rPr>
          <w:rFonts w:ascii="黑体" w:hAnsi="黑体" w:eastAsia="黑体"/>
          <w:color w:val="000000" w:themeColor="text1"/>
          <w:sz w:val="52"/>
          <w:szCs w:val="52"/>
          <w:highlight w:val="none"/>
          <w:lang w:eastAsia="zh-CN"/>
          <w14:textFill>
            <w14:solidFill>
              <w14:schemeClr w14:val="tx1"/>
            </w14:solidFill>
          </w14:textFill>
        </w:rPr>
      </w:pPr>
      <w:r>
        <w:rPr>
          <w:rFonts w:ascii="黑体" w:hAnsi="黑体" w:eastAsia="黑体"/>
          <w:color w:val="000000" w:themeColor="text1"/>
          <w:sz w:val="52"/>
          <w:szCs w:val="52"/>
          <w:highlight w:val="none"/>
          <w:lang w:eastAsia="zh-CN"/>
          <w14:textFill>
            <w14:solidFill>
              <w14:schemeClr w14:val="tx1"/>
            </w14:solidFill>
          </w14:textFill>
        </w:rPr>
      </w:r>
      <w:r/>
    </w:p>
    <w:p>
      <w:pPr>
        <w:jc w:val="center"/>
        <w:rPr>
          <w:rFonts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 xml:space="preserve">（服务类）</w:t>
      </w:r>
      <w:r/>
    </w:p>
    <w:p>
      <w:pPr>
        <w:ind w:left="698"/>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r>
      <w:r/>
    </w:p>
    <w:p>
      <w:pPr>
        <w:ind w:left="698"/>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r>
      <w:r/>
    </w:p>
    <w:p>
      <w:pPr>
        <w:ind w:left="698"/>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r>
      <w:r/>
    </w:p>
    <w:p>
      <w:pPr>
        <w:ind w:left="698"/>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r>
      <w:r/>
    </w:p>
    <w:p>
      <w:pPr>
        <w:ind w:left="698"/>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r>
      <w:r/>
    </w:p>
    <w:p>
      <w:pPr>
        <w:ind w:left="698"/>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r>
      <w:r/>
    </w:p>
    <w:p>
      <w:pPr>
        <w:ind w:firstLine="1405"/>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t xml:space="preserve">项目编号：</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JSZC-320115-NJMT-C2026-0007</w:t>
      </w:r>
      <w:r/>
    </w:p>
    <w:p>
      <w:pPr>
        <w:ind w:firstLine="1405"/>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项目名称：滨江派出所食堂外包项目</w:t>
      </w:r>
      <w:r/>
    </w:p>
    <w:p>
      <w:pPr>
        <w:ind w:firstLine="1405"/>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采 购 人：南京江宁滨江经济开发区管理委员会</w:t>
      </w:r>
      <w:r/>
    </w:p>
    <w:p>
      <w:pPr>
        <w:ind w:firstLine="1405"/>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采购代理机构：南京麻田工程咨询有限公司</w:t>
      </w:r>
      <w:r/>
    </w:p>
    <w:p>
      <w:pPr>
        <w:spacing w:line="360" w:lineRule="auto"/>
        <w:rPr>
          <w:rFonts w:ascii="宋体" w:hAnsi="宋体" w:eastAsia="宋体" w:cs="宋体"/>
          <w:color w:val="000000" w:themeColor="text1"/>
          <w:sz w:val="32"/>
          <w:szCs w:val="32"/>
          <w:highlight w:val="none"/>
          <w:lang w:eastAsia="zh-CN"/>
          <w14:textFill>
            <w14:solidFill>
              <w14:schemeClr w14:val="tx1"/>
            </w14:solidFill>
          </w14:textFill>
        </w:rPr>
      </w:pPr>
      <w:r>
        <w:rPr>
          <w:rFonts w:ascii="宋体" w:hAnsi="宋体" w:eastAsia="宋体" w:cs="宋体"/>
          <w:color w:val="000000" w:themeColor="text1"/>
          <w:sz w:val="32"/>
          <w:szCs w:val="32"/>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jc w:val="center"/>
        <w:spacing w:line="360" w:lineRule="auto"/>
        <w:rPr>
          <w:rFonts w:ascii="黑体" w:hAnsi="黑体" w:eastAsia="黑体" w:cs="黑体"/>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二○二</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年</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月</w:t>
      </w:r>
      <w:r/>
    </w:p>
    <w:p>
      <w:pPr>
        <w:jc w:val="center"/>
        <w:spacing w:line="357" w:lineRule="auto"/>
        <w:rPr>
          <w:rFonts w:ascii="黑体" w:hAnsi="黑体" w:eastAsia="黑体" w:cs="黑体"/>
          <w:color w:val="000000" w:themeColor="text1"/>
          <w:sz w:val="36"/>
          <w:szCs w:val="36"/>
          <w:highlight w:val="none"/>
          <w:lang w:eastAsia="zh-CN"/>
          <w14:textFill>
            <w14:solidFill>
              <w14:schemeClr w14:val="tx1"/>
            </w14:solidFill>
          </w14:textFill>
        </w:rPr>
      </w:pPr>
      <w:r>
        <w:rPr>
          <w:rFonts w:ascii="黑体" w:hAnsi="黑体" w:eastAsia="黑体" w:cs="黑体"/>
          <w:color w:val="000000" w:themeColor="text1"/>
          <w:sz w:val="36"/>
          <w:szCs w:val="36"/>
          <w:highlight w:val="none"/>
          <w:lang w:eastAsia="zh-CN"/>
          <w14:textFill>
            <w14:solidFill>
              <w14:schemeClr w14:val="tx1"/>
            </w14:solidFill>
          </w14:textFill>
        </w:rPr>
        <w:br w:type="page" w:clear="all"/>
      </w:r>
      <w:bookmarkStart w:id="0" w:name="_bookmark0"/>
      <w:r/>
      <w:bookmarkEnd w:id="0"/>
      <w:r/>
      <w:bookmarkStart w:id="1" w:name="第一章__竞争性磋商邀请"/>
      <w:r/>
      <w:bookmarkEnd w:id="1"/>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目  录</w:t>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rFonts w:hint="eastAsia" w:cs="宋体"/>
          <w:b w:val="0"/>
          <w:bCs w:val="0"/>
          <w:color w:val="000000" w:themeColor="text1"/>
          <w:highlight w:val="none"/>
          <w14:textFill>
            <w14:solidFill>
              <w14:schemeClr w14:val="tx1"/>
            </w14:solidFill>
          </w14:textFill>
        </w:rPr>
        <w:fldChar w:fldCharType="begin"/>
      </w:r>
      <w:r>
        <w:rPr>
          <w:rFonts w:hint="eastAsia" w:cs="宋体"/>
          <w:b w:val="0"/>
          <w:bCs w:val="0"/>
          <w:color w:val="000000" w:themeColor="text1"/>
          <w:highlight w:val="none"/>
          <w14:textFill>
            <w14:solidFill>
              <w14:schemeClr w14:val="tx1"/>
            </w14:solidFill>
          </w14:textFill>
        </w:rPr>
        <w:instrText xml:space="preserve">TOC \o "1-1" \h \u </w:instrText>
      </w:r>
      <w:r>
        <w:rPr>
          <w:rFonts w:hint="eastAsia" w:cs="宋体"/>
          <w:b w:val="0"/>
          <w:bCs w:val="0"/>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"_Toc183610245"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第一章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竞争性磋商公告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"_Toc183610246"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第二章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"_Toc183610247"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第三章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成交标准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"_Toc183610248"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val="zh-CN" w:eastAsia="zh-CN"/>
          <w14:textFill>
            <w14:solidFill>
              <w14:schemeClr w14:val="tx1"/>
            </w14:solidFill>
          </w14:textFill>
        </w:rPr>
        <w:t xml:space="preserve">第四章</w:t>
      </w:r>
      <w:r>
        <w:rPr>
          <w:rStyle w:val="685"/>
          <w:rFonts w:cs="宋体"/>
          <w:color w:val="000000" w:themeColor="text1"/>
          <w:highlight w:val="none"/>
          <w:lang w:val="zh-CN" w:eastAsia="zh-CN"/>
          <w14:textFill>
            <w14:solidFill>
              <w14:schemeClr w14:val="tx1"/>
            </w14:solidFill>
          </w14:textFill>
        </w:rPr>
        <w:t xml:space="preserve"> </w:t>
      </w:r>
      <w:r>
        <w:rPr>
          <w:rStyle w:val="685"/>
          <w:rFonts w:hint="eastAsia" w:cs="宋体"/>
          <w:color w:val="000000" w:themeColor="text1"/>
          <w:highlight w:val="none"/>
          <w:lang w:val="zh-CN" w:eastAsia="zh-CN"/>
          <w14:textFill>
            <w14:solidFill>
              <w14:schemeClr w14:val="tx1"/>
            </w14:solidFill>
          </w14:textFill>
        </w:rPr>
        <w:t xml:space="preserve">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"_Toc183610249"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val="zh-CN" w:eastAsia="zh-CN"/>
          <w14:textFill>
            <w14:solidFill>
              <w14:schemeClr w14:val="tx1"/>
            </w14:solidFill>
          </w14:textFill>
        </w:rPr>
        <w:t xml:space="preserve">第五章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val="zh-CN" w:eastAsia="zh-CN"/>
          <w14:textFill>
            <w14:solidFill>
              <w14:schemeClr w14:val="tx1"/>
            </w14:solidFill>
          </w14:textFill>
        </w:rPr>
        <w:t xml:space="preserve">合同草案条款及格式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"_Toc183610250"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第六章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end"/>
      </w:r>
      <w:r/>
    </w:p>
    <w:p>
      <w:pPr>
        <w:jc w:val="center"/>
        <w:spacing w:line="360" w:lineRule="auto"/>
        <w:tabs>
          <w:tab w:val="left" w:pos="4171" w:leader="none"/>
        </w:tabs>
        <w:rPr>
          <w:rFonts w:ascii="宋体" w:hAnsi="宋体" w:eastAsia="宋体" w:cs="宋体"/>
          <w:b/>
          <w:bCs/>
          <w:color w:val="000000" w:themeColor="text1"/>
          <w:sz w:val="28"/>
          <w:szCs w:val="28"/>
          <w:highlight w:val="none"/>
          <w:lang w:eastAsia="zh-CN"/>
          <w14:textFill>
            <w14:solidFill>
              <w14:schemeClr w14:val="tx1"/>
            </w14:solidFill>
          </w14:textFill>
        </w:rPr>
        <w:outlineLvl w:val="0"/>
      </w:pPr>
      <w:r/>
      <w:bookmarkStart w:id="2" w:name="_Toc183610245"/>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第一章 竞争性磋商公告</w:t>
      </w:r>
      <w:bookmarkEnd w:id="2"/>
      <w:r/>
      <w:r/>
    </w:p>
    <w:p>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bookmarkStart w:id="3" w:name="_Toc35393798"/>
      <w:r/>
      <w:bookmarkStart w:id="4" w:name="_Toc35393629"/>
      <w:r/>
      <w:bookmarkStart w:id="5" w:name="_Toc28359012"/>
      <w:r/>
      <w:bookmarkStart w:id="6" w:name="_Toc28359089"/>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项目概况</w:t>
      </w:r>
      <w:r/>
    </w:p>
    <w:p>
      <w:pPr>
        <w:ind w:firstLine="422"/>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eastAsia="宋体" w:cs="宋体"/>
          <w:color w:val="000000" w:themeColor="text1"/>
          <w:sz w:val="21"/>
          <w:szCs w:val="21"/>
          <w:highlight w:val="none"/>
          <w:u w:val="single"/>
          <w:lang w:eastAsia="zh-CN"/>
          <w14:textFill>
            <w14:solidFill>
              <w14:schemeClr w14:val="tx1"/>
            </w14:solidFill>
          </w14:textFill>
        </w:rPr>
        <w:t xml:space="preserve">滨江派出所食堂外包项目  JSZC-320115-NJMT-C2026-0007 </w:t>
      </w:r>
      <w:r>
        <w:rPr>
          <w:rFonts w:hint="eastAsia" w:eastAsia="宋体" w:cs="宋体"/>
          <w:color w:val="000000" w:themeColor="text1"/>
          <w:sz w:val="21"/>
          <w:szCs w:val="21"/>
          <w:highlight w:val="none"/>
          <w:lang w:eastAsia="zh-CN"/>
          <w14:textFill>
            <w14:solidFill>
              <w14:schemeClr w14:val="tx1"/>
            </w14:solidFill>
          </w14:textFill>
        </w:rPr>
        <w:t xml:space="preserve">采购项目的潜在供应商应在</w:t>
      </w:r>
      <w:r>
        <w:rPr>
          <w:rFonts w:hint="eastAsia" w:eastAsia="宋体" w:cs="宋体"/>
          <w:color w:val="000000" w:themeColor="text1"/>
          <w:sz w:val="21"/>
          <w:szCs w:val="21"/>
          <w:highlight w:val="none"/>
          <w:u w:val="single"/>
          <w:lang w:eastAsia="zh-CN"/>
          <w14:textFill>
            <w14:solidFill>
              <w14:schemeClr w14:val="tx1"/>
            </w14:solidFill>
          </w14:textFill>
        </w:rPr>
        <w:t xml:space="preserve">“苏采云”政府采购交易系统</w:t>
      </w:r>
      <w:r>
        <w:rPr>
          <w:rFonts w:hint="eastAsia" w:eastAsia="宋体" w:cs="宋体"/>
          <w:color w:val="000000" w:themeColor="text1"/>
          <w:sz w:val="21"/>
          <w:szCs w:val="21"/>
          <w:highlight w:val="none"/>
          <w:lang w:eastAsia="zh-CN"/>
          <w14:textFill>
            <w14:solidFill>
              <w14:schemeClr w14:val="tx1"/>
            </w14:solidFill>
          </w14:textFill>
        </w:rPr>
        <w:t xml:space="preserve">获取采购文件，并于</w:t>
      </w:r>
      <w:r>
        <w:rPr>
          <w:rFonts w:hint="eastAsia" w:eastAsia="宋体" w:cs="宋体"/>
          <w:color w:val="000000" w:themeColor="text1"/>
          <w:sz w:val="21"/>
          <w:szCs w:val="21"/>
          <w:highlight w:val="none"/>
          <w:u w:val="single"/>
          <w:lang w:eastAsia="zh-CN"/>
          <w14:textFill>
            <w14:solidFill>
              <w14:schemeClr w14:val="tx1"/>
            </w14:solidFill>
          </w14:textFill>
        </w:rPr>
        <w:t xml:space="preserve">202</w:t>
      </w:r>
      <w:r>
        <w:rPr>
          <w:rFonts w:hint="eastAsia" w:eastAsia="宋体" w:cs="宋体"/>
          <w:color w:val="000000" w:themeColor="text1"/>
          <w:sz w:val="21"/>
          <w:szCs w:val="21"/>
          <w:highlight w:val="none"/>
          <w:u w:val="single"/>
          <w:lang w:val="en-US" w:eastAsia="zh-CN"/>
          <w14:textFill>
            <w14:solidFill>
              <w14:schemeClr w14:val="tx1"/>
            </w14:solidFill>
          </w14:textFill>
        </w:rPr>
        <w:t xml:space="preserve">6</w:t>
      </w:r>
      <w:r>
        <w:rPr>
          <w:rFonts w:hint="eastAsia" w:eastAsia="宋体" w:cs="宋体"/>
          <w:color w:val="000000" w:themeColor="text1"/>
          <w:sz w:val="21"/>
          <w:szCs w:val="21"/>
          <w:highlight w:val="none"/>
          <w:u w:val="single"/>
          <w:lang w:eastAsia="zh-CN"/>
          <w14:textFill>
            <w14:solidFill>
              <w14:schemeClr w14:val="tx1"/>
            </w14:solidFill>
          </w14:textFill>
        </w:rPr>
        <w:t xml:space="preserve">-</w:t>
      </w:r>
      <w:r>
        <w:rPr>
          <w:rFonts w:hint="eastAsia" w:eastAsia="宋体" w:cs="宋体"/>
          <w:color w:val="000000" w:themeColor="text1"/>
          <w:sz w:val="21"/>
          <w:szCs w:val="21"/>
          <w:highlight w:val="none"/>
          <w:u w:val="single"/>
          <w:lang w:val="en-US" w:eastAsia="zh-CN"/>
          <w14:textFill>
            <w14:solidFill>
              <w14:schemeClr w14:val="tx1"/>
            </w14:solidFill>
          </w14:textFill>
        </w:rPr>
        <w:t xml:space="preserve">7</w:t>
      </w:r>
      <w:r>
        <w:rPr>
          <w:rFonts w:hint="eastAsia" w:eastAsia="宋体" w:cs="宋体"/>
          <w:color w:val="000000" w:themeColor="text1"/>
          <w:sz w:val="21"/>
          <w:szCs w:val="21"/>
          <w:highlight w:val="none"/>
          <w:u w:val="single"/>
          <w:lang w:eastAsia="zh-CN"/>
          <w14:textFill>
            <w14:solidFill>
              <w14:schemeClr w14:val="tx1"/>
            </w14:solidFill>
          </w14:textFill>
        </w:rPr>
        <w:t xml:space="preserve">-</w:t>
      </w:r>
      <w:r>
        <w:rPr>
          <w:rFonts w:hint="eastAsia" w:eastAsia="宋体" w:cs="宋体"/>
          <w:color w:val="000000" w:themeColor="text1"/>
          <w:sz w:val="21"/>
          <w:szCs w:val="21"/>
          <w:highlight w:val="none"/>
          <w:u w:val="single"/>
          <w:lang w:val="en-US" w:eastAsia="zh-CN"/>
          <w14:textFill>
            <w14:solidFill>
              <w14:schemeClr w14:val="tx1"/>
            </w14:solidFill>
          </w14:textFill>
        </w:rPr>
        <w:t xml:space="preserve">27</w:t>
      </w:r>
      <w:r>
        <w:rPr>
          <w:rFonts w:hint="eastAsia" w:eastAsia="宋体" w:cs="宋体"/>
          <w:color w:val="000000" w:themeColor="text1"/>
          <w:sz w:val="21"/>
          <w:szCs w:val="21"/>
          <w:highlight w:val="none"/>
          <w:u w:val="single"/>
          <w:lang w:eastAsia="zh-CN"/>
          <w14:textFill>
            <w14:solidFill>
              <w14:schemeClr w14:val="tx1"/>
            </w14:solidFill>
          </w14:textFill>
        </w:rPr>
        <w:t xml:space="preserve">  14：30</w:t>
      </w:r>
      <w:r>
        <w:rPr>
          <w:rFonts w:hint="eastAsia" w:eastAsia="宋体" w:cs="宋体"/>
          <w:color w:val="000000" w:themeColor="text1"/>
          <w:sz w:val="21"/>
          <w:szCs w:val="21"/>
          <w:highlight w:val="none"/>
          <w:lang w:eastAsia="zh-CN"/>
          <w14:textFill>
            <w14:solidFill>
              <w14:schemeClr w14:val="tx1"/>
            </w14:solidFill>
          </w14:textFill>
        </w:rPr>
        <w:t xml:space="preserve">（北京时间）前提交响应文件。</w:t>
      </w:r>
      <w:r/>
    </w:p>
    <w:p>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一、项目基本情况</w:t>
      </w:r>
      <w:bookmarkEnd w:id="3"/>
      <w:r/>
      <w:bookmarkEnd w:id="4"/>
      <w:r/>
      <w:bookmarkEnd w:id="5"/>
      <w:r/>
      <w:bookmarkEnd w:id="6"/>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项目编号：JSZC-320115-NJMT-C2026-0007</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项目名称：滨江派出所食堂外包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w:t>
      </w:r>
      <w:r/>
    </w:p>
    <w:p>
      <w:pPr>
        <w:ind w:firstLine="420"/>
        <w:spacing w:line="360" w:lineRule="auto"/>
        <w:tabs>
          <w:tab w:val="center" w:pos="4865" w:leader="none"/>
        </w:tabs>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采购方式：竞争性磋商</w:t>
      </w:r>
      <w:r/>
    </w:p>
    <w:p>
      <w:pPr>
        <w:ind w:firstLine="42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.000000万元</w:t>
      </w:r>
      <w:r/>
    </w:p>
    <w:p>
      <w:pPr>
        <w:pStyle w:val="881"/>
        <w:ind w:firstLine="420"/>
        <w:rPr>
          <w:rFonts w:eastAsia="宋体" w:cs="宋体"/>
          <w:color w:val="000000" w:themeColor="text1"/>
          <w:sz w:val="21"/>
          <w:szCs w:val="21"/>
          <w:highlight w:val="none"/>
          <w:lang w:eastAsia="zh-CN"/>
          <w14:textFill>
            <w14:solidFill>
              <w14:schemeClr w14:val="tx1"/>
            </w14:solidFill>
          </w14:textFill>
        </w:rPr>
      </w:pPr>
      <w:r>
        <w:rPr>
          <w:rFonts w:hint="eastAsia" w:eastAsia="宋体" w:cs="宋体"/>
          <w:color w:val="000000" w:themeColor="text1"/>
          <w:sz w:val="21"/>
          <w:szCs w:val="21"/>
          <w:highlight w:val="none"/>
          <w:lang w:eastAsia="zh-CN"/>
          <w14:textFill>
            <w14:solidFill>
              <w14:schemeClr w14:val="tx1"/>
            </w14:solidFill>
          </w14:textFill>
        </w:rPr>
        <w:t xml:space="preserve">最高限价（如有）：</w:t>
      </w:r>
      <w:r>
        <w:rPr>
          <w:rFonts w:hint="eastAsia" w:eastAsia="宋体" w:cs="宋体"/>
          <w:color w:val="000000" w:themeColor="text1"/>
          <w:sz w:val="21"/>
          <w:szCs w:val="21"/>
          <w:highlight w:val="none"/>
          <w:lang w:val="en-US" w:eastAsia="zh-CN"/>
          <w14:textFill>
            <w14:solidFill>
              <w14:schemeClr w14:val="tx1"/>
            </w14:solidFill>
          </w14:textFill>
        </w:rPr>
        <w:t xml:space="preserve">253.736906</w:t>
      </w:r>
      <w:r>
        <w:rPr>
          <w:rFonts w:hint="eastAsia" w:eastAsia="宋体" w:cs="宋体"/>
          <w:color w:val="000000" w:themeColor="text1"/>
          <w:sz w:val="21"/>
          <w:szCs w:val="21"/>
          <w:highlight w:val="none"/>
          <w:lang w:eastAsia="zh-CN"/>
          <w14:textFill>
            <w14:solidFill>
              <w14:schemeClr w14:val="tx1"/>
            </w14:solidFill>
          </w14:textFill>
        </w:rPr>
        <w:t xml:space="preserve">万元，超过最高限价的作无效投标处理。</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采购需求：滨江派出所食堂外包项目，具体详见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清单。</w:t>
      </w:r>
      <w:r/>
    </w:p>
    <w:p>
      <w:pPr>
        <w:ind w:firstLine="420"/>
        <w:spacing w:line="360" w:lineRule="auto"/>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合同履行期限：</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一年</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本项目（是/否）接受联合体：否。</w:t>
      </w:r>
      <w:r/>
    </w:p>
    <w:p>
      <w:pPr>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二、申请人的资格要求：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（一）满足《中华人民共和国政府采购法》第二十二条规定：</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1.具有独立承担民事责任的能力（提供法人或者其他组织的营业执照等证明材料，自然人的身份证明）；</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2.具有良好的商业信誉和健全的财务会计制度（提供参加本次政府采购活动前的会计报表或经审计的财务报告，成立不满一年无需提供）；</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3.具有履行合同所必需的设备和专业技术能力（根据项目需求提供履行合同所必需的设备和专业技术能力的声明）；</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4.有依法缴纳税收和社会保障资金的良好记录（提供本次政府采购活动前六个月内中任一月份的依法缴纳税收和社会保障资金的相关材料）；</w:t>
      </w:r>
      <w:r/>
    </w:p>
    <w:p>
      <w:pPr>
        <w:ind w:firstLine="420"/>
        <w:spacing w:line="360"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6.符合法律、行政法规规定的其他条件。</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（二） 落实政府采购政策需满足的资格条件：</w:t>
      </w:r>
      <w:r/>
    </w:p>
    <w:p>
      <w:pPr>
        <w:pStyle w:val="676"/>
        <w:ind w:left="0" w:firstLine="422"/>
        <w:spacing w:before="0" w:line="360" w:lineRule="auto"/>
        <w:rPr>
          <w:rFonts w:cs="宋体"/>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4"/>
          <w:szCs w:val="24"/>
          <w:highlight w:val="none"/>
          <w:lang w:val="zh-CN"/>
          <w14:textFill>
            <w14:solidFill>
              <w14:schemeClr w14:val="tx1"/>
            </w14:solidFill>
          </w14:textFill>
        </w:rPr>
        <w:t xml:space="preserve">本项目专门面向中小微企业采购，供应商应为中小微企业或监狱企业或残疾人福利性单位。</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（三） 本项目的特定资格要求：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1.供应商须具备有效的《食品经营许可证》（提供证书复印件加盖公章）</w:t>
      </w:r>
      <w:r/>
    </w:p>
    <w:p>
      <w:pPr>
        <w:ind w:firstLine="236"/>
        <w:spacing w:line="360" w:lineRule="auto"/>
        <w:widowControl/>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（四）拒绝下述供应商参加本次采购活动：</w:t>
      </w:r>
      <w:r>
        <w:rPr>
          <w:rFonts w:hint="eastAsia" w:ascii="宋体" w:hAnsi="宋体" w:cs="宋体"/>
          <w:b/>
          <w:bCs/>
          <w:color w:val="000000" w:themeColor="text1"/>
          <w:sz w:val="24"/>
          <w:highlight w:val="none"/>
          <w:lang w:eastAsia="zh-CN"/>
          <w14:textFill>
            <w14:solidFill>
              <w14:schemeClr w14:val="tx1"/>
            </w14:solidFill>
          </w14:textFill>
        </w:rPr>
        <w:t xml:space="preserve"> </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1.供应商单位负责人为同一人或者存在直接控股、管理关系的不同供应商，不得参加同一合同项下的政府采购活动。 </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2.凡为采购项目提供整体设计、规范编制或者项目管理、监理、检测等服务的供应商，不得再参加本项目的采购活动。 </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3.供应商被</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信用中国</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网站、</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中国政府采购网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列入失信被执行人、重大税收违法案件当事人名单、政府采购严重违法失信行为记录名单。</w:t>
      </w:r>
      <w:r/>
    </w:p>
    <w:p>
      <w:pPr>
        <w:ind w:firstLine="236"/>
        <w:spacing w:line="440" w:lineRule="exact"/>
        <w:widowControl/>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（五）供应商诚信档案注册登记</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南京公共采购信息网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首页 （https://njgc.jfh.com/）</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南京市政府采购供应商诚信档案</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系统链接打开系统页面（http://180.101.238.212:8280/hodeframe2018_cxda/index.action;jsessionid=769BA9C8E1729422E7173B991C8EC1E5）登录（未注册的供应商应先点击</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供应商注册点这里</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并按要求完成注册），然后在</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信用记录</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模块页面点击</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信用记录打印</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下载本单位《南京市政府采购供应商信用记录表暨信用承诺书》，由</w:t>
      </w:r>
      <w:r>
        <w:rPr>
          <w:rFonts w:hint="eastAsia" w:ascii="宋体" w:hAnsi="宋体" w:eastAsia="宋体" w:cs="宋体"/>
          <w:b/>
          <w:color w:val="000000" w:themeColor="text1"/>
          <w:sz w:val="24"/>
          <w:highlight w:val="none"/>
          <w:lang w:eastAsia="zh-CN"/>
          <w14:textFill>
            <w14:solidFill>
              <w14:schemeClr w14:val="tx1"/>
            </w14:solidFill>
          </w14:textFill>
        </w:rPr>
        <w:t xml:space="preserve">法人签字并盖单位公章</w:t>
      </w:r>
      <w:r>
        <w:rPr>
          <w:rFonts w:hint="eastAsia" w:ascii="宋体" w:hAnsi="宋体" w:eastAsia="宋体" w:cs="宋体"/>
          <w:color w:val="000000" w:themeColor="text1"/>
          <w:sz w:val="24"/>
          <w:highlight w:val="none"/>
          <w:lang w:eastAsia="zh-CN"/>
          <w14:textFill>
            <w14:solidFill>
              <w14:schemeClr w14:val="tx1"/>
            </w14:solidFill>
          </w14:textFill>
        </w:rPr>
        <w:t xml:space="preserve">，随响应文件一并递交。</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打印时间为本竞争性磋商公告发布之日起至递交响应文件截止日前，未按上述要求提供信用记录表的，响应文件可能被拒绝接收。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在政府采购资格审查环节，供应商只需提供书面《南京市政府采购供应商信用记录表暨信用承诺书》，即可替代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供应商涉及以下情形的，不适用信用承诺：</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（1）供应商被列入严重失信主体名单；</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（2）被相关监管部门作出行政处罚且尚在处罚有效期内；</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（3）其他法律、行政法规规定的不适用信用承诺的情形。</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供应商对信用承诺内容的真实性、合法性、有效性负责。如作出虚假信用承诺，视同为</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提供虚假材料谋取中标、成交</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的违法行为。</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三、获取采购文件</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时间：自磋商文件公告发布之日起5个工作日；</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地点：“苏采云”政府采购交易系统</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售价：0.00元。</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四、响应文件提交</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截止时间：202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14:30（北京时间）。</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五、开启</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时间：202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14:30（北京时间）；</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六、公告期限</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自本公告发布之日起3个工作日。</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七、其他补充事宜</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1.有关本次招标的事项若存在变动或修改，敬请及时关注“江苏政府采购网”、“</w:t>
      </w:r>
      <w:r>
        <w:rPr>
          <w:rFonts w:ascii="宋体" w:hAnsi="宋体" w:eastAsia="宋体" w:cs="宋体"/>
          <w:color w:val="000000" w:themeColor="text1"/>
          <w:sz w:val="21"/>
          <w:szCs w:val="21"/>
          <w:highlight w:val="none"/>
          <w:lang w:eastAsia="zh-CN"/>
          <w14:textFill>
            <w14:solidFill>
              <w14:schemeClr w14:val="tx1"/>
            </w14:solidFill>
          </w14:textFill>
        </w:rPr>
        <w:t xml:space="preserve">南京公共采购信息网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”发布的信息更正公告。</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 “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3.供应商按《苏采云系统供应商操作手册》要求进行注册，并制作上传电子投标文件（“苏采云”南京地区客服热线025-83633744、025-83633743）。江苏省政府采购管理交易系统供应商操作指南，下载地址：</w:t>
      </w:r>
      <w:r/>
    </w:p>
    <w:p>
      <w:pPr>
        <w:ind w:firstLine="420"/>
        <w:spacing w:line="440" w:lineRule="exac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http://www.ccgp-jiangsu.gov.cn/jiangsu/zlxz/ee/ee3a4bc5a3454aa2b0d9312230633ce9.html</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八、凡对本次采购提出询问，请按以下方式联系</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1.采购人信息</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采购包1</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称：南京江宁滨江经济开发区管理委员会</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址：江宁区滨江开发区天成路18号</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 人：崔涛</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联系电话：/</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2.采购代理机构信息（如有）</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称：南京麻田工程咨询有限公司</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w:t>
      </w:r>
      <w:bookmarkStart w:id="195" w:name="_GoBack"/>
      <w:r/>
      <w:bookmarkEnd w:id="195"/>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南京市江宁区淳化街道雁冲路68号院内9号楼1楼</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 人：张工</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联系电话：025-52730710</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3.项目联系方式</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项目联系人：张工</w:t>
      </w:r>
      <w:r/>
    </w:p>
    <w:p>
      <w:pPr>
        <w:ind w:firstLine="420"/>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      话：025-52730710</w:t>
      </w:r>
      <w:r/>
    </w:p>
    <w:p>
      <w:pPr>
        <w:pStyle w:val="691"/>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pStyle w:val="691"/>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jc w:val="center"/>
        <w:spacing w:line="360" w:lineRule="auto"/>
        <w:shd w:val="clear" w:color="auto" w:fill="ffffff"/>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bookmarkStart w:id="7" w:name="_bookmark2"/>
      <w:r/>
      <w:bookmarkEnd w:id="7"/>
      <w:r/>
      <w:bookmarkStart w:id="8" w:name="一、总____则"/>
      <w:r/>
      <w:bookmarkEnd w:id="8"/>
      <w:r/>
      <w:bookmarkStart w:id="9" w:name="_Toc120614211"/>
      <w:r/>
      <w:bookmarkStart w:id="10" w:name="_Toc183610246"/>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第二章</w:t>
      </w:r>
      <w:bookmarkEnd w:id="9"/>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供应商须知</w:t>
      </w:r>
      <w:bookmarkEnd w:id="10"/>
      <w:r/>
      <w:r/>
    </w:p>
    <w:p>
      <w:pPr>
        <w:jc w:val="both"/>
        <w:spacing w:line="360" w:lineRule="auto"/>
        <w:shd w:val="clear" w:color="auto" w:fill="ffffff"/>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bCs/>
          <w:color w:val="000000" w:themeColor="text1"/>
          <w:sz w:val="28"/>
          <w:szCs w:val="28"/>
          <w:highlight w:val="none"/>
          <w:lang w:eastAsia="zh-CN"/>
          <w14:textFill>
            <w14:solidFill>
              <w14:schemeClr w14:val="tx1"/>
            </w14:solidFill>
          </w14:textFill>
        </w:rPr>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 w:name="_Toc513029203"/>
      <w:r/>
      <w:bookmarkStart w:id="12" w:name="_Toc120614214"/>
      <w:r/>
      <w:bookmarkStart w:id="13" w:name="_Toc16938519"/>
      <w:r/>
      <w:bookmarkStart w:id="14" w:name="_Toc20823275"/>
      <w:r>
        <w:rPr>
          <w:rFonts w:hint="eastAsia"/>
          <w:b/>
          <w:bCs/>
          <w:color w:val="000000" w:themeColor="text1"/>
          <w:sz w:val="21"/>
          <w:szCs w:val="21"/>
          <w:highlight w:val="none"/>
          <w14:textFill>
            <w14:solidFill>
              <w14:schemeClr w14:val="tx1"/>
            </w14:solidFill>
          </w14:textFill>
        </w:rPr>
        <w:t xml:space="preserve">一、总则</w:t>
      </w:r>
      <w:bookmarkEnd w:id="11"/>
      <w:r/>
      <w:bookmarkEnd w:id="12"/>
      <w:r/>
      <w:bookmarkEnd w:id="13"/>
      <w:r/>
      <w:bookmarkEnd w:id="14"/>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bookmarkStart w:id="15" w:name="_Toc462564067"/>
      <w:r/>
      <w:bookmarkStart w:id="16" w:name="_Toc20823279"/>
      <w:r/>
      <w:bookmarkStart w:id="17" w:name="_Toc513029207"/>
      <w:r/>
      <w:bookmarkStart w:id="18" w:name="_Toc16938523"/>
      <w:r/>
      <w:bookmarkStart w:id="19" w:name="_Hlt16619475"/>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1、适用法律</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《中华人民共和国政府采购法》、《中华人民共和国政府采购法实施条例》、《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政府采购竞争性磋商采购方式管理暂行办法</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有关法律、规章和规定等。</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2、定义</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2.1 “采购人”是指依法进行政府采购的国家机关、事业单位、团体组织。</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2.3 “货物、服务和工程”指本采购文件中所述产品、相关服务以及工程。</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2.4 “用户或使用单位”是指使用服务的单位。</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3、政策功能</w:t>
      </w:r>
      <w:r/>
    </w:p>
    <w:p>
      <w:pPr>
        <w:pStyle w:val="673"/>
        <w:ind w:firstLine="420"/>
        <w:jc w:val="both"/>
        <w:spacing w:before="0" w:beforeAutospacing="0" w:after="0" w:afterAutospacing="0"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本项目专门面向中小微企业采购，供应商应为中小微企业或监狱企业或残疾人福利性单位。</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3.1中小企业政策</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（2）对于专门面向中小企业或小型、微型企业的项目，只面向中小企业或小型、微型企业采购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采购人对小微企业的报价不给予价格扣除。对于非专门面向中小企业的项目，对符合规定的小微企业报价给予10%（工程为5%）的扣除，用扣除后的价格参加评审。</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（3）对于</w:t>
      </w:r>
      <w:r>
        <w:rPr>
          <w:rFonts w:hint="eastAsia" w:ascii="宋体" w:hAnsi="宋体" w:eastAsia="宋体" w:cs="宋体"/>
          <w:color w:val="000000" w:themeColor="text1"/>
          <w:sz w:val="21"/>
          <w:szCs w:val="21"/>
          <w:highlight w:val="none"/>
          <w14:textFill>
            <w14:solidFill>
              <w14:schemeClr w14:val="tx1"/>
            </w14:solidFill>
          </w14:textFill>
        </w:rPr>
        <w:t xml:space="preserve">接受供应商以联合体形式参加采购活动的项目，小型、微型企业联合体应当符合《政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（6）参加政府采购活动的中小企业应当按“关于印发《关于进一步加大政府采购支持中小企业力度的通知》（财库〔2022〕19号）” 规定提供《中小企业声明函》，未提供上述资料的报价，其价格不予扣除。</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22"/>
        <w:spacing w:line="360" w:lineRule="auto"/>
        <w:shd w:val="clear" w:color="auto" w:fill="ffffff"/>
        <w:widowControl/>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3.2</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节能产品、环境标志产品政策</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（1）政府采购节能产品、环境标志产品实施品目清单管理。</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（2）拟采购产品属于节能产品、环境标志产品品目清单规定必须强制采购的，实行强制采购。</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（3）拟采购产品属于节能产品、环境标志产品品目清单规定优先采购的，在性能、技术、服务等指标同等条件下，实行优先采购，优先采购的评审标准详见本招标文件第三章。</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ind w:firstLine="422"/>
        <w:spacing w:line="360" w:lineRule="auto"/>
        <w:shd w:val="clear" w:color="auto" w:fill="ffffff"/>
        <w:widowControl/>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3.3</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进口产品政策</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（1）除在磋商文件另有规定外，不允许进口产品参加。进口产品认定依照《财政部关于政府采购进口产品管理有关问题的通知》（财办库〔2008〕248号）的规定。</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（2）允许进口产品参加的，满足需求的国内产品可以参加。</w:t>
      </w:r>
      <w:r/>
    </w:p>
    <w:p>
      <w:pPr>
        <w:pStyle w:val="673"/>
        <w:ind w:firstLine="420"/>
        <w:jc w:val="both"/>
        <w:keepLines/>
        <w:keepNext/>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4、磋商费用</w:t>
      </w:r>
      <w:bookmarkEnd w:id="15"/>
      <w:r/>
      <w:bookmarkEnd w:id="16"/>
      <w:r/>
      <w:bookmarkEnd w:id="17"/>
      <w:r/>
      <w:bookmarkEnd w:id="18"/>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4.2本次招标代理服务费【按计价格（2002）1980号文件标准80%计算，代理服务费不足3000元的以3000元计,由采购人承担。</w:t>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w:t>
      </w:r>
      <w:r>
        <w:rPr>
          <w:rFonts w:hint="eastAsia"/>
          <w:color w:val="000000" w:themeColor="text1"/>
          <w:sz w:val="21"/>
          <w:szCs w:val="21"/>
          <w:highlight w:val="none"/>
          <w:lang w:val="en-US" w:eastAsia="zh-CN"/>
          <w14:textFill>
            <w14:solidFill>
              <w14:schemeClr w14:val="tx1"/>
            </w14:solidFill>
          </w14:textFill>
        </w:rPr>
        <w:t xml:space="preserve">3</w:t>
      </w:r>
      <w:r>
        <w:rPr>
          <w:rFonts w:hint="eastAsia"/>
          <w:color w:val="000000" w:themeColor="text1"/>
          <w:sz w:val="21"/>
          <w:szCs w:val="21"/>
          <w:highlight w:val="none"/>
          <w14:textFill>
            <w14:solidFill>
              <w14:schemeClr w14:val="tx1"/>
            </w14:solidFill>
          </w14:textFill>
        </w:rPr>
        <w:t xml:space="preserve"> 相关费用</w:t>
      </w:r>
      <w:r>
        <w:rPr>
          <w:rFonts w:hint="eastAsia"/>
          <w:bCs/>
          <w:color w:val="000000" w:themeColor="text1"/>
          <w:sz w:val="21"/>
          <w:szCs w:val="21"/>
          <w:highlight w:val="none"/>
          <w14:textFill>
            <w14:solidFill>
              <w14:schemeClr w14:val="tx1"/>
            </w14:solidFill>
          </w14:textFill>
        </w:rPr>
        <w:t xml:space="preserve">由投标单位自行考虑，后期不纳入与采购人结算中。</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5、磋商文件的约束力</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5.1 供应商一旦参加本项目采购活动，即被认为接受了本磋商文件的规定和约束。</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20" w:name="_Toc16938525"/>
      <w:r/>
      <w:bookmarkStart w:id="21" w:name="_Toc20823281"/>
      <w:r/>
      <w:bookmarkStart w:id="22" w:name="_Toc120614215"/>
      <w:r/>
      <w:bookmarkStart w:id="23" w:name="_Toc513029209"/>
      <w:r>
        <w:rPr>
          <w:rFonts w:hint="eastAsia"/>
          <w:b/>
          <w:bCs/>
          <w:color w:val="000000" w:themeColor="text1"/>
          <w:sz w:val="21"/>
          <w:szCs w:val="21"/>
          <w:highlight w:val="none"/>
          <w14:textFill>
            <w14:solidFill>
              <w14:schemeClr w14:val="tx1"/>
            </w14:solidFill>
          </w14:textFill>
        </w:rPr>
        <w:t xml:space="preserve">二、</w:t>
      </w:r>
      <w:bookmarkEnd w:id="20"/>
      <w:r/>
      <w:bookmarkEnd w:id="21"/>
      <w:r/>
      <w:bookmarkEnd w:id="22"/>
      <w:r/>
      <w:bookmarkEnd w:id="23"/>
      <w:r>
        <w:rPr>
          <w:rFonts w:hint="eastAsia"/>
          <w:b/>
          <w:bCs/>
          <w:color w:val="000000" w:themeColor="text1"/>
          <w:sz w:val="21"/>
          <w:szCs w:val="21"/>
          <w:highlight w:val="none"/>
          <w14:textFill>
            <w14:solidFill>
              <w14:schemeClr w14:val="tx1"/>
            </w14:solidFill>
          </w14:textFill>
        </w:rPr>
        <w:t xml:space="preserve">磋商文件</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24" w:name="_Toc20823282"/>
      <w:r/>
      <w:bookmarkStart w:id="25" w:name="_Toc513029210"/>
      <w:r/>
      <w:bookmarkStart w:id="26" w:name="_Toc16938526"/>
      <w:r>
        <w:rPr>
          <w:rFonts w:hint="eastAsia"/>
          <w:b/>
          <w:bCs/>
          <w:color w:val="000000" w:themeColor="text1"/>
          <w:sz w:val="21"/>
          <w:szCs w:val="21"/>
          <w:highlight w:val="none"/>
          <w14:textFill>
            <w14:solidFill>
              <w14:schemeClr w14:val="tx1"/>
            </w14:solidFill>
          </w14:textFill>
        </w:rPr>
        <w:t xml:space="preserve">6、磋商文件构成</w:t>
      </w:r>
      <w:bookmarkEnd w:id="24"/>
      <w:r/>
      <w:bookmarkEnd w:id="25"/>
      <w:r/>
      <w:bookmarkEnd w:id="26"/>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6.1 磋商文件由以下部分组成：</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（1）竞争性磋商公告</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（2）供应商须知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（3）成交标准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（4）采购需求</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（5）合同草案条款及格式</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（6）响应文件格式</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（7）附件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请仔细检查磋商文件是否齐全，如有缺漏请立即与采购代理机构联系解决。</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27" w:name="_Toc16938527"/>
      <w:r/>
      <w:bookmarkStart w:id="28" w:name="_Toc20823283"/>
      <w:r/>
      <w:bookmarkStart w:id="29" w:name="_Toc513029211"/>
      <w:r/>
      <w:bookmarkStart w:id="30" w:name="_Toc462564070"/>
      <w:r>
        <w:rPr>
          <w:rFonts w:hint="eastAsia"/>
          <w:b/>
          <w:bCs/>
          <w:color w:val="000000" w:themeColor="text1"/>
          <w:sz w:val="21"/>
          <w:szCs w:val="21"/>
          <w:highlight w:val="none"/>
          <w14:textFill>
            <w14:solidFill>
              <w14:schemeClr w14:val="tx1"/>
            </w14:solidFill>
          </w14:textFill>
        </w:rPr>
        <w:t xml:space="preserve">7、磋商文件的澄清</w:t>
      </w:r>
      <w:bookmarkEnd w:id="27"/>
      <w:r/>
      <w:bookmarkEnd w:id="28"/>
      <w:r/>
      <w:bookmarkEnd w:id="29"/>
      <w:r/>
      <w:bookmarkEnd w:id="30"/>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7.1 任何要求对磋商文件进行澄清的供应商，应在磋商截止期5日前按磋商公告中的通讯地址，以书面形式通知采购代理机构。</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31" w:name="_Toc20823284"/>
      <w:r/>
      <w:bookmarkStart w:id="32" w:name="_Toc513029212"/>
      <w:r/>
      <w:bookmarkStart w:id="33" w:name="_Toc16938528"/>
      <w:r/>
      <w:bookmarkStart w:id="34" w:name="_Toc462564071"/>
      <w:r>
        <w:rPr>
          <w:rFonts w:hint="eastAsia"/>
          <w:b/>
          <w:bCs/>
          <w:color w:val="000000" w:themeColor="text1"/>
          <w:sz w:val="21"/>
          <w:szCs w:val="21"/>
          <w:highlight w:val="none"/>
          <w14:textFill>
            <w14:solidFill>
              <w14:schemeClr w14:val="tx1"/>
            </w14:solidFill>
          </w14:textFill>
        </w:rPr>
        <w:t xml:space="preserve">8、磋商文件的澄清和修改</w:t>
      </w:r>
      <w:bookmarkEnd w:id="31"/>
      <w:r/>
      <w:bookmarkEnd w:id="32"/>
      <w:r/>
      <w:bookmarkEnd w:id="33"/>
      <w:r/>
      <w:bookmarkEnd w:id="34"/>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8.2 采购代理机构可以视采购项目的具体情况，组织供应商进行现场考察或召开磋商前答疑会，但不单独或分别组织只有一个供应商参加的现场考察和答疑会。</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35" w:name="_Toc120614216"/>
      <w:r/>
      <w:bookmarkStart w:id="36" w:name="_Toc462564072"/>
      <w:r/>
      <w:bookmarkStart w:id="37" w:name="_Toc16938529"/>
      <w:r/>
      <w:bookmarkStart w:id="38" w:name="_Toc20823285"/>
      <w:r/>
      <w:bookmarkStart w:id="39" w:name="_Toc513029213"/>
      <w:r>
        <w:rPr>
          <w:rFonts w:hint="eastAsia"/>
          <w:b/>
          <w:bCs/>
          <w:color w:val="000000" w:themeColor="text1"/>
          <w:sz w:val="21"/>
          <w:szCs w:val="21"/>
          <w:highlight w:val="none"/>
          <w14:textFill>
            <w14:solidFill>
              <w14:schemeClr w14:val="tx1"/>
            </w14:solidFill>
          </w14:textFill>
        </w:rPr>
        <w:t xml:space="preserve">三、响应文件的编制</w:t>
      </w:r>
      <w:bookmarkEnd w:id="35"/>
      <w:r/>
      <w:bookmarkEnd w:id="36"/>
      <w:r/>
      <w:bookmarkEnd w:id="37"/>
      <w:r/>
      <w:bookmarkEnd w:id="38"/>
      <w:r/>
      <w:bookmarkEnd w:id="39"/>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40" w:name="_Toc20823286"/>
      <w:r/>
      <w:bookmarkStart w:id="41" w:name="_Toc513029214"/>
      <w:r/>
      <w:bookmarkStart w:id="42" w:name="_Toc462564073"/>
      <w:r/>
      <w:bookmarkStart w:id="43" w:name="_Toc16938530"/>
      <w:r>
        <w:rPr>
          <w:rFonts w:hint="eastAsia"/>
          <w:b/>
          <w:bCs/>
          <w:color w:val="000000" w:themeColor="text1"/>
          <w:sz w:val="21"/>
          <w:szCs w:val="21"/>
          <w:highlight w:val="none"/>
          <w14:textFill>
            <w14:solidFill>
              <w14:schemeClr w14:val="tx1"/>
            </w14:solidFill>
          </w14:textFill>
        </w:rPr>
        <w:t xml:space="preserve">9、</w:t>
      </w:r>
      <w:bookmarkEnd w:id="40"/>
      <w:r/>
      <w:bookmarkEnd w:id="41"/>
      <w:r/>
      <w:bookmarkEnd w:id="42"/>
      <w:r/>
      <w:bookmarkEnd w:id="43"/>
      <w:r>
        <w:rPr>
          <w:rFonts w:hint="eastAsia"/>
          <w:b/>
          <w:bCs/>
          <w:color w:val="000000" w:themeColor="text1"/>
          <w:sz w:val="21"/>
          <w:szCs w:val="21"/>
          <w:highlight w:val="none"/>
          <w14:textFill>
            <w14:solidFill>
              <w14:schemeClr w14:val="tx1"/>
            </w14:solidFill>
          </w14:textFill>
        </w:rPr>
        <w:t xml:space="preserve">响应文件的语言、计量单位、货币和编制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9.2 供应商所使用的计量单位应为国家法定计量单位。</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9.3 供应商应用人民币报价。报价产品如果是进口产品的，应提供人民币与外币之间的汇率；报价单位为“元”。</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9.4 磋商响应文件应字迹清楚、内容齐全、不得涂改。如有修改，修改处须有供应商公章或投标专用章和法定代表人或其授权磋商代表签字。</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9.5 供应商应在磋商响应文件中写清相应的项目编号、项目名称、供应商全称、地址、电话、传真等。</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44" w:name="_Toc462564074"/>
      <w:r/>
      <w:bookmarkStart w:id="45" w:name="_Toc16938531"/>
      <w:r/>
      <w:bookmarkStart w:id="46" w:name="_Toc20823287"/>
      <w:r/>
      <w:bookmarkStart w:id="47" w:name="_Toc513029215"/>
      <w:r>
        <w:rPr>
          <w:rFonts w:hint="eastAsia"/>
          <w:b/>
          <w:bCs/>
          <w:color w:val="000000" w:themeColor="text1"/>
          <w:sz w:val="21"/>
          <w:szCs w:val="21"/>
          <w:highlight w:val="none"/>
          <w14:textFill>
            <w14:solidFill>
              <w14:schemeClr w14:val="tx1"/>
            </w14:solidFill>
          </w14:textFill>
        </w:rPr>
        <w:t xml:space="preserve">10、响应文件构成</w:t>
      </w:r>
      <w:bookmarkEnd w:id="44"/>
      <w:r/>
      <w:bookmarkEnd w:id="45"/>
      <w:r/>
      <w:bookmarkEnd w:id="46"/>
      <w:r/>
      <w:bookmarkEnd w:id="47"/>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供应商应当根据竞争性磋商文件要求编制磋商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电子</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响应文件，并根据自己的商务能力、技术水平对竞争性磋商文件提出的要求和条件逐条标明是否响应。</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 磋商响应文件由商务部分、技术部分、价格部分，以及其他部分组成。</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10.3 本次采购的最小单位是包。采购项目的技术要求中未分包的，供应商对要求提供的服务不得部分投标；采购项目的技术要求中已经分包的，可以以包为单位投标。</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磋商响应文件的商务部分。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这些文件应能满足竞争性磋商采购的要求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，包括但不限于下列文件，</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其中加★项目不得有缺失或无效</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，否则竞争性磋商小组有权否决供应商的投标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竞争性磋商申请及声明</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法定代表人授权委托书及委托代理人的身份证</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）磋商公告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二（一）</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满足《中华人民共和国政府采购法》第二十二条规定的证明材料；</w:t>
      </w:r>
      <w:r/>
    </w:p>
    <w:p>
      <w:pPr>
        <w:ind w:firstLine="420"/>
        <w:spacing w:line="360"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磋商公告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本项目的特定资格要求证明材料（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如有要求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b/>
          <w:color w:val="000000" w:themeColor="text1"/>
          <w:sz w:val="21"/>
          <w:szCs w:val="21"/>
          <w:highlight w:val="none"/>
          <w:lang w:eastAsia="zh-CN"/>
          <w14:textFill>
            <w14:solidFill>
              <w14:schemeClr w14:val="tx1"/>
            </w14:solidFill>
          </w14:textFill>
        </w:rPr>
        <w:t xml:space="preserve">南京市政府采购供应商信用记录表暨信用承诺书</w:t>
      </w:r>
      <w:r>
        <w:rPr>
          <w:rFonts w:hint="eastAsia"/>
          <w:bCs/>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b/>
          <w:color w:val="000000" w:themeColor="text1"/>
          <w:sz w:val="21"/>
          <w:szCs w:val="21"/>
          <w:highlight w:val="none"/>
          <w:lang w:eastAsia="zh-CN"/>
          <w14:textFill>
            <w14:solidFill>
              <w14:schemeClr w14:val="tx1"/>
            </w14:solidFill>
          </w14:textFill>
        </w:rPr>
        <w:t xml:space="preserve">磋商报价（第一轮）；</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分项报价表；</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《商务条款偏离表》；</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中小企业声明函</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）供应商认为需要提供的其他资格证明文件和商务资料。</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磋商响应文件的技术部分。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技术部分是证明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供应商提供的</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或工程是合格的、并符合竞争性磋商文件要求的证明文件，以及</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对服务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或工程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方案；</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服务承诺；</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《技术条款偏离表》；</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）供应商认为需要提供的其他技术资料。</w:t>
      </w:r>
      <w:r/>
    </w:p>
    <w:p>
      <w:pPr>
        <w:ind w:firstLine="420"/>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磋商响应文件的价格部分</w:t>
      </w:r>
      <w:r/>
    </w:p>
    <w:p>
      <w:pPr>
        <w:numPr>
          <w:ilvl w:val="0"/>
          <w:numId w:val="1"/>
        </w:num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价格部分是对价格构成的说明，竞争性磋商文件如没有特别说明的话，对每一项仅接受一个价格。</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（2）报价应包含与磋商项目有关的所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费用，以及技术资料、支付给员工的工资和国家强制缴纳的各种社会保障资金，以及供应商认为需要的其他费用等。</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（3）供应商应以表格形式详细说明的价格构成，以及价格构成各项因素的单价和总价。</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（5）响应文件所报的投标价格不得超过磋商文件规定的最高限价，超过磋商文件规定的最高限价的响应文件，按无效投标处理。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）经磋商后，如果成交价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高于或</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低于供应商在磋商响应文件报价的话，除特别注明外，分项报价同比例调整。</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为保证报价合理性，当供应商报价低于控制价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时，供应商在投标报价时需提供完整的成本明细说明进行证明，评标委员会将根据供应商所提供的成本明细说明进行论证，分析报价合理性。若供应商提供的成本明细说明不能证明其报价合理性，则评标委员会应当将其作为无效投标处理。</w:t>
      </w:r>
      <w:r/>
    </w:p>
    <w:p>
      <w:pPr>
        <w:ind w:firstLine="420"/>
        <w:spacing w:line="360" w:lineRule="auto"/>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10.8 磋商响应文件的其他部分。其他部分由供应</w:t>
      </w:r>
      <w:r>
        <w:rPr>
          <w:rFonts w:hint="eastAsia"/>
          <w:color w:val="000000" w:themeColor="text1"/>
          <w:sz w:val="21"/>
          <w:szCs w:val="21"/>
          <w:highlight w:val="none"/>
          <w:lang w:val="zh-CN" w:eastAsia="zh-CN"/>
          <w14:textFill>
            <w14:solidFill>
              <w14:schemeClr w14:val="tx1"/>
            </w14:solidFill>
          </w14:textFill>
        </w:rPr>
        <w:t xml:space="preserve">商根据编制磋商响应文件需要提供的其他相关文件组成。</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48" w:name="_Toc49090509"/>
      <w:r/>
      <w:bookmarkStart w:id="49" w:name="_Toc14577355"/>
      <w:r/>
      <w:bookmarkStart w:id="50" w:name="_Toc49090507"/>
      <w:r/>
      <w:bookmarkStart w:id="51" w:name="_Toc513029216"/>
      <w:r/>
      <w:bookmarkStart w:id="52" w:name="_Toc14577354"/>
      <w:r/>
      <w:bookmarkStart w:id="53" w:name="_Toc513029219"/>
      <w:r/>
      <w:bookmarkStart w:id="54" w:name="_Toc49090508"/>
      <w:r/>
      <w:bookmarkStart w:id="55" w:name="_Toc14577357"/>
      <w:r/>
      <w:bookmarkStart w:id="56" w:name="_Hlt26954838"/>
      <w:r/>
      <w:bookmarkStart w:id="57" w:name="_Hlt26670360"/>
      <w:r/>
      <w:bookmarkStart w:id="58" w:name="_Hlt26668975"/>
      <w:r>
        <w:rPr>
          <w:rFonts w:hint="eastAsia"/>
          <w:b/>
          <w:bCs/>
          <w:color w:val="000000" w:themeColor="text1"/>
          <w:sz w:val="21"/>
          <w:szCs w:val="21"/>
          <w:highlight w:val="none"/>
          <w14:textFill>
            <w14:solidFill>
              <w14:schemeClr w14:val="tx1"/>
            </w14:solidFill>
          </w14:textFill>
        </w:rPr>
        <w:t xml:space="preserve">11、证明磋商响应标的符合磋商文件规定的文件</w:t>
      </w:r>
      <w:bookmarkEnd w:id="48"/>
      <w:r/>
      <w:bookmarkEnd w:id="49"/>
      <w:r/>
      <w:bookmarkEnd w:id="50"/>
      <w:r/>
      <w:bookmarkEnd w:id="51"/>
      <w:r/>
      <w:bookmarkEnd w:id="52"/>
      <w:r/>
      <w:bookmarkEnd w:id="53"/>
      <w:r/>
      <w:bookmarkEnd w:id="54"/>
      <w:r/>
      <w:bookmarkEnd w:id="55"/>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11.1 供应商应按照磋商文件要求提交证明文件，证明其及磋商响应标的符合磋商文件规定。</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11.2 磋商文件对证明文件无明确形式要求的，证明文件可以以文字资料、图纸和数据等形式提交。</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12、分项报价表</w:t>
      </w:r>
      <w:r/>
    </w:p>
    <w:p>
      <w:pPr>
        <w:ind w:firstLine="420"/>
        <w:jc w:val="left"/>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12.1价格部分是对货物和服务价格构成的说明，竞争性磋商文件如没有特别说明的话，对每一项货物和服务仅接受一个价格。</w:t>
      </w:r>
      <w:r/>
    </w:p>
    <w:p>
      <w:pPr>
        <w:ind w:firstLine="457"/>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12.2</w:t>
      </w:r>
      <w:r>
        <w:rPr>
          <w:rFonts w:hint="eastAsia" w:ascii="宋体" w:hAnsi="宋体" w:eastAsia="宋体" w:cs="宋体"/>
          <w:color w:val="000000" w:themeColor="text1"/>
          <w:sz w:val="21"/>
          <w:szCs w:val="21"/>
          <w:highlight w:val="none"/>
          <w14:textFill>
            <w14:solidFill>
              <w14:schemeClr w14:val="tx1"/>
            </w14:solidFill>
          </w14:textFill>
        </w:rPr>
        <w:t xml:space="preserve">磋商</w:t>
      </w:r>
      <w:r>
        <w:rPr>
          <w:rFonts w:hint="eastAsia" w:ascii="宋体" w:hAnsi="宋体" w:eastAsia="宋体" w:cs="宋体"/>
          <w:color w:val="000000" w:themeColor="text1"/>
          <w:sz w:val="21"/>
          <w:szCs w:val="21"/>
          <w:highlight w:val="none"/>
          <w14:textFill>
            <w14:solidFill>
              <w14:schemeClr w14:val="tx1"/>
            </w14:solidFill>
          </w14:textFill>
        </w:rPr>
        <w:t xml:space="preserve">报价是磋商文件所确定的采购范围内的全部货物或服务的价格体现。磋商报价：包括但不限于人员劳资、交通费、风险评估费等，应包括供应商为完成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供应商应充分考虑到市场价格变动，以及项目实施过程中的不可预见因素，一旦成交，</w:t>
      </w:r>
      <w:r>
        <w:rPr>
          <w:rFonts w:hint="eastAsia" w:ascii="宋体" w:hAnsi="宋体" w:eastAsia="宋体" w:cs="宋体"/>
          <w:b/>
          <w:bCs/>
          <w:color w:val="000000" w:themeColor="text1"/>
          <w:sz w:val="21"/>
          <w:szCs w:val="21"/>
          <w:highlight w:val="none"/>
          <w14:textFill>
            <w14:solidFill>
              <w14:schemeClr w14:val="tx1"/>
            </w14:solidFill>
          </w14:textFill>
        </w:rPr>
        <w:t xml:space="preserve">总价</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不变。如果有漏项，视同让利。</w:t>
      </w:r>
      <w:r/>
    </w:p>
    <w:p>
      <w:pPr>
        <w:ind w:firstLine="422"/>
        <w:jc w:val="left"/>
        <w:spacing w:line="400" w:lineRule="exac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12.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本次磋商将采用二轮报价的形式，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二轮报价不得高于一轮报价否则做无效投标处理。</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磋商申请单位需委派授权代表准时参加报价，否则视为放弃报价。经磋商后，如果成交价低于供应商在磋商响应文件报价的话，分项报价同比例调整。以供应商的最后报价作为价格评分依据。</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 异常低价投标审查</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评标过程中出现下列情形之一的，评委会应当启动异常低价投标审查程序：</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（1）投标报价低于全部通过符合性审查供应商投标报价平均值65%的，即投标报价&lt;全部通过符合性审查供应商投标报价平均值×65%；</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（2）投标报价低于通过符合性审查的次低报价供应商投标报价65%的，即投标报价&lt;通过符合性审查的次低报价供应商投标报价×65%；</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（3）投标报价低于采购项目最高限价65%的，即投标报价&lt;采购项目最高限价×65%；</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（4）评委会基于专业判断，认为供应商报价过低，有可能影响产品质量或者不能诚信履约的其他情形。</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12.6</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673"/>
        <w:ind w:firstLine="420"/>
        <w:jc w:val="both"/>
        <w:spacing w:before="0" w:beforeAutospacing="0" w:after="0" w:afterAutospacing="0" w:line="360" w:lineRule="auto"/>
        <w:widowControl w:val="off"/>
        <w:rPr>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59" w:name="_Hlt26670486"/>
      <w:r/>
      <w:bookmarkStart w:id="60" w:name="_Hlt26954848"/>
      <w:r/>
      <w:bookmarkStart w:id="61" w:name="_Hlt26670482"/>
      <w:r/>
      <w:bookmarkStart w:id="62" w:name="_Hlt26954846"/>
      <w:r/>
      <w:bookmarkStart w:id="63" w:name="_Hlt26954731"/>
      <w:r>
        <w:rPr>
          <w:rFonts w:hint="eastAsia"/>
          <w:b/>
          <w:bCs/>
          <w:color w:val="000000" w:themeColor="text1"/>
          <w:sz w:val="21"/>
          <w:szCs w:val="21"/>
          <w:highlight w:val="none"/>
          <w14:textFill>
            <w14:solidFill>
              <w14:schemeClr w14:val="tx1"/>
            </w14:solidFill>
          </w14:textFill>
        </w:rPr>
        <w:t xml:space="preserve">13、技术要求响应及偏离表、商务要求响应及偏离表</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13.1 供应商需对磋商文件中的技术要求与商务要求逐项作出响应或偏离。</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13.2 供应商可在响应文件中提供认为需要的其他技术文件或说明。</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64" w:name="_Toc14577359"/>
      <w:r/>
      <w:bookmarkStart w:id="65" w:name="_Toc49090510"/>
      <w:r>
        <w:rPr>
          <w:rFonts w:hint="eastAsia"/>
          <w:b/>
          <w:bCs/>
          <w:color w:val="000000" w:themeColor="text1"/>
          <w:sz w:val="21"/>
          <w:szCs w:val="21"/>
          <w:highlight w:val="none"/>
          <w14:textFill>
            <w14:solidFill>
              <w14:schemeClr w14:val="tx1"/>
            </w14:solidFill>
          </w14:textFill>
        </w:rPr>
        <w:t xml:space="preserve">14、</w:t>
      </w:r>
      <w:bookmarkEnd w:id="64"/>
      <w:r/>
      <w:bookmarkEnd w:id="65"/>
      <w:r>
        <w:rPr>
          <w:rFonts w:hint="eastAsia"/>
          <w:b/>
          <w:bCs/>
          <w:color w:val="000000" w:themeColor="text1"/>
          <w:sz w:val="21"/>
          <w:szCs w:val="21"/>
          <w:highlight w:val="none"/>
          <w14:textFill>
            <w14:solidFill>
              <w14:schemeClr w14:val="tx1"/>
            </w14:solidFill>
          </w14:textFill>
        </w:rPr>
        <w:t xml:space="preserve">竞争性磋商申请及声明</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14.1 供应商应按照磋商文件中提供的格式完整、正确填写竞争性磋商申请及声明。</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66" w:name="_Toc49090511"/>
      <w:r/>
      <w:bookmarkStart w:id="67" w:name="_Toc14577360"/>
      <w:r>
        <w:rPr>
          <w:rFonts w:hint="eastAsia"/>
          <w:b/>
          <w:bCs/>
          <w:color w:val="000000" w:themeColor="text1"/>
          <w:sz w:val="21"/>
          <w:szCs w:val="21"/>
          <w:highlight w:val="none"/>
          <w14:textFill>
            <w14:solidFill>
              <w14:schemeClr w14:val="tx1"/>
            </w14:solidFill>
          </w14:textFill>
        </w:rPr>
        <w:t xml:space="preserve">15、磋商有效期</w:t>
      </w:r>
      <w:bookmarkEnd w:id="66"/>
      <w:r/>
      <w:bookmarkEnd w:id="67"/>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15.1 磋商有效期为采购代理机构规定的提交响应文件截止之日后</w:t>
      </w:r>
      <w:r>
        <w:rPr>
          <w:rFonts w:hint="eastAsia"/>
          <w:b/>
          <w:bCs/>
          <w:color w:val="000000" w:themeColor="text1"/>
          <w:sz w:val="21"/>
          <w:szCs w:val="21"/>
          <w:highlight w:val="none"/>
          <w:u w:val="single"/>
          <w:lang w:val="en-US" w:eastAsia="zh-CN"/>
          <w14:textFill>
            <w14:solidFill>
              <w14:schemeClr w14:val="tx1"/>
            </w14:solidFill>
          </w14:textFill>
        </w:rPr>
        <w:t xml:space="preserve">九十</w:t>
      </w:r>
      <w:r>
        <w:rPr>
          <w:rFonts w:hint="eastAsia"/>
          <w:b/>
          <w:bCs/>
          <w:color w:val="000000" w:themeColor="text1"/>
          <w:sz w:val="21"/>
          <w:szCs w:val="21"/>
          <w:highlight w:val="none"/>
          <w:u w:val="single"/>
          <w14:textFill>
            <w14:solidFill>
              <w14:schemeClr w14:val="tx1"/>
            </w14:solidFill>
          </w14:textFill>
        </w:rPr>
        <w:t xml:space="preserve">（</w:t>
      </w:r>
      <w:r>
        <w:rPr>
          <w:rFonts w:hint="eastAsia"/>
          <w:b/>
          <w:bCs/>
          <w:color w:val="000000" w:themeColor="text1"/>
          <w:sz w:val="21"/>
          <w:szCs w:val="21"/>
          <w:highlight w:val="none"/>
          <w:u w:val="single"/>
          <w:lang w:val="en-US" w:eastAsia="zh-CN"/>
          <w14:textFill>
            <w14:solidFill>
              <w14:schemeClr w14:val="tx1"/>
            </w14:solidFill>
          </w14:textFill>
        </w:rPr>
        <w:t xml:space="preserve">9</w:t>
      </w:r>
      <w:r>
        <w:rPr>
          <w:rFonts w:hint="eastAsia"/>
          <w:b/>
          <w:bCs/>
          <w:color w:val="000000" w:themeColor="text1"/>
          <w:sz w:val="21"/>
          <w:szCs w:val="21"/>
          <w:highlight w:val="none"/>
          <w:u w:val="single"/>
          <w14:textFill>
            <w14:solidFill>
              <w14:schemeClr w14:val="tx1"/>
            </w14:solidFill>
          </w14:textFill>
        </w:rPr>
        <w:t xml:space="preserve">0）天</w:t>
      </w:r>
      <w:r>
        <w:rPr>
          <w:rFonts w:hint="eastAsia"/>
          <w:color w:val="000000" w:themeColor="text1"/>
          <w:sz w:val="21"/>
          <w:szCs w:val="21"/>
          <w:highlight w:val="none"/>
          <w14:textFill>
            <w14:solidFill>
              <w14:schemeClr w14:val="tx1"/>
            </w14:solidFill>
          </w14:textFill>
        </w:rPr>
        <w:t xml:space="preserve">。磋商有效期比规定短的将被视为非实质性响应磋商文件而予以拒绝。</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16、磋商有效期的延长</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68" w:name="_Toc20823296"/>
      <w:r/>
      <w:bookmarkStart w:id="69" w:name="_Toc120614217"/>
      <w:r/>
      <w:bookmarkStart w:id="70" w:name="_Toc513029224"/>
      <w:r/>
      <w:bookmarkStart w:id="71" w:name="_Toc16938540"/>
      <w:r/>
      <w:bookmarkStart w:id="72" w:name="_Hlt26954739"/>
      <w:r/>
      <w:bookmarkStart w:id="73" w:name="_Hlt26954852"/>
      <w:r>
        <w:rPr>
          <w:rFonts w:hint="eastAsia"/>
          <w:b/>
          <w:bCs/>
          <w:color w:val="000000" w:themeColor="text1"/>
          <w:sz w:val="21"/>
          <w:szCs w:val="21"/>
          <w:highlight w:val="none"/>
          <w14:textFill>
            <w14:solidFill>
              <w14:schemeClr w14:val="tx1"/>
            </w14:solidFill>
          </w14:textFill>
        </w:rPr>
        <w:t xml:space="preserve">四、响应文件的递交</w:t>
      </w:r>
      <w:bookmarkEnd w:id="68"/>
      <w:r/>
      <w:bookmarkEnd w:id="69"/>
      <w:r/>
      <w:bookmarkEnd w:id="70"/>
      <w:r/>
      <w:bookmarkEnd w:id="71"/>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74" w:name="_Toc16938541"/>
      <w:r/>
      <w:bookmarkStart w:id="75" w:name="_Toc20823297"/>
      <w:r/>
      <w:bookmarkStart w:id="76" w:name="_Toc462564084"/>
      <w:r/>
      <w:bookmarkStart w:id="77" w:name="_Toc513029225"/>
      <w:r>
        <w:rPr>
          <w:rFonts w:hint="eastAsia"/>
          <w:b/>
          <w:bCs/>
          <w:color w:val="000000" w:themeColor="text1"/>
          <w:sz w:val="21"/>
          <w:szCs w:val="21"/>
          <w:highlight w:val="none"/>
          <w14:textFill>
            <w14:solidFill>
              <w14:schemeClr w14:val="tx1"/>
            </w14:solidFill>
          </w14:textFill>
        </w:rPr>
        <w:t xml:space="preserve">17、电子磋商</w:t>
      </w:r>
      <w:bookmarkEnd w:id="74"/>
      <w:r/>
      <w:bookmarkEnd w:id="75"/>
      <w:r/>
      <w:bookmarkEnd w:id="76"/>
      <w:r/>
      <w:bookmarkEnd w:id="77"/>
      <w:r>
        <w:rPr>
          <w:rFonts w:hint="eastAsia"/>
          <w:b/>
          <w:bCs/>
          <w:color w:val="000000" w:themeColor="text1"/>
          <w:sz w:val="21"/>
          <w:szCs w:val="21"/>
          <w:highlight w:val="none"/>
          <w14:textFill>
            <w14:solidFill>
              <w14:schemeClr w14:val="tx1"/>
            </w14:solidFill>
          </w14:textFill>
        </w:rPr>
        <w:t xml:space="preserve">响应文件的递交</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17.1 </w:t>
      </w:r>
      <w:r>
        <w:rPr>
          <w:rFonts w:hint="eastAsia"/>
          <w:color w:val="000000" w:themeColor="text1"/>
          <w:sz w:val="21"/>
          <w:szCs w:val="21"/>
          <w:highlight w:val="none"/>
          <w:lang w:val="zh-CN"/>
          <w14:textFill>
            <w14:solidFill>
              <w14:schemeClr w14:val="tx1"/>
            </w14:solidFill>
          </w14:textFill>
        </w:rPr>
        <w:t xml:space="preserve">响应文件应加盖</w:t>
      </w:r>
      <w:r>
        <w:rPr>
          <w:rFonts w:hint="eastAsia"/>
          <w:color w:val="000000" w:themeColor="text1"/>
          <w:sz w:val="21"/>
          <w:szCs w:val="21"/>
          <w:highlight w:val="none"/>
          <w14:textFill>
            <w14:solidFill>
              <w14:schemeClr w14:val="tx1"/>
            </w14:solidFill>
          </w14:textFill>
        </w:rPr>
        <w:t xml:space="preserve">投标供应商</w:t>
      </w:r>
      <w:r>
        <w:rPr>
          <w:rFonts w:hint="eastAsia"/>
          <w:color w:val="000000" w:themeColor="text1"/>
          <w:sz w:val="21"/>
          <w:szCs w:val="21"/>
          <w:highlight w:val="none"/>
          <w:lang w:val="zh-CN"/>
          <w14:textFill>
            <w14:solidFill>
              <w14:schemeClr w14:val="tx1"/>
            </w14:solidFill>
          </w14:textFill>
        </w:rPr>
        <w:t xml:space="preserve">公章。</w:t>
      </w:r>
      <w:r>
        <w:rPr>
          <w:rFonts w:hint="eastAsia"/>
          <w:color w:val="000000" w:themeColor="text1"/>
          <w:sz w:val="21"/>
          <w:szCs w:val="21"/>
          <w:highlight w:val="none"/>
          <w14:textFill>
            <w14:solidFill>
              <w14:schemeClr w14:val="tx1"/>
            </w14:solidFill>
          </w14:textFill>
        </w:rPr>
        <w:t xml:space="preserve">磋商文件中注明须签字的地方应由供应商的法定代表人或委托代理人签字，如为委托代理人签字的应附“法定代表人授权委托书”。</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17.2 供应商应当按照《操作手册》规定，在提交响应文件截止时间前制作并上传电子响应文件。</w:t>
      </w:r>
      <w:bookmarkStart w:id="78" w:name="_Toc20823298"/>
      <w:r/>
      <w:bookmarkEnd w:id="78"/>
      <w:r/>
      <w:bookmarkStart w:id="79" w:name="_Toc16938542"/>
      <w:r/>
      <w:bookmarkEnd w:id="79"/>
      <w:r/>
      <w:bookmarkStart w:id="80" w:name="_Toc513029226"/>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18、提交响应文件截止时间</w:t>
      </w:r>
      <w:r/>
    </w:p>
    <w:p>
      <w:pPr>
        <w:pStyle w:val="673"/>
        <w:ind w:firstLine="420"/>
        <w:jc w:val="both"/>
        <w:spacing w:before="0" w:beforeAutospacing="0" w:after="0" w:afterAutospacing="0" w:line="360" w:lineRule="auto"/>
        <w:widowControl w:val="off"/>
        <w:rPr>
          <w:i/>
          <w:iCs/>
          <w:color w:val="000000" w:themeColor="text1"/>
          <w:sz w:val="21"/>
          <w:szCs w:val="21"/>
          <w:highlight w:val="non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 xml:space="preserve">18.1 供应商上传电子响应文件的时间不得迟于磋商公告中规定的提交响应文件截止时间。</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14:textFill>
            <w14:solidFill>
              <w14:schemeClr w14:val="tx1"/>
            </w14:solidFill>
          </w14:textFill>
        </w:rPr>
        <w:t xml:space="preserve">25.3.2</w:t>
      </w:r>
      <w:r>
        <w:rPr>
          <w:rFonts w:hint="eastAsia"/>
          <w:color w:val="000000" w:themeColor="text1"/>
          <w:sz w:val="21"/>
          <w:szCs w:val="21"/>
          <w:highlight w:val="none"/>
          <w14:textFill>
            <w14:solidFill>
              <w14:schemeClr w14:val="tx1"/>
            </w14:solidFill>
          </w14:textFill>
        </w:rPr>
        <w:t xml:space="preserve">条规定做无效响应处理。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81" w:name="_Toc20823299"/>
      <w:r/>
      <w:bookmarkStart w:id="82" w:name="_Toc513029227"/>
      <w:r/>
      <w:bookmarkStart w:id="83" w:name="_Toc16938543"/>
      <w:r>
        <w:rPr>
          <w:rFonts w:hint="eastAsia"/>
          <w:b/>
          <w:bCs/>
          <w:color w:val="000000" w:themeColor="text1"/>
          <w:sz w:val="21"/>
          <w:szCs w:val="21"/>
          <w:highlight w:val="none"/>
          <w14:textFill>
            <w14:solidFill>
              <w14:schemeClr w14:val="tx1"/>
            </w14:solidFill>
          </w14:textFill>
        </w:rPr>
        <w:t xml:space="preserve">19、响应文件</w:t>
      </w:r>
      <w:bookmarkEnd w:id="81"/>
      <w:r/>
      <w:bookmarkEnd w:id="82"/>
      <w:r/>
      <w:bookmarkEnd w:id="83"/>
      <w:r>
        <w:rPr>
          <w:rFonts w:hint="eastAsia"/>
          <w:b/>
          <w:bCs/>
          <w:color w:val="000000" w:themeColor="text1"/>
          <w:sz w:val="21"/>
          <w:szCs w:val="21"/>
          <w:highlight w:val="none"/>
          <w14:textFill>
            <w14:solidFill>
              <w14:schemeClr w14:val="tx1"/>
            </w14:solidFill>
          </w14:textFill>
        </w:rPr>
        <w:t xml:space="preserve">的拒收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19.1 采购代理机构拒绝接收在其规定的提交响应文件截止时间后上传的任何电子响应文件。</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84" w:name="_Toc513029228"/>
      <w:r/>
      <w:bookmarkStart w:id="85" w:name="_Toc16938544"/>
      <w:r/>
      <w:bookmarkStart w:id="86" w:name="_Toc20823300"/>
      <w:r>
        <w:rPr>
          <w:rFonts w:hint="eastAsia"/>
          <w:b/>
          <w:bCs/>
          <w:color w:val="000000" w:themeColor="text1"/>
          <w:sz w:val="21"/>
          <w:szCs w:val="21"/>
          <w:highlight w:val="none"/>
          <w14:textFill>
            <w14:solidFill>
              <w14:schemeClr w14:val="tx1"/>
            </w14:solidFill>
          </w14:textFill>
        </w:rPr>
        <w:t xml:space="preserve">20、响应文件的撤回和修改</w:t>
      </w:r>
      <w:bookmarkEnd w:id="84"/>
      <w:r/>
      <w:bookmarkEnd w:id="85"/>
      <w:r/>
      <w:bookmarkEnd w:id="86"/>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20.1响应文件的撤回</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20.1.1 电子响应文件的撤回</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供应商可在提交响应文件截止时间前，撤回其电子响应文件，具体操作方法见《操作手册》。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20.1.2 供应商撤回电子响应文件，则认为其不再参与本项目磋商活动。</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20.2响应文件的修改</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20.2.1 供应商可在提交响应文件截止时间前，对其电子响应文件进行修改，具体操作方法见《操作手册》。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20.2.2 在提交响应文件截止时间之后，供应商不得对其电子响应文件作任何修改。</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20.2.3 在提交响应文件截止时间至磋商文件中规定的磋商有效期满之间的这段时间内，供应商不得撤回其响应文件。</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87" w:name="_Toc16938545"/>
      <w:r/>
      <w:bookmarkStart w:id="88" w:name="_Toc513029229"/>
      <w:r/>
      <w:bookmarkStart w:id="89" w:name="_Toc20823301"/>
      <w:r/>
      <w:bookmarkStart w:id="90" w:name="_Toc120614218"/>
      <w:r>
        <w:rPr>
          <w:rFonts w:hint="eastAsia"/>
          <w:b/>
          <w:bCs/>
          <w:color w:val="000000" w:themeColor="text1"/>
          <w:sz w:val="21"/>
          <w:szCs w:val="21"/>
          <w:highlight w:val="none"/>
          <w14:textFill>
            <w14:solidFill>
              <w14:schemeClr w14:val="tx1"/>
            </w14:solidFill>
          </w14:textFill>
        </w:rPr>
        <w:t xml:space="preserve">五、响应文件的解密与评审</w:t>
      </w:r>
      <w:bookmarkEnd w:id="87"/>
      <w:r/>
      <w:bookmarkEnd w:id="88"/>
      <w:r/>
      <w:bookmarkEnd w:id="89"/>
      <w:r/>
      <w:bookmarkEnd w:id="90"/>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91" w:name="_Toc16938546"/>
      <w:r/>
      <w:bookmarkStart w:id="92" w:name="_Toc20823302"/>
      <w:r/>
      <w:bookmarkStart w:id="93" w:name="_Toc513029230"/>
      <w:r>
        <w:rPr>
          <w:rFonts w:hint="eastAsia"/>
          <w:b/>
          <w:bCs/>
          <w:color w:val="000000" w:themeColor="text1"/>
          <w:sz w:val="21"/>
          <w:szCs w:val="21"/>
          <w:highlight w:val="none"/>
          <w14:textFill>
            <w14:solidFill>
              <w14:schemeClr w14:val="tx1"/>
            </w14:solidFill>
          </w14:textFill>
        </w:rPr>
        <w:t xml:space="preserve">21、</w:t>
      </w:r>
      <w:bookmarkEnd w:id="91"/>
      <w:r/>
      <w:bookmarkEnd w:id="92"/>
      <w:r/>
      <w:bookmarkEnd w:id="93"/>
      <w:r>
        <w:rPr>
          <w:rFonts w:hint="eastAsia"/>
          <w:b/>
          <w:bCs/>
          <w:color w:val="000000" w:themeColor="text1"/>
          <w:sz w:val="21"/>
          <w:szCs w:val="21"/>
          <w:highlight w:val="none"/>
          <w14:textFill>
            <w14:solidFill>
              <w14:schemeClr w14:val="tx1"/>
            </w14:solidFill>
          </w14:textFill>
        </w:rPr>
        <w:t xml:space="preserve">响应文件解密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21.1 供应商应当按照《操作手册》规定，在苏采云系统规定的时间内对磋商响应文件进行解密。</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94" w:name="_Toc16938547"/>
      <w:r/>
      <w:bookmarkStart w:id="95" w:name="_Toc20823303"/>
      <w:r/>
      <w:bookmarkStart w:id="96" w:name="_Toc513029231"/>
      <w:r>
        <w:rPr>
          <w:rFonts w:hint="eastAsia"/>
          <w:b/>
          <w:bCs/>
          <w:color w:val="000000" w:themeColor="text1"/>
          <w:sz w:val="21"/>
          <w:szCs w:val="21"/>
          <w:highlight w:val="none"/>
          <w14:textFill>
            <w14:solidFill>
              <w14:schemeClr w14:val="tx1"/>
            </w14:solidFill>
          </w14:textFill>
        </w:rPr>
        <w:t xml:space="preserve">22、磋商小组</w:t>
      </w:r>
      <w:bookmarkEnd w:id="94"/>
      <w:r/>
      <w:bookmarkEnd w:id="95"/>
      <w:r/>
      <w:bookmarkEnd w:id="96"/>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22.1 采购代理机构将组织磋商小组对响应文件进行评审。磋商小组由采购人代表和有关技术、经济等方面的专家组成，且人员构成符合政府采购有关规定。</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22.2 磋商小组独立工作，负责评审所有响应文件并确定成交侯选人。</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23、评审过程的保密与公正</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 磋商小组、采购人和采购代理机构工作人员、相关监督人员等与评审工作有关的人员，对评审情况以及在评审过程中获悉的国家秘密、商业秘密负有保密责任。</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23.2 在评审过程中，供应商不得以任何行为影响磋商评审过程，否则其响应文件将被作为无效响应文件。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23.3 在项目评审期间，采购代理机构将设专门人员与供应商联系。</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23.4 采购代理机构和磋商小组不向未成交的供应商解释未成交原因，也不公布评审过程中的相关细节。</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97" w:name="_Toc20823304"/>
      <w:r/>
      <w:bookmarkStart w:id="98" w:name="_Toc513029232"/>
      <w:r/>
      <w:bookmarkStart w:id="99" w:name="_Toc16938548"/>
      <w:r>
        <w:rPr>
          <w:rFonts w:hint="eastAsia"/>
          <w:b/>
          <w:bCs/>
          <w:color w:val="000000" w:themeColor="text1"/>
          <w:sz w:val="21"/>
          <w:szCs w:val="21"/>
          <w:highlight w:val="none"/>
          <w14:textFill>
            <w14:solidFill>
              <w14:schemeClr w14:val="tx1"/>
            </w14:solidFill>
          </w14:textFill>
        </w:rPr>
        <w:t xml:space="preserve">24、评审过程中的的澄清</w:t>
      </w:r>
      <w:bookmarkEnd w:id="97"/>
      <w:r/>
      <w:bookmarkEnd w:id="98"/>
      <w:r/>
      <w:bookmarkEnd w:id="99"/>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磋商小组并非对每个供应商都作澄清要求。</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24.3 接到磋商小组澄清、说明和更正要求的供应商如未按规定做出澄清、说明和更正，其风险由供应商自行承担。</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00" w:name="_Toc20823305"/>
      <w:r/>
      <w:bookmarkStart w:id="101" w:name="_Toc16938549"/>
      <w:r/>
      <w:bookmarkStart w:id="102" w:name="_Toc513029233"/>
      <w:r>
        <w:rPr>
          <w:rFonts w:hint="eastAsia"/>
          <w:b/>
          <w:bCs/>
          <w:color w:val="000000" w:themeColor="text1"/>
          <w:sz w:val="21"/>
          <w:szCs w:val="21"/>
          <w:highlight w:val="none"/>
          <w14:textFill>
            <w14:solidFill>
              <w14:schemeClr w14:val="tx1"/>
            </w14:solidFill>
          </w14:textFill>
        </w:rPr>
        <w:t xml:space="preserve">25、对响应文件的审</w:t>
      </w:r>
      <w:bookmarkEnd w:id="100"/>
      <w:r/>
      <w:bookmarkEnd w:id="101"/>
      <w:r/>
      <w:bookmarkEnd w:id="102"/>
      <w:r>
        <w:rPr>
          <w:rFonts w:hint="eastAsia"/>
          <w:b/>
          <w:bCs/>
          <w:color w:val="000000" w:themeColor="text1"/>
          <w:sz w:val="21"/>
          <w:szCs w:val="21"/>
          <w:highlight w:val="none"/>
          <w14:textFill>
            <w14:solidFill>
              <w14:schemeClr w14:val="tx1"/>
            </w14:solidFill>
          </w14:textFill>
        </w:rPr>
        <w:t xml:space="preserve">查</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25.1 响应文件审查分为资格审查和符合性审查。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25.1.1 资格审查：由磋商小组依据法律法规和磋商文件的规定，对响应文件中的资格证明文件进行审查，以确定供应商是否具备参加磋商的资格。</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磋商小组在进行资格审查的同时，将在“信用中国”网站（www.creditchina.gov.cn）、“中国政府采购网"(www.ccgp.gov.cn)查询供应商的信用记录，以确定供应商是否具备磋商资格，查询结果留存并归档。</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25.1.2 符合性审查：依据磋商文件的规定，由磋商小组从响应文件的有效性、完整性和对磋商文件的响应程度进行审查，以确定是否对磋商文件的实质性要求作出响应。</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25.3 未实质性响应磋商文件的情形</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25.3.1 供应商在苏采云系统规定的时间内未成功解密电子响应文件的。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25.3.2 供应商未按照磋商文件要求上传电子响应文件的。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25.3.3 同一供应商提交两个（含两个）以上不同的响应文件或者最后报价的。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25.3.4 供应商不具备磋商文件中规定资格要求的。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25.3.5 供应商的投标报价超过了最高投标限价。</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25.3.6 不符合磋商文件中规定的实质性要求和条件的</w:t>
      </w:r>
      <w:r>
        <w:rPr>
          <w:rFonts w:hint="eastAsia"/>
          <w:b/>
          <w:bCs/>
          <w:color w:val="000000" w:themeColor="text1"/>
          <w:sz w:val="21"/>
          <w:szCs w:val="21"/>
          <w:highlight w:val="none"/>
          <w:u w:val="single"/>
          <w14:textFill>
            <w14:solidFill>
              <w14:schemeClr w14:val="tx1"/>
            </w14:solidFill>
          </w14:textFill>
        </w:rPr>
        <w:t xml:space="preserve">（本竞争性磋商文件中带星号“★”等内容为实质性要求和条件）。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25.3.8 响应文件含有采购人不能接受的附加条件的。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25.3.9 响应文件未按照磋商文件要求加盖CA电子公章或签字的。</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  无效响应的情形</w:t>
      </w:r>
      <w:r/>
    </w:p>
    <w:p>
      <w:pPr>
        <w:pStyle w:val="673"/>
        <w:ind w:firstLine="422"/>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25.4.2 未实质性响应磋商文件的响应文件按无效响应处理。</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25.4.3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有下列情形之一的，视为供应商串通投标，其投标</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按无效响应处理</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（1）不同供应商的响应文件由同一单位或者个人编制；</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（2）不同供应商委托同一单位或者个人办理投标事宜；</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（3）不同供应商的响应文件载明的项目管理成员或者联系人员为同一人；</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（4）不同供应商的响应文件异常一致或者投标报价呈规律性差异；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（5）不同供应商的MAC地址一致的。</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25.5 如果响应文件实质上没有响应磋商文件的要求，磋商小组将予以拒绝，供应商不得通过修改或撤销不合要求的偏离或保留而使其成为实质性响应的文件。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03" w:name="_Toc20823306"/>
      <w:r/>
      <w:bookmarkStart w:id="104" w:name="_Toc16938550"/>
      <w:r/>
      <w:bookmarkStart w:id="105" w:name="_Toc513029234"/>
      <w:r>
        <w:rPr>
          <w:rFonts w:hint="eastAsia"/>
          <w:color w:val="000000" w:themeColor="text1"/>
          <w:sz w:val="21"/>
          <w:szCs w:val="21"/>
          <w:highlight w:val="none"/>
          <w14:textFill>
            <w14:solidFill>
              <w14:schemeClr w14:val="tx1"/>
            </w14:solidFill>
          </w14:textFill>
        </w:rPr>
        <w:t xml:space="preserve">25.6 供应商在项目评审全过程中应保持通讯畅通，并安排专人与采购代理机构及磋商小组联系。</w:t>
      </w:r>
      <w:bookmarkEnd w:id="103"/>
      <w:r/>
      <w:bookmarkEnd w:id="104"/>
      <w:r/>
      <w:bookmarkEnd w:id="105"/>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26、磋商程序及评审方法和评审标准</w:t>
      </w:r>
      <w:r/>
    </w:p>
    <w:p>
      <w:pPr>
        <w:pStyle w:val="673"/>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26.1 磋商程序</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超出时限为提交的视为放弃参加本项目。</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最后报价</w:t>
      </w:r>
      <w:r>
        <w:rPr>
          <w:rFonts w:hint="eastAsia"/>
          <w:color w:val="000000" w:themeColor="text1"/>
          <w:sz w:val="21"/>
          <w:szCs w:val="21"/>
          <w:highlight w:val="none"/>
          <w14:textFill>
            <w14:solidFill>
              <w14:schemeClr w14:val="tx1"/>
            </w14:solidFill>
          </w14:textFill>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73"/>
        <w:ind w:firstLine="422"/>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26.2  评审方法和评审标准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26.2.2 评审标准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见本磋商文件第三章规定。</w:t>
      </w:r>
      <w:r/>
    </w:p>
    <w:p>
      <w:pPr>
        <w:pStyle w:val="673"/>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26.3 采购活动终止的情况</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出现下列情形之一的，本次竞争性磋商采购活动将被终止：</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26.3.1 因情况变化，不再符合规定的竞争性磋商采购方式适用情形的。</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26.3.2 出现影响采购公正的违法、违规行为的。</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26.3.3 除本磋商文件第二章第26.1.2条第三款规定的情形外，在采购过程中符合要求的供应商或者最后报价未超过采购预算的供应商不足3家的。</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26.3.4 在苏采云系统规定时间内成功解密电子响应文件的供应商不足3家的。</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06" w:name="_Toc16938551"/>
      <w:r/>
      <w:bookmarkStart w:id="107" w:name="_Toc120614219"/>
      <w:r/>
      <w:bookmarkStart w:id="108" w:name="_Toc20823307"/>
      <w:r/>
      <w:bookmarkStart w:id="109" w:name="_Toc513029235"/>
      <w:r>
        <w:rPr>
          <w:rFonts w:hint="eastAsia"/>
          <w:b/>
          <w:bCs/>
          <w:color w:val="000000" w:themeColor="text1"/>
          <w:sz w:val="21"/>
          <w:szCs w:val="21"/>
          <w:highlight w:val="none"/>
          <w14:textFill>
            <w14:solidFill>
              <w14:schemeClr w14:val="tx1"/>
            </w14:solidFill>
          </w14:textFill>
        </w:rPr>
        <w:t xml:space="preserve">六、</w:t>
      </w:r>
      <w:bookmarkEnd w:id="106"/>
      <w:r/>
      <w:bookmarkEnd w:id="107"/>
      <w:r/>
      <w:bookmarkEnd w:id="108"/>
      <w:r/>
      <w:bookmarkEnd w:id="109"/>
      <w:r>
        <w:rPr>
          <w:rFonts w:hint="eastAsia"/>
          <w:b/>
          <w:bCs/>
          <w:color w:val="000000" w:themeColor="text1"/>
          <w:sz w:val="21"/>
          <w:szCs w:val="21"/>
          <w:highlight w:val="none"/>
          <w14:textFill>
            <w14:solidFill>
              <w14:schemeClr w14:val="tx1"/>
            </w14:solidFill>
          </w14:textFill>
        </w:rPr>
        <w:t xml:space="preserve">成交</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0" w:name="_Toc20823310"/>
      <w:r/>
      <w:bookmarkStart w:id="111" w:name="_Toc16938554"/>
      <w:r/>
      <w:bookmarkStart w:id="112" w:name="_Toc513029238"/>
      <w:r>
        <w:rPr>
          <w:rFonts w:hint="eastAsia"/>
          <w:b/>
          <w:bCs/>
          <w:color w:val="000000" w:themeColor="text1"/>
          <w:sz w:val="21"/>
          <w:szCs w:val="21"/>
          <w:highlight w:val="none"/>
          <w14:textFill>
            <w14:solidFill>
              <w14:schemeClr w14:val="tx1"/>
            </w14:solidFill>
          </w14:textFill>
        </w:rPr>
        <w:t xml:space="preserve">27、</w:t>
      </w:r>
      <w:bookmarkEnd w:id="110"/>
      <w:r>
        <w:rPr>
          <w:rFonts w:hint="eastAsia"/>
          <w:b/>
          <w:bCs/>
          <w:color w:val="000000" w:themeColor="text1"/>
          <w:sz w:val="21"/>
          <w:szCs w:val="21"/>
          <w:highlight w:val="none"/>
          <w14:textFill>
            <w14:solidFill>
              <w14:schemeClr w14:val="tx1"/>
            </w14:solidFill>
          </w14:textFill>
        </w:rPr>
        <w:t xml:space="preserve">确定</w:t>
      </w:r>
      <w:bookmarkEnd w:id="111"/>
      <w:r/>
      <w:bookmarkEnd w:id="112"/>
      <w:r>
        <w:rPr>
          <w:rFonts w:hint="eastAsia"/>
          <w:b/>
          <w:bCs/>
          <w:color w:val="000000" w:themeColor="text1"/>
          <w:sz w:val="21"/>
          <w:szCs w:val="21"/>
          <w:highlight w:val="none"/>
          <w14:textFill>
            <w14:solidFill>
              <w14:schemeClr w14:val="tx1"/>
            </w14:solidFill>
          </w14:textFill>
        </w:rPr>
        <w:t xml:space="preserve">成交单位</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27.2 按以下第（1）种方式确定成交供应商；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（1）磋商小组直接确定排名第一的成交候选人为成交供应商；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（2）采购人在磋商小组推荐的3名成交候选人中按顺序确定成交供应商。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27.3 确定成交供应商后，采购代理机构将在“江苏政府采购网、南京公共采购信息网”发布成交结果公告，公告期限为1个工作日。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 若有充分证据证明，成交供应商出现下列情况之一的，一经查实，将被取消成交资格：</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27.4.1 提供虚假材料谋取成交的。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27.4.2 与评审专家、采购人、其他供应商或者采购代理机构工作人员恶意串通的。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27.4.3 向评审专家、采购人或采购代理机构工作人员行贿或者提供其他不正当利益的。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27.4.4 恶意竞争，最后报价明显低于其自身合理成本且又无法提供证明的。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27.4.5 不满足本磋商文件规定的实质性要求，但在评审过程中又未被磋商小组发现的。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27.4.6 成交后无正当理由拒不与采购人签订政府采购合同或者未按照磋商文件确定的事项签订政府采购合同的。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27.4.7 将政府采购合同转包的。</w:t>
      </w:r>
      <w:bookmarkStart w:id="113" w:name="_Toc200451960"/>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w:t>
      </w:r>
      <w:bookmarkEnd w:id="113"/>
      <w:r>
        <w:rPr>
          <w:b/>
          <w:bCs/>
          <w:color w:val="000000" w:themeColor="text1"/>
          <w:sz w:val="21"/>
          <w:szCs w:val="21"/>
          <w:highlight w:val="none"/>
          <w14:textFill>
            <w14:solidFill>
              <w14:schemeClr w14:val="tx1"/>
            </w14:solidFill>
          </w14:textFill>
        </w:rPr>
        <w:t xml:space="preserve">询问、质疑、投诉和诚实信用</w:t>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28.1 询问</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28.2 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28.2.1 提出质疑的供应商应当是参与所质疑项目采购活动的供应商。潜在供应商依法获取其可质疑的采购文件的，可以对采购文件提出质疑。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（1）对可以质疑的采购文件提出质疑的，为收到采购文件之日或者采购文件公告期限届满之日。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（2）对采购过程提出质疑的，为各采购程序环节结束之日。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（3）对成交结果提出质疑的，为成交结果公告期限届满之日。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28.2.4 </w:t>
      </w:r>
      <w:r>
        <w:rPr>
          <w:rFonts w:hint="eastAsia" w:ascii="宋体" w:hAnsi="宋体"/>
          <w:color w:val="000000" w:themeColor="text1"/>
          <w:sz w:val="21"/>
          <w:szCs w:val="21"/>
          <w:highlight w:val="none"/>
          <w:lang w:eastAsia="zh-CN"/>
          <w14:textFill>
            <w14:solidFill>
              <w14:schemeClr w14:val="tx1"/>
            </w14:solidFill>
          </w14:textFill>
        </w:rPr>
        <w:t xml:space="preserve">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360" w:lineRule="auto"/>
        <w:rPr>
          <w:rFonts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质疑文件应包括以下主要内容：</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（1）质疑供应商的姓名或者名称、地址、邮编、联系人及联系电话；</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（2）质疑项目的名称、编号、公告发布时间、磋商时间；</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（3）具体、明确的质疑事项和与质疑事项相关的请求；</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（4）事实依据；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（5）必要的法律依据；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（6）提出质疑的日期；</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28.2.5 供应商（含潜在供应商）对与本项目有关的所有询问、质疑均请向采购代理机构提出，由采购代理机构负责答复。</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28.2.6 采购代理机构只接收以纸质原件形式送达的质疑。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采购代理机构质疑接收部门为南京麻田工程咨询有限公司，联系地址：</w:t>
      </w:r>
      <w:r>
        <w:rPr>
          <w:rFonts w:hint="eastAsia"/>
          <w:color w:val="000000" w:themeColor="text1"/>
          <w:sz w:val="21"/>
          <w:szCs w:val="21"/>
          <w:highlight w:val="none"/>
          <w:lang w:eastAsia="zh-CN"/>
          <w14:textFill>
            <w14:solidFill>
              <w14:schemeClr w14:val="tx1"/>
            </w14:solidFill>
          </w14:textFill>
        </w:rPr>
        <w:t xml:space="preserve">南京市江宁区淳化街道雁冲路68号院内9号楼1楼</w:t>
      </w:r>
      <w:r>
        <w:rPr>
          <w:rFonts w:hint="eastAsia"/>
          <w:color w:val="000000" w:themeColor="text1"/>
          <w:sz w:val="21"/>
          <w:szCs w:val="21"/>
          <w:highlight w:val="none"/>
          <w14:textFill>
            <w14:solidFill>
              <w14:schemeClr w14:val="tx1"/>
            </w14:solidFill>
          </w14:textFill>
        </w:rPr>
        <w:t xml:space="preserve">，联系电话：025-52730710。</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28.2.7 以下情形的质疑不予受理：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（1）内容不符合《政府采购质疑和投诉办法》第十二条规定的质疑。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（2）超出政府采购法定期限的质疑。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（3）以传真、电子邮件等方式递交的非原件形式的质疑。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（4）未参加磋商活动的供应商或在磋商活动中自身权益未受到损害的供应商所提出的质疑。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（5）供应商组成联合体参加磋商，联合体中任何一方或多方未按要求签字、盖章、加盖公章的质疑。</w:t>
      </w:r>
      <w:r/>
    </w:p>
    <w:p>
      <w:pPr>
        <w:ind w:firstLine="422"/>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28.3、投诉</w:t>
      </w:r>
      <w:r/>
    </w:p>
    <w:p>
      <w:pPr>
        <w:pStyle w:val="645"/>
        <w:ind w:left="0" w:firstLine="412"/>
        <w:spacing w:before="0" w:line="360" w:lineRule="auto"/>
        <w:rPr>
          <w:rFonts w:cs="宋体"/>
          <w:color w:val="000000" w:themeColor="text1"/>
          <w:spacing w:val="-2"/>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28.4、诚实信用</w:t>
      </w:r>
      <w:r/>
    </w:p>
    <w:p>
      <w:pPr>
        <w:pStyle w:val="645"/>
        <w:ind w:left="0" w:firstLine="412"/>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28.4.1 供应商之间不得相互串通报价，不得妨碍其他供应商的公平竞争，不得损害采购</w:t>
      </w:r>
      <w:r>
        <w:rPr>
          <w:rFonts w:hint="eastAsia" w:cs="宋体"/>
          <w:color w:val="000000" w:themeColor="text1"/>
          <w:sz w:val="21"/>
          <w:szCs w:val="21"/>
          <w:highlight w:val="none"/>
          <w:lang w:eastAsia="zh-CN"/>
          <w14:textFill>
            <w14:solidFill>
              <w14:schemeClr w14:val="tx1"/>
            </w14:solidFill>
          </w14:textFill>
        </w:rPr>
        <w:t xml:space="preserve">人和其他供应商的合法权益。</w:t>
      </w:r>
      <w:r/>
    </w:p>
    <w:p>
      <w:pPr>
        <w:pStyle w:val="645"/>
        <w:ind w:left="0" w:firstLine="412"/>
        <w:jc w:val="both"/>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录名单，按照政府采购法有关规定处理。</w:t>
      </w:r>
      <w:r/>
    </w:p>
    <w:p>
      <w:pPr>
        <w:pStyle w:val="645"/>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28.4.3</w:t>
      </w:r>
      <w:r>
        <w:rPr>
          <w:rFonts w:hint="eastAsia" w:cs="宋体"/>
          <w:color w:val="000000" w:themeColor="text1"/>
          <w:spacing w:val="-60"/>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供应商不得虚假承诺，否则，按照提供虚假材料谋取成交处理。</w:t>
      </w:r>
      <w:r/>
    </w:p>
    <w:p>
      <w:pPr>
        <w:pStyle w:val="645"/>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28.4.4</w:t>
      </w:r>
      <w:r>
        <w:rPr>
          <w:rFonts w:hint="eastAsia" w:cs="宋体"/>
          <w:color w:val="000000" w:themeColor="text1"/>
          <w:spacing w:val="-41"/>
          <w:sz w:val="21"/>
          <w:szCs w:val="21"/>
          <w:highlight w:val="none"/>
          <w:lang w:eastAsia="zh-CN"/>
          <w14:textFill>
            <w14:solidFill>
              <w14:schemeClr w14:val="tx1"/>
            </w14:solidFill>
          </w14:textFill>
        </w:rPr>
        <w:t xml:space="preserve">   </w:t>
      </w:r>
      <w:r>
        <w:rPr>
          <w:rFonts w:hint="eastAsia" w:cs="宋体"/>
          <w:color w:val="000000" w:themeColor="text1"/>
          <w:spacing w:val="-7"/>
          <w:sz w:val="21"/>
          <w:szCs w:val="21"/>
          <w:highlight w:val="none"/>
          <w:lang w:eastAsia="zh-CN"/>
          <w14:textFill>
            <w14:solidFill>
              <w14:schemeClr w14:val="tx1"/>
            </w14:solidFill>
          </w14:textFill>
        </w:rPr>
        <w:t xml:space="preserve">供应商应自觉遵守磋商、评审纪律，扰乱磋商、评审现场秩序的，属于失信行为</w:t>
      </w:r>
      <w:r>
        <w:rPr>
          <w:rFonts w:hint="eastAsia" w:cs="宋体"/>
          <w:color w:val="000000" w:themeColor="text1"/>
          <w:sz w:val="21"/>
          <w:szCs w:val="21"/>
          <w:highlight w:val="none"/>
          <w:lang w:eastAsia="zh-CN"/>
          <w14:textFill>
            <w14:solidFill>
              <w14:schemeClr w14:val="tx1"/>
            </w14:solidFill>
          </w14:textFill>
        </w:rPr>
        <w:t xml:space="preserve">。</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29、成交通知书</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29</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成交通知书发出后，采购人或成交供应商拒绝签订合同的，拒绝签订合同的一方应至少向另一方支付与磋商保证金相等的补偿金，以及为磋商所发生的有关费用和双方商定的其他补偿，并承担相应的法律责任。</w:t>
      </w:r>
      <w:r/>
    </w:p>
    <w:p>
      <w:pPr>
        <w:ind w:firstLine="420"/>
        <w:spacing w:line="360" w:lineRule="auto"/>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4" w:name="_Toc120614220"/>
      <w:r/>
      <w:bookmarkStart w:id="115" w:name="_Toc513029236"/>
      <w:r/>
      <w:bookmarkStart w:id="116" w:name="_Toc16938552"/>
      <w:r/>
      <w:bookmarkStart w:id="117" w:name="_Toc20823308"/>
      <w:r>
        <w:rPr>
          <w:rFonts w:hint="eastAsia"/>
          <w:b/>
          <w:bCs/>
          <w:color w:val="000000" w:themeColor="text1"/>
          <w:sz w:val="21"/>
          <w:szCs w:val="21"/>
          <w:highlight w:val="none"/>
          <w14:textFill>
            <w14:solidFill>
              <w14:schemeClr w14:val="tx1"/>
            </w14:solidFill>
          </w14:textFill>
        </w:rPr>
        <w:t xml:space="preserve">七、授予合同</w:t>
      </w:r>
      <w:bookmarkEnd w:id="114"/>
      <w:r/>
      <w:bookmarkEnd w:id="115"/>
      <w:r/>
      <w:bookmarkEnd w:id="116"/>
      <w:r/>
      <w:bookmarkEnd w:id="117"/>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18" w:name="_Toc16938553"/>
      <w:r/>
      <w:bookmarkStart w:id="119" w:name="_Toc513029237"/>
      <w:r/>
      <w:bookmarkStart w:id="120" w:name="_Toc20823309"/>
      <w:r>
        <w:rPr>
          <w:rFonts w:hint="eastAsia"/>
          <w:b/>
          <w:bCs/>
          <w:color w:val="000000" w:themeColor="text1"/>
          <w:sz w:val="21"/>
          <w:szCs w:val="21"/>
          <w:highlight w:val="none"/>
          <w14:textFill>
            <w14:solidFill>
              <w14:schemeClr w14:val="tx1"/>
            </w14:solidFill>
          </w14:textFill>
        </w:rPr>
        <w:t xml:space="preserve">30. 签订合同</w:t>
      </w:r>
      <w:bookmarkEnd w:id="118"/>
      <w:r/>
      <w:bookmarkEnd w:id="119"/>
      <w:r/>
      <w:bookmarkEnd w:id="120"/>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30.l成交供应商应当在成交通知书发出之日起三十日内，按照磋商文件确定的事项与采购人签订政府采购合同。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30.2 磋商文件、成交供应商的响应文件及磋商过程中有关澄清、承诺文件均应作为合同附件。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30.3 签订合同后，</w:t>
      </w:r>
      <w:r>
        <w:rPr>
          <w:rFonts w:hint="eastAsia"/>
          <w:i/>
          <w:iCs/>
          <w:color w:val="000000" w:themeColor="text1"/>
          <w:sz w:val="21"/>
          <w:szCs w:val="21"/>
          <w:highlight w:val="none"/>
          <w:u w:val="single"/>
          <w14:textFill>
            <w14:solidFill>
              <w14:schemeClr w14:val="tx1"/>
            </w14:solidFill>
          </w14:textFill>
        </w:rPr>
        <w:t xml:space="preserve">成交供应商不得将合同标的进行转包</w:t>
      </w:r>
      <w:r>
        <w:rPr>
          <w:rFonts w:hint="eastAsia"/>
          <w:color w:val="000000" w:themeColor="text1"/>
          <w:sz w:val="21"/>
          <w:szCs w:val="21"/>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31、标的物的追加</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31.1 政府采购合同履行中，采购人需追加与合同标的相同的货物、服务、工程的，在不改变合同其他条款的前提下，可以与成交供应商协商签订补充合同，但所有补充合同的采购金额不超过原合同金额10%。</w:t>
      </w:r>
      <w:bookmarkEnd w:id="19"/>
      <w:r/>
      <w:bookmarkEnd w:id="56"/>
      <w:r/>
      <w:bookmarkEnd w:id="57"/>
      <w:r/>
      <w:bookmarkEnd w:id="58"/>
      <w:r/>
      <w:bookmarkEnd w:id="59"/>
      <w:r/>
      <w:bookmarkEnd w:id="60"/>
      <w:r/>
      <w:bookmarkEnd w:id="61"/>
      <w:r/>
      <w:bookmarkEnd w:id="62"/>
      <w:r/>
      <w:bookmarkEnd w:id="63"/>
      <w:r/>
      <w:bookmarkEnd w:id="72"/>
      <w:r/>
      <w:bookmarkEnd w:id="73"/>
      <w:r/>
      <w:bookmarkEnd w:id="80"/>
      <w:r/>
      <w:r/>
    </w:p>
    <w:p>
      <w:pPr>
        <w:pStyle w:val="645"/>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cs="宋体"/>
          <w:color w:val="000000" w:themeColor="text1"/>
          <w:sz w:val="21"/>
          <w:szCs w:val="21"/>
          <w:highlight w:val="none"/>
          <w:lang w:eastAsia="zh-CN"/>
          <w14:textFill>
            <w14:solidFill>
              <w14:schemeClr w14:val="tx1"/>
            </w14:solidFill>
          </w14:textFill>
        </w:rPr>
      </w:r>
      <w:r/>
    </w:p>
    <w:p>
      <w:pPr>
        <w:pStyle w:val="645"/>
        <w:ind w:left="0" w:right="117"/>
        <w:jc w:val="center"/>
        <w:spacing w:before="154" w:line="355" w:lineRule="auto"/>
        <w:rPr>
          <w:color w:val="000000" w:themeColor="text1"/>
          <w:highlight w:val="none"/>
          <w:lang w:eastAsia="zh-CN"/>
          <w14:textFill>
            <w14:solidFill>
              <w14:schemeClr w14:val="tx1"/>
            </w14:solidFill>
          </w14:textFill>
        </w:rPr>
        <w:outlineLvl w:val="0"/>
      </w:pPr>
      <w:r>
        <w:rPr>
          <w:color w:val="000000" w:themeColor="text1"/>
          <w:sz w:val="21"/>
          <w:szCs w:val="21"/>
          <w:highlight w:val="none"/>
          <w:lang w:eastAsia="zh-CN"/>
          <w14:textFill>
            <w14:solidFill>
              <w14:schemeClr w14:val="tx1"/>
            </w14:solidFill>
          </w14:textFill>
        </w:rPr>
        <w:br w:type="page" w:clear="all"/>
      </w:r>
      <w:bookmarkStart w:id="121" w:name="_bookmark7"/>
      <w:r/>
      <w:bookmarkEnd w:id="121"/>
      <w:r/>
      <w:bookmarkStart w:id="122" w:name="_Toc183610247"/>
      <w:r>
        <w:rPr>
          <w:rFonts w:hint="eastAsia" w:cs="宋体"/>
          <w:b/>
          <w:bCs/>
          <w:color w:val="000000" w:themeColor="text1"/>
          <w:sz w:val="28"/>
          <w:szCs w:val="28"/>
          <w:highlight w:val="none"/>
          <w:lang w:eastAsia="zh-CN"/>
          <w14:textFill>
            <w14:solidFill>
              <w14:schemeClr w14:val="tx1"/>
            </w14:solidFill>
          </w14:textFill>
        </w:rPr>
        <w:t xml:space="preserve">第三章 成交标准</w:t>
      </w:r>
      <w:bookmarkEnd w:id="122"/>
      <w:r/>
      <w:r/>
    </w:p>
    <w:p>
      <w:pPr>
        <w:ind w:firstLine="420"/>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由竞争性磋商小组现场抽签决定推荐顺序。</w:t>
      </w:r>
      <w:r/>
    </w:p>
    <w:tbl>
      <w:tblPr>
        <w:tblStyle w:val="637"/>
        <w:tblW w:w="9915"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09"/>
        <w:gridCol w:w="1162"/>
        <w:gridCol w:w="7087"/>
        <w:gridCol w:w="957"/>
      </w:tblGrid>
      <w:tr>
        <w:trPr>
          <w:jc w:val="center"/>
          <w:trHeight w:val="621"/>
        </w:trPr>
        <w:tc>
          <w:tcPr>
            <w:tcW w:w="709" w:type="dxa"/>
            <w:vAlign w:val="center"/>
            <w:textDirection w:val="lrTb"/>
            <w:noWrap w:val="false"/>
          </w:tcPr>
          <w:p>
            <w:pPr>
              <w:jc w:val="center"/>
              <w:spacing w:line="3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1162" w:type="dxa"/>
            <w:vAlign w:val="center"/>
            <w:textDirection w:val="lrTb"/>
            <w:noWrap w:val="false"/>
          </w:tcPr>
          <w:p>
            <w:pPr>
              <w:jc w:val="center"/>
              <w:spacing w:line="3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评分因素</w:t>
            </w:r>
            <w:r/>
          </w:p>
        </w:tc>
        <w:tc>
          <w:tcPr>
            <w:tcW w:w="7087" w:type="dxa"/>
            <w:vAlign w:val="center"/>
            <w:textDirection w:val="lrTb"/>
            <w:noWrap w:val="false"/>
          </w:tcPr>
          <w:p>
            <w:pPr>
              <w:jc w:val="center"/>
              <w:spacing w:line="3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评审标准</w:t>
            </w:r>
            <w:r/>
          </w:p>
        </w:tc>
        <w:tc>
          <w:tcPr>
            <w:tcW w:w="957" w:type="dxa"/>
            <w:vAlign w:val="center"/>
            <w:textDirection w:val="lrTb"/>
            <w:noWrap w:val="false"/>
          </w:tcPr>
          <w:p>
            <w:pPr>
              <w:jc w:val="center"/>
              <w:spacing w:line="3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r>
      <w:tr>
        <w:trPr>
          <w:jc w:val="center"/>
          <w:trHeight w:val="1253"/>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162"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w:t>
            </w:r>
            <w:r/>
          </w:p>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7087" w:type="dxa"/>
            <w:vAlign w:val="center"/>
            <w:textDirection w:val="lrTb"/>
            <w:noWrap w:val="false"/>
          </w:tcPr>
          <w:p>
            <w:pPr>
              <w:spacing w:line="36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用低价优先法计算，即满足招标文件要求且价格最低的报价为评审基准价，其价格分为满分。其他供应商的价格分统一按照下列公式计算：报价得分=(评审基准价/报价)×10（小数点保留两位）。</w:t>
            </w:r>
            <w:r/>
          </w:p>
        </w:tc>
        <w:tc>
          <w:tcPr>
            <w:tcW w:w="957" w:type="dxa"/>
            <w:vAlign w:val="center"/>
            <w:textDirection w:val="lrTb"/>
            <w:noWrap w:val="false"/>
          </w:tcPr>
          <w:p>
            <w:pPr>
              <w:jc w:val="center"/>
              <w:spacing w:line="36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p>
        </w:tc>
      </w:tr>
      <w:tr>
        <w:trPr>
          <w:jc w:val="center"/>
          <w:trHeight w:val="1904"/>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w:t>
            </w:r>
            <w:r/>
          </w:p>
        </w:tc>
        <w:tc>
          <w:tcPr>
            <w:tcW w:w="1162" w:type="dxa"/>
            <w:vAlign w:val="center"/>
            <w:vMerge w:val="restart"/>
            <w:textDirection w:val="lrTb"/>
            <w:noWrap w:val="false"/>
          </w:tcPr>
          <w:p>
            <w:pPr>
              <w:jc w:val="center"/>
              <w:spacing w:line="360" w:lineRule="auto"/>
              <w:rPr>
                <w:rFonts w:ascii="宋体" w:hAnsi="宋体" w:eastAsia="宋体" w:cs="宋体"/>
                <w:color w:val="000000" w:themeColor="text1"/>
                <w:spacing w:val="-1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服务方案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tc>
        <w:tc>
          <w:tcPr>
            <w:tcW w:w="7087" w:type="dxa"/>
            <w:textDirection w:val="lrTb"/>
            <w:noWrap w:val="false"/>
          </w:tcPr>
          <w:p>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根据供应商针对本项目拟定的总体服务方案（包括但不限于食堂整体管理方案、食堂服务水平及服务质量控制方案、食堂环境布置等）进行综合评分：方案内容方案合理、可行、完善性强得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分；方案合理、可行、完善性较强得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分；方案可行性、合理性较为一般得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分；方案可行性、合理性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分；无此项内容不得分。</w:t>
            </w:r>
            <w:r/>
          </w:p>
        </w:tc>
        <w:tc>
          <w:tcPr>
            <w:tcW w:w="957"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r>
      <w:tr>
        <w:trPr>
          <w:jc w:val="center"/>
          <w:trHeight w:val="1971"/>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w:t>
            </w:r>
            <w:r/>
          </w:p>
        </w:tc>
        <w:tc>
          <w:tcPr>
            <w:tcW w:w="1162" w:type="dxa"/>
            <w:vMerge w:val="continue"/>
            <w:textDirection w:val="lrTb"/>
            <w:noWrap w:val="false"/>
          </w:tcPr>
          <w:p>
            <w:pPr>
              <w:jc w:val="center"/>
              <w:spacing w:line="360" w:lineRule="auto"/>
              <w:rPr>
                <w:rFonts w:ascii="宋体" w:hAnsi="宋体" w:eastAsia="宋体" w:cs="宋体"/>
                <w:color w:val="000000" w:themeColor="text1"/>
                <w:spacing w:val="-10"/>
                <w:sz w:val="21"/>
                <w:szCs w:val="21"/>
                <w:highlight w:val="none"/>
                <w14:textFill>
                  <w14:solidFill>
                    <w14:schemeClr w14:val="tx1"/>
                  </w14:solidFill>
                </w14:textFill>
              </w:rPr>
            </w:pPr>
            <w:r>
              <w:rPr>
                <w:rFonts w:ascii="宋体" w:hAnsi="宋体" w:eastAsia="宋体" w:cs="宋体"/>
                <w:color w:val="000000" w:themeColor="text1"/>
                <w:spacing w:val="-10"/>
                <w:sz w:val="21"/>
                <w:szCs w:val="21"/>
                <w:highlight w:val="none"/>
                <w14:textFill>
                  <w14:solidFill>
                    <w14:schemeClr w14:val="tx1"/>
                  </w14:solidFill>
                </w14:textFill>
              </w:rPr>
            </w:r>
            <w:r/>
          </w:p>
        </w:tc>
        <w:tc>
          <w:tcPr>
            <w:tcW w:w="7087" w:type="dxa"/>
            <w:vAlign w:val="center"/>
            <w:textDirection w:val="lrTb"/>
            <w:noWrap w:val="false"/>
          </w:tcPr>
          <w:p>
            <w:pPr>
              <w:spacing w:line="336"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根据供应商提供的针对本项目的管理规章制度是否规范、完整、科学、可行、合理等方面以及各管理制度的保障机制进行评分：制度及保障机制方案科学合理性强得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分；制度及保障机制方案科学合理，可行性较强得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分；制度及保障机制科学方案可行性、合理性一般得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分；制度及保障机制科学方案可行性、合理性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分；无此项内容不得分。 </w:t>
            </w:r>
            <w:r/>
          </w:p>
        </w:tc>
        <w:tc>
          <w:tcPr>
            <w:tcW w:w="957" w:type="dxa"/>
            <w:vAlign w:val="center"/>
            <w:textDirection w:val="lrTb"/>
            <w:noWrap w:val="false"/>
          </w:tcPr>
          <w:p>
            <w:pPr>
              <w:jc w:val="center"/>
              <w:spacing w:line="336"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r>
      <w:tr>
        <w:trPr>
          <w:jc w:val="center"/>
          <w:trHeight w:val="2440"/>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W w:w="1162" w:type="dxa"/>
            <w:vMerge w:val="continue"/>
            <w:textDirection w:val="lrTb"/>
            <w:noWrap w:val="false"/>
          </w:tcPr>
          <w:p>
            <w:pPr>
              <w:jc w:val="center"/>
              <w:spacing w:line="360" w:lineRule="auto"/>
              <w:rPr>
                <w:rFonts w:ascii="宋体" w:hAnsi="宋体" w:eastAsia="宋体" w:cs="宋体"/>
                <w:color w:val="000000" w:themeColor="text1"/>
                <w:spacing w:val="-10"/>
                <w:sz w:val="21"/>
                <w:szCs w:val="21"/>
                <w:highlight w:val="none"/>
                <w14:textFill>
                  <w14:solidFill>
                    <w14:schemeClr w14:val="tx1"/>
                  </w14:solidFill>
                </w14:textFill>
              </w:rPr>
            </w:pPr>
            <w:r>
              <w:rPr>
                <w:rFonts w:ascii="宋体" w:hAnsi="宋体" w:eastAsia="宋体" w:cs="宋体"/>
                <w:color w:val="000000" w:themeColor="text1"/>
                <w:spacing w:val="-10"/>
                <w:sz w:val="21"/>
                <w:szCs w:val="21"/>
                <w:highlight w:val="none"/>
                <w14:textFill>
                  <w14:solidFill>
                    <w14:schemeClr w14:val="tx1"/>
                  </w14:solidFill>
                </w14:textFill>
              </w:rPr>
            </w:r>
            <w:r/>
          </w:p>
        </w:tc>
        <w:tc>
          <w:tcPr>
            <w:tcW w:w="7087" w:type="dxa"/>
            <w:textDirection w:val="lrTb"/>
            <w:noWrap w:val="false"/>
          </w:tcPr>
          <w:p>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根据供应商提供的卫生管控以及仓库管理方案进行综合评分：卫生管控方案详实、仓库管理整齐规范，各类原材料能分类管理，并根据不同类别张贴识别标识，方案科学合理性强得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分；卫生管控方案、仓库管理方案科学合理，可行性较强得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分；卫生管控方案、仓库管理方案可行性、合理性一般得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分；卫生管控方案、仓库管理方案可行性、合理性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分；无此项内容不得分。</w:t>
            </w:r>
            <w:r/>
          </w:p>
        </w:tc>
        <w:tc>
          <w:tcPr>
            <w:tcW w:w="957"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r>
      <w:tr>
        <w:trPr>
          <w:jc w:val="center"/>
        </w:trPr>
        <w:tc>
          <w:tcPr>
            <w:tcW w:w="709" w:type="dxa"/>
            <w:vAlign w:val="center"/>
            <w:textDirection w:val="lrTb"/>
            <w:noWrap w:val="false"/>
          </w:tcPr>
          <w:p>
            <w:pPr>
              <w:jc w:val="center"/>
              <w:spacing w:line="3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w:t>
            </w:r>
            <w:r/>
          </w:p>
        </w:tc>
        <w:tc>
          <w:tcPr>
            <w:tcW w:w="1162" w:type="dxa"/>
            <w:vMerge w:val="continue"/>
            <w:textDirection w:val="lrTb"/>
            <w:noWrap w:val="false"/>
          </w:tcPr>
          <w:p>
            <w:pPr>
              <w:jc w:val="center"/>
              <w:spacing w:line="360" w:lineRule="auto"/>
              <w:rPr>
                <w:rFonts w:ascii="宋体" w:hAnsi="宋体" w:eastAsia="宋体" w:cs="宋体"/>
                <w:color w:val="000000" w:themeColor="text1"/>
                <w:spacing w:val="-10"/>
                <w:sz w:val="21"/>
                <w:szCs w:val="21"/>
                <w:highlight w:val="none"/>
                <w14:textFill>
                  <w14:solidFill>
                    <w14:schemeClr w14:val="tx1"/>
                  </w14:solidFill>
                </w14:textFill>
              </w:rPr>
            </w:pPr>
            <w:r>
              <w:rPr>
                <w:rFonts w:ascii="宋体" w:hAnsi="宋体" w:eastAsia="宋体" w:cs="宋体"/>
                <w:color w:val="000000" w:themeColor="text1"/>
                <w:spacing w:val="-10"/>
                <w:sz w:val="21"/>
                <w:szCs w:val="21"/>
                <w:highlight w:val="none"/>
                <w14:textFill>
                  <w14:solidFill>
                    <w14:schemeClr w14:val="tx1"/>
                  </w14:solidFill>
                </w14:textFill>
              </w:rPr>
            </w:r>
            <w:r/>
          </w:p>
        </w:tc>
        <w:tc>
          <w:tcPr>
            <w:tcW w:w="7087" w:type="dxa"/>
            <w:textDirection w:val="lrTb"/>
            <w:noWrap w:val="false"/>
          </w:tcPr>
          <w:p>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根据供应商针对本项目拟定的（包括食品安全、消防安全、灾害事件等）及停水停电的应急预案进行综合评分：应急预案科学、合理、可操作性强得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分；应急预案较为科学、合理得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分；应急预案科学、合理性一般得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分；应急预案科学、合理性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分；无此项内容不得分。</w:t>
            </w:r>
            <w:r/>
          </w:p>
        </w:tc>
        <w:tc>
          <w:tcPr>
            <w:tcW w:w="957"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r>
      <w:tr>
        <w:trPr>
          <w:jc w:val="center"/>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2.5</w:t>
            </w:r>
            <w:r/>
          </w:p>
        </w:tc>
        <w:tc>
          <w:tcPr>
            <w:tcW w:w="1162" w:type="dxa"/>
            <w:vMerge w:val="continue"/>
            <w:textDirection w:val="lrTb"/>
            <w:noWrap w:val="false"/>
          </w:tcPr>
          <w:p>
            <w:pPr>
              <w:jc w:val="center"/>
              <w:spacing w:line="360" w:lineRule="auto"/>
              <w:rPr>
                <w:rFonts w:ascii="宋体" w:hAnsi="宋体" w:eastAsia="宋体" w:cs="宋体"/>
                <w:color w:val="000000" w:themeColor="text1"/>
                <w:spacing w:val="-10"/>
                <w:sz w:val="21"/>
                <w:szCs w:val="21"/>
                <w:highlight w:val="none"/>
                <w14:textFill>
                  <w14:solidFill>
                    <w14:schemeClr w14:val="tx1"/>
                  </w14:solidFill>
                </w14:textFill>
              </w:rPr>
            </w:pPr>
            <w:r>
              <w:rPr>
                <w:rFonts w:ascii="宋体" w:hAnsi="宋体" w:eastAsia="宋体" w:cs="宋体"/>
                <w:color w:val="000000" w:themeColor="text1"/>
                <w:spacing w:val="-10"/>
                <w:sz w:val="21"/>
                <w:szCs w:val="21"/>
                <w:highlight w:val="none"/>
                <w14:textFill>
                  <w14:solidFill>
                    <w14:schemeClr w14:val="tx1"/>
                  </w14:solidFill>
                </w14:textFill>
              </w:rPr>
            </w:r>
            <w:r/>
          </w:p>
        </w:tc>
        <w:tc>
          <w:tcPr>
            <w:tcW w:w="7087" w:type="dxa"/>
            <w:textDirection w:val="lrTb"/>
            <w:noWrap w:val="false"/>
          </w:tcPr>
          <w:p>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根据投标人提供的一周菜单、餐饮文化活动方案</w:t>
            </w:r>
            <w:r>
              <w:rPr>
                <w:rFonts w:hint="eastAsia" w:ascii="宋体" w:hAnsi="宋体" w:cs="宋体"/>
                <w:color w:val="000000" w:themeColor="text1"/>
                <w:sz w:val="21"/>
                <w:szCs w:val="21"/>
                <w:highlight w:val="none"/>
                <w:lang w:eastAsia="zh-CN"/>
                <w14:textFill>
                  <w14:solidFill>
                    <w14:schemeClr w14:val="tx1"/>
                  </w14:solidFill>
                </w14:textFill>
              </w:rPr>
              <w:t xml:space="preserve">、超值服务等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包含且不限于就餐场所文化布置、相关主题美食活动、传统节日餐饮活动组织、传统节假日对职工的节日福利、重大活动餐饮服务提升等方案）进行综合评分：方案内容详细全面、科学合理，针对性强、可操作性强得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分；方案内容较为详细全面、科学合理得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分；方案内容基本满足招标人要求得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分；方案内容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较难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满足招标人要求得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分；无此项内容不得分。</w:t>
            </w:r>
            <w:r/>
          </w:p>
        </w:tc>
        <w:tc>
          <w:tcPr>
            <w:tcW w:w="957"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w:t>
            </w:r>
            <w:r/>
          </w:p>
        </w:tc>
      </w:tr>
      <w:tr>
        <w:trPr>
          <w:jc w:val="center"/>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162"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业绩</w:t>
            </w:r>
            <w:r/>
          </w:p>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7087" w:type="dxa"/>
            <w:vAlign w:val="center"/>
            <w:textDirection w:val="lrTb"/>
            <w:noWrap w:val="false"/>
          </w:tcPr>
          <w:p>
            <w:pPr>
              <w:spacing w:line="36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投标人提供自202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年1月1日以来承接过类似业绩，每提供一个得</w:t>
            </w:r>
            <w:r>
              <w:rPr>
                <w:rFonts w:hint="eastAsia" w:ascii="宋体" w:hAnsi="宋体" w:cs="宋体"/>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分，本项最多</w:t>
            </w:r>
            <w:r>
              <w:rPr>
                <w:rFonts w:hint="eastAsia" w:ascii="宋体" w:hAnsi="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分。时间以合同为准，须提供合同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等相关证明材料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加盖公章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，不提供不得分。</w:t>
            </w:r>
            <w:r/>
          </w:p>
        </w:tc>
        <w:tc>
          <w:tcPr>
            <w:tcW w:w="957" w:type="dxa"/>
            <w:vAlign w:val="center"/>
            <w:textDirection w:val="lrTb"/>
            <w:noWrap w:val="false"/>
          </w:tcPr>
          <w:p>
            <w:pPr>
              <w:jc w:val="center"/>
              <w:spacing w:line="36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10</w:t>
            </w:r>
            <w:r/>
          </w:p>
        </w:tc>
      </w:tr>
      <w:tr>
        <w:trPr>
          <w:jc w:val="center"/>
          <w:trHeight w:val="1697"/>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162"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人员配置</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7087" w:type="dxa"/>
            <w:textDirection w:val="lrTb"/>
            <w:noWrap w:val="false"/>
          </w:tcPr>
          <w:p>
            <w:pPr>
              <w:spacing w:line="336"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.投入本项目的厨师具有厨师职业证书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4分/人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spacing w:line="336"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项目组成员具有面点师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具有面点师初级及以上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证书或营养师证书原件扫描件加盖公章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得2分。</w:t>
            </w:r>
            <w:r/>
          </w:p>
          <w:p>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以上人员不可兼任，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人员有效身份证（双面）原件扫描件加盖公章、证书原件扫描件加盖公章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和投标截止日期前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三个月（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2026年4月-2026年6月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）内任意一个月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人员社保缴纳证明材料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957" w:type="dxa"/>
            <w:vAlign w:val="center"/>
            <w:textDirection w:val="lrTb"/>
            <w:noWrap w:val="false"/>
          </w:tcPr>
          <w:p>
            <w:pPr>
              <w:jc w:val="cente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0</w:t>
            </w:r>
            <w:r/>
          </w:p>
        </w:tc>
      </w:tr>
      <w:tr>
        <w:trPr>
          <w:jc w:val="center"/>
          <w:trHeight w:val="572"/>
        </w:trPr>
        <w:tc>
          <w:tcPr>
            <w:gridSpan w:val="2"/>
            <w:tcW w:w="1871"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合计</w:t>
            </w:r>
            <w:r/>
          </w:p>
        </w:tc>
        <w:tc>
          <w:tcPr>
            <w:gridSpan w:val="2"/>
            <w:tcW w:w="8044"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w:t>
            </w:r>
            <w:r/>
          </w:p>
        </w:tc>
      </w:tr>
    </w:tbl>
    <w:p>
      <w:pPr>
        <w:ind w:firstLine="420"/>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ind w:firstLine="420"/>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备注：</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1.对国家认定的节能产品和环保产品给予报价的 5%价格扣除，用扣除后的价格参与评审（特别说明：节能、环保产品必须纳入“中国政府采购网 http://www.ccgp.gov.cn”等官方网站“环保产品查询系统”，且以提供的证书为准）。</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2.小微企业价格扣除</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3.监狱和戒毒企业的价格扣除</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3.1 本项目对监狱和戒毒企业，</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给予价格扣除。</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3.2 监狱企业需提供由省级以上监狱管理局、戒毒管理局（含新疆生产建设兵团）出具的属于监狱企业的证明文件。</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3.3 监狱企业标准请参照《关于政府采购支持监狱企业发展有关问题的通知》（财库〔2014〕68号）。</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4.残疾人福利性单位的价格扣除</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4.1 本项目对残疾人福利性单位，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给予价格扣除。</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4.2 残疾人福利性单位需提供《残疾人福利性单位声明函》</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4.3 残疾人福利性单位标准请参照《关于促进残疾人就业政府采购政策的通知》（财库〔2017〕141号）。</w:t>
      </w:r>
      <w:r/>
    </w:p>
    <w:p>
      <w:pPr>
        <w:spacing w:line="340" w:lineRule="exact"/>
        <w:rPr>
          <w:rFonts w:ascii="Ari"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 监狱企业、残疾人福利性单位属于小型、微型企业的，不重复享受政策。</w:t>
      </w:r>
      <w:r/>
    </w:p>
    <w:p>
      <w:pPr>
        <w:ind w:firstLine="440"/>
        <w:spacing w:line="340" w:lineRule="exact"/>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r>
      <w:r/>
    </w:p>
    <w:p>
      <w:pPr>
        <w:ind w:firstLine="44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jc w:val="center"/>
        <w:spacing w:line="360" w:lineRule="auto"/>
        <w:rPr>
          <w:rFonts w:ascii="黑体" w:hAnsi="黑体" w:eastAsia="黑体" w:cs="黑体"/>
          <w:b/>
          <w:color w:val="000000" w:themeColor="text1"/>
          <w:sz w:val="32"/>
          <w:szCs w:val="32"/>
          <w:highlight w:val="none"/>
          <w:lang w:val="zh-CN" w:eastAsia="zh-CN"/>
          <w14:textFill>
            <w14:solidFill>
              <w14:schemeClr w14:val="tx1"/>
            </w14:solidFill>
          </w14:textFill>
        </w:rPr>
        <w:outlineLvl w:val="0"/>
      </w:pPr>
      <w:r/>
      <w:bookmarkStart w:id="123" w:name="_bookmark8"/>
      <w:r/>
      <w:bookmarkEnd w:id="123"/>
      <w:r/>
      <w:bookmarkStart w:id="124" w:name="第四章__采购项目需求"/>
      <w:r/>
      <w:bookmarkEnd w:id="124"/>
      <w:r>
        <w:rPr>
          <w:rFonts w:hint="eastAsia" w:ascii="宋体" w:hAnsi="宋体" w:eastAsia="宋体" w:cs="宋体"/>
          <w:b/>
          <w:color w:val="000000" w:themeColor="text1"/>
          <w:sz w:val="28"/>
          <w:szCs w:val="28"/>
          <w:highlight w:val="none"/>
          <w:lang w:val="zh-CN" w:eastAsia="zh-CN"/>
          <w14:textFill>
            <w14:solidFill>
              <w14:schemeClr w14:val="tx1"/>
            </w14:solidFill>
          </w14:textFill>
        </w:rPr>
        <w:br w:type="column"/>
      </w:r>
      <w:bookmarkStart w:id="125" w:name="_Toc183610248"/>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第四章 采购需求</w:t>
      </w:r>
      <w:bookmarkEnd w:id="125"/>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26" w:name="第五章__合同草案条款及格式"/>
      <w:r/>
      <w:bookmarkEnd w:id="126"/>
      <w:r>
        <w:rPr>
          <w:rFonts w:hint="eastAsia" w:ascii="宋体" w:hAnsi="宋体" w:eastAsia="宋体" w:cs="宋体"/>
          <w:b/>
          <w:bCs/>
          <w:color w:val="000000" w:themeColor="text1"/>
          <w:sz w:val="24"/>
          <w:szCs w:val="24"/>
          <w:highlight w:val="none"/>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highlight w:val="none"/>
          <w14:textFill>
            <w14:solidFill>
              <w14:schemeClr w14:val="tx1"/>
            </w14:solidFill>
          </w14:textFill>
        </w:rPr>
        <w:t xml:space="preserve">概况：</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为进一步加强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滨江开发区派出所</w:t>
      </w:r>
      <w:r>
        <w:rPr>
          <w:rFonts w:hint="eastAsia" w:ascii="宋体" w:hAnsi="宋体" w:eastAsia="宋体" w:cs="宋体"/>
          <w:color w:val="000000" w:themeColor="text1"/>
          <w:sz w:val="24"/>
          <w:szCs w:val="24"/>
          <w:highlight w:val="none"/>
          <w14:textFill>
            <w14:solidFill>
              <w14:schemeClr w14:val="tx1"/>
            </w14:solidFill>
          </w14:textFill>
        </w:rPr>
        <w:t xml:space="preserve">食堂规范化管理，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滨江开发区派出所</w:t>
      </w:r>
      <w:r>
        <w:rPr>
          <w:rFonts w:hint="eastAsia" w:ascii="宋体" w:hAnsi="宋体" w:eastAsia="宋体" w:cs="宋体"/>
          <w:color w:val="000000" w:themeColor="text1"/>
          <w:sz w:val="24"/>
          <w:szCs w:val="24"/>
          <w:highlight w:val="none"/>
          <w14:textFill>
            <w14:solidFill>
              <w14:schemeClr w14:val="tx1"/>
            </w14:solidFill>
          </w14:textFill>
        </w:rPr>
        <w:t xml:space="preserve">拟改变食堂管理模式，由自主管理食堂转为外包经营管理，通过外包食堂经营管理，释放聘用辅警人员力量，提高就餐便利及体验，保障伙食营养，避免浪费，同时也提高民、辅警干事创业的工作积极性。</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二、项目地点：</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江苏省南京市江宁区滨江开发区盛安大道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700</w:t>
      </w:r>
      <w:r>
        <w:rPr>
          <w:rFonts w:hint="eastAsia" w:ascii="宋体" w:hAnsi="宋体" w:eastAsia="宋体" w:cs="宋体"/>
          <w:color w:val="000000" w:themeColor="text1"/>
          <w:sz w:val="24"/>
          <w:szCs w:val="24"/>
          <w:highlight w:val="none"/>
          <w14:textFill>
            <w14:solidFill>
              <w14:schemeClr w14:val="tx1"/>
            </w14:solidFill>
          </w14:textFill>
        </w:rPr>
        <w:t xml:space="preserve">号。</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三、服务期：</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四、就餐概况</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1、供应商负责供应采购人的供餐，工作点需现场烹制，现场服务。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2、供应商负责供应采购人工作日早餐(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130</w:t>
      </w:r>
      <w:r>
        <w:rPr>
          <w:rFonts w:hint="eastAsia" w:ascii="宋体" w:hAnsi="宋体" w:eastAsia="宋体" w:cs="宋体"/>
          <w:color w:val="000000" w:themeColor="text1"/>
          <w:sz w:val="24"/>
          <w:szCs w:val="24"/>
          <w:highlight w:val="none"/>
          <w14:textFill>
            <w14:solidFill>
              <w14:schemeClr w14:val="tx1"/>
            </w14:solidFill>
          </w14:textFill>
        </w:rPr>
        <w:t xml:space="preserve">人）、午餐（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170</w:t>
      </w:r>
      <w:r>
        <w:rPr>
          <w:rFonts w:hint="eastAsia" w:ascii="宋体" w:hAnsi="宋体" w:eastAsia="宋体" w:cs="宋体"/>
          <w:color w:val="000000" w:themeColor="text1"/>
          <w:sz w:val="24"/>
          <w:szCs w:val="24"/>
          <w:highlight w:val="none"/>
          <w14:textFill>
            <w14:solidFill>
              <w14:schemeClr w14:val="tx1"/>
            </w14:solidFill>
          </w14:textFill>
        </w:rPr>
        <w:t xml:space="preserve">人）、晚餐（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宋体"/>
          <w:color w:val="000000" w:themeColor="text1"/>
          <w:sz w:val="24"/>
          <w:szCs w:val="24"/>
          <w:highlight w:val="none"/>
          <w14:textFill>
            <w14:solidFill>
              <w14:schemeClr w14:val="tx1"/>
            </w14:solidFill>
          </w14:textFill>
        </w:rPr>
        <w:t xml:space="preserve">人）、夜餐（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3、供应商负责供应采购人休息日早餐(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80</w:t>
      </w:r>
      <w:r>
        <w:rPr>
          <w:rFonts w:hint="eastAsia" w:ascii="宋体" w:hAnsi="宋体" w:eastAsia="宋体" w:cs="宋体"/>
          <w:color w:val="000000" w:themeColor="text1"/>
          <w:sz w:val="24"/>
          <w:szCs w:val="24"/>
          <w:highlight w:val="none"/>
          <w14:textFill>
            <w14:solidFill>
              <w14:schemeClr w14:val="tx1"/>
            </w14:solidFill>
          </w14:textFill>
        </w:rPr>
        <w:t xml:space="preserve">人）、午餐（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122</w:t>
      </w:r>
      <w:r>
        <w:rPr>
          <w:rFonts w:hint="eastAsia" w:ascii="宋体" w:hAnsi="宋体" w:eastAsia="宋体" w:cs="宋体"/>
          <w:color w:val="000000" w:themeColor="text1"/>
          <w:sz w:val="24"/>
          <w:szCs w:val="24"/>
          <w:highlight w:val="none"/>
          <w14:textFill>
            <w14:solidFill>
              <w14:schemeClr w14:val="tx1"/>
            </w14:solidFill>
          </w14:textFill>
        </w:rPr>
        <w:t xml:space="preserve">人）、晚餐（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80</w:t>
      </w:r>
      <w:r>
        <w:rPr>
          <w:rFonts w:hint="eastAsia" w:ascii="宋体" w:hAnsi="宋体" w:eastAsia="宋体" w:cs="宋体"/>
          <w:color w:val="000000" w:themeColor="text1"/>
          <w:sz w:val="24"/>
          <w:szCs w:val="24"/>
          <w:highlight w:val="none"/>
          <w14:textFill>
            <w14:solidFill>
              <w14:schemeClr w14:val="tx1"/>
            </w14:solidFill>
          </w14:textFill>
        </w:rPr>
        <w:t xml:space="preserve">人）、夜餐（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4、全年工作日为250天，休息日为115天。</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五、岗位配备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配备人员不少于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人，具体以满足采购人项目实施要求为准。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大厨2</w:t>
      </w:r>
      <w:r>
        <w:rPr>
          <w:rFonts w:hint="eastAsia" w:ascii="宋体" w:hAnsi="宋体" w:eastAsia="宋体" w:cs="宋体"/>
          <w:color w:val="000000" w:themeColor="text1"/>
          <w:sz w:val="24"/>
          <w:szCs w:val="24"/>
          <w:highlight w:val="none"/>
          <w14:textFill>
            <w14:solidFill>
              <w14:schemeClr w14:val="tx1"/>
            </w14:solidFill>
          </w14:textFill>
        </w:rPr>
        <w:t xml:space="preserve">名；</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、面点师1名；</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、杂工2名。</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六、服务要求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1、早餐：按照固定模式供餐，需满足规定人数用餐量。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 xml:space="preserve">（品种：面条，蛋炒饭，包子，油条，稀饭，鸡蛋，小菜。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2、午餐：按照固定模式供餐，需满足规定人数用餐量。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 xml:space="preserve">（品种：两大荤，两小荤，两素菜，荤汤，主食，水果，酸奶。）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3、晚餐：按照固定模式供餐，需满足规定人数用餐量。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 xml:space="preserve">（品种：两大荤，两小荤，两素菜，一汤，主食，水果，酸奶。）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4、夜餐：按照固定模式供餐，需满足规定人数用餐量。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 xml:space="preserve">（品种：蛋炒饭，面条，鸡蛋，馒头，稀饭，小菜。）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5、包间餐：由于不可抗拒的原因造成工作餐误餐，需按采购人要求提供包间用餐及服务。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6、如有会议等特殊情况，需要增加供餐份数或包间餐，供应商1小时内响应。</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7、提供全年全天候服务，服务人员需24小时待命，如遇突发情况，随时响应。</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8、如采购人有临时非工作点送餐需求，需随时响应，保证配送服务到位。</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9、供应商应按照采购人要求将每周菜单上报给分管领导确认后公布在明显位置，保证主副食花色品种不断翻新和多样化。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10、供应商必须严格执行食堂的相关规章制度、必须满足采购人的用餐需求，不得对外营业。所有管理制度必须实行上墙公示。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11、食堂所有员工必须“两证”齐全(身份证、健康证)，并报采购人办公室登记备案。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14、供应商必须严格履行供应合同要求，不得在中标后转包或分包给他人经营。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15、食堂的水、电、燃气等费用由采购人承担。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16、不得违反国家的相关法律、法规。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17、成交单位成交后须提供加盖公章的内容与苏采云系统内上传内容一致的竞争性磋商响应纸质文件三份（一正二副，胶装装订）。</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七、考核</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采购人每季度组织就餐人员对食堂的菜肴、服务等进行评分。如一年度内两次考核评分均不足80分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或一次低于60分</w:t>
      </w:r>
      <w:r>
        <w:rPr>
          <w:rFonts w:hint="eastAsia" w:ascii="宋体" w:hAnsi="宋体" w:eastAsia="宋体" w:cs="宋体"/>
          <w:color w:val="000000" w:themeColor="text1"/>
          <w:sz w:val="24"/>
          <w:szCs w:val="24"/>
          <w:highlight w:val="none"/>
          <w14:textFill>
            <w14:solidFill>
              <w14:schemeClr w14:val="tx1"/>
            </w14:solidFill>
          </w14:textFill>
        </w:rPr>
        <w:t xml:space="preserve">，采购人有权终止合同。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八、付款方式</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1.食堂托管服务费每季度结算一次，餐费于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每季度结束</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次月10号前</w:t>
      </w:r>
      <w:r>
        <w:rPr>
          <w:rFonts w:hint="eastAsia" w:eastAsia="宋体"/>
          <w:color w:val="000000" w:themeColor="text1"/>
          <w:highlight w:val="none"/>
          <w:lang w:val="en-US" w:eastAsia="zh-CN"/>
          <w14:textFill>
            <w14:solidFill>
              <w14:schemeClr w14:val="tx1"/>
            </w14:solidFill>
          </w14:textFill>
        </w:rPr>
        <w:t xml:space="preserve">向</w:t>
      </w:r>
      <w:r>
        <w:rPr>
          <w:rFonts w:hint="eastAsia" w:eastAsia="宋体"/>
          <w:b/>
          <w:bCs/>
          <w:color w:val="000000" w:themeColor="text1"/>
          <w:highlight w:val="none"/>
          <w:lang w:val="en-US" w:eastAsia="zh-CN"/>
          <w14:textFill>
            <w14:solidFill>
              <w14:schemeClr w14:val="tx1"/>
            </w14:solidFill>
          </w14:textFill>
        </w:rPr>
        <w:t xml:space="preserve">采购人</w:t>
      </w:r>
      <w:r>
        <w:rPr>
          <w:rFonts w:hint="eastAsia" w:eastAsia="宋体"/>
          <w:color w:val="000000" w:themeColor="text1"/>
          <w:highlight w:val="none"/>
          <w:lang w:val="en-US" w:eastAsia="zh-CN"/>
          <w14:textFill>
            <w14:solidFill>
              <w14:schemeClr w14:val="tx1"/>
            </w14:solidFill>
          </w14:textFill>
        </w:rPr>
        <w:t xml:space="preserve">递交</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结算</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价格单</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待甲方确认后</w:t>
      </w:r>
      <w:r>
        <w:rPr>
          <w:rFonts w:hint="eastAsia"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需提供正规</w:t>
      </w:r>
      <w:r>
        <w:rPr>
          <w:rFonts w:hint="eastAsia" w:eastAsia="宋体"/>
          <w:color w:val="000000" w:themeColor="text1"/>
          <w:highlight w:val="none"/>
          <w:lang w:val="en-US" w:eastAsia="zh-CN"/>
          <w14:textFill>
            <w14:solidFill>
              <w14:schemeClr w14:val="tx1"/>
            </w14:solidFill>
          </w14:textFill>
        </w:rPr>
        <w:t xml:space="preserve">增值税</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发票</w:t>
      </w:r>
      <w:r>
        <w:rPr>
          <w:rFonts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超过合同内每餐</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的就餐人数，由</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根据</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乙方中标的</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就餐标准额外补助给</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乙方，总补助金额不超过合同价的10%</w:t>
      </w:r>
      <w:r>
        <w:rPr>
          <w:rFonts w:hint="eastAsia" w:eastAsia="宋体"/>
          <w:color w:val="000000" w:themeColor="text1"/>
          <w:highlight w:val="none"/>
          <w:lang w:eastAsia="zh-CN"/>
          <w14:textFill>
            <w14:solidFill>
              <w14:schemeClr w14:val="tx1"/>
            </w14:solidFill>
          </w14:textFill>
        </w:rPr>
        <w:t xml:space="preserve">，</w:t>
      </w:r>
      <w:r>
        <w:rPr>
          <w:rFonts w:hint="eastAsia" w:eastAsia="宋体"/>
          <w:b/>
          <w:bCs/>
          <w:color w:val="000000" w:themeColor="text1"/>
          <w:highlight w:val="none"/>
          <w:lang w:val="en-US" w:eastAsia="zh-CN"/>
          <w14:textFill>
            <w14:solidFill>
              <w14:schemeClr w14:val="tx1"/>
            </w14:solidFill>
          </w14:textFill>
        </w:rPr>
        <w:t xml:space="preserve">供应商须提供相应凭证或手续</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3.本合同项下所有款项均以人民币支付。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4.本合同项下的采购资金由乙方开具</w:t>
      </w:r>
      <w:r>
        <w:rPr>
          <w:rFonts w:hint="eastAsia" w:eastAsia="宋体"/>
          <w:b/>
          <w:bCs/>
          <w:color w:val="000000" w:themeColor="text1"/>
          <w:highlight w:val="none"/>
          <w:lang w:val="en-US" w:eastAsia="zh-CN"/>
          <w14:textFill>
            <w14:solidFill>
              <w14:schemeClr w14:val="tx1"/>
            </w14:solidFill>
          </w14:textFill>
        </w:rPr>
        <w:t xml:space="preserve">增值税专用</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发票。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14:textFill>
            <w14:solidFill>
              <w14:schemeClr w14:val="tx1"/>
            </w14:solidFill>
          </w14:textFill>
        </w:rPr>
        <w:t xml:space="preserve">食堂管理考核方案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为进一步加强对食堂的监督检查，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加强</w:t>
      </w:r>
      <w:r>
        <w:rPr>
          <w:rFonts w:hint="eastAsia" w:ascii="宋体" w:hAnsi="宋体" w:eastAsia="宋体" w:cs="宋体"/>
          <w:color w:val="000000" w:themeColor="text1"/>
          <w:sz w:val="24"/>
          <w:szCs w:val="24"/>
          <w:highlight w:val="none"/>
          <w14:textFill>
            <w14:solidFill>
              <w14:schemeClr w14:val="tx1"/>
            </w14:solidFill>
          </w14:textFill>
        </w:rPr>
        <w:t xml:space="preserve">饮食安全，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保证</w:t>
      </w:r>
      <w:r>
        <w:rPr>
          <w:rFonts w:hint="eastAsia" w:ascii="宋体" w:hAnsi="宋体" w:eastAsia="宋体" w:cs="宋体"/>
          <w:color w:val="000000" w:themeColor="text1"/>
          <w:sz w:val="24"/>
          <w:szCs w:val="24"/>
          <w:highlight w:val="none"/>
          <w14:textFill>
            <w14:solidFill>
              <w14:schemeClr w14:val="tx1"/>
            </w14:solidFill>
          </w14:textFill>
        </w:rPr>
        <w:t xml:space="preserve">服务质量，现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w:t>
      </w:r>
      <w:r>
        <w:rPr>
          <w:rFonts w:hint="eastAsia" w:ascii="宋体" w:hAnsi="宋体" w:eastAsia="宋体" w:cs="宋体"/>
          <w:color w:val="000000" w:themeColor="text1"/>
          <w:sz w:val="24"/>
          <w:szCs w:val="24"/>
          <w:highlight w:val="none"/>
          <w14:textFill>
            <w14:solidFill>
              <w14:schemeClr w14:val="tx1"/>
            </w14:solidFill>
          </w14:textFill>
        </w:rPr>
        <w:t xml:space="preserve">食堂管理考核方案，具体办法如下：</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1、检查考核人员的组成：食堂后勤管理办及全体职工</w:t>
      </w:r>
      <w:r/>
    </w:p>
    <w:p>
      <w:pPr>
        <w:ind w:firstLine="480"/>
        <w:keepLines w:val="0"/>
        <w:keepNext w:val="0"/>
        <w:pageBreakBefore w:val="0"/>
        <w:spacing w:line="360" w:lineRule="auto"/>
        <w:widowControl w:val="off"/>
        <w:rPr>
          <w:rFonts w:cs="宋体" w:asciiTheme="minorEastAsia" w:hAnsiTheme="minorEastAsia" w:eastAsiaTheme="minorEastAsia"/>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2、检查范围：菜肴质量、服务质量、卫生标准、食堂管理及员工满意率等。采购人每季度组织</w:t>
      </w:r>
      <w:r>
        <w:rPr>
          <w:rFonts w:hint="eastAsia" w:eastAsia="宋体"/>
          <w:color w:val="000000" w:themeColor="text1"/>
          <w:highlight w:val="none"/>
          <w:lang w:val="en-US" w:eastAsia="zh-CN"/>
          <w14:textFill>
            <w14:solidFill>
              <w14:schemeClr w14:val="tx1"/>
            </w14:solidFill>
          </w14:textFill>
        </w:rPr>
        <w:t xml:space="preserve">不低于最多就餐人数的一半</w:t>
      </w:r>
      <w:r>
        <w:rPr>
          <w:rFonts w:hint="eastAsia" w:ascii="宋体" w:hAnsi="宋体" w:eastAsia="宋体" w:cs="宋体"/>
          <w:color w:val="000000" w:themeColor="text1"/>
          <w:sz w:val="24"/>
          <w:szCs w:val="24"/>
          <w:highlight w:val="none"/>
          <w14:textFill>
            <w14:solidFill>
              <w14:schemeClr w14:val="tx1"/>
            </w14:solidFill>
          </w14:textFill>
        </w:rPr>
        <w:t xml:space="preserve">对食堂的菜肴、服务等进行评分。满分为100分，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总平均分</w:t>
      </w:r>
      <w:r>
        <w:rPr>
          <w:rFonts w:hint="eastAsia" w:ascii="宋体" w:hAnsi="宋体" w:eastAsia="宋体" w:cs="宋体"/>
          <w:color w:val="000000" w:themeColor="text1"/>
          <w:sz w:val="24"/>
          <w:szCs w:val="24"/>
          <w:highlight w:val="none"/>
          <w14:textFill>
            <w14:solidFill>
              <w14:schemeClr w14:val="tx1"/>
            </w14:solidFill>
          </w14:textFill>
        </w:rPr>
        <w:t xml:space="preserve">60分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为及格分。</w:t>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3、考核办法：在考核中，根据检查评比结果（以下表内容为主），结合员工满意度，测算最终分值。90分及以上为非常满意；80-89分为基本满意；60-79分为合格；低于60分为不合格。如一年度内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color w:val="000000" w:themeColor="text1"/>
          <w:sz w:val="24"/>
          <w:szCs w:val="24"/>
          <w:highlight w:val="none"/>
          <w14:textFill>
            <w14:solidFill>
              <w14:schemeClr w14:val="tx1"/>
            </w14:solidFill>
          </w14:textFill>
        </w:rPr>
        <w:t xml:space="preserve">两次考核评分均不足80分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或有一次低于60分</w:t>
      </w:r>
      <w:r>
        <w:rPr>
          <w:rFonts w:hint="eastAsia" w:ascii="宋体" w:hAnsi="宋体" w:eastAsia="宋体" w:cs="宋体"/>
          <w:color w:val="000000" w:themeColor="text1"/>
          <w:sz w:val="24"/>
          <w:szCs w:val="24"/>
          <w:highlight w:val="none"/>
          <w14:textFill>
            <w14:solidFill>
              <w14:schemeClr w14:val="tx1"/>
            </w14:solidFill>
          </w14:textFill>
        </w:rPr>
        <w:t xml:space="preserve">，采购人有权终止合同。</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850"/>
        <w:gridCol w:w="4676"/>
        <w:gridCol w:w="1350"/>
        <w:gridCol w:w="820"/>
        <w:gridCol w:w="870"/>
      </w:tblGrid>
      <w:tr>
        <w:trPr/>
        <w:tc>
          <w:tcPr>
            <w:gridSpan w:val="6"/>
            <w:tcW w:w="9332" w:type="dxa"/>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食堂管理考核表</w:t>
            </w:r>
            <w:r/>
          </w:p>
        </w:tc>
      </w:tr>
      <w:tr>
        <w:trPr/>
        <w:tc>
          <w:tcPr>
            <w:tcW w:w="766"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项目</w:t>
            </w:r>
            <w:r/>
          </w:p>
        </w:tc>
        <w:tc>
          <w:tcPr>
            <w:gridSpan w:val="2"/>
            <w:tcW w:w="5526"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检查具体内容</w:t>
            </w:r>
            <w:r/>
          </w:p>
        </w:tc>
        <w:tc>
          <w:tcPr>
            <w:tcW w:w="135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评分标准</w:t>
            </w:r>
            <w:r/>
          </w:p>
        </w:tc>
        <w:tc>
          <w:tcPr>
            <w:tcW w:w="82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分值</w:t>
            </w:r>
            <w:r/>
          </w:p>
        </w:tc>
        <w:tc>
          <w:tcPr>
            <w:tcW w:w="87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得分</w:t>
            </w:r>
            <w:r/>
          </w:p>
        </w:tc>
      </w:tr>
      <w:tr>
        <w:trPr/>
        <w:tc>
          <w:tcPr>
            <w:tcW w:w="766" w:type="dxa"/>
            <w:vAlign w:val="center"/>
            <w:vMerge w:val="restart"/>
            <w:textDirection w:val="lrTb"/>
            <w:noWrap w:val="false"/>
          </w:tcPr>
          <w:p>
            <w:pPr>
              <w:jc w:val="center"/>
              <w:rPr>
                <w:rFonts w:hint="eastAsia" w:eastAsiaTheme="minorEastAsia"/>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菜肴</w:t>
            </w:r>
            <w:r>
              <w:rPr>
                <w:rFonts w:hint="eastAsia" w:ascii="宋体" w:hAnsi="宋体" w:eastAsia="宋体" w:cs="宋体"/>
                <w:color w:val="000000" w:themeColor="text1"/>
                <w:highlight w:val="none"/>
                <w14:textFill>
                  <w14:solidFill>
                    <w14:schemeClr w14:val="tx1"/>
                  </w14:solidFill>
                </w14:textFill>
              </w:rPr>
              <w:t xml:space="preserve">质量</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1、需建立采购食品台账，账面数据包括采购日期、名称、数量、单价等</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有一项不合格减3分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2、主食米、面、油、肉等原料必须从正规渠道进货</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3、采购的蔬菜要求新鲜、干净无污染</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4、采购半成品食品必须达到卫生标准要求，要标有生产日期及保质期，无霉味、异味现象</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供餐</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1、饭菜不熟或口感较差现象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发现一项或有人举报（经核实后）一次减2分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2、饭菜内发现异物、杂物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3、隔夜饭菜不超过12小时，</w:t>
            </w:r>
            <w:r>
              <w:rPr>
                <w:rFonts w:hint="eastAsia" w:ascii="宋体" w:hAnsi="宋体" w:eastAsia="宋体" w:cs="宋体"/>
                <w:color w:val="000000" w:themeColor="text1"/>
                <w:highlight w:val="none"/>
                <w:lang w:eastAsia="zh-CN"/>
                <w14:textFill>
                  <w14:solidFill>
                    <w14:schemeClr w14:val="tx1"/>
                  </w14:solidFill>
                </w14:textFill>
              </w:rPr>
              <w:t xml:space="preserve">出柜</w:t>
            </w:r>
            <w:r>
              <w:rPr>
                <w:rFonts w:hint="eastAsia" w:ascii="宋体" w:hAnsi="宋体" w:eastAsia="宋体" w:cs="宋体"/>
                <w:color w:val="000000" w:themeColor="text1"/>
                <w:highlight w:val="none"/>
                <w14:textFill>
                  <w14:solidFill>
                    <w14:schemeClr w14:val="tx1"/>
                  </w14:solidFill>
                </w14:textFill>
              </w:rPr>
              <w:t xml:space="preserve">时必须高温加热</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4、超过规定用餐时间</w:t>
            </w:r>
            <w:r>
              <w:rPr>
                <w:rFonts w:hint="eastAsia" w:ascii="宋体" w:hAnsi="宋体" w:eastAsia="宋体" w:cs="宋体"/>
                <w:color w:val="000000" w:themeColor="text1"/>
                <w:highlight w:val="none"/>
                <w:lang w:eastAsia="zh-CN"/>
                <w14:textFill>
                  <w14:solidFill>
                    <w14:schemeClr w14:val="tx1"/>
                  </w14:solidFill>
                </w14:textFill>
              </w:rPr>
              <w:t xml:space="preserve">出柜</w:t>
            </w:r>
            <w:r>
              <w:rPr>
                <w:rFonts w:hint="eastAsia" w:ascii="宋体" w:hAnsi="宋体" w:eastAsia="宋体" w:cs="宋体"/>
                <w:color w:val="000000" w:themeColor="text1"/>
                <w:highlight w:val="none"/>
                <w14:textFill>
                  <w14:solidFill>
                    <w14:schemeClr w14:val="tx1"/>
                  </w14:solidFill>
                </w14:textFill>
              </w:rPr>
              <w:t xml:space="preserve">的饭菜必须加热</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工作餐搭配</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1、早餐时间合理</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每少一种减1分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2、午餐荤素营养搭配合理，种类不少于6种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3、晚餐荤素营养搭配合理，种类不少于5种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4、每日三餐汤类不可重复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服务质量</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仪容仪表</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1、厨师工作期间需着整洁干净的衣服</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发现一人次减2分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2、不允许佩戴手饰、双手干净</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3、操作时禁止吸烟、挖鼻孔、对食品打喷嚏等不卫生行为</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、供餐</w:t>
            </w:r>
            <w:r>
              <w:rPr>
                <w:rFonts w:hint="eastAsia" w:ascii="宋体" w:hAnsi="宋体" w:eastAsia="宋体" w:cs="宋体"/>
                <w:color w:val="000000" w:themeColor="text1"/>
                <w:highlight w:val="none"/>
                <w14:textFill>
                  <w14:solidFill>
                    <w14:schemeClr w14:val="tx1"/>
                  </w14:solidFill>
                </w14:textFill>
              </w:rPr>
              <w:t xml:space="preserve">时不能用手接触，必须戴一次性手套、口罩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1、食堂服务人员要微笑服务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不文明行为减2分，每人举报1次减4分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2、不得发生争吵、打骂行为</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3、按规定时间开饭、回收餐具</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卫生标准</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制作</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1、生、熟食品分开</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发现一次扣</w:t>
            </w:r>
            <w:r>
              <w:rPr>
                <w:rFonts w:hint="eastAsia" w:ascii="宋体" w:hAnsi="宋体" w:eastAsia="宋体" w:cs="宋体"/>
                <w:color w:val="000000" w:themeColor="text1"/>
                <w:highlight w:val="none"/>
                <w:lang w:val="en-US" w:eastAsia="zh-CN"/>
                <w14:textFill>
                  <w14:solidFill>
                    <w14:schemeClr w14:val="tx1"/>
                  </w14:solidFill>
                </w14:textFill>
              </w:rPr>
              <w:t xml:space="preserve">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2、食品存放分类分架</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3、无过期、变质食品原材料</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厨房</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1、各种蒸饭、煲汤炉具整洁，里外干净光亮</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有一项不清洁减1分，无消毒作业减2分，不按食品安全工作规定减2分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2、工作间地面干净、无积水、无杂物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3、货架经常擦拭，保持干净，各种刀具摆放整洁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4、操作台、灶台及饭台干净整洁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5、洗菜池、炊具、餐具、定期消毒并保持干净，做到“一洗二清三冲四消毒”</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90"/>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6、各种机器设备保持整洁，标示清晰</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7、下水道无菜渣、无尘渍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322"/>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餐厅</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1、桌椅摆放整齐，桌椅、壁柜洁净无污渍</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发现一次减1分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2、餐厅地面每日清扫，地面整洁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日常管理</w:t>
            </w:r>
            <w:r/>
          </w:p>
        </w:tc>
        <w:tc>
          <w:tcPr>
            <w:tcW w:w="850" w:type="dxa"/>
            <w:vAlign w:val="center"/>
            <w:vMerge w:val="restart"/>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日常管理</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1、合理使用水电，做到人走灯灭，杜绝长流水现象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发现一次扣2分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2、制作食品严禁原材料浪费</w:t>
            </w:r>
            <w:r/>
          </w:p>
        </w:tc>
        <w:tc>
          <w:tcPr>
            <w:tcW w:w="135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4676"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每季度组织</w:t>
            </w:r>
            <w:r>
              <w:rPr>
                <w:rFonts w:hint="eastAsia" w:ascii="宋体" w:hAnsi="宋体" w:eastAsia="宋体" w:cs="宋体"/>
                <w:color w:val="000000" w:themeColor="text1"/>
                <w:highlight w:val="none"/>
                <w:lang w:val="en-US" w:eastAsia="zh-CN"/>
                <w14:textFill>
                  <w14:solidFill>
                    <w14:schemeClr w14:val="tx1"/>
                  </w14:solidFill>
                </w14:textFill>
              </w:rPr>
              <w:t xml:space="preserve">不低于最多就餐人数的一半</w:t>
            </w:r>
            <w:r>
              <w:rPr>
                <w:rFonts w:hint="eastAsia" w:ascii="宋体" w:hAnsi="宋体" w:eastAsia="宋体" w:cs="宋体"/>
                <w:color w:val="000000" w:themeColor="text1"/>
                <w:highlight w:val="none"/>
                <w14:textFill>
                  <w14:solidFill>
                    <w14:schemeClr w14:val="tx1"/>
                  </w14:solidFill>
                </w14:textFill>
              </w:rPr>
              <w:t xml:space="preserve">对食堂的菜肴、服务等进行评分</w:t>
            </w:r>
            <w:r/>
          </w:p>
        </w:tc>
        <w:tc>
          <w:tcPr>
            <w:tcW w:w="1350" w:type="dxa"/>
            <w:vAlign w:val="top"/>
            <w:textDirection w:val="lrTb"/>
            <w:noWrap w:val="false"/>
          </w:tcPr>
          <w:p>
            <w:pPr>
              <w:jc w:val="center"/>
              <w:rPr>
                <w:rFonts w:hint="default"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每1人评分低于60分扣1分</w:t>
            </w:r>
            <w:r/>
          </w:p>
        </w:tc>
        <w:tc>
          <w:tcPr>
            <w:tcW w:w="82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bl>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45"/>
        <w:rPr>
          <w:rFonts w:hint="eastAsia" w:ascii="宋体" w:hAnsi="宋体" w:eastAsia="宋体" w:cs="宋体"/>
          <w:b/>
          <w:color w:val="000000" w:themeColor="text1"/>
          <w:sz w:val="28"/>
          <w:szCs w:val="28"/>
          <w:highlight w:val="none"/>
          <w:lang w:val="zh-CN" w:eastAsia="zh-CN"/>
          <w14:textFill>
            <w14:solidFill>
              <w14:schemeClr w14:val="tx1"/>
            </w14:solidFill>
          </w14:textFill>
        </w:rPr>
      </w:pPr>
      <w:r/>
      <w:bookmarkStart w:id="127" w:name="_Toc183610249"/>
      <w:r/>
      <w:r/>
    </w:p>
    <w:p>
      <w:pPr>
        <w:rPr>
          <w:rFonts w:hint="eastAsia" w:ascii="宋体" w:hAnsi="宋体" w:eastAsia="宋体" w:cs="宋体"/>
          <w:b/>
          <w:color w:val="000000" w:themeColor="text1"/>
          <w:sz w:val="28"/>
          <w:szCs w:val="28"/>
          <w:highlight w:val="none"/>
          <w:lang w:val="zh-CN"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br w:type="page" w:clear="all"/>
      </w:r>
      <w:r/>
    </w:p>
    <w:p>
      <w:pPr>
        <w:jc w:val="center"/>
        <w:spacing w:line="360" w:lineRule="auto"/>
        <w:rPr>
          <w:color w:val="000000" w:themeColor="text1"/>
          <w:highlight w:val="none"/>
          <w:lang w:eastAsia="zh-CN"/>
          <w14:textFill>
            <w14:solidFill>
              <w14:schemeClr w14:val="tx1"/>
            </w14:solidFill>
          </w14:textFill>
        </w:rPr>
        <w:outlineLvl w:val="0"/>
      </w:pP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第五章</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合同草案条款及格式</w:t>
      </w:r>
      <w:bookmarkEnd w:id="127"/>
      <w:r/>
      <w:r/>
    </w:p>
    <w:p>
      <w:pPr>
        <w:ind w:left="118"/>
        <w:jc w:val="center"/>
        <w:rPr>
          <w:rFonts w:ascii="黑体" w:eastAsia="黑体"/>
          <w:color w:val="000000" w:themeColor="text1"/>
          <w:spacing w:val="-3"/>
          <w:sz w:val="52"/>
          <w:highlight w:val="none"/>
          <w:lang w:eastAsia="zh-CN"/>
          <w14:textFill>
            <w14:solidFill>
              <w14:schemeClr w14:val="tx1"/>
            </w14:solidFill>
          </w14:textFill>
        </w:rPr>
      </w:pPr>
      <w:r/>
      <w:bookmarkStart w:id="128" w:name="_bookmark10"/>
      <w:r/>
      <w:bookmarkEnd w:id="128"/>
      <w:r/>
      <w:r/>
    </w:p>
    <w:p>
      <w:pPr>
        <w:pStyle w:val="654"/>
        <w:ind w:left="440"/>
        <w:rPr>
          <w:rFonts w:ascii="黑体" w:hAnsi="宋体" w:eastAsia="黑体"/>
          <w:b/>
          <w:bCs/>
          <w:color w:val="000000" w:themeColor="text1"/>
          <w:sz w:val="44"/>
          <w:szCs w:val="44"/>
          <w:highlight w:val="none"/>
          <w:lang w:eastAsia="zh-CN"/>
          <w14:textFill>
            <w14:solidFill>
              <w14:schemeClr w14:val="tx1"/>
            </w14:solidFill>
          </w14:textFill>
        </w:rPr>
      </w:pPr>
      <w:r>
        <w:rPr>
          <w:rFonts w:ascii="黑体" w:hAnsi="宋体" w:eastAsia="黑体"/>
          <w:b/>
          <w:bCs/>
          <w:color w:val="000000" w:themeColor="text1"/>
          <w:sz w:val="44"/>
          <w:szCs w:val="44"/>
          <w:highlight w:val="none"/>
          <w:lang w:eastAsia="zh-CN"/>
          <w14:textFill>
            <w14:solidFill>
              <w14:schemeClr w14:val="tx1"/>
            </w14:solidFill>
          </w14:textFill>
        </w:rPr>
      </w:r>
      <w:r/>
    </w:p>
    <w:p>
      <w:pPr>
        <w:pStyle w:val="654"/>
        <w:ind w:left="440"/>
        <w:jc w:val="center"/>
        <w:rPr>
          <w:rFonts w:ascii="黑体" w:hAnsi="宋体" w:eastAsia="黑体"/>
          <w:b/>
          <w:bCs/>
          <w:color w:val="000000" w:themeColor="text1"/>
          <w:sz w:val="44"/>
          <w:szCs w:val="44"/>
          <w:highlight w:val="none"/>
          <w:lang w:eastAsia="zh-CN"/>
          <w14:textFill>
            <w14:solidFill>
              <w14:schemeClr w14:val="tx1"/>
            </w14:solidFill>
          </w14:textFill>
        </w:rPr>
      </w:pPr>
      <w:r>
        <w:rPr>
          <w:rFonts w:hint="eastAsia" w:ascii="黑体" w:hAnsi="宋体" w:eastAsia="黑体"/>
          <w:b/>
          <w:bCs/>
          <w:color w:val="000000" w:themeColor="text1"/>
          <w:sz w:val="44"/>
          <w:szCs w:val="44"/>
          <w:highlight w:val="none"/>
          <w:lang w:eastAsia="zh-CN"/>
          <w14:textFill>
            <w14:solidFill>
              <w14:schemeClr w14:val="tx1"/>
            </w14:solidFill>
          </w14:textFill>
        </w:rPr>
        <w:t xml:space="preserve">南京市政府采购合同</w:t>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项目编号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left="2502" w:hanging="2493"/>
        <w:spacing w:line="900" w:lineRule="exact"/>
        <w:rPr>
          <w:rFonts w:ascii="宋体" w:hAnsi="宋体"/>
          <w:b/>
          <w:color w:val="000000" w:themeColor="text1"/>
          <w:sz w:val="24"/>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       项目名称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采购</w:t>
      </w:r>
      <w:r>
        <w:rPr>
          <w:rFonts w:hint="eastAsia" w:ascii="宋体" w:hAnsi="宋体"/>
          <w:b/>
          <w:color w:val="000000" w:themeColor="text1"/>
          <w:sz w:val="28"/>
          <w:szCs w:val="28"/>
          <w:highlight w:val="none"/>
          <w:lang w:val="en-US" w:eastAsia="zh-CN"/>
          <w14:textFill>
            <w14:solidFill>
              <w14:schemeClr w14:val="tx1"/>
            </w14:solidFill>
          </w14:textFill>
        </w:rPr>
        <w:t xml:space="preserve">人</w:t>
      </w:r>
      <w:r>
        <w:rPr>
          <w:rFonts w:hint="eastAsia" w:ascii="宋体" w:hAnsi="宋体"/>
          <w:b/>
          <w:color w:val="000000" w:themeColor="text1"/>
          <w:sz w:val="28"/>
          <w:szCs w:val="28"/>
          <w:highlight w:val="non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 xml:space="preserve">供应商</w:t>
      </w:r>
      <w:r>
        <w:rPr>
          <w:rFonts w:hint="eastAsia" w:ascii="宋体" w:hAnsi="宋体"/>
          <w:b/>
          <w:color w:val="000000" w:themeColor="text1"/>
          <w:sz w:val="28"/>
          <w:szCs w:val="28"/>
          <w:highlight w:val="non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eastAsiaTheme="minorEastAsia"/>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签订日期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年   月    日          </w:t>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1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p>
      <w:pP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br w:type="page" w:clear="all"/>
      </w:r>
      <w:r/>
    </w:p>
    <w:p>
      <w:pPr>
        <w:ind w:firstLine="560"/>
        <w:spacing w:line="44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r>
      <w:r/>
    </w:p>
    <w:p>
      <w:pPr>
        <w:ind w:firstLine="560"/>
        <w:spacing w:line="44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采购人</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p>
    <w:p>
      <w:pPr>
        <w:ind w:firstLine="560"/>
        <w:spacing w:line="440" w:lineRule="exact"/>
        <w:rPr>
          <w:rFonts w:asciiTheme="minorEastAsia" w:hAnsiTheme="minorEastAsia" w:eastAsiaTheme="minorEastAsia"/>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根据《中华人民共和国政府采购法》《中华人民共和国民法典》等法律法规规定，甲乙双方经协商签订本合同。</w:t>
      </w:r>
      <w:r/>
    </w:p>
    <w:p>
      <w:pPr>
        <w:ind w:firstLine="482"/>
        <w:spacing w:line="440" w:lineRule="exact"/>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第一条 合同标的</w:t>
      </w:r>
      <w:r/>
    </w:p>
    <w:p>
      <w:pPr>
        <w:pStyle w:val="630"/>
        <w:ind w:left="0" w:firstLine="480"/>
        <w:keepLines w:val="0"/>
        <w:keepNext w:val="0"/>
        <w:pageBreakBefore w:val="0"/>
        <w:widowControl w:val="off"/>
        <w:rPr>
          <w:rFonts w:hint="default" w:cs="Times New Roman" w:asciiTheme="minorEastAsia" w:hAnsiTheme="minorEastAsia" w:eastAsiaTheme="minorEastAsia"/>
          <w:b w:val="0"/>
          <w:bCs w:val="0"/>
          <w:color w:val="000000" w:themeColor="text1"/>
          <w:sz w:val="24"/>
          <w:szCs w:val="24"/>
          <w:highlight w:val="none"/>
          <w:u w:val="single"/>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highlight w:val="none"/>
          <w:lang w:val="en-US" w:eastAsia="zh-CN" w:bidi="ar-SA"/>
          <w14:textFill>
            <w14:solidFill>
              <w14:schemeClr w14:val="tx1"/>
            </w14:solidFill>
          </w14:textFill>
        </w:rPr>
        <w:t xml:space="preserve">项目名称：</w:t>
      </w:r>
      <w:r>
        <w:rPr>
          <w:rFonts w:hint="eastAsia" w:cs="Times New Roman" w:asciiTheme="minorEastAsia" w:hAnsiTheme="minorEastAsia" w:eastAsiaTheme="minorEastAsia"/>
          <w:b w:val="0"/>
          <w:bCs w:val="0"/>
          <w:color w:val="000000" w:themeColor="text1"/>
          <w:sz w:val="24"/>
          <w:szCs w:val="24"/>
          <w:highlight w:val="none"/>
          <w:u w:val="single"/>
          <w:lang w:val="en-US" w:eastAsia="zh-CN" w:bidi="ar-SA"/>
          <w14:textFill>
            <w14:solidFill>
              <w14:schemeClr w14:val="tx1"/>
            </w14:solidFill>
          </w14:textFill>
        </w:rPr>
        <w:t xml:space="preserve">                    </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乙方根据甲方需求提供下列服务：详见乙方投标文件。</w:t>
      </w:r>
      <w:r/>
    </w:p>
    <w:p>
      <w:pPr>
        <w:ind w:firstLine="482"/>
        <w:spacing w:line="440" w:lineRule="exact"/>
        <w:rPr>
          <w:rFonts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第二条 合同总价款</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本合同项下服务</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合同</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金额为</w:t>
      </w:r>
      <w:r>
        <w:rPr>
          <w:rFonts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万元(大写：</w:t>
      </w:r>
      <w:r>
        <w:rPr>
          <w:rFonts w:hint="eastAsia"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)人民币；分项价款详见</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响应文件</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《分项报价表》；</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本合同最终结算总价款按照</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第八条</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合同款支付</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执行</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本合同总价款包含以下内容：</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（1）完成本服务项目发生的所有含税费用；</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（2）支付给员工的工资和国家强制缴纳的各种社会保障资金；</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（3）乙方应当提供的伴随服务/售后服务费用；</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（4）供应商认为需要的其他费用。</w:t>
      </w:r>
      <w:r/>
    </w:p>
    <w:p>
      <w:pPr>
        <w:ind w:firstLine="482"/>
        <w:spacing w:line="440" w:lineRule="exact"/>
        <w:rPr>
          <w:rFonts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第三条 合同期限：</w:t>
      </w:r>
      <w:r>
        <w:rPr>
          <w:rFonts w:hint="eastAsia" w:asciiTheme="minorEastAsia" w:hAnsiTheme="minorEastAsia" w:eastAsiaTheme="minorEastAsia"/>
          <w:b/>
          <w:color w:val="000000" w:themeColor="text1"/>
          <w:sz w:val="24"/>
          <w:szCs w:val="24"/>
          <w:highlight w:val="none"/>
          <w:u w:val="single"/>
          <w:lang w:eastAsia="zh-CN"/>
          <w14:textFill>
            <w14:solidFill>
              <w14:schemeClr w14:val="tx1"/>
            </w14:solidFill>
          </w14:textFill>
        </w:rPr>
        <w:t xml:space="preserve">   年</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。自</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年  月  日至   年  月  日。</w:t>
      </w:r>
      <w:r/>
    </w:p>
    <w:p>
      <w:pPr>
        <w:ind w:firstLine="482"/>
        <w:spacing w:line="440" w:lineRule="exact"/>
        <w:rPr>
          <w:rFonts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第四条 组成本合同的有关文件</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下列关于</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号的招标（采购）文件、投标（响应）文件，以及与本次采购活动相关的文件及有关附件是本合同不可分割的组成部分，与本合同具有同等法律效力，这些文件包括但不限于：</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（1）投标（响应）文件和</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分项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报价表； </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（2）项目</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服务</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方案；</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商务/技术条款</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偏离表；</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（4）投标（响应）</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材料</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（5）服务承诺；</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（6）</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成交</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通知书；</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（7）甲乙双方商定的其它文件。</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第五条 权利保证</w:t>
      </w:r>
      <w:r/>
    </w:p>
    <w:p>
      <w:pPr>
        <w:pStyle w:val="642"/>
        <w:ind w:firstLine="720"/>
        <w:rPr>
          <w:rFonts w:hint="default"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乙方应保证甲方在使用该服务</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期间</w:t>
      </w:r>
      <w:r>
        <w:rPr>
          <w:rFonts w:hint="eastAsia" w:ascii="宋体" w:hAnsi="宋体" w:eastAsia="宋体" w:cs="宋体"/>
          <w:color w:val="000000" w:themeColor="text1"/>
          <w:sz w:val="24"/>
          <w:highlight w:val="none"/>
          <w:lang w:eastAsia="zh-CN"/>
          <w14:textFill>
            <w14:solidFill>
              <w14:schemeClr w14:val="tx1"/>
            </w14:solidFill>
          </w14:textFill>
        </w:rPr>
        <w:t xml:space="preserve">符合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甲方</w:t>
      </w:r>
      <w:r>
        <w:rPr>
          <w:rFonts w:ascii="宋体" w:hAnsi="宋体" w:eastAsia="宋体" w:cs="宋体"/>
          <w:color w:val="000000" w:themeColor="text1"/>
          <w:sz w:val="24"/>
          <w:highlight w:val="none"/>
          <w:lang w:eastAsia="zh-CN"/>
          <w14:textFill>
            <w14:solidFill>
              <w14:schemeClr w14:val="tx1"/>
            </w14:solidFill>
          </w14:textFill>
        </w:rPr>
        <w:t xml:space="preserve">需求。无</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食品和人身</w:t>
      </w:r>
      <w:r>
        <w:rPr>
          <w:rFonts w:ascii="宋体" w:hAnsi="宋体" w:eastAsia="宋体" w:cs="宋体"/>
          <w:color w:val="000000" w:themeColor="text1"/>
          <w:sz w:val="24"/>
          <w:highlight w:val="none"/>
          <w:lang w:eastAsia="zh-CN"/>
          <w14:textFill>
            <w14:solidFill>
              <w14:schemeClr w14:val="tx1"/>
            </w14:solidFill>
          </w14:textFill>
        </w:rPr>
        <w:t xml:space="preserve">安全事故</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造成事故的所有责任由乙方承担</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同时，甲方有权</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解除合同，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乙方支付合同总价30%的违约金，并且赔偿甲方因此造成的全部损失，包括不限于直接损失、间接损失、因索赔支出的费用（含律师费、保全担保服务费等）</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第六条 质量保证</w:t>
      </w:r>
      <w:r/>
    </w:p>
    <w:p>
      <w:pPr>
        <w:ind w:firstLine="562"/>
        <w:spacing w:line="440" w:lineRule="exact"/>
        <w:rPr>
          <w:rFonts w:hint="eastAsia" w:ascii="宋体" w:hAnsi="宋体" w:eastAsia="宋体" w:cs="宋体"/>
          <w:color w:val="000000" w:themeColor="text1"/>
          <w:sz w:val="24"/>
          <w:szCs w:val="24"/>
          <w:highlight w:val="none"/>
          <w:lang w:val="zh-CN" w:eastAsia="zh-CN" w:bidi="ar"/>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
          <w14:textFill>
            <w14:solidFill>
              <w14:schemeClr w14:val="tx1"/>
            </w14:solidFill>
          </w14:textFill>
        </w:rPr>
        <w:t xml:space="preserve">乙方所提供的服务标准应不低于招标（采购）文件规定、乙方投标承诺及本合同附件《食堂管理考核方案》的要求，技术规格与《商务/技术条款偏离表》不一致的，以更严格的标准为准；前述文件未明确的，按国家最新颁布的最高标准执行。</w:t>
      </w:r>
      <w:r/>
    </w:p>
    <w:p>
      <w:pPr>
        <w:ind w:firstLine="562"/>
        <w:spacing w:line="440" w:lineRule="exact"/>
        <w:rPr>
          <w:rFonts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第七条 交付和验收</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1.乙方应当</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按照甲方要求和服务承诺</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完成服务事项。</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2.验收标准：按行业通行标准和乙方投标（响应）文件的承诺</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和《食堂管理考核方案》</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完成甲方需求的服务内容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八</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合同款支付</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1.食堂托管服务费每季度结算一次，餐费于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每季度结束</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次月10号前</w:t>
      </w:r>
      <w:r>
        <w:rPr>
          <w:rFonts w:hint="eastAsia" w:eastAsia="宋体"/>
          <w:color w:val="000000" w:themeColor="text1"/>
          <w:highlight w:val="none"/>
          <w:lang w:val="en-US" w:eastAsia="zh-CN"/>
          <w14:textFill>
            <w14:solidFill>
              <w14:schemeClr w14:val="tx1"/>
            </w14:solidFill>
          </w14:textFill>
        </w:rPr>
        <w:t xml:space="preserve">向甲方递交</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结算</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价格单</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待甲方确认后乙方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需提供正规</w:t>
      </w:r>
      <w:r>
        <w:rPr>
          <w:rFonts w:hint="eastAsia" w:eastAsia="宋体"/>
          <w:color w:val="000000" w:themeColor="text1"/>
          <w:highlight w:val="none"/>
          <w:lang w:val="en-US" w:eastAsia="zh-CN"/>
          <w14:textFill>
            <w14:solidFill>
              <w14:schemeClr w14:val="tx1"/>
            </w14:solidFill>
          </w14:textFill>
        </w:rPr>
        <w:t xml:space="preserve">增值税</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发票</w:t>
      </w:r>
      <w:r>
        <w:rPr>
          <w:rFonts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超过合同内每餐</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的就餐人数，由</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根据</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乙方中标的</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就餐标准额外补助给</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乙方，总补助金额不超过合同价的10%</w:t>
      </w: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乙方须提供相应凭证或手续</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3.本合同项下所有款项均以人民币支付。</w:t>
      </w:r>
      <w:r/>
    </w:p>
    <w:p>
      <w:pPr>
        <w:ind w:firstLine="560"/>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4.本合同项下的</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所有款项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由乙方开具</w:t>
      </w:r>
      <w:r>
        <w:rPr>
          <w:rFonts w:hint="eastAsia" w:eastAsia="宋体"/>
          <w:b/>
          <w:bCs/>
          <w:color w:val="000000" w:themeColor="text1"/>
          <w:highlight w:val="none"/>
          <w:lang w:val="en-US" w:eastAsia="zh-CN"/>
          <w14:textFill>
            <w14:solidFill>
              <w14:schemeClr w14:val="tx1"/>
            </w14:solidFill>
          </w14:textFill>
        </w:rPr>
        <w:t xml:space="preserve">增值税专用</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发票。</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九</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违约责任</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1、甲方无正当理由拒绝接受服务、拒付服务款的，甲方向乙方偿付合同总价的5%违约金。</w:t>
      </w:r>
      <w:r/>
    </w:p>
    <w:p>
      <w:pPr>
        <w:ind w:firstLine="516"/>
        <w:spacing w:line="440" w:lineRule="exact"/>
        <w:rPr>
          <w:rFonts w:asciiTheme="minorEastAsia" w:hAnsiTheme="minorEastAsia" w:eastAsiaTheme="minorEastAsia"/>
          <w:color w:val="000000" w:themeColor="text1"/>
          <w:spacing w:val="-11"/>
          <w:sz w:val="24"/>
          <w:szCs w:val="24"/>
          <w:highlight w:val="none"/>
          <w:lang w:val="zh-CN" w:eastAsia="zh-CN"/>
          <w14:textFill>
            <w14:solidFill>
              <w14:schemeClr w14:val="tx1"/>
            </w14:solidFill>
          </w14:textFill>
        </w:rPr>
      </w:pPr>
      <w:r>
        <w:rPr>
          <w:rFonts w:asciiTheme="minorEastAsia" w:hAnsiTheme="minorEastAsia" w:eastAsiaTheme="minorEastAsia"/>
          <w:color w:val="000000" w:themeColor="text1"/>
          <w:spacing w:val="-11"/>
          <w:sz w:val="24"/>
          <w:szCs w:val="24"/>
          <w:highlight w:val="none"/>
          <w:lang w:val="zh-CN" w:eastAsia="zh-CN"/>
          <w14:textFill>
            <w14:solidFill>
              <w14:schemeClr w14:val="tx1"/>
            </w14:solidFill>
          </w14:textFill>
        </w:rPr>
        <w:t xml:space="preserve">2、甲方未按合同规定的期限向乙方支付服务款的，每逾期1天甲方向乙方偿付欠款总额的5‰滞纳金，但累计滞纳金总额不超过欠款总额的5% 。</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3、如乙方不能交付服务的，乙方应向甲方支付合同总价5%的违约金。</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４、乙方逾期交付的，每逾期1天，乙方向甲方偿付合同总额的5‰的滞纳金。如乙方逾期交付达10天，甲方有权解除合同，解除合同的通知自到达乙方时生效。</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５、乙方所交付的服务不符合合同规定的，甲方有权拒绝接受。甲方拒绝接受的，乙方应向甲方支付合同总额5%的违约金。</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６、在乙方</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服务期内</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，如经乙方两次整改仍不能达到合同约定的标准，乙方应退回全部合同价款，并按第3款处理，同时，乙方还须赔偿甲方因此遭受的损失。</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7、乙方未按本合同的规定和“服务承诺”提供伴随服务/售后服务的，应按合同总价款的5%向甲方承担违约责任。</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9、乙方响应属虚假承诺，或经权威部门检测提供的服务不能满足招标响应文件要求，或是由于乙方的过错造成合同无法继续履行的，乙方应向甲方支付不少于合同总价30%赔偿金。</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第十条 合同的变更和终止</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1.除《政府采购法》第50条规定的情形外，本合同一经签订，甲乙双方不得擅自变更、中止或终止。</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2.除发生法律规定的不能预见、不能避免并不能克服的客观情况外，甲乙双方不得放弃或拒绝履行合同。乙方放弃或拒绝履行合同，</w:t>
      </w:r>
      <w:r>
        <w:rPr>
          <w:rFonts w:hint="eastAsia" w:eastAsia="宋体"/>
          <w:color w:val="000000" w:themeColor="text1"/>
          <w:highlight w:val="none"/>
          <w:lang w:val="en-US" w:eastAsia="zh-CN"/>
          <w14:textFill>
            <w14:solidFill>
              <w14:schemeClr w14:val="tx1"/>
            </w14:solidFill>
          </w14:textFill>
        </w:rPr>
        <w:t xml:space="preserve">乙方须承担合同价30％的罚款</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乙方须须向甲方支付合同总价30%的违约金，若违约金不足以弥补甲方损失的，乙方还需赔偿甲方全部损失。</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一</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合同的转让</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乙方不得擅自部分或全部转让其应履行的合同义务</w:t>
      </w: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否则甲方有权解除合同，乙方须承担合同价30％的罚款</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二</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争议的解决</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1.因服务的质量问题发生争议的，应当邀请国家认可的质量检测机构对服务质量进行鉴定。符合标准的，鉴定费由甲方承担；不符合标准的，鉴定费由乙方承担。</w:t>
      </w:r>
      <w:r/>
    </w:p>
    <w:p>
      <w:pPr>
        <w:ind w:firstLine="480"/>
        <w:spacing w:line="440" w:lineRule="exact"/>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pPr>
      <w:r>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t xml:space="preserve">2.因履行本合同引起的或与本合同有关的争议，甲、乙双方应首先通过友好协商解决，如果协商不能解决争议，则采取以下</w:t>
      </w:r>
      <w:r>
        <w:rPr>
          <w:rFonts w:asciiTheme="minorEastAsia" w:hAnsiTheme="minorEastAsia" w:eastAsiaTheme="minorEastAsia"/>
          <w:b/>
          <w:bCs/>
          <w:color w:val="000000" w:themeColor="text1"/>
          <w:spacing w:val="-20"/>
          <w:sz w:val="24"/>
          <w:szCs w:val="24"/>
          <w:highlight w:val="none"/>
          <w:u w:val="single"/>
          <w:lang w:val="zh-CN" w:eastAsia="zh-CN"/>
          <w14:textFill>
            <w14:solidFill>
              <w14:schemeClr w14:val="tx1"/>
            </w14:solidFill>
          </w14:textFill>
        </w:rPr>
        <w:t xml:space="preserve">第（</w:t>
      </w:r>
      <w:r>
        <w:rPr>
          <w:rFonts w:hint="eastAsia" w:asciiTheme="minorEastAsia" w:hAnsiTheme="minorEastAsia" w:eastAsiaTheme="minorEastAsia"/>
          <w:b/>
          <w:bCs/>
          <w:color w:val="000000" w:themeColor="text1"/>
          <w:spacing w:val="-20"/>
          <w:sz w:val="24"/>
          <w:szCs w:val="24"/>
          <w:highlight w:val="none"/>
          <w:u w:val="single"/>
          <w:lang w:eastAsia="zh-CN"/>
          <w14:textFill>
            <w14:solidFill>
              <w14:schemeClr w14:val="tx1"/>
            </w14:solidFill>
          </w14:textFill>
        </w:rPr>
        <w:t xml:space="preserve">1</w:t>
      </w:r>
      <w:r>
        <w:rPr>
          <w:rFonts w:asciiTheme="minorEastAsia" w:hAnsiTheme="minorEastAsia" w:eastAsiaTheme="minorEastAsia"/>
          <w:b/>
          <w:bCs/>
          <w:color w:val="000000" w:themeColor="text1"/>
          <w:spacing w:val="-20"/>
          <w:sz w:val="24"/>
          <w:szCs w:val="24"/>
          <w:highlight w:val="none"/>
          <w:u w:val="single"/>
          <w:lang w:val="zh-CN" w:eastAsia="zh-CN"/>
          <w14:textFill>
            <w14:solidFill>
              <w14:schemeClr w14:val="tx1"/>
            </w14:solidFill>
          </w14:textFill>
        </w:rPr>
        <w:t xml:space="preserve">）种</w:t>
      </w:r>
      <w:r>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t xml:space="preserve">方式解决争议：</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（1）向</w:t>
      </w:r>
      <w:r>
        <w:rPr>
          <w:rFonts w:hint="eastAsia" w:eastAsia="宋体"/>
          <w:color w:val="000000" w:themeColor="text1"/>
          <w:highlight w:val="none"/>
          <w:lang w:val="en-US" w:eastAsia="zh-CN"/>
          <w14:textFill>
            <w14:solidFill>
              <w14:schemeClr w14:val="tx1"/>
            </w14:solidFill>
          </w14:textFill>
        </w:rPr>
        <w:t xml:space="preserve">江宁区</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人民法院提起诉讼；</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（2）向南京仲裁委员会按其仲裁规则申请仲裁。</w:t>
      </w:r>
      <w:r/>
    </w:p>
    <w:p>
      <w:pPr>
        <w:ind w:firstLine="72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如没有约定，默认采取第2种方式解决争议。</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3.仲裁期间本合同应继续履行。</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三</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诚实信用 </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乙方应诚实信用，严格按照招标（采购）文件要求和投标（响应）承诺履行合同，不向甲方进行商业贿赂或者提供不正当利益。</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四</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合同生效及其他</w:t>
      </w:r>
      <w:r/>
    </w:p>
    <w:p>
      <w:pPr>
        <w:ind w:firstLine="480"/>
        <w:spacing w:line="440" w:lineRule="exact"/>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pPr>
      <w:r>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t xml:space="preserve">1.本合同自签订之日起生效。</w:t>
      </w:r>
      <w:r/>
    </w:p>
    <w:p>
      <w:pPr>
        <w:ind w:firstLine="560"/>
        <w:spacing w:line="440" w:lineRule="exact"/>
        <w:rPr>
          <w:rFonts w:hint="default"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2.本合同一式</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肆</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份，甲乙双方</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各执二份</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具有同等法律效力。</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3.本合同按照中华人民共和国的现行法律进行解释。</w:t>
      </w:r>
      <w:r/>
    </w:p>
    <w:p>
      <w:pPr>
        <w:ind w:firstLine="480"/>
        <w:spacing w:line="560" w:lineRule="exac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甲  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                         乙  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pStyle w:val="646"/>
        <w:ind w:left="0" w:firstLine="48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代表人（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签字或盖章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                   代表人（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签字或盖章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pStyle w:val="646"/>
        <w:ind w:firstLine="48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r>
      <w:r/>
    </w:p>
    <w:p>
      <w:pPr>
        <w:pStyle w:val="646"/>
        <w:ind w:left="0" w:firstLine="48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日  期：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年   月  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                   日  期：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年   月  日</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br w:type="page" w:clear="all"/>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14:textFill>
            <w14:solidFill>
              <w14:schemeClr w14:val="tx1"/>
            </w14:solidFill>
          </w14:textFill>
        </w:rPr>
        <w:t xml:space="preserve">食堂管理考核方案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为进一步加强对食堂的监督检查，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加强</w:t>
      </w:r>
      <w:r>
        <w:rPr>
          <w:rFonts w:hint="eastAsia" w:ascii="宋体" w:hAnsi="宋体" w:eastAsia="宋体" w:cs="宋体"/>
          <w:color w:val="000000" w:themeColor="text1"/>
          <w:sz w:val="24"/>
          <w:szCs w:val="24"/>
          <w:highlight w:val="none"/>
          <w14:textFill>
            <w14:solidFill>
              <w14:schemeClr w14:val="tx1"/>
            </w14:solidFill>
          </w14:textFill>
        </w:rPr>
        <w:t xml:space="preserve">饮食安全，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保证</w:t>
      </w:r>
      <w:r>
        <w:rPr>
          <w:rFonts w:hint="eastAsia" w:ascii="宋体" w:hAnsi="宋体" w:eastAsia="宋体" w:cs="宋体"/>
          <w:color w:val="000000" w:themeColor="text1"/>
          <w:sz w:val="24"/>
          <w:szCs w:val="24"/>
          <w:highlight w:val="none"/>
          <w14:textFill>
            <w14:solidFill>
              <w14:schemeClr w14:val="tx1"/>
            </w14:solidFill>
          </w14:textFill>
        </w:rPr>
        <w:t xml:space="preserve">服务质量，现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w:t>
      </w:r>
      <w:r>
        <w:rPr>
          <w:rFonts w:hint="eastAsia" w:ascii="宋体" w:hAnsi="宋体" w:eastAsia="宋体" w:cs="宋体"/>
          <w:color w:val="000000" w:themeColor="text1"/>
          <w:sz w:val="24"/>
          <w:szCs w:val="24"/>
          <w:highlight w:val="none"/>
          <w14:textFill>
            <w14:solidFill>
              <w14:schemeClr w14:val="tx1"/>
            </w14:solidFill>
          </w14:textFill>
        </w:rPr>
        <w:t xml:space="preserve">食堂管理考核方案，具体办法如下：</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1、检查考核人员的组成：食堂后勤管理办及全体职工</w:t>
      </w:r>
      <w:r/>
    </w:p>
    <w:p>
      <w:pPr>
        <w:ind w:firstLine="480"/>
        <w:keepLines w:val="0"/>
        <w:keepNext w:val="0"/>
        <w:pageBreakBefore w:val="0"/>
        <w:spacing w:line="360" w:lineRule="auto"/>
        <w:widowControl w:val="off"/>
        <w:rPr>
          <w:rFonts w:cs="宋体" w:asciiTheme="minorEastAsia" w:hAnsiTheme="minorEastAsia" w:eastAsiaTheme="minorEastAsia"/>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2、检查范围：菜肴质量、服务质量、卫生标准、食堂管理及员工满意率等。采购人每季度组织</w:t>
      </w:r>
      <w:r>
        <w:rPr>
          <w:rFonts w:hint="eastAsia" w:eastAsia="宋体"/>
          <w:color w:val="000000" w:themeColor="text1"/>
          <w:highlight w:val="none"/>
          <w:lang w:val="en-US" w:eastAsia="zh-CN"/>
          <w14:textFill>
            <w14:solidFill>
              <w14:schemeClr w14:val="tx1"/>
            </w14:solidFill>
          </w14:textFill>
        </w:rPr>
        <w:t xml:space="preserve">不低于最多就餐人数的一半</w:t>
      </w:r>
      <w:r>
        <w:rPr>
          <w:rFonts w:hint="eastAsia" w:ascii="宋体" w:hAnsi="宋体" w:eastAsia="宋体" w:cs="宋体"/>
          <w:color w:val="000000" w:themeColor="text1"/>
          <w:sz w:val="24"/>
          <w:szCs w:val="24"/>
          <w:highlight w:val="none"/>
          <w14:textFill>
            <w14:solidFill>
              <w14:schemeClr w14:val="tx1"/>
            </w14:solidFill>
          </w14:textFill>
        </w:rPr>
        <w:t xml:space="preserve">对食堂的菜肴、服务等进行评分。满分为100分，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总平均分</w:t>
      </w:r>
      <w:r>
        <w:rPr>
          <w:rFonts w:hint="eastAsia" w:ascii="宋体" w:hAnsi="宋体" w:eastAsia="宋体" w:cs="宋体"/>
          <w:color w:val="000000" w:themeColor="text1"/>
          <w:sz w:val="24"/>
          <w:szCs w:val="24"/>
          <w:highlight w:val="none"/>
          <w14:textFill>
            <w14:solidFill>
              <w14:schemeClr w14:val="tx1"/>
            </w14:solidFill>
          </w14:textFill>
        </w:rPr>
        <w:t xml:space="preserve">60分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为及格分。</w:t>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3、考核办法：在考核中，根据检查评比结果（以下表内容为主），结合员工满意度，测算最终分值。90分及以上为非常满意；80-89分为基本满意；60-79分为合格；低于60分为不合格。如一年度内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color w:val="000000" w:themeColor="text1"/>
          <w:sz w:val="24"/>
          <w:szCs w:val="24"/>
          <w:highlight w:val="none"/>
          <w14:textFill>
            <w14:solidFill>
              <w14:schemeClr w14:val="tx1"/>
            </w14:solidFill>
          </w14:textFill>
        </w:rPr>
        <w:t xml:space="preserve">两次考核评分均不足80分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或有一次低于60分</w:t>
      </w:r>
      <w:r>
        <w:rPr>
          <w:rFonts w:hint="eastAsia" w:ascii="宋体" w:hAnsi="宋体" w:eastAsia="宋体" w:cs="宋体"/>
          <w:color w:val="000000" w:themeColor="text1"/>
          <w:sz w:val="24"/>
          <w:szCs w:val="24"/>
          <w:highlight w:val="none"/>
          <w14:textFill>
            <w14:solidFill>
              <w14:schemeClr w14:val="tx1"/>
            </w14:solidFill>
          </w14:textFill>
        </w:rPr>
        <w:t xml:space="preserve">，采购人有权终止合同。</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850"/>
        <w:gridCol w:w="4676"/>
        <w:gridCol w:w="1350"/>
        <w:gridCol w:w="820"/>
        <w:gridCol w:w="870"/>
      </w:tblGrid>
      <w:tr>
        <w:trPr/>
        <w:tc>
          <w:tcPr>
            <w:gridSpan w:val="6"/>
            <w:tcW w:w="9332" w:type="dxa"/>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食堂管理考核表</w:t>
            </w:r>
            <w:r/>
          </w:p>
        </w:tc>
      </w:tr>
      <w:tr>
        <w:trPr/>
        <w:tc>
          <w:tcPr>
            <w:tcW w:w="766"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项目</w:t>
            </w:r>
            <w:r/>
          </w:p>
        </w:tc>
        <w:tc>
          <w:tcPr>
            <w:gridSpan w:val="2"/>
            <w:tcW w:w="5526"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检查具体内容</w:t>
            </w:r>
            <w:r/>
          </w:p>
        </w:tc>
        <w:tc>
          <w:tcPr>
            <w:tcW w:w="135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评分标准</w:t>
            </w:r>
            <w:r/>
          </w:p>
        </w:tc>
        <w:tc>
          <w:tcPr>
            <w:tcW w:w="82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分值</w:t>
            </w:r>
            <w:r/>
          </w:p>
        </w:tc>
        <w:tc>
          <w:tcPr>
            <w:tcW w:w="87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得分</w:t>
            </w:r>
            <w:r/>
          </w:p>
        </w:tc>
      </w:tr>
      <w:tr>
        <w:trPr/>
        <w:tc>
          <w:tcPr>
            <w:tcW w:w="766" w:type="dxa"/>
            <w:vAlign w:val="center"/>
            <w:vMerge w:val="restart"/>
            <w:textDirection w:val="lrTb"/>
            <w:noWrap w:val="false"/>
          </w:tcPr>
          <w:p>
            <w:pPr>
              <w:jc w:val="center"/>
              <w:rPr>
                <w:rFonts w:hint="eastAsia" w:eastAsiaTheme="minorEastAsia"/>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菜肴</w:t>
            </w:r>
            <w:r>
              <w:rPr>
                <w:rFonts w:hint="eastAsia" w:ascii="宋体" w:hAnsi="宋体" w:eastAsia="宋体" w:cs="宋体"/>
                <w:color w:val="000000" w:themeColor="text1"/>
                <w:highlight w:val="none"/>
                <w14:textFill>
                  <w14:solidFill>
                    <w14:schemeClr w14:val="tx1"/>
                  </w14:solidFill>
                </w14:textFill>
              </w:rPr>
              <w:t xml:space="preserve">质量</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1、需建立采购食品台账，账面数据包括采购日期、名称、数量、单价等</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有一项不合格减3分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2、主食米、面、油、肉等原料必须从正规渠道进货</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3、采购的蔬菜要求新鲜、干净无污染</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4、采购半成品食品必须达到卫生标准要求，要标有生产日期及保质期，无霉味、异味现象</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供餐</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1、饭菜不熟或口感较差现象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发现一项或有人举报（经核实后）一次减2分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2、饭菜内发现异物、杂物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3、隔夜饭菜不超过12小时，</w:t>
            </w:r>
            <w:r>
              <w:rPr>
                <w:rFonts w:hint="eastAsia" w:ascii="宋体" w:hAnsi="宋体" w:eastAsia="宋体" w:cs="宋体"/>
                <w:color w:val="000000" w:themeColor="text1"/>
                <w:highlight w:val="none"/>
                <w:lang w:eastAsia="zh-CN"/>
                <w14:textFill>
                  <w14:solidFill>
                    <w14:schemeClr w14:val="tx1"/>
                  </w14:solidFill>
                </w14:textFill>
              </w:rPr>
              <w:t xml:space="preserve">出柜</w:t>
            </w:r>
            <w:r>
              <w:rPr>
                <w:rFonts w:hint="eastAsia" w:ascii="宋体" w:hAnsi="宋体" w:eastAsia="宋体" w:cs="宋体"/>
                <w:color w:val="000000" w:themeColor="text1"/>
                <w:highlight w:val="none"/>
                <w14:textFill>
                  <w14:solidFill>
                    <w14:schemeClr w14:val="tx1"/>
                  </w14:solidFill>
                </w14:textFill>
              </w:rPr>
              <w:t xml:space="preserve">时必须高温加热</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4、超过规定用餐时间</w:t>
            </w:r>
            <w:r>
              <w:rPr>
                <w:rFonts w:hint="eastAsia" w:ascii="宋体" w:hAnsi="宋体" w:eastAsia="宋体" w:cs="宋体"/>
                <w:color w:val="000000" w:themeColor="text1"/>
                <w:highlight w:val="none"/>
                <w:lang w:eastAsia="zh-CN"/>
                <w14:textFill>
                  <w14:solidFill>
                    <w14:schemeClr w14:val="tx1"/>
                  </w14:solidFill>
                </w14:textFill>
              </w:rPr>
              <w:t xml:space="preserve">出柜</w:t>
            </w:r>
            <w:r>
              <w:rPr>
                <w:rFonts w:hint="eastAsia" w:ascii="宋体" w:hAnsi="宋体" w:eastAsia="宋体" w:cs="宋体"/>
                <w:color w:val="000000" w:themeColor="text1"/>
                <w:highlight w:val="none"/>
                <w14:textFill>
                  <w14:solidFill>
                    <w14:schemeClr w14:val="tx1"/>
                  </w14:solidFill>
                </w14:textFill>
              </w:rPr>
              <w:t xml:space="preserve">的饭菜必须加热</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工作餐搭配</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1、早餐时间合理</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每少一种减1分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2、午餐荤素营养搭配合理，种类不少于6种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3、晚餐荤素营养搭配合理，种类不少于5种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4、每日三餐汤类不可重复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服务质量</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仪容仪表</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1、厨师工作期间需着整洁干净的衣服</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发现一人次减2分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2、不允许佩戴手饰、双手干净</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3、操作时禁止吸烟、挖鼻孔、对食品打喷嚏等不卫生行为</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、供餐</w:t>
            </w:r>
            <w:r>
              <w:rPr>
                <w:rFonts w:hint="eastAsia" w:ascii="宋体" w:hAnsi="宋体" w:eastAsia="宋体" w:cs="宋体"/>
                <w:color w:val="000000" w:themeColor="text1"/>
                <w:highlight w:val="none"/>
                <w14:textFill>
                  <w14:solidFill>
                    <w14:schemeClr w14:val="tx1"/>
                  </w14:solidFill>
                </w14:textFill>
              </w:rPr>
              <w:t xml:space="preserve">时不能用手接触，必须戴一次性手套、口罩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1、食堂服务人员要微笑服务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不文明行为减2分，每人举报1次减4分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2、不得发生争吵、打骂行为</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3、按规定时间开饭、回收餐具</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卫生标准</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制作</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1、生、熟食品分开</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发现一次扣</w:t>
            </w:r>
            <w:r>
              <w:rPr>
                <w:rFonts w:hint="eastAsia" w:ascii="宋体" w:hAnsi="宋体" w:eastAsia="宋体" w:cs="宋体"/>
                <w:color w:val="000000" w:themeColor="text1"/>
                <w:highlight w:val="none"/>
                <w:lang w:val="en-US" w:eastAsia="zh-CN"/>
                <w14:textFill>
                  <w14:solidFill>
                    <w14:schemeClr w14:val="tx1"/>
                  </w14:solidFill>
                </w14:textFill>
              </w:rPr>
              <w:t xml:space="preserve">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2、食品存放分类分架</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3、无过期、变质食品原材料</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厨房</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1、各种蒸饭、煲汤炉具整洁，里外干净光亮</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有一项不清洁减1分，无消毒作业减2分，不按食品安全工作规定减2分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2、工作间地面干净、无积水、无杂物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3、货架经常擦拭，保持干净，各种刀具摆放整洁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4、操作台、灶台及饭台干净整洁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5、洗菜池、炊具、餐具、定期消毒并保持干净，做到“一洗二清三冲四消毒”</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90"/>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6、各种机器设备保持整洁，标示清晰</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7、下水道无菜渣、无尘渍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322"/>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餐厅</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1、桌椅摆放整齐，桌椅、壁柜洁净无污渍</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发现一次减1分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2、餐厅地面每日清扫，地面整洁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日常管理</w:t>
            </w:r>
            <w:r/>
          </w:p>
        </w:tc>
        <w:tc>
          <w:tcPr>
            <w:tcW w:w="850" w:type="dxa"/>
            <w:vAlign w:val="center"/>
            <w:vMerge w:val="restart"/>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日常管理</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1、合理使用水电，做到人走灯灭，杜绝长流水现象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发现一次扣2分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2、制作食品严禁原材料浪费</w:t>
            </w:r>
            <w:r/>
          </w:p>
        </w:tc>
        <w:tc>
          <w:tcPr>
            <w:tcW w:w="135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4676"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每季度组织</w:t>
            </w:r>
            <w:r>
              <w:rPr>
                <w:rFonts w:hint="eastAsia" w:ascii="宋体" w:hAnsi="宋体" w:eastAsia="宋体" w:cs="宋体"/>
                <w:color w:val="000000" w:themeColor="text1"/>
                <w:highlight w:val="none"/>
                <w:lang w:val="en-US" w:eastAsia="zh-CN"/>
                <w14:textFill>
                  <w14:solidFill>
                    <w14:schemeClr w14:val="tx1"/>
                  </w14:solidFill>
                </w14:textFill>
              </w:rPr>
              <w:t xml:space="preserve">不低于最多就餐人数的一半</w:t>
            </w:r>
            <w:r>
              <w:rPr>
                <w:rFonts w:hint="eastAsia" w:ascii="宋体" w:hAnsi="宋体" w:eastAsia="宋体" w:cs="宋体"/>
                <w:color w:val="000000" w:themeColor="text1"/>
                <w:highlight w:val="none"/>
                <w14:textFill>
                  <w14:solidFill>
                    <w14:schemeClr w14:val="tx1"/>
                  </w14:solidFill>
                </w14:textFill>
              </w:rPr>
              <w:t xml:space="preserve">对食堂的菜肴、服务等进行评分</w:t>
            </w:r>
            <w:r/>
          </w:p>
        </w:tc>
        <w:tc>
          <w:tcPr>
            <w:tcW w:w="1350" w:type="dxa"/>
            <w:vAlign w:val="top"/>
            <w:textDirection w:val="lrTb"/>
            <w:noWrap w:val="false"/>
          </w:tcPr>
          <w:p>
            <w:pPr>
              <w:jc w:val="center"/>
              <w:rPr>
                <w:rFonts w:hint="default"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每1人评分低于60分扣1分</w:t>
            </w:r>
            <w:r/>
          </w:p>
        </w:tc>
        <w:tc>
          <w:tcPr>
            <w:tcW w:w="82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bl>
    <w:p>
      <w:pPr>
        <w:pStyle w:val="647"/>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right="177"/>
        <w:jc w:val="center"/>
        <w:tabs>
          <w:tab w:val="left" w:pos="1279" w:leader="none"/>
        </w:tabs>
        <w:rPr>
          <w:color w:val="000000" w:themeColor="text1"/>
          <w:highlight w:val="none"/>
          <w:lang w:eastAsia="zh-CN"/>
          <w14:textFill>
            <w14:solidFill>
              <w14:schemeClr w14:val="tx1"/>
            </w14:solidFill>
          </w14:textFill>
        </w:rPr>
        <w:outlineLvl w:val="0"/>
      </w:pPr>
      <w:r/>
      <w:bookmarkStart w:id="129" w:name="_Toc183610250"/>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第六章 响应文件格式</w:t>
      </w:r>
      <w:bookmarkEnd w:id="129"/>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jc w:val="right"/>
        <w:spacing w:line="712" w:lineRule="auto"/>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正本（副本）</w:t>
      </w:r>
      <w:r>
        <w:rPr>
          <w:color w:val="000000" w:themeColor="text1"/>
          <w:highlight w:val="none"/>
          <w:lang w:eastAsia="zh-CN"/>
          <w14:textFill>
            <w14:solidFill>
              <w14:schemeClr w14:val="tx1"/>
            </w14:solidFill>
          </w14:textFill>
        </w:rPr>
        <w:t xml:space="preserve"> </w:t>
      </w:r>
      <w:r/>
    </w:p>
    <w:p>
      <w:pPr>
        <w:jc w:val="center"/>
        <w:spacing w:line="360" w:lineRule="auto"/>
        <w:rPr>
          <w:rFonts w:ascii="宋体" w:hAnsi="宋体" w:eastAsia="宋体" w:cs="宋体"/>
          <w:color w:val="000000" w:themeColor="text1"/>
          <w:sz w:val="44"/>
          <w:szCs w:val="44"/>
          <w:highlight w:val="none"/>
          <w:lang w:eastAsia="zh-CN"/>
          <w14:textFill>
            <w14:solidFill>
              <w14:schemeClr w14:val="tx1"/>
            </w14:solidFill>
          </w14:textFill>
        </w:rPr>
      </w:pPr>
      <w:r>
        <w:rPr>
          <w:rFonts w:ascii="宋体" w:hAnsi="宋体" w:eastAsia="宋体" w:cs="宋体"/>
          <w:color w:val="000000" w:themeColor="text1"/>
          <w:sz w:val="44"/>
          <w:szCs w:val="44"/>
          <w:highlight w:val="none"/>
          <w:lang w:eastAsia="zh-CN"/>
          <w14:textFill>
            <w14:solidFill>
              <w14:schemeClr w14:val="tx1"/>
            </w14:solidFill>
          </w14:textFill>
        </w:rPr>
      </w:r>
      <w:r/>
    </w:p>
    <w:p>
      <w:pPr>
        <w:jc w:val="center"/>
        <w:spacing w:line="360" w:lineRule="auto"/>
        <w:rPr>
          <w:rFonts w:cs="黑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滨江派出所食堂外包项目</w:t>
      </w:r>
      <w:r/>
    </w:p>
    <w:p>
      <w:pPr>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spacing w:before="8"/>
        <w:rPr>
          <w:rFonts w:ascii="黑体" w:hAnsi="黑体" w:eastAsia="黑体" w:cs="黑体"/>
          <w:color w:val="000000" w:themeColor="text1"/>
          <w:sz w:val="24"/>
          <w:szCs w:val="24"/>
          <w:highlight w:val="none"/>
          <w:lang w:eastAsia="zh-CN"/>
          <w14:textFill>
            <w14:solidFill>
              <w14:schemeClr w14:val="tx1"/>
            </w14:solidFill>
          </w14:textFill>
        </w:rPr>
      </w:pPr>
      <w:r>
        <w:rPr>
          <w:rFonts w:ascii="黑体" w:hAnsi="黑体" w:eastAsia="黑体" w:cs="黑体"/>
          <w:color w:val="000000" w:themeColor="text1"/>
          <w:sz w:val="24"/>
          <w:szCs w:val="24"/>
          <w:highlight w:val="none"/>
          <w:lang w:eastAsia="zh-CN"/>
          <w14:textFill>
            <w14:solidFill>
              <w14:schemeClr w14:val="tx1"/>
            </w14:solidFill>
          </w14:textFill>
        </w:rPr>
      </w:r>
      <w:r/>
    </w:p>
    <w:p>
      <w:pPr>
        <w:ind w:right="1"/>
        <w:jc w:val="cente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t xml:space="preserve">响应文件</w:t>
      </w:r>
      <w:r/>
    </w:p>
    <w:p>
      <w:pP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r>
      <w:r/>
    </w:p>
    <w:p>
      <w:pP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hint="eastAsia" w:ascii="黑体" w:hAnsi="黑体" w:eastAsia="黑体" w:cs="黑体"/>
          <w:color w:val="000000" w:themeColor="text1"/>
          <w:sz w:val="32"/>
          <w:szCs w:val="32"/>
          <w:highlight w:val="none"/>
          <w:lang w:eastAsia="zh-CN"/>
          <w14:textFill>
            <w14:solidFill>
              <w14:schemeClr w14:val="tx1"/>
            </w14:solidFill>
          </w14:textFill>
        </w:rPr>
        <w:t xml:space="preserve">项目编号</w:t>
      </w:r>
      <w:r>
        <w:rPr>
          <w:rFonts w:ascii="黑体" w:hAnsi="黑体" w:eastAsia="黑体" w:cs="黑体"/>
          <w:color w:val="000000" w:themeColor="text1"/>
          <w:sz w:val="32"/>
          <w:szCs w:val="32"/>
          <w:highlight w:val="none"/>
          <w:lang w:eastAsia="zh-CN"/>
          <w14:textFill>
            <w14:solidFill>
              <w14:schemeClr w14:val="tx1"/>
            </w14:solidFill>
          </w14:textFill>
        </w:rPr>
        <w:t xml:space="preserve">：</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供 应 商：</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 xml:space="preserve">（单位公章） 联 系</w:t>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 </w:t>
      </w:r>
      <w:r>
        <w:rPr>
          <w:rFonts w:ascii="黑体" w:hAnsi="黑体" w:eastAsia="黑体" w:cs="黑体"/>
          <w:color w:val="000000" w:themeColor="text1"/>
          <w:sz w:val="32"/>
          <w:szCs w:val="32"/>
          <w:highlight w:val="none"/>
          <w:lang w:eastAsia="zh-CN"/>
          <w14:textFill>
            <w14:solidFill>
              <w14:schemeClr w14:val="tx1"/>
            </w14:solidFill>
          </w14:textFill>
        </w:rPr>
        <w:t xml:space="preserve">人：</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联系方式：</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单位地址：</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p>
    <w:p>
      <w:pPr>
        <w:ind w:left="47"/>
        <w:jc w:val="center"/>
        <w:spacing w:before="46"/>
        <w:tabs>
          <w:tab w:val="left" w:pos="847" w:leader="none"/>
          <w:tab w:val="left" w:pos="1648" w:leader="none"/>
          <w:tab w:val="left" w:pos="2448" w:leader="none"/>
        </w:tabs>
        <w:rPr>
          <w:rFonts w:ascii="黑体" w:hAnsi="黑体" w:eastAsia="黑体" w:cs="黑体"/>
          <w:color w:val="000000" w:themeColor="text1"/>
          <w:sz w:val="32"/>
          <w:szCs w:val="32"/>
          <w:highlight w:val="none"/>
          <w:lang w:eastAsia="zh-CN"/>
          <w14:textFill>
            <w14:solidFill>
              <w14:schemeClr w14:val="tx1"/>
            </w14:solidFill>
          </w14:textFill>
        </w:rPr>
      </w:pP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2"/>
          <w:sz w:val="32"/>
          <w:szCs w:val="32"/>
          <w:highlight w:val="none"/>
          <w:lang w:eastAsia="zh-CN"/>
          <w14:textFill>
            <w14:solidFill>
              <w14:schemeClr w14:val="tx1"/>
            </w14:solidFill>
          </w14:textFill>
        </w:rPr>
        <w:t xml:space="preserve">年</w:t>
      </w:r>
      <w:r>
        <w:rPr>
          <w:rFonts w:eastAsia="Times New Roman"/>
          <w:color w:val="000000" w:themeColor="text1"/>
          <w:spacing w:val="2"/>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月</w:t>
      </w:r>
      <w:r>
        <w:rPr>
          <w:rFonts w:eastAsia="Times New Roman"/>
          <w:color w:val="000000" w:themeColor="text1"/>
          <w:spacing w:val="-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 xml:space="preserve">日</w:t>
      </w:r>
      <w:r/>
    </w:p>
    <w:p>
      <w:pPr>
        <w:pStyle w:val="691"/>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pStyle w:val="691"/>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pStyle w:val="691"/>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30" w:name="_Toc11056"/>
      <w:r/>
      <w:bookmarkStart w:id="131" w:name="_Toc22659"/>
      <w:r/>
      <w:bookmarkStart w:id="132" w:name="_Toc175663950"/>
      <w:r>
        <w:rPr>
          <w:rFonts w:hint="eastAsia" w:ascii="宋体" w:hAnsi="宋体"/>
          <w:b/>
          <w:color w:val="000000" w:themeColor="text1"/>
          <w:sz w:val="24"/>
          <w:szCs w:val="21"/>
          <w:highlight w:val="none"/>
          <w:lang w:eastAsia="zh-CN"/>
          <w14:textFill>
            <w14:solidFill>
              <w14:schemeClr w14:val="tx1"/>
            </w14:solidFill>
          </w14:textFill>
        </w:rPr>
        <w:br w:type="page" w:clear="all"/>
      </w:r>
      <w:r>
        <w:rPr>
          <w:rFonts w:hint="eastAsia" w:ascii="宋体" w:hAnsi="宋体"/>
          <w:b/>
          <w:color w:val="000000" w:themeColor="text1"/>
          <w:sz w:val="24"/>
          <w:szCs w:val="21"/>
          <w:highlight w:val="none"/>
          <w:lang w:eastAsia="zh-CN"/>
          <w14:textFill>
            <w14:solidFill>
              <w14:schemeClr w14:val="tx1"/>
            </w14:solidFill>
          </w14:textFill>
        </w:rPr>
        <w:t xml:space="preserve">一、磋商申请及声明</w:t>
      </w:r>
      <w:bookmarkEnd w:id="130"/>
      <w:r/>
      <w:bookmarkEnd w:id="131"/>
      <w:r/>
      <w:bookmarkEnd w:id="132"/>
      <w:r/>
      <w:r/>
    </w:p>
    <w:p>
      <w:pPr>
        <w:jc w:val="center"/>
        <w:rPr>
          <w:rFonts w:ascii="宋体" w:hAnsi="宋体" w:cs="宋体"/>
          <w:b/>
          <w:color w:val="000000" w:themeColor="text1"/>
          <w:sz w:val="52"/>
          <w:szCs w:val="44"/>
          <w:highlight w:val="none"/>
          <w:lang w:val="zh-CN" w:eastAsia="zh-CN"/>
          <w14:textFill>
            <w14:solidFill>
              <w14:schemeClr w14:val="tx1"/>
            </w14:solidFill>
          </w14:textFill>
        </w:rPr>
      </w:pPr>
      <w:r>
        <w:rPr>
          <w:rFonts w:hint="eastAsia" w:ascii="宋体" w:hAnsi="宋体" w:cs="宋体"/>
          <w:b/>
          <w:color w:val="000000" w:themeColor="text1"/>
          <w:sz w:val="52"/>
          <w:szCs w:val="44"/>
          <w:highlight w:val="none"/>
          <w:lang w:val="zh-CN" w:eastAsia="zh-CN"/>
          <w14:textFill>
            <w14:solidFill>
              <w14:schemeClr w14:val="tx1"/>
            </w14:solidFill>
          </w14:textFill>
        </w:rPr>
        <w:t xml:space="preserve">磋商申请及声明</w:t>
      </w:r>
      <w:r/>
    </w:p>
    <w:p>
      <w:pPr>
        <w:spacing w:line="4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致：</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南京江宁滨江经济开发区管理委员会</w:t>
      </w:r>
      <w:r/>
    </w:p>
    <w:p>
      <w:pPr>
        <w:ind w:firstLine="420"/>
        <w:spacing w:line="360" w:lineRule="exact"/>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 xml:space="preserve">根据贵方</w:t>
      </w:r>
      <w:r>
        <w:rPr>
          <w:rFonts w:hint="eastAsia" w:ascii="宋体" w:eastAsiaTheme="minorEastAsia"/>
          <w:color w:val="000000" w:themeColor="text1"/>
          <w:sz w:val="24"/>
          <w:szCs w:val="21"/>
          <w:highlight w:val="none"/>
          <w:u w:val="single"/>
          <w:lang w:val="zh-CN" w:eastAsia="zh-CN"/>
          <w14:textFill>
            <w14:solidFill>
              <w14:schemeClr w14:val="tx1"/>
            </w14:solidFill>
          </w14:textFill>
        </w:rPr>
        <w:t xml:space="preserve">    </w:t>
      </w:r>
      <w:r>
        <w:rPr>
          <w:rFonts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号采购文件，正式授权下述签字人</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(姓名和职务)代表</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（供应商名称），提交响应文件并参加磋商。</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据此函，签字人兹宣布同意如下：</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1.</w:t>
      </w:r>
      <w:r>
        <w:rPr>
          <w:rFonts w:hint="eastAsia" w:ascii="宋体" w:hAnsi="宋体"/>
          <w:color w:val="000000" w:themeColor="text1"/>
          <w:sz w:val="24"/>
          <w:szCs w:val="21"/>
          <w:highlight w:val="none"/>
          <w:lang w:eastAsia="zh-CN"/>
          <w14:textFill>
            <w14:solidFill>
              <w14:schemeClr w14:val="tx1"/>
            </w14:solidFill>
          </w14:textFill>
        </w:rPr>
        <w:t xml:space="preserve">按磋商需求的磋商报价为</w:t>
      </w:r>
      <w:r>
        <w:rPr>
          <w:rFonts w:hint="eastAsia" w:ascii="宋体" w:hAnsi="宋体"/>
          <w:color w:val="000000" w:themeColor="text1"/>
          <w:sz w:val="24"/>
          <w:szCs w:val="21"/>
          <w:highlight w:val="none"/>
          <w:u w:val="single"/>
          <w:lang w:eastAsia="zh-CN"/>
          <w14:textFill>
            <w14:solidFill>
              <w14:schemeClr w14:val="tx1"/>
            </w14:solidFill>
          </w14:textFill>
        </w:rPr>
        <w:t xml:space="preserve">¥       （大写：      ）</w:t>
      </w:r>
      <w:r>
        <w:rPr>
          <w:rFonts w:hint="eastAsia" w:ascii="宋体" w:hAnsi="宋体"/>
          <w:color w:val="000000" w:themeColor="text1"/>
          <w:sz w:val="24"/>
          <w:szCs w:val="21"/>
          <w:highlight w:val="none"/>
          <w:lang w:eastAsia="zh-CN"/>
          <w14:textFill>
            <w14:solidFill>
              <w14:schemeClr w14:val="tx1"/>
            </w14:solidFill>
          </w14:textFill>
        </w:rPr>
        <w:t xml:space="preserve">。</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2.</w:t>
      </w:r>
      <w:r>
        <w:rPr>
          <w:rFonts w:hint="eastAsia" w:ascii="宋体" w:hAnsi="宋体"/>
          <w:color w:val="000000" w:themeColor="text1"/>
          <w:sz w:val="24"/>
          <w:szCs w:val="21"/>
          <w:highlight w:val="none"/>
          <w:lang w:eastAsia="zh-CN"/>
          <w14:textFill>
            <w14:solidFill>
              <w14:schemeClr w14:val="tx1"/>
            </w14:solidFill>
          </w14:textFill>
        </w:rPr>
        <w:t xml:space="preserve">我们完全理解贵方不一定要接受最低报价的磋商或收到的任何磋商。</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3.</w:t>
      </w:r>
      <w:r>
        <w:rPr>
          <w:rFonts w:hint="eastAsia" w:ascii="宋体" w:hAnsi="宋体"/>
          <w:color w:val="000000" w:themeColor="text1"/>
          <w:sz w:val="24"/>
          <w:szCs w:val="21"/>
          <w:highlight w:val="none"/>
          <w:lang w:eastAsia="zh-CN"/>
          <w14:textFill>
            <w14:solidFill>
              <w14:schemeClr w14:val="tx1"/>
            </w14:solidFill>
          </w14:textFill>
        </w:rPr>
        <w:t xml:space="preserve">我们已详细审核全部磋商文件及其有效补充文件，我们知道必须放弃提出含糊不清或误解的问题的权利。</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4.</w:t>
      </w:r>
      <w:r>
        <w:rPr>
          <w:rFonts w:hint="eastAsia" w:ascii="宋体" w:hAnsi="宋体"/>
          <w:color w:val="000000" w:themeColor="text1"/>
          <w:sz w:val="24"/>
          <w:szCs w:val="21"/>
          <w:highlight w:val="none"/>
          <w:lang w:eastAsia="zh-CN"/>
          <w14:textFill>
            <w14:solidFill>
              <w14:schemeClr w14:val="tx1"/>
            </w14:solidFill>
          </w14:textFill>
        </w:rPr>
        <w:t xml:space="preserve">我们同意从规定的磋商日期起遵循本磋商文件，并在规定的磋商有效期期满之前均具有约束力。</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5</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同意向贵方提供贵方可能要求的与磋商有关的任何证据或资料。</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6</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一旦我方成交，我方将根据磋商文件的规定，严格履行合同，并保证于承诺的时间完成货物的启动、调试等服务，交付采购人验收、使用。</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7</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我方将严格遵守《中华人民共和国政府采购法》第七十七条规定，若有下列情形之一的，将被处以采购金额</w:t>
      </w:r>
      <w:r>
        <w:rPr>
          <w:rFonts w:ascii="宋体" w:hAnsi="宋体"/>
          <w:color w:val="000000" w:themeColor="text1"/>
          <w:sz w:val="24"/>
          <w:szCs w:val="21"/>
          <w:highlight w:val="none"/>
          <w:lang w:eastAsia="zh-CN"/>
          <w14:textFill>
            <w14:solidFill>
              <w14:schemeClr w14:val="tx1"/>
            </w14:solidFill>
          </w14:textFill>
        </w:rPr>
        <w:t xml:space="preserve">5</w:t>
      </w:r>
      <w:r>
        <w:rPr>
          <w:rFonts w:hint="eastAsia" w:ascii="宋体" w:hAnsi="宋体"/>
          <w:color w:val="000000" w:themeColor="text1"/>
          <w:sz w:val="24"/>
          <w:szCs w:val="21"/>
          <w:highlight w:val="none"/>
          <w:lang w:eastAsia="zh-CN"/>
          <w14:textFill>
            <w14:solidFill>
              <w14:schemeClr w14:val="tx1"/>
            </w14:solidFill>
          </w14:textFill>
        </w:rPr>
        <w:t xml:space="preserve">‰以上</w:t>
      </w:r>
      <w:r>
        <w:rPr>
          <w:rFonts w:ascii="宋体" w:hAnsi="宋体"/>
          <w:color w:val="000000" w:themeColor="text1"/>
          <w:sz w:val="24"/>
          <w:szCs w:val="21"/>
          <w:highlight w:val="none"/>
          <w:lang w:eastAsia="zh-CN"/>
          <w14:textFill>
            <w14:solidFill>
              <w14:schemeClr w14:val="tx1"/>
            </w14:solidFill>
          </w14:textFill>
        </w:rPr>
        <w:t xml:space="preserve">10</w:t>
      </w:r>
      <w:r>
        <w:rPr>
          <w:rFonts w:hint="eastAsia" w:ascii="宋体" w:hAnsi="宋体"/>
          <w:color w:val="000000" w:themeColor="text1"/>
          <w:sz w:val="24"/>
          <w:szCs w:val="21"/>
          <w:highlight w:val="none"/>
          <w:lang w:eastAsia="zh-CN"/>
          <w14:textFill>
            <w14:solidFill>
              <w14:schemeClr w14:val="tx1"/>
            </w14:solidFill>
          </w14:textFill>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1</w:t>
      </w:r>
      <w:r>
        <w:rPr>
          <w:rFonts w:hint="eastAsia" w:ascii="宋体" w:hAnsi="宋体"/>
          <w:color w:val="000000" w:themeColor="text1"/>
          <w:sz w:val="24"/>
          <w:szCs w:val="21"/>
          <w:highlight w:val="none"/>
          <w:lang w:eastAsia="zh-CN"/>
          <w14:textFill>
            <w14:solidFill>
              <w14:schemeClr w14:val="tx1"/>
            </w14:solidFill>
          </w14:textFill>
        </w:rPr>
        <w:t xml:space="preserve">）提供虚假材料谋取中标、成交的；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2</w:t>
      </w:r>
      <w:r>
        <w:rPr>
          <w:rFonts w:hint="eastAsia" w:ascii="宋体" w:hAnsi="宋体"/>
          <w:color w:val="000000" w:themeColor="text1"/>
          <w:sz w:val="24"/>
          <w:szCs w:val="21"/>
          <w:highlight w:val="none"/>
          <w:lang w:eastAsia="zh-CN"/>
          <w14:textFill>
            <w14:solidFill>
              <w14:schemeClr w14:val="tx1"/>
            </w14:solidFill>
          </w14:textFill>
        </w:rPr>
        <w:t xml:space="preserve">）采取不正当手段诋毁、排挤其他供应商的；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3</w:t>
      </w:r>
      <w:r>
        <w:rPr>
          <w:rFonts w:hint="eastAsia" w:ascii="宋体" w:hAnsi="宋体"/>
          <w:color w:val="000000" w:themeColor="text1"/>
          <w:sz w:val="24"/>
          <w:szCs w:val="21"/>
          <w:highlight w:val="none"/>
          <w:lang w:eastAsia="zh-CN"/>
          <w14:textFill>
            <w14:solidFill>
              <w14:schemeClr w14:val="tx1"/>
            </w14:solidFill>
          </w14:textFill>
        </w:rPr>
        <w:t xml:space="preserve">）与采购人、其它供应商或者采购代理机构恶意串通的；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4</w:t>
      </w:r>
      <w:r>
        <w:rPr>
          <w:rFonts w:hint="eastAsia" w:ascii="宋体" w:hAnsi="宋体"/>
          <w:color w:val="000000" w:themeColor="text1"/>
          <w:sz w:val="24"/>
          <w:szCs w:val="21"/>
          <w:highlight w:val="none"/>
          <w:lang w:eastAsia="zh-CN"/>
          <w14:textFill>
            <w14:solidFill>
              <w14:schemeClr w14:val="tx1"/>
            </w14:solidFill>
          </w14:textFill>
        </w:rPr>
        <w:t xml:space="preserve">）向采购人、采购代理机构行贿或者提供其他不正当利益的；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5</w:t>
      </w:r>
      <w:r>
        <w:rPr>
          <w:rFonts w:hint="eastAsia" w:ascii="宋体" w:hAnsi="宋体"/>
          <w:color w:val="000000" w:themeColor="text1"/>
          <w:sz w:val="24"/>
          <w:szCs w:val="21"/>
          <w:highlight w:val="none"/>
          <w:lang w:eastAsia="zh-CN"/>
          <w14:textFill>
            <w14:solidFill>
              <w14:schemeClr w14:val="tx1"/>
            </w14:solidFill>
          </w14:textFill>
        </w:rPr>
        <w:t xml:space="preserve">）在采购过程中与采购人进行协商磋商的；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6</w:t>
      </w:r>
      <w:r>
        <w:rPr>
          <w:rFonts w:hint="eastAsia" w:ascii="宋体" w:hAnsi="宋体"/>
          <w:color w:val="000000" w:themeColor="text1"/>
          <w:sz w:val="24"/>
          <w:szCs w:val="21"/>
          <w:highlight w:val="none"/>
          <w:lang w:eastAsia="zh-CN"/>
          <w14:textFill>
            <w14:solidFill>
              <w14:schemeClr w14:val="tx1"/>
            </w14:solidFill>
          </w14:textFill>
        </w:rPr>
        <w:t xml:space="preserve">）拒绝有关部门监督检查或提供虚假情况的。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8</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与本磋商有关的正式通讯地址为：</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供应商名称（盖章）：</w:t>
      </w:r>
      <w:r/>
    </w:p>
    <w:p>
      <w:pPr>
        <w:ind w:firstLine="720"/>
        <w:spacing w:line="400" w:lineRule="exact"/>
        <w:rPr>
          <w:rFonts w:asci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地址：</w:t>
      </w:r>
      <w:r/>
    </w:p>
    <w:p>
      <w:pPr>
        <w:ind w:firstLine="720"/>
        <w:spacing w:line="400" w:lineRule="exact"/>
        <w:rPr>
          <w:rFonts w:ascii="宋体" w:hAnsi="宋体"/>
          <w:color w:val="000000" w:themeColor="text1"/>
          <w:sz w:val="24"/>
          <w:highlight w:val="none"/>
          <w:u w:val="singl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联系电话：</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法定</w:t>
      </w:r>
      <w:r>
        <w:rPr>
          <w:rFonts w:hint="eastAsia" w:ascii="宋体" w:hAnsi="宋体"/>
          <w:color w:val="000000" w:themeColor="text1"/>
          <w:sz w:val="24"/>
          <w:highlight w:val="none"/>
          <w:lang w:eastAsia="zh-CN"/>
          <w14:textFill>
            <w14:solidFill>
              <w14:schemeClr w14:val="tx1"/>
            </w14:solidFill>
          </w14:textFill>
        </w:rPr>
        <w:t xml:space="preserve">代表人（签字或盖章）：</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日期：   年   月   日</w:t>
      </w:r>
      <w:r/>
    </w:p>
    <w:p>
      <w:pPr>
        <w:ind w:firstLine="720"/>
        <w:spacing w:line="36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ind w:firstLine="720"/>
        <w:spacing w:line="36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bookmarkStart w:id="133" w:name="_Hlt460314944"/>
      <w:r/>
      <w:bookmarkEnd w:id="133"/>
      <w:r/>
      <w:bookmarkStart w:id="134" w:name="_Toc10181"/>
      <w:r/>
      <w:bookmarkStart w:id="135" w:name="_Toc26050"/>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pPr>
      <w:r/>
      <w:bookmarkStart w:id="136" w:name="_Toc175663951"/>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t xml:space="preserve">二、法定代表人授权委托书</w:t>
      </w:r>
      <w:bookmarkEnd w:id="134"/>
      <w:r/>
      <w:bookmarkEnd w:id="135"/>
      <w:r/>
      <w:bookmarkEnd w:id="136"/>
      <w:r/>
      <w:r/>
    </w:p>
    <w:p>
      <w:pPr>
        <w:ind w:firstLine="803"/>
        <w:jc w:val="center"/>
        <w:rPr>
          <w:rFonts w:ascii="宋体" w:hAnsi="宋体"/>
          <w:b/>
          <w:bCs/>
          <w:color w:val="000000" w:themeColor="text1"/>
          <w:sz w:val="24"/>
          <w:highlight w:val="none"/>
          <w:lang w:eastAsia="zh-CN"/>
          <w14:textFill>
            <w14:solidFill>
              <w14:schemeClr w14:val="tx1"/>
            </w14:solidFill>
          </w14:textFill>
        </w:rPr>
      </w:pPr>
      <w:r>
        <w:rPr>
          <w:rFonts w:hint="eastAsia" w:ascii="黑体" w:hAnsi="宋体" w:eastAsia="黑体"/>
          <w:b/>
          <w:bCs/>
          <w:color w:val="000000" w:themeColor="text1"/>
          <w:sz w:val="40"/>
          <w:szCs w:val="44"/>
          <w:highlight w:val="none"/>
          <w:lang w:eastAsia="zh-CN"/>
          <w14:textFill>
            <w14:solidFill>
              <w14:schemeClr w14:val="tx1"/>
            </w14:solidFill>
          </w14:textFill>
        </w:rPr>
        <w:t xml:space="preserve">法定代表人授权委托书</w:t>
      </w:r>
      <w:r/>
    </w:p>
    <w:p>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南京江宁滨江经济开发区管理委员会</w:t>
      </w:r>
      <w:r>
        <w:rPr>
          <w:rFonts w:hint="eastAsia" w:ascii="宋体" w:hAnsi="宋体"/>
          <w:color w:val="000000" w:themeColor="text1"/>
          <w:sz w:val="24"/>
          <w:szCs w:val="21"/>
          <w:highlight w:val="none"/>
          <w:lang w:eastAsia="zh-CN"/>
          <w14:textFill>
            <w14:solidFill>
              <w14:schemeClr w14:val="tx1"/>
            </w14:solidFill>
          </w14:textFill>
        </w:rPr>
        <w:t xml:space="preserve"> ：</w:t>
      </w:r>
      <w:r/>
    </w:p>
    <w:p>
      <w:pPr>
        <w:ind w:firstLine="480"/>
        <w:keepLines w:val="0"/>
        <w:keepNext w:val="0"/>
        <w:pageBreakBefore w:val="0"/>
        <w:spacing w:line="500" w:lineRule="exact"/>
        <w:widowControl w:val="off"/>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本授权书声明：注册于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（供应商注册地址）的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（供应商名称）法定代表人</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（法定代表人姓名、职务）代表本公司授权在下面的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（授权代表姓名、职务）为本公司的合法代理人，就贵方组织的项目编号：</w:t>
      </w:r>
      <w:r>
        <w:rPr>
          <w:rFonts w:hint="eastAsia" w:ascii="宋体" w:hAnsi="宋体" w:eastAsiaTheme="minorEastAsia"/>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u w:val="single"/>
          <w:lang w:eastAsia="zh-CN"/>
          <w14:textFill>
            <w14:solidFill>
              <w14:schemeClr w14:val="tx1"/>
            </w14:solidFill>
          </w14:textFill>
        </w:rPr>
        <w:t xml:space="preserve">号</w:t>
      </w:r>
      <w:r>
        <w:rPr>
          <w:rFonts w:hint="eastAsia" w:ascii="宋体" w:hAnsi="宋体"/>
          <w:color w:val="000000" w:themeColor="text1"/>
          <w:sz w:val="24"/>
          <w:szCs w:val="21"/>
          <w:highlight w:val="none"/>
          <w:lang w:eastAsia="zh-CN"/>
          <w14:textFill>
            <w14:solidFill>
              <w14:schemeClr w14:val="tx1"/>
            </w14:solidFill>
          </w14:textFill>
        </w:rPr>
        <w:t xml:space="preserve">，项目名称</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，以本公司名义处理一切与之有关的事务。</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本授权书于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年</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月</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日</w:t>
      </w:r>
      <w:r>
        <w:rPr>
          <w:rFonts w:hint="eastAsia" w:ascii="宋体" w:hAnsi="宋体"/>
          <w:color w:val="000000" w:themeColor="text1"/>
          <w:sz w:val="24"/>
          <w:szCs w:val="21"/>
          <w:highlight w:val="none"/>
          <w:lang w:val="en-US" w:eastAsia="zh-CN"/>
          <w14:textFill>
            <w14:solidFill>
              <w14:schemeClr w14:val="tx1"/>
            </w14:solidFill>
          </w14:textFill>
        </w:rPr>
        <w:t xml:space="preserve">盖章</w:t>
      </w:r>
      <w:r>
        <w:rPr>
          <w:rFonts w:hint="eastAsia" w:ascii="宋体" w:hAnsi="宋体"/>
          <w:color w:val="000000" w:themeColor="text1"/>
          <w:sz w:val="24"/>
          <w:szCs w:val="21"/>
          <w:highlight w:val="none"/>
          <w:lang w:eastAsia="zh-CN"/>
          <w14:textFill>
            <w14:solidFill>
              <w14:schemeClr w14:val="tx1"/>
            </w14:solidFill>
          </w14:textFill>
        </w:rPr>
        <w:t xml:space="preserve">生效，特此声明。</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附：</w:t>
      </w:r>
      <w:r>
        <w:rPr>
          <w:rFonts w:hint="eastAsia" w:ascii="宋体" w:hAnsi="宋体"/>
          <w:b/>
          <w:color w:val="000000" w:themeColor="text1"/>
          <w:sz w:val="24"/>
          <w:szCs w:val="21"/>
          <w:highlight w:val="none"/>
          <w:lang w:eastAsia="zh-CN"/>
          <w14:textFill>
            <w14:solidFill>
              <w14:schemeClr w14:val="tx1"/>
            </w14:solidFill>
          </w14:textFill>
        </w:rPr>
        <w:t xml:space="preserve">法人</w:t>
      </w:r>
      <w:r>
        <w:rPr>
          <w:rFonts w:hint="eastAsia" w:ascii="宋体" w:hAnsi="宋体"/>
          <w:color w:val="000000" w:themeColor="text1"/>
          <w:sz w:val="24"/>
          <w:szCs w:val="21"/>
          <w:highlight w:val="none"/>
          <w:lang w:eastAsia="zh-CN"/>
          <w14:textFill>
            <w14:solidFill>
              <w14:schemeClr w14:val="tx1"/>
            </w14:solidFill>
          </w14:textFill>
        </w:rPr>
        <w:t xml:space="preserve">及</w:t>
      </w:r>
      <w:r>
        <w:rPr>
          <w:rFonts w:hint="eastAsia" w:ascii="宋体" w:hAnsi="宋体"/>
          <w:b/>
          <w:bCs/>
          <w:color w:val="000000" w:themeColor="text1"/>
          <w:sz w:val="24"/>
          <w:szCs w:val="21"/>
          <w:highlight w:val="none"/>
          <w:lang w:eastAsia="zh-CN"/>
          <w14:textFill>
            <w14:solidFill>
              <w14:schemeClr w14:val="tx1"/>
            </w14:solidFill>
          </w14:textFill>
        </w:rPr>
        <w:t xml:space="preserve">授</w:t>
      </w:r>
      <w:r>
        <w:rPr>
          <w:rFonts w:hint="eastAsia" w:ascii="宋体" w:hAnsi="宋体"/>
          <w:b/>
          <w:color w:val="000000" w:themeColor="text1"/>
          <w:sz w:val="24"/>
          <w:szCs w:val="21"/>
          <w:highlight w:val="none"/>
          <w:lang w:eastAsia="zh-CN"/>
          <w14:textFill>
            <w14:solidFill>
              <w14:schemeClr w14:val="tx1"/>
            </w14:solidFill>
          </w14:textFill>
        </w:rPr>
        <w:t xml:space="preserve">权委托人</w:t>
      </w:r>
      <w:r>
        <w:rPr>
          <w:rFonts w:hint="eastAsia" w:ascii="宋体" w:hAnsi="宋体"/>
          <w:color w:val="000000" w:themeColor="text1"/>
          <w:sz w:val="24"/>
          <w:szCs w:val="21"/>
          <w:highlight w:val="none"/>
          <w:lang w:eastAsia="zh-CN"/>
          <w14:textFill>
            <w14:solidFill>
              <w14:schemeClr w14:val="tx1"/>
            </w14:solidFill>
          </w14:textFill>
        </w:rPr>
        <w:t xml:space="preserve">身份证加盖公章。</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firstLine="48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r/>
    </w:p>
    <w:p>
      <w:pPr>
        <w:ind w:firstLine="480"/>
        <w:spacing w:line="500" w:lineRule="exact"/>
        <w:tabs>
          <w:tab w:val="left" w:pos="1440" w:leader="none"/>
        </w:tabs>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日    期：       年    月    日</w:t>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pPr>
      <w:r/>
      <w:bookmarkStart w:id="137" w:name="_Toc8055"/>
      <w:r/>
      <w:bookmarkStart w:id="138" w:name="_Toc175663952"/>
      <w:r/>
      <w:bookmarkStart w:id="139" w:name="_Toc25188"/>
      <w:r/>
      <w:bookmarkStart w:id="140" w:name="_Toc354594116"/>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t xml:space="preserve">三、磋商报价</w:t>
      </w:r>
      <w:bookmarkEnd w:id="137"/>
      <w:r/>
      <w:bookmarkEnd w:id="138"/>
      <w:r/>
      <w:bookmarkEnd w:id="139"/>
      <w:r/>
      <w:bookmarkEnd w:id="140"/>
      <w:r>
        <w:rPr>
          <w:rFonts w:hint="eastAsia" w:ascii="宋体" w:hAnsi="宋体"/>
          <w:b/>
          <w:color w:val="000000" w:themeColor="text1"/>
          <w:sz w:val="24"/>
          <w:szCs w:val="21"/>
          <w:highlight w:val="none"/>
          <w:lang w:val="en-US" w:eastAsia="zh-CN"/>
          <w14:textFill>
            <w14:solidFill>
              <w14:schemeClr w14:val="tx1"/>
            </w14:solidFill>
          </w14:textFill>
        </w:rPr>
        <w:t xml:space="preserve">表</w:t>
      </w:r>
      <w:r>
        <w:rPr>
          <w:rFonts w:hint="eastAsia" w:asciiTheme="minorEastAsia" w:hAnsiTheme="minorEastAsia" w:eastAsiaTheme="minorEastAsia"/>
          <w:b/>
          <w:color w:val="000000" w:themeColor="text1"/>
          <w:sz w:val="24"/>
          <w:szCs w:val="21"/>
          <w:highlight w:val="none"/>
          <w:lang w:eastAsia="zh-CN"/>
          <w14:textFill>
            <w14:solidFill>
              <w14:schemeClr w14:val="tx1"/>
            </w14:solidFill>
          </w14:textFill>
        </w:rPr>
        <w:t xml:space="preserve">（第一轮）</w:t>
      </w:r>
      <w:r/>
    </w:p>
    <w:p>
      <w:pPr>
        <w:ind w:firstLine="361"/>
        <w:jc w:val="center"/>
        <w:spacing w:line="360" w:lineRule="auto"/>
        <w:rPr>
          <w:rFonts w:ascii="黑体" w:hAnsi="宋体" w:eastAsia="黑体"/>
          <w:b/>
          <w:color w:val="000000" w:themeColor="text1"/>
          <w:sz w:val="36"/>
          <w:szCs w:val="28"/>
          <w:highlight w:val="none"/>
          <w:lang w:eastAsia="zh-CN"/>
          <w14:textFill>
            <w14:solidFill>
              <w14:schemeClr w14:val="tx1"/>
            </w14:solidFill>
          </w14:textFill>
        </w:rPr>
      </w:pPr>
      <w:r>
        <w:rPr>
          <w:rFonts w:hint="eastAsia" w:ascii="黑体" w:hAnsi="宋体" w:eastAsia="黑体"/>
          <w:b/>
          <w:color w:val="000000" w:themeColor="text1"/>
          <w:sz w:val="36"/>
          <w:szCs w:val="28"/>
          <w:highlight w:val="none"/>
          <w:lang w:eastAsia="zh-CN"/>
          <w14:textFill>
            <w14:solidFill>
              <w14:schemeClr w14:val="tx1"/>
            </w14:solidFill>
          </w14:textFill>
        </w:rPr>
        <w:t xml:space="preserve">磋商报价</w:t>
      </w:r>
      <w:r>
        <w:rPr>
          <w:rFonts w:hint="eastAsia" w:ascii="黑体" w:hAnsi="宋体" w:eastAsia="黑体"/>
          <w:b/>
          <w:color w:val="000000" w:themeColor="text1"/>
          <w:sz w:val="36"/>
          <w:szCs w:val="28"/>
          <w:highlight w:val="none"/>
          <w:lang w:val="en-US" w:eastAsia="zh-CN"/>
          <w14:textFill>
            <w14:solidFill>
              <w14:schemeClr w14:val="tx1"/>
            </w14:solidFill>
          </w14:textFill>
        </w:rPr>
        <w:t xml:space="preserve">表</w:t>
      </w:r>
      <w:r>
        <w:rPr>
          <w:rFonts w:hint="eastAsia" w:ascii="黑体" w:hAnsi="宋体" w:eastAsia="黑体"/>
          <w:b/>
          <w:color w:val="000000" w:themeColor="text1"/>
          <w:sz w:val="36"/>
          <w:szCs w:val="28"/>
          <w:highlight w:val="none"/>
          <w:lang w:eastAsia="zh-CN"/>
          <w14:textFill>
            <w14:solidFill>
              <w14:schemeClr w14:val="tx1"/>
            </w14:solidFill>
          </w14:textFill>
        </w:rPr>
        <w:t xml:space="preserve">（第一轮）</w:t>
      </w:r>
      <w:r/>
    </w:p>
    <w:p>
      <w:pPr>
        <w:spacing w:line="360" w:lineRule="auto"/>
        <w:rPr>
          <w:rFonts w:ascii="宋体" w:hAnsi="宋体" w:eastAsiaTheme="minorEastAsia"/>
          <w:bCs/>
          <w:color w:val="000000" w:themeColor="text1"/>
          <w:sz w:val="24"/>
          <w:szCs w:val="21"/>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 xml:space="preserve">项目编号：JSZC-320115-NJMT-C2026-0007 </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滨江派出所食堂外包项目</w:t>
      </w:r>
      <w:r/>
    </w:p>
    <w:tbl>
      <w:tblPr>
        <w:tblStyle w:val="678"/>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2"/>
        <w:gridCol w:w="7307"/>
      </w:tblGrid>
      <w:tr>
        <w:trPr>
          <w:trHeight w:val="650"/>
        </w:trPr>
        <w:tc>
          <w:tcPr>
            <w:tcW w:w="2452" w:type="dxa"/>
            <w:vAlign w:val="center"/>
            <w:vMerge w:val="restart"/>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14:textFill>
                  <w14:solidFill>
                    <w14:schemeClr w14:val="tx1"/>
                  </w14:solidFill>
                </w14:textFill>
              </w:rPr>
              <w:t xml:space="preserve">磋商报价</w:t>
            </w:r>
            <w:r/>
          </w:p>
        </w:tc>
        <w:tc>
          <w:tcPr>
            <w:tcW w:w="7307"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bCs/>
                <w:color w:val="000000" w:themeColor="text1"/>
                <w:szCs w:val="21"/>
                <w:highlight w:val="none"/>
                <w:lang w:val="en-US" w:eastAsia="zh-CN"/>
                <w14:textFill>
                  <w14:solidFill>
                    <w14:schemeClr w14:val="tx1"/>
                  </w14:solidFill>
                </w14:textFill>
              </w:rPr>
              <w:t xml:space="preserve">¥：</w:t>
            </w:r>
            <w:r/>
          </w:p>
        </w:tc>
      </w:tr>
      <w:tr>
        <w:trPr>
          <w:trHeight w:val="650"/>
        </w:trPr>
        <w:tc>
          <w:tcPr>
            <w:tcW w:w="2452" w:type="dxa"/>
            <w:vMerge w:val="continue"/>
            <w:textDirection w:val="lrTb"/>
            <w:noWrap w:val="false"/>
          </w:tcPr>
          <w:p>
            <w:pP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r>
            <w:r/>
          </w:p>
        </w:tc>
        <w:tc>
          <w:tcPr>
            <w:tcW w:w="7307"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bCs/>
                <w:color w:val="000000" w:themeColor="text1"/>
                <w:szCs w:val="21"/>
                <w:highlight w:val="none"/>
                <w:lang w:val="en-US" w:eastAsia="zh-CN"/>
                <w14:textFill>
                  <w14:solidFill>
                    <w14:schemeClr w14:val="tx1"/>
                  </w14:solidFill>
                </w14:textFill>
              </w:rPr>
              <w:t xml:space="preserve">大写：</w:t>
            </w:r>
            <w:r/>
          </w:p>
        </w:tc>
      </w:tr>
      <w:tr>
        <w:trPr>
          <w:trHeight w:val="650"/>
        </w:trPr>
        <w:tc>
          <w:tcPr>
            <w:tcW w:w="2452"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bCs/>
                <w:color w:val="000000" w:themeColor="text1"/>
                <w:szCs w:val="21"/>
                <w:highlight w:val="none"/>
                <w:lang w:val="en-US"/>
                <w14:textFill>
                  <w14:solidFill>
                    <w14:schemeClr w14:val="tx1"/>
                  </w14:solidFill>
                </w14:textFill>
              </w:rPr>
              <w:t xml:space="preserve">项目负责人</w:t>
            </w:r>
            <w:r/>
          </w:p>
        </w:tc>
        <w:tc>
          <w:tcPr>
            <w:tcW w:w="7307" w:type="dxa"/>
            <w:textDirection w:val="lrTb"/>
            <w:noWrap w:val="false"/>
          </w:tcPr>
          <w:p>
            <w:pP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r>
            <w:r/>
          </w:p>
        </w:tc>
      </w:tr>
      <w:tr>
        <w:trPr>
          <w:trHeight w:val="650"/>
        </w:trPr>
        <w:tc>
          <w:tcPr>
            <w:tcW w:w="2452"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 xml:space="preserve">服务期</w:t>
            </w:r>
            <w:r/>
          </w:p>
        </w:tc>
        <w:tc>
          <w:tcPr>
            <w:tcW w:w="7307" w:type="dxa"/>
            <w:textDirection w:val="lrTb"/>
            <w:noWrap w:val="false"/>
          </w:tcPr>
          <w:p>
            <w:pP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r>
            <w:r/>
          </w:p>
        </w:tc>
      </w:tr>
      <w:tr>
        <w:trPr>
          <w:trHeight w:val="650"/>
        </w:trPr>
        <w:tc>
          <w:tcPr>
            <w:tcW w:w="2452"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14:textFill>
                  <w14:solidFill>
                    <w14:schemeClr w14:val="tx1"/>
                  </w14:solidFill>
                </w14:textFill>
              </w:rPr>
              <w:t xml:space="preserve">是否小微企业</w:t>
            </w:r>
            <w:r/>
          </w:p>
        </w:tc>
        <w:tc>
          <w:tcPr>
            <w:tcW w:w="7307" w:type="dxa"/>
            <w:vAlign w:val="center"/>
            <w:textDirection w:val="lrTb"/>
            <w:noWrap w:val="false"/>
          </w:tcPr>
          <w:p>
            <w:pPr>
              <w:pStyle w:val="645"/>
              <w:ind w:left="118" w:firstLine="240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cs="宋体"/>
                <w:color w:val="000000" w:themeColor="text1"/>
                <w:szCs w:val="21"/>
                <w:highlight w:val="none"/>
                <w:lang w:val="zh-CN"/>
                <w14:textFill>
                  <w14:solidFill>
                    <w14:schemeClr w14:val="tx1"/>
                  </w14:solidFill>
                </w14:textFill>
              </w:rPr>
              <w:t xml:space="preserve">是</w:t>
            </w:r>
            <w:r>
              <w:rPr>
                <w:rFonts w:hint="eastAsia" w:cs="宋体"/>
                <w:color w:val="000000" w:themeColor="text1"/>
                <w:szCs w:val="21"/>
                <w:highlight w:val="none"/>
                <w:lang w:val="zh-CN"/>
                <w14:textFill>
                  <w14:solidFill>
                    <w14:schemeClr w14:val="tx1"/>
                  </w14:solidFill>
                </w14:textFill>
              </w:rPr>
              <w:t xml:space="preserve">       否</w:t>
            </w:r>
            <w:r/>
          </w:p>
        </w:tc>
      </w:tr>
      <w:tr>
        <w:trPr>
          <w:trHeight w:val="668"/>
        </w:trPr>
        <w:tc>
          <w:tcPr>
            <w:tcW w:w="2452"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14:textFill>
                  <w14:solidFill>
                    <w14:schemeClr w14:val="tx1"/>
                  </w14:solidFill>
                </w14:textFill>
              </w:rPr>
              <w:t xml:space="preserve">其它</w:t>
            </w:r>
            <w:r/>
          </w:p>
        </w:tc>
        <w:tc>
          <w:tcPr>
            <w:tcW w:w="7307"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cs="宋体"/>
                <w:color w:val="000000" w:themeColor="text1"/>
                <w:szCs w:val="21"/>
                <w:highlight w:val="none"/>
                <w:lang w:val="zh-CN" w:eastAsia="zh-CN"/>
                <w14:textFill>
                  <w14:solidFill>
                    <w14:schemeClr w14:val="tx1"/>
                  </w14:solidFill>
                </w14:textFill>
              </w:rPr>
              <w:t xml:space="preserve">（如有优惠条件须在此注明）</w:t>
            </w:r>
            <w:r/>
          </w:p>
        </w:tc>
      </w:tr>
    </w:tbl>
    <w:p>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r/>
    </w:p>
    <w:p>
      <w:pPr>
        <w:spacing w:line="500" w:lineRule="exact"/>
        <w:tabs>
          <w:tab w:val="left" w:pos="1440" w:leader="none"/>
        </w:tabs>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日    期：       年    月    日</w:t>
      </w:r>
      <w:r/>
    </w:p>
    <w:p>
      <w:pPr>
        <w:rPr>
          <w:rFonts w:ascii="宋体" w:hAnsi="宋体" w:cs="宋体"/>
          <w:color w:val="000000" w:themeColor="text1"/>
          <w:sz w:val="24"/>
          <w:szCs w:val="21"/>
          <w:highlight w:val="none"/>
          <w:lang w:eastAsia="zh-CN"/>
          <w14:textFill>
            <w14:solidFill>
              <w14:schemeClr w14:val="tx1"/>
            </w14:solidFill>
          </w14:textFill>
        </w:rPr>
      </w:pPr>
      <w:r>
        <w:rPr>
          <w:rFonts w:ascii="宋体" w:hAnsi="宋体" w:cs="宋体"/>
          <w:color w:val="000000" w:themeColor="text1"/>
          <w:sz w:val="24"/>
          <w:szCs w:val="21"/>
          <w:highlight w:val="none"/>
          <w:lang w:eastAsia="zh-CN"/>
          <w14:textFill>
            <w14:solidFill>
              <w14:schemeClr w14:val="tx1"/>
            </w14:solidFill>
          </w14:textFill>
        </w:rPr>
      </w:r>
      <w:r/>
    </w:p>
    <w:p>
      <w:pPr>
        <w:ind w:firstLine="48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说明:  </w:t>
      </w:r>
      <w:r/>
    </w:p>
    <w:p>
      <w:pPr>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1、采购人对每一项货物和服务仅接受一个价格，</w:t>
      </w:r>
      <w:r>
        <w:rPr>
          <w:rFonts w:hint="eastAsia" w:ascii="宋体" w:hAnsi="宋体"/>
          <w:color w:val="000000" w:themeColor="text1"/>
          <w:sz w:val="24"/>
          <w:szCs w:val="21"/>
          <w:highlight w:val="none"/>
          <w:shd w:val="pct10" w:color="auto" w:fill="ffffff"/>
          <w:lang w:eastAsia="zh-CN"/>
          <w14:textFill>
            <w14:solidFill>
              <w14:schemeClr w14:val="tx1"/>
            </w14:solidFill>
          </w14:textFill>
        </w:rPr>
        <w:t xml:space="preserve">不得填报有选择性报价方案</w:t>
      </w:r>
      <w:r>
        <w:rPr>
          <w:rFonts w:hint="eastAsia" w:ascii="宋体" w:hAnsi="宋体"/>
          <w:color w:val="000000" w:themeColor="text1"/>
          <w:sz w:val="24"/>
          <w:szCs w:val="21"/>
          <w:highlight w:val="none"/>
          <w:lang w:eastAsia="zh-CN"/>
          <w14:textFill>
            <w14:solidFill>
              <w14:schemeClr w14:val="tx1"/>
            </w14:solidFill>
          </w14:textFill>
        </w:rPr>
        <w:t xml:space="preserve">。若有优惠条款须注明，但不得影响报价，影响产品整体功能。</w:t>
      </w:r>
      <w:r/>
    </w:p>
    <w:p>
      <w:pPr>
        <w:ind w:firstLine="420"/>
        <w:rPr>
          <w:rFonts w:ascii="宋体" w:hAnsi="宋体" w:eastAsiaTheme="minorEastAsia"/>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41" w:name="_Hlt460314991"/>
      <w:r/>
      <w:bookmarkEnd w:id="141"/>
      <w:r/>
      <w:bookmarkStart w:id="142" w:name="_Toc479931772"/>
      <w:r/>
      <w:bookmarkStart w:id="143" w:name="_Toc12980"/>
      <w:r/>
      <w:bookmarkStart w:id="144" w:name="_Toc12002"/>
      <w:r/>
      <w:bookmarkStart w:id="145" w:name="_Toc354594118"/>
      <w:r/>
      <w:bookmarkStart w:id="146" w:name="_Toc341184785"/>
      <w:r>
        <w:rPr>
          <w:rFonts w:hint="eastAsia" w:ascii="宋体" w:hAnsi="宋体"/>
          <w:color w:val="000000" w:themeColor="text1"/>
          <w:sz w:val="24"/>
          <w:szCs w:val="21"/>
          <w:highlight w:val="none"/>
          <w:lang w:eastAsia="zh-CN"/>
          <w14:textFill>
            <w14:solidFill>
              <w14:schemeClr w14:val="tx1"/>
            </w14:solidFill>
          </w14:textFill>
        </w:rPr>
        <w:t xml:space="preserve">。</w:t>
      </w:r>
      <w:bookmarkEnd w:id="142"/>
      <w:bookmarkEnd w:id="143"/>
      <w:bookmarkEnd w:id="144"/>
      <w:r/>
    </w:p>
    <w:p>
      <w:pPr>
        <w:rPr>
          <w:rFonts w:ascii="宋体" w:hAnsi="宋体"/>
          <w:b/>
          <w:color w:val="000000" w:themeColor="text1"/>
          <w:sz w:val="24"/>
          <w:highlight w:val="none"/>
          <w:lang w:eastAsia="zh-CN"/>
          <w14:textFill>
            <w14:solidFill>
              <w14:schemeClr w14:val="tx1"/>
            </w14:solidFill>
          </w14:textFill>
        </w:rPr>
        <w:outlineLvl w:val="1"/>
      </w:pPr>
      <w:r/>
      <w:bookmarkStart w:id="147" w:name="_Toc27011"/>
      <w:r/>
      <w:bookmarkStart w:id="148" w:name="_Toc459109593"/>
      <w:r/>
      <w:bookmarkStart w:id="149" w:name="_Toc12860"/>
      <w:r/>
      <w:bookmarkStart w:id="150" w:name="_Toc175663953"/>
      <w:r>
        <w:rPr>
          <w:rFonts w:hint="eastAsia" w:ascii="宋体" w:hAnsi="宋体"/>
          <w:b/>
          <w:color w:val="000000" w:themeColor="text1"/>
          <w:sz w:val="24"/>
          <w:highlight w:val="none"/>
          <w:lang w:eastAsia="zh-CN"/>
          <w14:textFill>
            <w14:solidFill>
              <w14:schemeClr w14:val="tx1"/>
            </w14:solidFill>
          </w14:textFill>
        </w:rPr>
        <w:br w:type="page" w:clear="all"/>
      </w:r>
      <w:r>
        <w:rPr>
          <w:rFonts w:hint="eastAsia" w:ascii="宋体" w:hAnsi="宋体"/>
          <w:b/>
          <w:color w:val="000000" w:themeColor="text1"/>
          <w:sz w:val="24"/>
          <w:highlight w:val="none"/>
          <w:lang w:eastAsia="zh-CN"/>
          <w14:textFill>
            <w14:solidFill>
              <w14:schemeClr w14:val="tx1"/>
            </w14:solidFill>
          </w14:textFill>
        </w:rPr>
        <w:t xml:space="preserve">四、</w:t>
      </w:r>
      <w:bookmarkEnd w:id="147"/>
      <w:r/>
      <w:bookmarkEnd w:id="148"/>
      <w:r/>
      <w:bookmarkEnd w:id="149"/>
      <w:r>
        <w:rPr>
          <w:rFonts w:hint="eastAsia" w:ascii="宋体" w:hAnsi="宋体" w:cs="黑体"/>
          <w:b/>
          <w:bCs/>
          <w:color w:val="000000" w:themeColor="text1"/>
          <w:sz w:val="24"/>
          <w:szCs w:val="21"/>
          <w:highlight w:val="none"/>
          <w:lang w:val="zh-CN" w:eastAsia="zh-CN"/>
          <w14:textFill>
            <w14:solidFill>
              <w14:schemeClr w14:val="tx1"/>
            </w14:solidFill>
          </w14:textFill>
        </w:rPr>
        <w:t xml:space="preserve">资格证明文件</w:t>
      </w:r>
      <w:bookmarkEnd w:id="150"/>
      <w:r/>
      <w:r/>
    </w:p>
    <w:p>
      <w:pPr>
        <w:jc w:val="center"/>
        <w:rPr>
          <w:b/>
          <w:color w:val="000000" w:themeColor="text1"/>
          <w:sz w:val="30"/>
          <w:szCs w:val="30"/>
          <w:highlight w:val="none"/>
          <w:lang w:val="zh-CN" w:eastAsia="zh-CN"/>
          <w14:textFill>
            <w14:solidFill>
              <w14:schemeClr w14:val="tx1"/>
            </w14:solidFill>
          </w14:textFill>
        </w:rPr>
      </w:pPr>
      <w:r/>
      <w:bookmarkStart w:id="151" w:name="_Toc506199229"/>
      <w:r/>
      <w:bookmarkStart w:id="152" w:name="_Toc2864"/>
      <w:r/>
      <w:bookmarkStart w:id="153" w:name="_Toc13890"/>
      <w:r/>
      <w:bookmarkStart w:id="154" w:name="_Toc2759"/>
      <w:r>
        <w:rPr>
          <w:rFonts w:hint="eastAsia"/>
          <w:b/>
          <w:color w:val="000000" w:themeColor="text1"/>
          <w:sz w:val="30"/>
          <w:szCs w:val="30"/>
          <w:highlight w:val="none"/>
          <w:lang w:val="zh-CN" w:eastAsia="zh-CN"/>
          <w14:textFill>
            <w14:solidFill>
              <w14:schemeClr w14:val="tx1"/>
            </w14:solidFill>
          </w14:textFill>
        </w:rPr>
        <w:t xml:space="preserve">资格证明文件（参考）</w:t>
      </w:r>
      <w:bookmarkEnd w:id="151"/>
      <w:r/>
      <w:bookmarkEnd w:id="152"/>
      <w:r/>
      <w:bookmarkEnd w:id="153"/>
      <w:r/>
      <w:bookmarkEnd w:id="154"/>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t xml:space="preserve">1.</w:t>
      </w:r>
      <w:r>
        <w:rPr>
          <w:rFonts w:hint="eastAsia" w:ascii="宋体" w:hAnsi="宋体" w:cs="宋体"/>
          <w:b/>
          <w:bCs/>
          <w:color w:val="000000" w:themeColor="text1"/>
          <w:sz w:val="24"/>
          <w:highlight w:val="none"/>
          <w:lang w:eastAsia="zh-CN"/>
          <w14:textFill>
            <w14:solidFill>
              <w14:schemeClr w14:val="tx1"/>
            </w14:solidFill>
          </w14:textFill>
        </w:rPr>
        <w:t xml:space="preserve">满足《中华人民共和国政府采购法》第二十二条规定的证明材料</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 xml:space="preserve">2</w:t>
      </w:r>
      <w:r>
        <w:rPr>
          <w:rFonts w:ascii="宋体" w:cs="宋体"/>
          <w:color w:val="000000" w:themeColor="text1"/>
          <w:sz w:val="24"/>
          <w:szCs w:val="21"/>
          <w:highlight w:val="none"/>
          <w:lang w:val="zh-CN" w:eastAsia="zh-CN"/>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本项目的特定资格要求证明材料（</w:t>
      </w:r>
      <w:r>
        <w:rPr>
          <w:rFonts w:hint="eastAsia" w:ascii="宋体" w:hAnsi="宋体" w:cs="宋体"/>
          <w:b/>
          <w:bCs/>
          <w:color w:val="000000" w:themeColor="text1"/>
          <w:sz w:val="24"/>
          <w:highlight w:val="none"/>
          <w:lang w:val="en-US" w:eastAsia="zh-CN"/>
          <w14:textFill>
            <w14:solidFill>
              <w14:schemeClr w14:val="tx1"/>
            </w14:solidFill>
          </w14:textFill>
        </w:rPr>
        <w:t xml:space="preserve">如有要求</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 xml:space="preserve">3</w:t>
      </w:r>
      <w:r>
        <w:rPr>
          <w:rFonts w:hint="eastAsia" w:ascii="宋体" w:cs="宋体"/>
          <w:color w:val="000000" w:themeColor="text1"/>
          <w:sz w:val="24"/>
          <w:szCs w:val="21"/>
          <w:highlight w:val="none"/>
          <w:lang w:val="zh-CN" w:eastAsia="zh-CN"/>
          <w14:textFill>
            <w14:solidFill>
              <w14:schemeClr w14:val="tx1"/>
            </w14:solidFill>
          </w14:textFill>
        </w:rPr>
        <w:t xml:space="preserve">.南京市政府采购供应商信用记录表暨信用承诺书</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 xml:space="preserve">4.</w:t>
      </w:r>
      <w:r>
        <w:rPr>
          <w:rFonts w:hint="eastAsia" w:ascii="宋体" w:cs="宋体"/>
          <w:color w:val="000000" w:themeColor="text1"/>
          <w:sz w:val="24"/>
          <w:szCs w:val="21"/>
          <w:highlight w:val="none"/>
          <w:lang w:val="zh-CN" w:eastAsia="zh-CN"/>
          <w14:textFill>
            <w14:solidFill>
              <w14:schemeClr w14:val="tx1"/>
            </w14:solidFill>
          </w14:textFill>
        </w:rPr>
        <w:t xml:space="preserve">投标人认为有必要有其他证明文件</w:t>
      </w:r>
      <w:r/>
    </w:p>
    <w:p>
      <w:pPr>
        <w:spacing w:line="44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right="480" w:firstLine="648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ind w:right="240"/>
        <w:jc w:val="right"/>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ind w:firstLine="960"/>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pStyle w:val="691"/>
        <w:rPr>
          <w:rFonts w:ascii="宋体" w:hAnsi="宋体"/>
          <w:b/>
          <w:color w:val="000000" w:themeColor="text1"/>
          <w:sz w:val="24"/>
          <w:szCs w:val="21"/>
          <w:highlight w:val="none"/>
          <w:lang w:eastAsia="zh-CN"/>
          <w14:textFill>
            <w14:solidFill>
              <w14:schemeClr w14:val="tx1"/>
            </w14:solidFill>
          </w14:textFill>
        </w:rPr>
      </w:pPr>
      <w:r/>
      <w:bookmarkStart w:id="155" w:name="_Toc29395"/>
      <w:r/>
      <w:bookmarkStart w:id="156" w:name="_Toc9482"/>
      <w:r/>
      <w:bookmarkStart w:id="157" w:name="_Toc175663955"/>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val="en-US" w:eastAsia="zh-CN"/>
          <w14:textFill>
            <w14:solidFill>
              <w14:schemeClr w14:val="tx1"/>
            </w14:solidFill>
          </w14:textFill>
        </w:rPr>
        <w:t xml:space="preserve">五</w:t>
      </w:r>
      <w:r>
        <w:rPr>
          <w:rFonts w:hint="eastAsia" w:ascii="宋体" w:hAnsi="宋体"/>
          <w:b/>
          <w:color w:val="000000" w:themeColor="text1"/>
          <w:sz w:val="24"/>
          <w:szCs w:val="21"/>
          <w:highlight w:val="none"/>
          <w:lang w:eastAsia="zh-CN"/>
          <w14:textFill>
            <w14:solidFill>
              <w14:schemeClr w14:val="tx1"/>
            </w14:solidFill>
          </w14:textFill>
        </w:rPr>
        <w:t xml:space="preserve">、</w:t>
      </w:r>
      <w:bookmarkEnd w:id="145"/>
      <w:r/>
      <w:bookmarkEnd w:id="155"/>
      <w:r/>
      <w:bookmarkEnd w:id="156"/>
      <w:r>
        <w:rPr>
          <w:rFonts w:hint="eastAsia" w:ascii="宋体" w:hAnsi="宋体"/>
          <w:b/>
          <w:color w:val="000000" w:themeColor="text1"/>
          <w:sz w:val="24"/>
          <w:szCs w:val="21"/>
          <w:highlight w:val="none"/>
          <w:lang w:eastAsia="zh-CN"/>
          <w14:textFill>
            <w14:solidFill>
              <w14:schemeClr w14:val="tx1"/>
            </w14:solidFill>
          </w14:textFill>
        </w:rPr>
        <w:t xml:space="preserve">技术要求</w:t>
      </w:r>
      <w:bookmarkEnd w:id="157"/>
      <w:r/>
      <w:bookmarkEnd w:id="146"/>
      <w:r/>
    </w:p>
    <w:p>
      <w:pPr>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服务</w:t>
      </w:r>
      <w:r>
        <w:rPr>
          <w:rFonts w:hint="eastAsia" w:ascii="宋体" w:hAnsi="宋体"/>
          <w:color w:val="000000" w:themeColor="text1"/>
          <w:sz w:val="24"/>
          <w:highlight w:val="none"/>
          <w:lang w:eastAsia="zh-CN"/>
          <w14:textFill>
            <w14:solidFill>
              <w14:schemeClr w14:val="tx1"/>
            </w14:solidFill>
          </w14:textFill>
        </w:rPr>
        <w:t xml:space="preserve">方案</w:t>
      </w:r>
      <w:r>
        <w:rPr>
          <w:rFonts w:hint="eastAsia" w:ascii="宋体" w:cs="宋体"/>
          <w:color w:val="000000" w:themeColor="text1"/>
          <w:sz w:val="24"/>
          <w:szCs w:val="21"/>
          <w:highlight w:val="none"/>
          <w:lang w:val="zh-CN" w:eastAsia="zh-CN"/>
          <w14:textFill>
            <w14:solidFill>
              <w14:schemeClr w14:val="tx1"/>
            </w14:solidFill>
          </w14:textFill>
        </w:rPr>
        <w:t xml:space="preserve">（格式自拟）</w:t>
      </w:r>
      <w:r/>
    </w:p>
    <w:p>
      <w:pPr>
        <w:rPr>
          <w:rFonts w:ascii="宋体" w:hAnsi="宋体" w:cs="宋体"/>
          <w:b/>
          <w:bCs/>
          <w:color w:val="000000" w:themeColor="text1"/>
          <w:sz w:val="24"/>
          <w:szCs w:val="21"/>
          <w:highlight w:val="none"/>
          <w:lang w:eastAsia="zh-CN"/>
          <w14:textFill>
            <w14:solidFill>
              <w14:schemeClr w14:val="tx1"/>
            </w14:solidFill>
          </w14:textFill>
        </w:rPr>
      </w:pPr>
      <w:r>
        <w:rPr>
          <w:rFonts w:ascii="宋体" w:hAnsi="宋体" w:cs="宋体"/>
          <w:b/>
          <w:bCs/>
          <w:color w:val="000000" w:themeColor="text1"/>
          <w:sz w:val="24"/>
          <w:szCs w:val="21"/>
          <w:highlight w:val="none"/>
          <w:lang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日期：   年   月  日</w:t>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eastAsiaTheme="minorEastAsia"/>
          <w:b/>
          <w:color w:val="000000" w:themeColor="text1"/>
          <w:sz w:val="24"/>
          <w:szCs w:val="21"/>
          <w:highlight w:val="none"/>
          <w:lang w:eastAsia="zh-CN"/>
          <w14:textFill>
            <w14:solidFill>
              <w14:schemeClr w14:val="tx1"/>
            </w14:solidFill>
          </w14:textFill>
        </w:rPr>
        <w:outlineLvl w:val="1"/>
      </w:pPr>
      <w:r/>
      <w:bookmarkStart w:id="158" w:name="_Toc354594120"/>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59" w:name="_Toc28031"/>
      <w:r/>
      <w:bookmarkStart w:id="160" w:name="_Toc5649"/>
      <w:r/>
      <w:r/>
    </w:p>
    <w:p>
      <w:pPr>
        <w:rPr>
          <w:rFonts w:hint="eastAsia" w:ascii="宋体" w:hAnsi="宋体"/>
          <w:b/>
          <w:color w:val="000000" w:themeColor="text1"/>
          <w:sz w:val="24"/>
          <w:szCs w:val="21"/>
          <w:highlight w:val="none"/>
          <w:lang w:eastAsia="zh-CN"/>
          <w14:textFill>
            <w14:solidFill>
              <w14:schemeClr w14:val="tx1"/>
            </w14:solidFill>
          </w14:textFill>
        </w:rPr>
      </w:pPr>
      <w:r/>
      <w:bookmarkStart w:id="161" w:name="_Toc175663956"/>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val="en-US" w:eastAsia="zh-CN"/>
          <w14:textFill>
            <w14:solidFill>
              <w14:schemeClr w14:val="tx1"/>
            </w14:solidFill>
          </w14:textFill>
        </w:rPr>
        <w:t xml:space="preserve">六</w:t>
      </w:r>
      <w:r>
        <w:rPr>
          <w:rFonts w:hint="eastAsia" w:ascii="宋体" w:hAnsi="宋体"/>
          <w:b/>
          <w:color w:val="000000" w:themeColor="text1"/>
          <w:sz w:val="24"/>
          <w:szCs w:val="21"/>
          <w:highlight w:val="none"/>
          <w:lang w:eastAsia="zh-CN"/>
          <w14:textFill>
            <w14:solidFill>
              <w14:schemeClr w14:val="tx1"/>
            </w14:solidFill>
          </w14:textFill>
        </w:rPr>
        <w:t xml:space="preserve">、项目组成员一览表</w:t>
      </w:r>
      <w:bookmarkEnd w:id="158"/>
      <w:r/>
      <w:bookmarkEnd w:id="159"/>
      <w:r/>
      <w:bookmarkEnd w:id="160"/>
      <w:r/>
      <w:bookmarkEnd w:id="161"/>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bookmarkStart w:id="162" w:name="_Toc341184788"/>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项目组成员一览表</w:t>
      </w:r>
      <w:bookmarkEnd w:id="162"/>
      <w:r/>
      <w:r/>
    </w:p>
    <w:p>
      <w:pPr>
        <w:ind w:firstLine="420"/>
        <w:rPr>
          <w:rFonts w:ascii="宋体" w:hAnsi="宋体"/>
          <w:color w:val="000000" w:themeColor="text1"/>
          <w:sz w:val="24"/>
          <w:szCs w:val="21"/>
          <w:highlight w:val="none"/>
          <w:lang w:val="zh-CN" w:eastAsia="zh-CN"/>
          <w14:textFill>
            <w14:solidFill>
              <w14:schemeClr w14:val="tx1"/>
            </w14:solidFill>
          </w14:textFill>
        </w:rPr>
      </w:pPr>
      <w:r>
        <w:rPr>
          <w:rFonts w:ascii="宋体" w:hAnsi="宋体"/>
          <w:color w:val="000000" w:themeColor="text1"/>
          <w:sz w:val="24"/>
          <w:szCs w:val="21"/>
          <w:highlight w:val="none"/>
          <w:lang w:val="zh-CN" w:eastAsia="zh-CN"/>
          <w14:textFill>
            <w14:solidFill>
              <w14:schemeClr w14:val="tx1"/>
            </w14:solidFill>
          </w14:textFill>
        </w:rPr>
      </w:r>
      <w:r/>
    </w:p>
    <w:tbl>
      <w:tblPr>
        <w:tblStyle w:val="637"/>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992"/>
        <w:gridCol w:w="2126"/>
        <w:gridCol w:w="1559"/>
        <w:gridCol w:w="1560"/>
        <w:gridCol w:w="1276"/>
      </w:tblGrid>
      <w:tr>
        <w:trPr/>
        <w:tc>
          <w:tcPr>
            <w:gridSpan w:val="4"/>
            <w:tcW w:w="4786" w:type="dxa"/>
            <w:vAlign w:val="center"/>
            <w:textDirection w:val="lrTb"/>
            <w:noWrap/>
          </w:tcPr>
          <w:p>
            <w:pPr>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滨江派出所食堂外包项目</w:t>
            </w:r>
            <w:r/>
          </w:p>
        </w:tc>
        <w:tc>
          <w:tcPr>
            <w:gridSpan w:val="3"/>
            <w:tcW w:w="4395" w:type="dxa"/>
            <w:textDirection w:val="lrTb"/>
            <w:noWrap w:val="false"/>
          </w:tcPr>
          <w:p>
            <w:pPr>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项目编号：JSZC-320115-NJMT-C2026-0007 </w:t>
            </w:r>
            <w:r/>
          </w:p>
        </w:tc>
      </w:tr>
      <w:tr>
        <w:trPr>
          <w:trHeight w:val="527"/>
        </w:trPr>
        <w:tc>
          <w:tcPr>
            <w:tcW w:w="675"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序号</w:t>
            </w:r>
            <w:r/>
          </w:p>
        </w:tc>
        <w:tc>
          <w:tcPr>
            <w:tcW w:w="993"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姓名</w:t>
            </w:r>
            <w:r/>
          </w:p>
        </w:tc>
        <w:tc>
          <w:tcPr>
            <w:tcW w:w="992"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性别</w:t>
            </w:r>
            <w:r/>
          </w:p>
        </w:tc>
        <w:tc>
          <w:tcPr>
            <w:tcW w:w="2126"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岗位</w:t>
            </w:r>
            <w:r/>
          </w:p>
        </w:tc>
        <w:tc>
          <w:tcPr>
            <w:tcW w:w="1559" w:type="dxa"/>
            <w:vAlign w:val="center"/>
            <w:textDirection w:val="lrTb"/>
            <w:noWrap w:val="false"/>
          </w:tcPr>
          <w:p>
            <w:pPr>
              <w:jc w:val="center"/>
              <w:rPr>
                <w:rFonts w:asciiTheme="minorEastAsia" w:hAnsiTheme="minorEastAsia" w:eastAsiaTheme="minorEastAsia"/>
                <w:b/>
                <w:color w:val="000000" w:themeColor="text1"/>
                <w:sz w:val="24"/>
                <w:szCs w:val="21"/>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1"/>
                <w:highlight w:val="none"/>
                <w:lang w:val="zh-CN" w:eastAsia="zh-CN"/>
                <w14:textFill>
                  <w14:solidFill>
                    <w14:schemeClr w14:val="tx1"/>
                  </w14:solidFill>
                </w14:textFill>
              </w:rPr>
              <w:t xml:space="preserve">证书</w:t>
            </w:r>
            <w:r>
              <w:rPr>
                <w:rFonts w:hint="eastAsia" w:ascii="宋体"/>
                <w:b/>
                <w:color w:val="000000" w:themeColor="text1"/>
                <w:sz w:val="24"/>
                <w:szCs w:val="21"/>
                <w:highlight w:val="none"/>
                <w:lang w:val="zh-CN"/>
                <w14:textFill>
                  <w14:solidFill>
                    <w14:schemeClr w14:val="tx1"/>
                  </w14:solidFill>
                </w14:textFill>
              </w:rPr>
              <w:t xml:space="preserve">类型</w:t>
            </w:r>
            <w:r/>
          </w:p>
        </w:tc>
        <w:tc>
          <w:tcPr>
            <w:tcW w:w="1560"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ascii="宋体"/>
                <w:b/>
                <w:color w:val="000000" w:themeColor="text1"/>
                <w:sz w:val="24"/>
                <w:szCs w:val="21"/>
                <w:highlight w:val="none"/>
                <w:lang w:val="zh-CN"/>
                <w14:textFill>
                  <w14:solidFill>
                    <w14:schemeClr w14:val="tx1"/>
                  </w14:solidFill>
                </w14:textFill>
              </w:rPr>
              <w:t xml:space="preserve">证书号</w:t>
            </w:r>
            <w:r/>
          </w:p>
        </w:tc>
        <w:tc>
          <w:tcPr>
            <w:tcW w:w="1276"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备    注</w:t>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bl>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日期：   年   月   日</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rPr>
          <w:rFonts w:ascii="宋体" w:eastAsiaTheme="minorEastAsia"/>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 xml:space="preserve">备注栏，可填写该人员擅长的工种，附相关证件加盖公章。</w:t>
      </w:r>
      <w:r/>
    </w:p>
    <w:p>
      <w:pPr>
        <w:pStyle w:val="69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rPr>
          <w:rFonts w:ascii="宋体"/>
          <w:color w:val="000000" w:themeColor="text1"/>
          <w:sz w:val="24"/>
          <w:szCs w:val="21"/>
          <w:highlight w:val="none"/>
          <w:lang w:val="zh-CN" w:eastAsia="zh-CN"/>
          <w14:textFill>
            <w14:solidFill>
              <w14:schemeClr w14:val="tx1"/>
            </w14:solidFill>
          </w14:textFill>
        </w:rPr>
      </w:pPr>
      <w:r>
        <w:rPr>
          <w:rFonts w:ascii="宋体"/>
          <w:color w:val="000000" w:themeColor="text1"/>
          <w:sz w:val="24"/>
          <w:szCs w:val="21"/>
          <w:highlight w:val="none"/>
          <w:lang w:val="zh-CN" w:eastAsia="zh-CN"/>
          <w14:textFill>
            <w14:solidFill>
              <w14:schemeClr w14:val="tx1"/>
            </w14:solidFill>
          </w14:textFill>
        </w:rPr>
      </w:r>
      <w:r/>
    </w:p>
    <w:p>
      <w:pPr>
        <w:spacing w:line="240" w:lineRule="atLeast"/>
        <w:widowControl/>
        <w:rPr>
          <w:b/>
          <w:color w:val="000000" w:themeColor="text1"/>
          <w:sz w:val="24"/>
          <w:highlight w:val="none"/>
          <w:lang w:eastAsia="zh-CN"/>
          <w14:textFill>
            <w14:solidFill>
              <w14:schemeClr w14:val="tx1"/>
            </w14:solidFill>
          </w14:textFill>
        </w:rPr>
        <w:outlineLvl w:val="1"/>
      </w:pPr>
      <w:r/>
      <w:bookmarkStart w:id="163" w:name="_Toc175663957"/>
      <w:r/>
      <w:bookmarkStart w:id="164" w:name="_Toc14286"/>
      <w:r/>
      <w:bookmarkStart w:id="165" w:name="_Toc459109600"/>
      <w:r/>
      <w:bookmarkStart w:id="166" w:name="_Toc11058"/>
      <w:r/>
      <w:bookmarkStart w:id="167" w:name="_Toc354594121"/>
      <w:r>
        <w:rPr>
          <w:rFonts w:hint="eastAsia"/>
          <w:b/>
          <w:color w:val="000000" w:themeColor="text1"/>
          <w:sz w:val="24"/>
          <w:highlight w:val="none"/>
          <w:lang w:val="en-US" w:eastAsia="zh-CN"/>
          <w14:textFill>
            <w14:solidFill>
              <w14:schemeClr w14:val="tx1"/>
            </w14:solidFill>
          </w14:textFill>
        </w:rPr>
        <w:t xml:space="preserve">七</w:t>
      </w:r>
      <w:r>
        <w:rPr>
          <w:rFonts w:hint="eastAsia"/>
          <w:b/>
          <w:color w:val="000000" w:themeColor="text1"/>
          <w:sz w:val="24"/>
          <w:highlight w:val="none"/>
          <w:lang w:eastAsia="zh-CN"/>
          <w14:textFill>
            <w14:solidFill>
              <w14:schemeClr w14:val="tx1"/>
            </w14:solidFill>
          </w14:textFill>
        </w:rPr>
        <w:t xml:space="preserve">、无重大违法记录声明格式</w:t>
      </w:r>
      <w:bookmarkEnd w:id="163"/>
      <w:r/>
      <w:bookmarkEnd w:id="164"/>
      <w:r/>
      <w:bookmarkEnd w:id="165"/>
      <w:r/>
      <w:bookmarkEnd w:id="166"/>
      <w:r/>
      <w:r/>
    </w:p>
    <w:p>
      <w:pPr>
        <w:jc w:val="center"/>
        <w:rPr>
          <w:rFonts w:ascii="黑体" w:eastAsia="黑体"/>
          <w:color w:val="000000" w:themeColor="text1"/>
          <w:sz w:val="44"/>
          <w:szCs w:val="36"/>
          <w:highlight w:val="none"/>
          <w:lang w:eastAsia="zh-CN"/>
          <w14:textFill>
            <w14:solidFill>
              <w14:schemeClr w14:val="tx1"/>
            </w14:solidFill>
          </w14:textFill>
        </w:rPr>
      </w:pPr>
      <w:r>
        <w:rPr>
          <w:rFonts w:hint="eastAsia" w:ascii="宋体" w:hAnsi="宋体" w:cs="黑体"/>
          <w:b/>
          <w:bCs/>
          <w:color w:val="000000" w:themeColor="text1"/>
          <w:sz w:val="36"/>
          <w:szCs w:val="28"/>
          <w:highlight w:val="none"/>
          <w:lang w:val="zh-CN" w:eastAsia="zh-CN"/>
          <w14:textFill>
            <w14:solidFill>
              <w14:schemeClr w14:val="tx1"/>
            </w14:solidFill>
          </w14:textFill>
        </w:rPr>
        <w:t xml:space="preserve">无重大违法记录声明</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6"/>
          <w:sz w:val="24"/>
          <w:szCs w:val="21"/>
          <w:highlight w:val="none"/>
          <w:lang w:eastAsia="zh-CN"/>
          <w14:textFill>
            <w14:solidFill>
              <w14:schemeClr w14:val="tx1"/>
            </w14:solidFill>
          </w14:textFill>
        </w:rPr>
        <w:t xml:space="preserve">南京江宁滨江经济开发区管理委员会</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我单位</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（供应商名称）郑重声明：</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参加政府采购活动前3年内在经营活动中</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（在下划线上如实填写：有或没有）重大违法记录。</w:t>
      </w:r>
      <w:r/>
    </w:p>
    <w:p>
      <w:pPr>
        <w:spacing w:line="600" w:lineRule="exact"/>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ind w:right="924"/>
        <w:jc w:val="right"/>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jc w:val="right"/>
        <w:spacing w:line="600" w:lineRule="exact"/>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spacing w:line="460" w:lineRule="exact"/>
        <w:rPr>
          <w:rFonts w:ascii="宋体" w:hAnsi="宋体" w:cs="黑体"/>
          <w:b/>
          <w:bCs/>
          <w:color w:val="000000" w:themeColor="text1"/>
          <w:sz w:val="24"/>
          <w:szCs w:val="21"/>
          <w:highlight w:val="none"/>
          <w:lang w:val="zh-CN" w:eastAsia="zh-CN"/>
          <w14:textFill>
            <w14:solidFill>
              <w14:schemeClr w14:val="tx1"/>
            </w14:solidFill>
          </w14:textFill>
        </w:rPr>
        <w:outlineLvl w:val="1"/>
      </w:pPr>
      <w:r/>
      <w:bookmarkStart w:id="168" w:name="_Toc27923"/>
      <w:r/>
      <w:bookmarkStart w:id="169" w:name="_Toc504126844"/>
      <w:r/>
      <w:bookmarkStart w:id="170" w:name="_Toc506199234"/>
      <w:r/>
      <w:bookmarkStart w:id="171" w:name="_Toc175663958"/>
      <w:r/>
      <w:bookmarkStart w:id="172" w:name="_Toc11616"/>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八</w:t>
      </w:r>
      <w:r>
        <w:rPr>
          <w:rFonts w:hint="eastAsia" w:ascii="宋体" w:hAnsi="宋体" w:cs="黑体"/>
          <w:b/>
          <w:bCs/>
          <w:color w:val="000000" w:themeColor="text1"/>
          <w:sz w:val="24"/>
          <w:szCs w:val="21"/>
          <w:highlight w:val="none"/>
          <w:lang w:val="zh-CN" w:eastAsia="zh-CN"/>
          <w14:textFill>
            <w14:solidFill>
              <w14:schemeClr w14:val="tx1"/>
            </w14:solidFill>
          </w14:textFill>
        </w:rPr>
        <w:t xml:space="preserve">、具备履行合同所必需的设备和专业技术能力的书面声明</w:t>
      </w:r>
      <w:bookmarkEnd w:id="168"/>
      <w:r/>
      <w:bookmarkEnd w:id="169"/>
      <w:r/>
      <w:bookmarkEnd w:id="170"/>
      <w:r/>
      <w:bookmarkEnd w:id="171"/>
      <w:r/>
      <w:bookmarkEnd w:id="172"/>
      <w:r/>
      <w:r/>
    </w:p>
    <w:p>
      <w:pPr>
        <w:ind w:firstLine="504"/>
        <w:spacing w:line="360" w:lineRule="auto"/>
        <w:rPr>
          <w:color w:val="000000" w:themeColor="text1"/>
          <w:spacing w:val="6"/>
          <w:sz w:val="24"/>
          <w:szCs w:val="21"/>
          <w:highlight w:val="none"/>
          <w:lang w:eastAsia="zh-CN"/>
          <w14:textFill>
            <w14:solidFill>
              <w14:schemeClr w14:val="tx1"/>
            </w14:solidFill>
          </w14:textFill>
        </w:rPr>
      </w:pPr>
      <w:r>
        <w:rPr>
          <w:color w:val="000000" w:themeColor="text1"/>
          <w:spacing w:val="6"/>
          <w:sz w:val="24"/>
          <w:szCs w:val="21"/>
          <w:highlight w:val="none"/>
          <w:lang w:eastAsia="zh-CN"/>
          <w14:textFill>
            <w14:solidFill>
              <w14:schemeClr w14:val="tx1"/>
            </w14:solidFill>
          </w14:textFill>
        </w:rPr>
      </w:r>
      <w:r/>
    </w:p>
    <w:p>
      <w:pPr>
        <w:ind w:firstLine="480"/>
        <w:keepLines w:val="0"/>
        <w:keepNext w:val="0"/>
        <w:pageBreakBefore w:val="0"/>
        <w:spacing w:line="500" w:lineRule="exact"/>
        <w:widowControl w:val="off"/>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500" w:lineRule="exact"/>
        <w:widowControl w:val="off"/>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主要设备有：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 xml:space="preserve">。</w:t>
      </w:r>
      <w:r/>
    </w:p>
    <w:p>
      <w:pPr>
        <w:ind w:firstLine="480"/>
        <w:keepLines w:val="0"/>
        <w:keepNext w:val="0"/>
        <w:pageBreakBefore w:val="0"/>
        <w:spacing w:line="500" w:lineRule="exact"/>
        <w:widowControl w:val="off"/>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主要专业技术能力有：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 xml:space="preserve">。</w:t>
      </w:r>
      <w:r/>
    </w:p>
    <w:p>
      <w:pPr>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ind w:right="84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供应商</w:t>
      </w:r>
      <w:r>
        <w:rPr>
          <w:color w:val="000000" w:themeColor="text1"/>
          <w:sz w:val="24"/>
          <w:szCs w:val="21"/>
          <w:highlight w:val="none"/>
          <w:lang w:eastAsia="zh-CN"/>
          <w14:textFill>
            <w14:solidFill>
              <w14:schemeClr w14:val="tx1"/>
            </w14:solidFill>
          </w14:textFill>
        </w:rPr>
        <w:t xml:space="preserve">（盖章）：</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           </w:t>
      </w:r>
      <w:r/>
    </w:p>
    <w:p>
      <w:pPr>
        <w:spacing w:line="600" w:lineRule="exact"/>
        <w:rPr>
          <w:rFonts w:hint="eastAsia" w:ascii="宋体" w:hAnsi="宋体" w:eastAsia="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日    期：    年    月   日</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r>
      <w:r/>
    </w:p>
    <w:p>
      <w:pPr>
        <w:spacing w:line="60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ind w:right="444"/>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ind w:right="444"/>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73" w:name="_Toc28457"/>
      <w:r/>
      <w:bookmarkStart w:id="174" w:name="_Toc13813"/>
      <w:r/>
      <w:bookmarkStart w:id="175" w:name="_Toc175663959"/>
      <w:r>
        <w:rPr>
          <w:rFonts w:hint="eastAsia" w:ascii="宋体" w:hAnsi="宋体"/>
          <w:b/>
          <w:color w:val="000000" w:themeColor="text1"/>
          <w:sz w:val="24"/>
          <w:szCs w:val="21"/>
          <w:highlight w:val="none"/>
          <w:lang w:val="en-US" w:eastAsia="zh-CN"/>
          <w14:textFill>
            <w14:solidFill>
              <w14:schemeClr w14:val="tx1"/>
            </w14:solidFill>
          </w14:textFill>
        </w:rPr>
        <w:t xml:space="preserve">九</w:t>
      </w:r>
      <w:r>
        <w:rPr>
          <w:rFonts w:hint="eastAsia" w:ascii="宋体" w:hAnsi="宋体"/>
          <w:b/>
          <w:color w:val="000000" w:themeColor="text1"/>
          <w:sz w:val="24"/>
          <w:szCs w:val="21"/>
          <w:highlight w:val="none"/>
          <w:lang w:eastAsia="zh-CN"/>
          <w14:textFill>
            <w14:solidFill>
              <w14:schemeClr w14:val="tx1"/>
            </w14:solidFill>
          </w14:textFill>
        </w:rPr>
        <w:t xml:space="preserve">、</w:t>
      </w:r>
      <w:bookmarkEnd w:id="167"/>
      <w:r/>
      <w:bookmarkEnd w:id="173"/>
      <w:r/>
      <w:bookmarkEnd w:id="174"/>
      <w:r>
        <w:rPr>
          <w:rFonts w:hint="eastAsia" w:ascii="宋体" w:hAnsi="宋体"/>
          <w:b/>
          <w:color w:val="000000" w:themeColor="text1"/>
          <w:sz w:val="24"/>
          <w:szCs w:val="21"/>
          <w:highlight w:val="none"/>
          <w:lang w:eastAsia="zh-CN"/>
          <w14:textFill>
            <w14:solidFill>
              <w14:schemeClr w14:val="tx1"/>
            </w14:solidFill>
          </w14:textFill>
        </w:rPr>
        <w:t xml:space="preserve">服务承诺书</w:t>
      </w:r>
      <w:bookmarkEnd w:id="175"/>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服务承诺书</w:t>
      </w:r>
      <w:r/>
    </w:p>
    <w:p>
      <w:pPr>
        <w:rPr>
          <w:rFonts w:eastAsia="黑体"/>
          <w:color w:val="000000" w:themeColor="text1"/>
          <w:sz w:val="24"/>
          <w:szCs w:val="21"/>
          <w:highlight w:val="none"/>
          <w:lang w:eastAsia="zh-CN"/>
          <w14:textFill>
            <w14:solidFill>
              <w14:schemeClr w14:val="tx1"/>
            </w14:solidFill>
          </w14:textFill>
        </w:rPr>
      </w:pPr>
      <w:r>
        <w:rPr>
          <w:rFonts w:eastAsia="黑体"/>
          <w:color w:val="000000" w:themeColor="text1"/>
          <w:sz w:val="24"/>
          <w:szCs w:val="21"/>
          <w:highlight w:val="none"/>
          <w:lang w:eastAsia="zh-CN"/>
          <w14:textFill>
            <w14:solidFill>
              <w14:schemeClr w14:val="tx1"/>
            </w14:solidFill>
          </w14:textFill>
        </w:rPr>
      </w:r>
      <w:r/>
    </w:p>
    <w:p>
      <w:pPr>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ab/>
      </w:r>
      <w:r>
        <w:rPr>
          <w:rFonts w:hint="eastAsia" w:ascii="宋体" w:cs="宋体"/>
          <w:color w:val="000000" w:themeColor="text1"/>
          <w:sz w:val="24"/>
          <w:szCs w:val="21"/>
          <w:highlight w:val="none"/>
          <w:lang w:val="zh-CN" w:eastAsia="zh-CN"/>
          <w14:textFill>
            <w14:solidFill>
              <w14:schemeClr w14:val="tx1"/>
            </w14:solidFill>
          </w14:textFill>
        </w:rPr>
        <w:t xml:space="preserve">我公司就项目编号为“JSZC-320115-NJMT-C2026-0007”的</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滨江派出所食堂外包项目</w:t>
      </w:r>
      <w:r>
        <w:rPr>
          <w:rFonts w:hint="eastAsia" w:asci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cs="宋体"/>
          <w:color w:val="000000" w:themeColor="text1"/>
          <w:sz w:val="24"/>
          <w:szCs w:val="21"/>
          <w:highlight w:val="none"/>
          <w:lang w:val="zh-CN" w:eastAsia="zh-CN"/>
          <w14:textFill>
            <w14:solidFill>
              <w14:schemeClr w14:val="tx1"/>
            </w14:solidFill>
          </w14:textFill>
        </w:rPr>
        <w:t xml:space="preserve">质量保证及服务承诺如下：</w:t>
      </w:r>
      <w:r/>
    </w:p>
    <w:p>
      <w:pPr>
        <w:ind w:firstLine="360"/>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r>
      <w:r/>
    </w:p>
    <w:p>
      <w:pPr>
        <w:ind w:firstLine="36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 xml:space="preserve">（其他服务承诺供应商自拟）</w:t>
      </w:r>
      <w:r/>
    </w:p>
    <w:p>
      <w:pPr>
        <w:ind w:firstLine="360"/>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76" w:name="_Toc175663960"/>
      <w:r/>
      <w:bookmarkStart w:id="177" w:name="_Toc29039"/>
      <w:r/>
      <w:bookmarkStart w:id="178" w:name="_Toc20990"/>
      <w:r>
        <w:rPr>
          <w:rFonts w:hint="eastAsia" w:ascii="宋体" w:hAnsi="宋体"/>
          <w:b/>
          <w:color w:val="000000" w:themeColor="text1"/>
          <w:sz w:val="24"/>
          <w:szCs w:val="21"/>
          <w:highlight w:val="none"/>
          <w:lang w:eastAsia="zh-CN"/>
          <w14:textFill>
            <w14:solidFill>
              <w14:schemeClr w14:val="tx1"/>
            </w14:solidFill>
          </w14:textFill>
        </w:rPr>
        <w:t xml:space="preserve">十、</w:t>
      </w:r>
      <w:bookmarkStart w:id="179" w:name="_Toc354594122"/>
      <w:r>
        <w:rPr>
          <w:rFonts w:hint="eastAsia" w:ascii="宋体" w:hAnsi="宋体"/>
          <w:b/>
          <w:color w:val="000000" w:themeColor="text1"/>
          <w:sz w:val="24"/>
          <w:szCs w:val="21"/>
          <w:highlight w:val="none"/>
          <w:lang w:eastAsia="zh-CN"/>
          <w14:textFill>
            <w14:solidFill>
              <w14:schemeClr w14:val="tx1"/>
            </w14:solidFill>
          </w14:textFill>
        </w:rPr>
        <w:t xml:space="preserve">中小企业声明函</w:t>
      </w:r>
      <w:bookmarkEnd w:id="176"/>
      <w:r/>
      <w:bookmarkEnd w:id="177"/>
      <w:r/>
      <w:bookmarkEnd w:id="178"/>
      <w:r/>
      <w:bookmarkEnd w:id="179"/>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bookmarkStart w:id="180" w:name="_Toc341184790"/>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中小企业声明函</w:t>
      </w:r>
      <w:bookmarkEnd w:id="180"/>
      <w:r/>
      <w:r/>
    </w:p>
    <w:p>
      <w:pPr>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（单位名称）采购编号为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（标的名称）属于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餐饮业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行业（磋商文件中明确的所属行业）；承接企业为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i/>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（标的名称）属于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行业（磋商文件中明确的所属行业）；承接企业为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64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45"/>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line="600" w:lineRule="exact"/>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日期：    年   月  日</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pPr>
      <w:r/>
      <w:bookmarkStart w:id="181" w:name="_Toc16865"/>
      <w:r/>
      <w:bookmarkStart w:id="182" w:name="_Toc5281"/>
      <w:r/>
      <w:bookmarkStart w:id="183" w:name="_Toc30604"/>
      <w:r/>
      <w:bookmarkStart w:id="184" w:name="_Toc175663961"/>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一</w:t>
      </w:r>
      <w:r>
        <w:rPr>
          <w:rFonts w:hint="eastAsia" w:ascii="宋体" w:hAnsi="宋体"/>
          <w:b/>
          <w:color w:val="000000" w:themeColor="text1"/>
          <w:sz w:val="24"/>
          <w:szCs w:val="21"/>
          <w:highlight w:val="none"/>
          <w:lang w:eastAsia="zh-CN"/>
          <w14:textFill>
            <w14:solidFill>
              <w14:schemeClr w14:val="tx1"/>
            </w14:solidFill>
          </w14:textFill>
        </w:rPr>
        <w:t xml:space="preserve">、残疾人福利性单位声明函</w:t>
      </w:r>
      <w:bookmarkEnd w:id="181"/>
      <w:r/>
      <w:bookmarkEnd w:id="182"/>
      <w:r/>
      <w:bookmarkEnd w:id="183"/>
      <w:r/>
      <w:bookmarkEnd w:id="184"/>
      <w:r/>
      <w:r/>
    </w:p>
    <w:p>
      <w:pPr>
        <w:ind w:firstLine="723"/>
        <w:jc w:val="center"/>
        <w:widowControl/>
        <w:rPr>
          <w:color w:val="000000" w:themeColor="text1"/>
          <w:sz w:val="24"/>
          <w:highlight w:val="none"/>
          <w:lang w:eastAsia="zh-CN"/>
          <w14:textFill>
            <w14:solidFill>
              <w14:schemeClr w14:val="tx1"/>
            </w14:solidFill>
          </w14:textFill>
        </w:rPr>
      </w:pPr>
      <w:r>
        <w:rPr>
          <w:rFonts w:eastAsia="黑体"/>
          <w:b/>
          <w:bCs/>
          <w:color w:val="000000" w:themeColor="text1"/>
          <w:sz w:val="36"/>
          <w:szCs w:val="28"/>
          <w:highlight w:val="none"/>
          <w:lang w:eastAsia="zh-CN"/>
          <w14:textFill>
            <w14:solidFill>
              <w14:schemeClr w14:val="tx1"/>
            </w14:solidFill>
          </w14:textFill>
        </w:rPr>
        <w:t xml:space="preserve">残疾人福利性单位声明函</w:t>
      </w:r>
      <w:r/>
    </w:p>
    <w:p>
      <w:pPr>
        <w:ind w:firstLine="504"/>
        <w:spacing w:line="50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本单位郑重声明，根据《财政部民政部中国残疾人联合会关于促进残疾人就业政府采购政策的通知》（财库〔2017〕 141号）的规定，本单位为</w:t>
      </w:r>
      <w:r>
        <w:rPr>
          <w:rFonts w:hint="eastAsia" w:ascii="宋体" w:hAnsi="宋体" w:eastAsia="宋体" w:cs="宋体"/>
          <w:color w:val="000000" w:themeColor="text1"/>
          <w:spacing w:val="6"/>
          <w:sz w:val="24"/>
          <w:szCs w:val="21"/>
          <w:highlight w:val="none"/>
          <w:u w:val="single"/>
          <w:lang w:val="zh-CN" w:eastAsia="zh-CN"/>
          <w14:textFill>
            <w14:solidFill>
              <w14:schemeClr w14:val="tx1"/>
            </w14:solidFill>
          </w14:textFill>
        </w:rPr>
        <w:t xml:space="preserve">        </w:t>
      </w:r>
      <w:r>
        <w:rPr>
          <w:rFonts w:hint="eastAsia"/>
          <w:color w:val="000000" w:themeColor="text1"/>
          <w:spacing w:val="6"/>
          <w:sz w:val="24"/>
          <w:szCs w:val="21"/>
          <w:highlight w:val="none"/>
          <w:lang w:val="zh-CN" w:eastAsia="zh-CN"/>
          <w14:textFill>
            <w14:solidFill>
              <w14:schemeClr w14:val="tx1"/>
            </w14:solidFill>
          </w14:textFill>
        </w:rPr>
        <w:t xml:space="preserve">（符合/不符合）条件的残疾人福利性单位。</w:t>
      </w:r>
      <w:r/>
    </w:p>
    <w:p>
      <w:pPr>
        <w:ind w:firstLine="504"/>
        <w:spacing w:line="50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本单位对上述声明的真实性负责。如有虚假，将依法承担相应责任。</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r>
      <w:r/>
    </w:p>
    <w:p>
      <w:pPr>
        <w:spacing w:line="600" w:lineRule="exact"/>
        <w:rPr>
          <w:rFonts w:hint="eastAsia" w:ascii="宋体" w:hAnsi="宋体" w:eastAsia="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（盖章）：            </w:t>
      </w:r>
      <w:r/>
    </w:p>
    <w:p>
      <w:pPr>
        <w:spacing w:line="600" w:lineRule="exact"/>
        <w:rPr>
          <w:rFonts w:hint="eastAsia" w:ascii="宋体" w:hAnsi="宋体" w:eastAsia="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日    期：    年    月   日</w:t>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bookmarkStart w:id="185" w:name="_Toc27059"/>
      <w:r/>
      <w:bookmarkStart w:id="186" w:name="_Toc5074"/>
      <w:r/>
      <w:bookmarkStart w:id="187" w:name="_Toc24113"/>
      <w:r/>
      <w:r/>
    </w:p>
    <w:p>
      <w:pPr>
        <w:pStyle w:val="645"/>
        <w:rPr>
          <w:rFonts w:ascii="宋体" w:hAnsi="宋体" w:cs="黑体"/>
          <w:b/>
          <w:bCs/>
          <w:color w:val="000000" w:themeColor="text1"/>
          <w:sz w:val="24"/>
          <w:szCs w:val="21"/>
          <w:highlight w:val="none"/>
          <w:lang w:eastAsia="zh-CN"/>
          <w14:textFill>
            <w14:solidFill>
              <w14:schemeClr w14:val="tx1"/>
            </w14:solidFill>
          </w14:textFill>
        </w:rPr>
      </w:pPr>
      <w:r>
        <w:rPr>
          <w:rFonts w:ascii="宋体" w:hAnsi="宋体" w:cs="黑体"/>
          <w:b/>
          <w:bCs/>
          <w:color w:val="000000" w:themeColor="text1"/>
          <w:sz w:val="24"/>
          <w:szCs w:val="21"/>
          <w:highlight w:val="none"/>
          <w:lang w:eastAsia="zh-CN"/>
          <w14:textFill>
            <w14:solidFill>
              <w14:schemeClr w14:val="tx1"/>
            </w14:solidFill>
          </w14:textFill>
        </w:rPr>
      </w:r>
      <w:r/>
    </w:p>
    <w:p>
      <w:pPr>
        <w:pStyle w:val="645"/>
        <w:rPr>
          <w:rFonts w:ascii="宋体" w:hAnsi="宋体" w:cs="黑体"/>
          <w:b/>
          <w:bCs/>
          <w:color w:val="000000" w:themeColor="text1"/>
          <w:sz w:val="24"/>
          <w:szCs w:val="21"/>
          <w:highlight w:val="none"/>
          <w:lang w:eastAsia="zh-CN"/>
          <w14:textFill>
            <w14:solidFill>
              <w14:schemeClr w14:val="tx1"/>
            </w14:solidFill>
          </w14:textFill>
        </w:rPr>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widowControl/>
        <w:rPr>
          <w:rFonts w:ascii="宋体" w:hAnsi="宋体"/>
          <w:b/>
          <w:color w:val="000000" w:themeColor="text1"/>
          <w:sz w:val="24"/>
          <w:szCs w:val="21"/>
          <w:highlight w:val="none"/>
          <w:lang w:eastAsia="zh-CN"/>
          <w14:textFill>
            <w14:solidFill>
              <w14:schemeClr w14:val="tx1"/>
            </w14:solidFill>
          </w14:textFill>
        </w:rPr>
        <w:outlineLvl w:val="1"/>
      </w:pPr>
      <w:r/>
      <w:bookmarkStart w:id="188" w:name="_Toc175663962"/>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二</w:t>
      </w:r>
      <w:r>
        <w:rPr>
          <w:rFonts w:hint="eastAsia" w:ascii="宋体" w:hAnsi="宋体"/>
          <w:b/>
          <w:color w:val="000000" w:themeColor="text1"/>
          <w:sz w:val="24"/>
          <w:szCs w:val="21"/>
          <w:highlight w:val="none"/>
          <w:lang w:eastAsia="zh-CN"/>
          <w14:textFill>
            <w14:solidFill>
              <w14:schemeClr w14:val="tx1"/>
            </w14:solidFill>
          </w14:textFill>
        </w:rPr>
        <w:t xml:space="preserve">：技术条款偏离表格式</w:t>
      </w:r>
      <w:bookmarkEnd w:id="188"/>
      <w:r/>
      <w:r/>
    </w:p>
    <w:p>
      <w:pPr>
        <w:ind w:firstLine="723"/>
        <w:jc w:val="center"/>
        <w:widowControl/>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 xml:space="preserve">技术条款偏离表</w:t>
      </w:r>
      <w:r/>
    </w:p>
    <w:tbl>
      <w:tblPr>
        <w:tblStyle w:val="637"/>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5"/>
        <w:gridCol w:w="2338"/>
        <w:gridCol w:w="2693"/>
        <w:gridCol w:w="2410"/>
        <w:gridCol w:w="1229"/>
      </w:tblGrid>
      <w:tr>
        <w:trPr>
          <w:jc w:val="center"/>
          <w:trHeight w:val="747"/>
        </w:trPr>
        <w:tc>
          <w:tcPr>
            <w:gridSpan w:val="5"/>
            <w:tcBorders>
              <w:top w:val="none" w:color="000000" w:sz="4" w:space="0"/>
              <w:left w:val="none" w:color="000000" w:sz="4" w:space="0"/>
              <w:bottom w:val="single" w:color="auto" w:sz="4" w:space="0"/>
              <w:right w:val="none" w:color="000000" w:sz="4" w:space="0"/>
            </w:tcBorders>
            <w:tcW w:w="9435" w:type="dxa"/>
            <w:vAlign w:val="center"/>
            <w:textDirection w:val="lrTb"/>
            <w:noWrap/>
          </w:tcPr>
          <w:p>
            <w:pPr>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项目编号：</w:t>
            </w:r>
            <w:r>
              <w:rPr>
                <w:rFonts w:hint="eastAsia" w:ascii="宋体" w:hAnsi="宋体"/>
                <w:bCs/>
                <w:color w:val="000000" w:themeColor="text1"/>
                <w:sz w:val="24"/>
                <w:szCs w:val="21"/>
                <w:highlight w:val="none"/>
                <w:lang w:eastAsia="zh-CN"/>
                <w14:textFill>
                  <w14:solidFill>
                    <w14:schemeClr w14:val="tx1"/>
                  </w14:solidFill>
                </w14:textFill>
              </w:rPr>
              <w:t xml:space="preserve">JSZC-320115-NJMT-C2026-0007</w:t>
            </w:r>
            <w:r/>
          </w:p>
          <w:p>
            <w:pPr>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项目名称：</w:t>
            </w:r>
            <w:r>
              <w:rPr>
                <w:rFonts w:hint="eastAsia" w:ascii="宋体" w:hAnsi="宋体" w:eastAsia="宋体" w:cs="宋体"/>
                <w:bCs/>
                <w:color w:val="000000" w:themeColor="text1"/>
                <w:sz w:val="24"/>
                <w:szCs w:val="21"/>
                <w:highlight w:val="none"/>
                <w:u w:val="none"/>
                <w:lang w:eastAsia="zh-CN"/>
                <w14:textFill>
                  <w14:solidFill>
                    <w14:schemeClr w14:val="tx1"/>
                  </w14:solidFill>
                </w14:textFill>
              </w:rPr>
              <w:t xml:space="preserve">滨江派出所食堂外包项目</w:t>
            </w:r>
            <w:r/>
          </w:p>
        </w:tc>
      </w:tr>
      <w:tr>
        <w:trPr>
          <w:jc w:val="center"/>
          <w:trHeight w:val="284"/>
        </w:trPr>
        <w:tc>
          <w:tcPr>
            <w:tcBorders>
              <w:top w:val="single" w:color="auto" w:sz="4" w:space="0"/>
            </w:tcBorders>
            <w:tcW w:w="765" w:type="dxa"/>
            <w:vAlign w:val="center"/>
            <w:textDirection w:val="lrTb"/>
            <w:noWrap/>
          </w:tcPr>
          <w:p>
            <w:pPr>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序号</w:t>
            </w:r>
            <w:r/>
          </w:p>
        </w:tc>
        <w:tc>
          <w:tcPr>
            <w:tcBorders>
              <w:top w:val="single" w:color="auto" w:sz="4" w:space="0"/>
            </w:tcBorders>
            <w:tcW w:w="2338" w:type="dxa"/>
            <w:vAlign w:val="center"/>
            <w:textDirection w:val="lrTb"/>
            <w:noWrap/>
          </w:tcPr>
          <w:p>
            <w:pPr>
              <w:jc w:val="center"/>
              <w:spacing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采购文件的技术条款</w:t>
            </w:r>
            <w:r/>
          </w:p>
        </w:tc>
        <w:tc>
          <w:tcPr>
            <w:tcBorders>
              <w:top w:val="single" w:color="auto" w:sz="4" w:space="0"/>
            </w:tcBorders>
            <w:tcW w:w="2693"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响应文件中响应条款</w:t>
            </w:r>
            <w:r/>
          </w:p>
        </w:tc>
        <w:tc>
          <w:tcPr>
            <w:tcBorders>
              <w:top w:val="single" w:color="auto" w:sz="4" w:space="0"/>
            </w:tcBorders>
            <w:tcW w:w="2410"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符合/正偏离/负偏离</w:t>
            </w:r>
            <w:r/>
          </w:p>
        </w:tc>
        <w:tc>
          <w:tcPr>
            <w:tcBorders>
              <w:top w:val="single" w:color="auto" w:sz="4" w:space="0"/>
            </w:tcBorders>
            <w:tcW w:w="1229"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备注</w:t>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1</w:t>
            </w:r>
            <w:r/>
          </w:p>
        </w:tc>
        <w:tc>
          <w:tcPr>
            <w:tcW w:w="2338" w:type="dxa"/>
            <w:vAlign w:val="center"/>
            <w:textDirection w:val="lrTb"/>
            <w:noWrap/>
          </w:tcPr>
          <w:p>
            <w:pPr>
              <w:ind w:firstLine="424"/>
              <w:jc w:val="center"/>
              <w:rPr>
                <w:rFonts w:hint="default" w:eastAsia="宋体"/>
                <w:color w:val="000000" w:themeColor="text1"/>
                <w:spacing w:val="6"/>
                <w:sz w:val="20"/>
                <w:szCs w:val="20"/>
                <w:highlight w:val="none"/>
                <w:lang w:val="en-US" w:eastAsia="zh-CN"/>
                <w14:textFill>
                  <w14:solidFill>
                    <w14:schemeClr w14:val="tx1"/>
                  </w14:solidFill>
                </w14:textFill>
              </w:rPr>
            </w:pPr>
            <w:r>
              <w:rPr>
                <w:rFonts w:hint="eastAsia" w:eastAsia="宋体"/>
                <w:color w:val="000000" w:themeColor="text1"/>
                <w:spacing w:val="6"/>
                <w:sz w:val="20"/>
                <w:szCs w:val="20"/>
                <w:highlight w:val="none"/>
                <w:lang w:val="en-US" w:eastAsia="zh-CN"/>
                <w14:textFill>
                  <w14:solidFill>
                    <w14:schemeClr w14:val="tx1"/>
                  </w14:solidFill>
                </w14:textFill>
              </w:rPr>
              <w:t xml:space="preserve">.........</w:t>
            </w:r>
            <w:r/>
          </w:p>
        </w:tc>
        <w:tc>
          <w:tcPr>
            <w:tcW w:w="2693"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410"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229"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2</w:t>
            </w:r>
            <w:r/>
          </w:p>
        </w:tc>
        <w:tc>
          <w:tcPr>
            <w:tcW w:w="2338"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693"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410"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229"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95"/>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r>
      <w:tr>
        <w:trPr>
          <w:jc w:val="center"/>
          <w:trHeight w:val="373"/>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4</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r>
    </w:tbl>
    <w:p>
      <w:pPr>
        <w:spacing w:line="360" w:lineRule="auto"/>
        <w:rPr>
          <w:rFonts w:hint="default"/>
          <w:color w:val="000000" w:themeColor="text1"/>
          <w:spacing w:val="6"/>
          <w:sz w:val="24"/>
          <w:szCs w:val="21"/>
          <w:highlight w:val="none"/>
          <w:lang w:val="en-US"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 我方承诺，除上表所列内容外，我方完全响应本次招标文件技术条款要求。</w:t>
      </w:r>
      <w:r>
        <w:rPr>
          <w:rFonts w:hint="eastAsia"/>
          <w:color w:val="000000" w:themeColor="text1"/>
          <w:spacing w:val="6"/>
          <w:sz w:val="24"/>
          <w:szCs w:val="21"/>
          <w:highlight w:val="none"/>
          <w:lang w:val="en-US" w:eastAsia="zh-CN"/>
          <w14:textFill>
            <w14:solidFill>
              <w14:schemeClr w14:val="tx1"/>
            </w14:solidFill>
          </w14:textFill>
        </w:rPr>
        <w:t xml:space="preserve">如提交空白表格或未提交按无效投标处理。</w:t>
      </w:r>
      <w:r/>
    </w:p>
    <w:p>
      <w:pPr>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供应商名称：（盖章）</w:t>
      </w:r>
      <w:r/>
    </w:p>
    <w:p>
      <w:pPr>
        <w:spacing w:line="360" w:lineRule="auto"/>
        <w:rPr>
          <w:rFonts w:hint="eastAsia" w:ascii="宋体" w:hAnsi="宋体" w:eastAsia="宋体" w:cs="宋体"/>
          <w:color w:val="000000" w:themeColor="text1"/>
          <w:spacing w:val="6"/>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日    期：    年    月   日</w:t>
      </w:r>
      <w:r/>
    </w:p>
    <w:p>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说明：如果行数不够，请自行增加。</w:t>
      </w:r>
      <w:bookmarkStart w:id="189" w:name="_Toc26433"/>
      <w:r/>
      <w:bookmarkStart w:id="190" w:name="_Toc23139"/>
      <w:r/>
      <w:bookmarkStart w:id="191" w:name="_Toc11155"/>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hAnsi="宋体"/>
          <w:b/>
          <w:color w:val="000000" w:themeColor="text1"/>
          <w:sz w:val="24"/>
          <w:szCs w:val="21"/>
          <w:highlight w:val="none"/>
          <w:lang w:eastAsia="zh-CN"/>
          <w14:textFill>
            <w14:solidFill>
              <w14:schemeClr w14:val="tx1"/>
            </w14:solidFill>
          </w14:textFill>
        </w:rPr>
        <w:outlineLvl w:val="1"/>
      </w:pPr>
      <w:r/>
      <w:bookmarkStart w:id="192" w:name="_Toc175663963"/>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三</w:t>
      </w:r>
      <w:r>
        <w:rPr>
          <w:rFonts w:hint="eastAsia" w:ascii="宋体" w:hAnsi="宋体"/>
          <w:b/>
          <w:color w:val="000000" w:themeColor="text1"/>
          <w:sz w:val="24"/>
          <w:szCs w:val="21"/>
          <w:highlight w:val="none"/>
          <w:lang w:eastAsia="zh-CN"/>
          <w14:textFill>
            <w14:solidFill>
              <w14:schemeClr w14:val="tx1"/>
            </w14:solidFill>
          </w14:textFill>
        </w:rPr>
        <w:t xml:space="preserve">：商务条款偏离表格式</w:t>
      </w:r>
      <w:bookmarkEnd w:id="189"/>
      <w:r/>
      <w:bookmarkEnd w:id="190"/>
      <w:r/>
      <w:bookmarkEnd w:id="191"/>
      <w:r/>
      <w:bookmarkEnd w:id="192"/>
      <w:r/>
      <w:r/>
    </w:p>
    <w:p>
      <w:pPr>
        <w:ind w:firstLine="723"/>
        <w:jc w:val="center"/>
        <w:spacing w:line="360" w:lineRule="auto"/>
        <w:widowControl/>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 xml:space="preserve">商务条款偏离表</w:t>
      </w:r>
      <w:r/>
    </w:p>
    <w:tbl>
      <w:tblPr>
        <w:tblStyle w:val="63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342"/>
        <w:gridCol w:w="2835"/>
        <w:gridCol w:w="2368"/>
        <w:gridCol w:w="1020"/>
      </w:tblGrid>
      <w:tr>
        <w:trPr>
          <w:jc w:val="center"/>
          <w:trHeight w:val="284"/>
          <w:tblHeader/>
        </w:trPr>
        <w:tc>
          <w:tcPr>
            <w:gridSpan w:val="5"/>
            <w:tcBorders>
              <w:top w:val="none" w:color="000000" w:sz="4" w:space="0"/>
              <w:left w:val="none" w:color="000000" w:sz="4" w:space="0"/>
              <w:right w:val="none" w:color="000000" w:sz="4" w:space="0"/>
            </w:tcBorders>
            <w:tcW w:w="9216" w:type="dxa"/>
            <w:vAlign w:val="center"/>
            <w:textDirection w:val="lrTb"/>
            <w:noWrap/>
          </w:tcPr>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项目编号：</w:t>
            </w:r>
            <w:r>
              <w:rPr>
                <w:rFonts w:hint="eastAsia" w:ascii="宋体" w:hAnsi="宋体"/>
                <w:bCs/>
                <w:color w:val="000000" w:themeColor="text1"/>
                <w:sz w:val="24"/>
                <w:szCs w:val="21"/>
                <w:highlight w:val="none"/>
                <w:lang w:eastAsia="zh-CN"/>
                <w14:textFill>
                  <w14:solidFill>
                    <w14:schemeClr w14:val="tx1"/>
                  </w14:solidFill>
                </w14:textFill>
              </w:rPr>
              <w:t xml:space="preserve">JSZC-320115-NJMT-C2026-0007</w:t>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项目名称：</w:t>
            </w:r>
            <w:r>
              <w:rPr>
                <w:rFonts w:hint="eastAsia" w:ascii="宋体" w:hAnsi="宋体" w:eastAsia="宋体" w:cs="宋体"/>
                <w:color w:val="000000" w:themeColor="text1"/>
                <w:spacing w:val="6"/>
                <w:sz w:val="24"/>
                <w:szCs w:val="21"/>
                <w:highlight w:val="none"/>
                <w:u w:val="none"/>
                <w:lang w:val="zh-CN" w:eastAsia="zh-CN"/>
                <w14:textFill>
                  <w14:solidFill>
                    <w14:schemeClr w14:val="tx1"/>
                  </w14:solidFill>
                </w14:textFill>
              </w:rPr>
              <w:t xml:space="preserve">滨江派出所食堂外包项目</w:t>
            </w:r>
            <w:r/>
          </w:p>
        </w:tc>
      </w:tr>
      <w:tr>
        <w:trPr>
          <w:jc w:val="center"/>
          <w:trHeight w:val="774"/>
        </w:trPr>
        <w:tc>
          <w:tcPr>
            <w:tcW w:w="651"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序号</w:t>
            </w:r>
            <w:r/>
          </w:p>
        </w:tc>
        <w:tc>
          <w:tcPr>
            <w:tcW w:w="2342" w:type="dxa"/>
            <w:vAlign w:val="center"/>
            <w:textDirection w:val="lrTb"/>
            <w:noWrap/>
          </w:tcPr>
          <w:p>
            <w:pPr>
              <w:jc w:val="center"/>
              <w:spacing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采购文件的商务条款</w:t>
            </w:r>
            <w:r/>
          </w:p>
        </w:tc>
        <w:tc>
          <w:tcPr>
            <w:tcW w:w="2835"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响应文件中响应条款</w:t>
            </w:r>
            <w:r/>
          </w:p>
        </w:tc>
        <w:tc>
          <w:tcPr>
            <w:tcW w:w="2368"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符合/正偏离/负偏离</w:t>
            </w:r>
            <w:r/>
          </w:p>
        </w:tc>
        <w:tc>
          <w:tcPr>
            <w:tcW w:w="1020"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备注</w:t>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1</w:t>
            </w:r>
            <w:r/>
          </w:p>
        </w:tc>
        <w:tc>
          <w:tcPr>
            <w:tcW w:w="2342" w:type="dxa"/>
            <w:vAlign w:val="center"/>
            <w:textDirection w:val="lrTb"/>
            <w:noWrap/>
          </w:tcPr>
          <w:p>
            <w:pPr>
              <w:jc w:val="both"/>
              <w:spacing w:line="360" w:lineRule="auto"/>
              <w:widowControl/>
              <w:rPr>
                <w:rFonts w:ascii="宋体" w:hAnsi="宋体"/>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 xml:space="preserve">磋商申请及声明</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2</w:t>
            </w:r>
            <w:r/>
          </w:p>
        </w:tc>
        <w:tc>
          <w:tcPr>
            <w:tcW w:w="2342" w:type="dxa"/>
            <w:vAlign w:val="center"/>
            <w:textDirection w:val="lrTb"/>
            <w:noWrap/>
          </w:tcPr>
          <w:p>
            <w:pPr>
              <w:jc w:val="both"/>
              <w:spacing w:line="360" w:lineRule="auto"/>
              <w:widowControl/>
              <w:rPr>
                <w:rFonts w:ascii="宋体" w:hAnsi="宋体"/>
                <w:bCs/>
                <w:color w:val="000000" w:themeColor="text1"/>
                <w:sz w:val="20"/>
                <w:szCs w:val="20"/>
                <w:highlight w:val="none"/>
                <w:lang w:eastAsia="zh-CN"/>
                <w14:textFill>
                  <w14:solidFill>
                    <w14:schemeClr w14:val="tx1"/>
                  </w14:solidFill>
                </w14:textFill>
              </w:rPr>
            </w:pPr>
            <w:r>
              <w:rPr>
                <w:rFonts w:hint="eastAsia" w:ascii="宋体" w:hAnsi="宋体"/>
                <w:bCs/>
                <w:color w:val="000000" w:themeColor="text1"/>
                <w:sz w:val="20"/>
                <w:szCs w:val="20"/>
                <w:highlight w:val="none"/>
                <w:lang w:eastAsia="zh-CN"/>
                <w14:textFill>
                  <w14:solidFill>
                    <w14:schemeClr w14:val="tx1"/>
                  </w14:solidFill>
                </w14:textFill>
              </w:rPr>
              <w:t xml:space="preserve">法定代表人授权委托书</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14:textFill>
                  <w14:solidFill>
                    <w14:schemeClr w14:val="tx1"/>
                  </w14:solidFill>
                </w14:textFill>
              </w:rPr>
            </w:pPr>
            <w:r>
              <w:rPr>
                <w:color w:val="000000" w:themeColor="text1"/>
                <w:spacing w:val="6"/>
                <w:sz w:val="20"/>
                <w:szCs w:val="20"/>
                <w:highlight w:val="none"/>
                <w:lang w:val="zh-CN" w:eastAsia="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14:textFill>
                  <w14:solidFill>
                    <w14:schemeClr w14:val="tx1"/>
                  </w14:solidFill>
                </w14:textFill>
              </w:rPr>
            </w:pPr>
            <w:r>
              <w:rPr>
                <w:color w:val="000000" w:themeColor="text1"/>
                <w:spacing w:val="6"/>
                <w:sz w:val="20"/>
                <w:szCs w:val="20"/>
                <w:highlight w:val="none"/>
                <w:lang w:val="zh-CN" w:eastAsia="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14:textFill>
                  <w14:solidFill>
                    <w14:schemeClr w14:val="tx1"/>
                  </w14:solidFill>
                </w14:textFill>
              </w:rPr>
            </w:pPr>
            <w:r>
              <w:rPr>
                <w:color w:val="000000" w:themeColor="text1"/>
                <w:spacing w:val="6"/>
                <w:sz w:val="20"/>
                <w:szCs w:val="20"/>
                <w:highlight w:val="none"/>
                <w:lang w:val="zh-CN" w:eastAsia="zh-CN"/>
                <w14:textFill>
                  <w14:solidFill>
                    <w14:schemeClr w14:val="tx1"/>
                  </w14:solidFill>
                </w14:textFill>
              </w:rPr>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3</w:t>
            </w:r>
            <w:r/>
          </w:p>
        </w:tc>
        <w:tc>
          <w:tcPr>
            <w:tcW w:w="2342" w:type="dxa"/>
            <w:vAlign w:val="center"/>
            <w:textDirection w:val="lrTb"/>
            <w:noWrap/>
          </w:tcPr>
          <w:p>
            <w:pPr>
              <w:jc w:val="both"/>
              <w:spacing w:line="360" w:lineRule="auto"/>
              <w:widowControl/>
              <w:rPr>
                <w:rFonts w:ascii="宋体" w:hAnsi="宋体"/>
                <w:bCs/>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 xml:space="preserve">磋商报价汇总表</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4</w:t>
            </w:r>
            <w:r/>
          </w:p>
        </w:tc>
        <w:tc>
          <w:tcPr>
            <w:tcW w:w="2342" w:type="dxa"/>
            <w:vAlign w:val="center"/>
            <w:textDirection w:val="lrTb"/>
            <w:noWrap/>
          </w:tcPr>
          <w:p>
            <w:pPr>
              <w:jc w:val="both"/>
              <w:spacing w:line="360" w:lineRule="auto"/>
              <w:widowControl/>
              <w:rPr>
                <w:rFonts w:hint="default" w:ascii="黑体" w:hAnsi="黑体" w:eastAsia="黑体" w:cs="黑体"/>
                <w:color w:val="000000" w:themeColor="text1"/>
                <w:sz w:val="20"/>
                <w:szCs w:val="20"/>
                <w:highlight w:val="none"/>
                <w:lang w:val="en-US" w:eastAsia="zh-CN"/>
                <w14:textFill>
                  <w14:solidFill>
                    <w14:schemeClr w14:val="tx1"/>
                  </w14:solidFill>
                </w14:textFill>
              </w:rPr>
            </w:pPr>
            <w:r>
              <w:rPr>
                <w:rFonts w:hint="eastAsia" w:ascii="黑体" w:hAnsi="黑体" w:eastAsia="黑体" w:cs="黑体"/>
                <w:color w:val="000000" w:themeColor="text1"/>
                <w:sz w:val="20"/>
                <w:szCs w:val="20"/>
                <w:highlight w:val="none"/>
                <w:lang w:val="en-US" w:eastAsia="zh-CN"/>
                <w14:textFill>
                  <w14:solidFill>
                    <w14:schemeClr w14:val="tx1"/>
                  </w14:solidFill>
                </w14:textFill>
              </w:rPr>
              <w:t xml:space="preserve">......</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bl>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我方承诺，除上表所列内容外，我方完全响应招标文件商务条款要求。</w:t>
      </w:r>
      <w:r>
        <w:rPr>
          <w:rFonts w:hint="eastAsia"/>
          <w:color w:val="000000" w:themeColor="text1"/>
          <w:spacing w:val="6"/>
          <w:sz w:val="24"/>
          <w:szCs w:val="21"/>
          <w:highlight w:val="none"/>
          <w:lang w:val="en-US" w:eastAsia="zh-CN"/>
          <w14:textFill>
            <w14:solidFill>
              <w14:schemeClr w14:val="tx1"/>
            </w14:solidFill>
          </w14:textFill>
        </w:rPr>
        <w:t xml:space="preserve">如提交空白表格或未提交按无效投标处理。</w:t>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供应商名称：（盖章）</w:t>
      </w:r>
      <w:r/>
    </w:p>
    <w:p>
      <w:pPr>
        <w:spacing w:line="360" w:lineRule="auto"/>
        <w:widowControl/>
        <w:rPr>
          <w:rFonts w:hint="eastAsia" w:ascii="宋体" w:hAnsi="宋体" w:eastAsia="宋体" w:cs="宋体"/>
          <w:color w:val="000000" w:themeColor="text1"/>
          <w:spacing w:val="6"/>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日    期：    年    月   日</w:t>
      </w:r>
      <w:r/>
    </w:p>
    <w:p>
      <w:pPr>
        <w:spacing w:line="36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说明：如果行数不够，请自行增加。</w:t>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r>
        <w:rPr>
          <w:rFonts w:eastAsiaTheme="minorEastAsia"/>
          <w:color w:val="000000" w:themeColor="text1"/>
          <w:spacing w:val="6"/>
          <w:sz w:val="24"/>
          <w:szCs w:val="21"/>
          <w:highlight w:val="none"/>
          <w:lang w:val="zh-CN" w:eastAsia="zh-CN"/>
          <w14:textFill>
            <w14:solidFill>
              <w14:schemeClr w14:val="tx1"/>
            </w14:solidFill>
          </w14:textFill>
        </w:rPr>
      </w:r>
      <w:r/>
    </w:p>
    <w:p>
      <w:pPr>
        <w:pStyle w:val="69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pStyle w:val="69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r>
        <w:rPr>
          <w:rFonts w:eastAsiaTheme="minorEastAsia"/>
          <w:color w:val="000000" w:themeColor="text1"/>
          <w:spacing w:val="6"/>
          <w:sz w:val="24"/>
          <w:szCs w:val="21"/>
          <w:highlight w:val="none"/>
          <w:lang w:val="zh-CN" w:eastAsia="zh-CN"/>
          <w14:textFill>
            <w14:solidFill>
              <w14:schemeClr w14:val="tx1"/>
            </w14:solidFill>
          </w14:textFill>
        </w:rPr>
      </w:r>
      <w:r/>
    </w:p>
    <w:p>
      <w:pPr>
        <w:pStyle w:val="69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bookmarkStart w:id="193" w:name="_Toc175663964"/>
      <w:r>
        <w:rPr>
          <w:rFonts w:hint="eastAsia" w:ascii="宋体" w:hAnsi="宋体" w:cs="黑体"/>
          <w:b/>
          <w:bCs/>
          <w:color w:val="000000" w:themeColor="text1"/>
          <w:sz w:val="24"/>
          <w:szCs w:val="21"/>
          <w:highlight w:val="none"/>
          <w:lang w:eastAsia="zh-CN"/>
          <w14:textFill>
            <w14:solidFill>
              <w14:schemeClr w14:val="tx1"/>
            </w14:solidFill>
          </w14:textFill>
        </w:rPr>
        <w:t xml:space="preserve">十</w:t>
      </w:r>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四</w:t>
      </w:r>
      <w:r>
        <w:rPr>
          <w:rFonts w:hint="eastAsia" w:ascii="宋体" w:hAnsi="宋体" w:cs="黑体"/>
          <w:b/>
          <w:bCs/>
          <w:color w:val="000000" w:themeColor="text1"/>
          <w:sz w:val="24"/>
          <w:szCs w:val="21"/>
          <w:highlight w:val="none"/>
          <w:lang w:eastAsia="zh-CN"/>
          <w14:textFill>
            <w14:solidFill>
              <w14:schemeClr w14:val="tx1"/>
            </w14:solidFill>
          </w14:textFill>
        </w:rPr>
        <w:t xml:space="preserve">、南京市政府采购供应商信用记录表暨信用承诺书</w:t>
      </w:r>
      <w:bookmarkEnd w:id="185"/>
      <w:r/>
      <w:bookmarkEnd w:id="186"/>
      <w:r/>
      <w:bookmarkEnd w:id="187"/>
      <w:r>
        <w:rPr>
          <w:rFonts w:hint="eastAsia" w:ascii="宋体" w:hAnsi="宋体" w:cs="黑体"/>
          <w:b/>
          <w:bCs/>
          <w:color w:val="000000" w:themeColor="text1"/>
          <w:sz w:val="24"/>
          <w:szCs w:val="21"/>
          <w:highlight w:val="none"/>
          <w:lang w:eastAsia="zh-CN"/>
          <w14:textFill>
            <w14:solidFill>
              <w14:schemeClr w14:val="tx1"/>
            </w14:solidFill>
          </w14:textFill>
        </w:rPr>
        <w:t xml:space="preserve">（附件）</w:t>
      </w:r>
      <w:bookmarkEnd w:id="193"/>
      <w:r/>
      <w:r/>
    </w:p>
    <w:tbl>
      <w:tblPr>
        <w:tblStyle w:val="637"/>
        <w:tblW w:w="9654" w:type="dxa"/>
        <w:tblInd w:w="0" w:type="dxa"/>
        <w:tblLayout w:type="fixed"/>
        <w:tblCellMar>
          <w:left w:w="15" w:type="dxa"/>
          <w:top w:w="15" w:type="dxa"/>
          <w:right w:w="15" w:type="dxa"/>
          <w:bottom w:w="15" w:type="dxa"/>
        </w:tblCellMar>
        <w:tblLook w:val="04A0" w:firstRow="1" w:lastRow="0" w:firstColumn="1" w:lastColumn="0" w:noHBand="0" w:noVBand="1"/>
      </w:tblPr>
      <w:tblGrid>
        <w:gridCol w:w="2000"/>
        <w:gridCol w:w="2693"/>
        <w:gridCol w:w="2552"/>
        <w:gridCol w:w="2409"/>
      </w:tblGrid>
      <w:tr>
        <w:trPr>
          <w:trHeight w:val="600"/>
        </w:trPr>
        <w:tc>
          <w:tcPr>
            <w:gridSpan w:val="4"/>
            <w:tcW w:w="9654" w:type="dxa"/>
            <w:vAlign w:val="center"/>
            <w:textDirection w:val="lrTb"/>
            <w:noWrap/>
          </w:tcPr>
          <w:p>
            <w:pPr>
              <w:jc w:val="center"/>
              <w:widowControl/>
              <w:rPr>
                <w:rFonts w:ascii="黑体" w:hAnsi="宋体" w:eastAsia="黑体" w:cs="黑体"/>
                <w:color w:val="000000" w:themeColor="text1"/>
                <w:sz w:val="36"/>
                <w:szCs w:val="36"/>
                <w:highlight w:val="none"/>
                <w:lang w:eastAsia="zh-CN"/>
                <w14:textFill>
                  <w14:solidFill>
                    <w14:schemeClr w14:val="tx1"/>
                  </w14:solidFill>
                </w14:textFill>
              </w:rPr>
            </w:pPr>
            <w:r>
              <w:rPr>
                <w:rFonts w:hint="eastAsia" w:ascii="黑体" w:hAnsi="宋体" w:eastAsia="黑体" w:cs="黑体"/>
                <w:color w:val="000000" w:themeColor="text1"/>
                <w:sz w:val="36"/>
                <w:szCs w:val="36"/>
                <w:highlight w:val="none"/>
                <w:lang w:eastAsia="zh-CN"/>
                <w14:textFill>
                  <w14:solidFill>
                    <w14:schemeClr w14:val="tx1"/>
                  </w14:solidFill>
                </w14:textFill>
              </w:rPr>
              <w:t xml:space="preserve">南京市政府采购供应商信用记录表暨信用承诺书（附件）</w:t>
            </w:r>
            <w:r/>
          </w:p>
        </w:tc>
      </w:tr>
      <w:tr>
        <w:trPr>
          <w:trHeight w:val="570"/>
        </w:trPr>
        <w:tc>
          <w:tcPr>
            <w:gridSpan w:val="4"/>
            <w:tcW w:w="9654" w:type="dxa"/>
            <w:vAlign w:val="center"/>
            <w:textDirection w:val="lrTb"/>
            <w:noWrap/>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（仅为示范格式，直接填写无效，需至“南京政府采购供应商诚信档案管理系统”在线打印）</w:t>
            </w:r>
            <w:r/>
          </w:p>
        </w:tc>
      </w:tr>
      <w:tr>
        <w:trPr>
          <w:trHeight w:val="624"/>
        </w:trPr>
        <w:tc>
          <w:tcPr>
            <w:tcBorders>
              <w:top w:val="single" w:color="000000" w:sz="18"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单位名称</w:t>
            </w:r>
            <w:r/>
          </w:p>
        </w:tc>
        <w:tc>
          <w:tcPr>
            <w:tcBorders>
              <w:top w:val="single" w:color="000000" w:sz="18"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18"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85"/>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法定代表人</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联系人</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20"/>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联系地址</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联系电话</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953"/>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654"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512"/>
        </w:trPr>
        <w:tc>
          <w:tcPr>
            <w:tcBorders>
              <w:top w:val="single" w:color="000000" w:sz="4" w:space="0"/>
              <w:left w:val="single" w:color="000000" w:sz="18" w:space="0"/>
              <w:bottom w:val="single" w:color="000000" w:sz="18"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654" w:type="dxa"/>
            <w:vAlign w:val="center"/>
            <w:textDirection w:val="lrTb"/>
            <w:noWrap/>
          </w:tcPr>
          <w:p>
            <w:pPr>
              <w:spacing w:line="400" w:lineRule="exact"/>
              <w:widowControl/>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信用承诺：</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我公司自愿参加贵中心（公司）组织的本次采购活动，严格遵守《中华人民共和国政府采购法》及相关法律法规，坚</w:t>
            </w:r>
            <w:r>
              <w:rPr>
                <w:rFonts w:hint="eastAsia" w:ascii="宋体" w:hAnsi="宋体" w:cs="宋体"/>
                <w:color w:val="000000" w:themeColor="text1"/>
                <w:sz w:val="24"/>
                <w:highlight w:val="none"/>
                <w:lang w:eastAsia="zh-CN"/>
                <w14:textFill>
                  <w14:solidFill>
                    <w14:schemeClr w14:val="tx1"/>
                  </w14:solidFill>
                </w14:textFill>
              </w:rPr>
              <w:t xml:space="preserve">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供应商名称（盖章）：</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法定代表人（签字）：</w:t>
            </w:r>
            <w:r/>
          </w:p>
          <w:p>
            <w:pPr>
              <w:ind w:firstLine="240"/>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二〇    年  月    日</w:t>
            </w:r>
            <w:r/>
          </w:p>
        </w:tc>
      </w:tr>
    </w:tbl>
    <w:p>
      <w:pPr>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注：1、供应商在中标（成交）后，应按采购文件要求，将上述由信用承诺书替代的证明材料提交采购人或采购代理机构核验。经核验无误后，由采购人或采购代理机构发出中标（成交）通知书。</w:t>
      </w:r>
      <w:r/>
    </w:p>
    <w:p>
      <w:pPr>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8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★3、本承诺书打印时间须在本项目招标公告发布至投标截止时间内。</w:t>
      </w:r>
      <w:r/>
    </w:p>
    <w:p>
      <w:pPr>
        <w:rPr>
          <w:rFonts w:ascii="宋体" w:hAnsi="宋体" w:cs="宋体"/>
          <w:b/>
          <w:color w:val="000000" w:themeColor="text1"/>
          <w:sz w:val="24"/>
          <w:szCs w:val="21"/>
          <w:highlight w:val="none"/>
          <w:lang w:val="zh-CN" w:eastAsia="zh-CN"/>
          <w14:textFill>
            <w14:solidFill>
              <w14:schemeClr w14:val="tx1"/>
            </w14:solidFill>
          </w14:textFill>
        </w:rPr>
      </w:pPr>
      <w:r>
        <w:rPr>
          <w:rFonts w:ascii="宋体" w:hAnsi="宋体" w:cs="宋体"/>
          <w:b/>
          <w:color w:val="000000" w:themeColor="text1"/>
          <w:sz w:val="24"/>
          <w:szCs w:val="21"/>
          <w:highlight w:val="none"/>
          <w:lang w:val="zh-CN" w:eastAsia="zh-CN"/>
          <w14:textFill>
            <w14:solidFill>
              <w14:schemeClr w14:val="tx1"/>
            </w14:solidFill>
          </w14:textFill>
        </w:rPr>
      </w:r>
      <w:r/>
    </w:p>
    <w:p>
      <w:pPr>
        <w:numPr>
          <w:ilvl w:val="0"/>
          <w:numId w:val="2"/>
        </w:numPr>
        <w:spacing w:line="360" w:lineRule="auto"/>
        <w:rPr>
          <w:rFonts w:hint="eastAsia" w:ascii="宋体" w:hAnsi="宋体" w:cs="黑体"/>
          <w:b/>
          <w:bCs/>
          <w:color w:val="000000" w:themeColor="text1"/>
          <w:sz w:val="24"/>
          <w:szCs w:val="21"/>
          <w:highlight w:val="none"/>
          <w:lang w:eastAsia="zh-CN"/>
          <w14:textFill>
            <w14:solidFill>
              <w14:schemeClr w14:val="tx1"/>
            </w14:solidFill>
          </w14:textFill>
        </w:rPr>
        <w:sectPr>
          <w:headerReference w:type="default" r:id="rId9"/>
          <w:footerReference w:type="default" r:id="rId10"/>
          <w:footnotePr/>
          <w:endnotePr/>
          <w:type w:val="nextPage"/>
          <w:pgSz w:w="11906" w:h="16838" w:orient="portrait"/>
          <w:pgMar w:top="1418" w:right="1134" w:bottom="1247" w:left="1304" w:header="851" w:footer="992" w:gutter="0"/>
          <w:cols w:num="1" w:sep="0" w:space="720" w:equalWidth="1"/>
          <w:docGrid w:linePitch="360"/>
        </w:sectPr>
        <w:outlineLvl w:val="1"/>
      </w:pPr>
      <w:r/>
      <w:bookmarkStart w:id="194" w:name="_Toc175663965"/>
      <w:r/>
      <w:r/>
    </w:p>
    <w:p>
      <w:pPr>
        <w:numPr>
          <w:ilvl w:val="0"/>
          <w:numId w:val="0"/>
        </w:numPr>
        <w:spacing w:line="360" w:lineRule="auto"/>
        <w:rPr>
          <w:rFonts w:hint="eastAsia" w:ascii="宋体" w:hAnsi="宋体" w:cs="黑体"/>
          <w:b/>
          <w:bCs/>
          <w:color w:val="000000" w:themeColor="text1"/>
          <w:sz w:val="24"/>
          <w:szCs w:val="21"/>
          <w:highlight w:val="none"/>
          <w:lang w:eastAsia="zh-CN"/>
          <w14:textFill>
            <w14:solidFill>
              <w14:schemeClr w14:val="tx1"/>
            </w14:solidFill>
          </w14:textFill>
        </w:rPr>
        <w:outlineLvl w:val="1"/>
      </w:pPr>
      <w:r>
        <w:rPr>
          <w:rFonts w:hint="eastAsia" w:ascii="宋体" w:hAnsi="宋体" w:eastAsia="Calibri" w:cs="黑体"/>
          <w:b/>
          <w:bCs/>
          <w:color w:val="000000" w:themeColor="text1"/>
          <w:sz w:val="24"/>
          <w:szCs w:val="21"/>
          <w:highlight w:val="none"/>
          <w:lang w:val="en-US" w:eastAsia="zh-CN" w:bidi="ar-SA"/>
          <w14:textFill>
            <w14:solidFill>
              <w14:schemeClr w14:val="tx1"/>
            </w14:solidFill>
          </w14:textFill>
        </w:rPr>
        <w:t xml:space="preserve">十</w:t>
      </w:r>
      <w:r>
        <w:rPr>
          <w:rFonts w:hint="eastAsia" w:ascii="宋体" w:hAnsi="宋体" w:cs="黑体"/>
          <w:b/>
          <w:bCs/>
          <w:color w:val="000000" w:themeColor="text1"/>
          <w:sz w:val="24"/>
          <w:szCs w:val="21"/>
          <w:highlight w:val="none"/>
          <w:lang w:val="en-US" w:eastAsia="zh-CN" w:bidi="ar-SA"/>
          <w14:textFill>
            <w14:solidFill>
              <w14:schemeClr w14:val="tx1"/>
            </w14:solidFill>
          </w14:textFill>
        </w:rPr>
        <w:t xml:space="preserve">五</w:t>
      </w:r>
      <w:r>
        <w:rPr>
          <w:rFonts w:hint="eastAsia" w:ascii="宋体" w:hAnsi="宋体" w:eastAsia="Calibri" w:cs="黑体"/>
          <w:b/>
          <w:bCs/>
          <w:color w:val="000000" w:themeColor="text1"/>
          <w:sz w:val="24"/>
          <w:szCs w:val="21"/>
          <w:highlight w:val="none"/>
          <w:lang w:val="en-US" w:eastAsia="zh-CN" w:bidi="ar-SA"/>
          <w14:textFill>
            <w14:solidFill>
              <w14:schemeClr w14:val="tx1"/>
            </w14:solidFill>
          </w14:textFill>
        </w:rPr>
        <w:t xml:space="preserve">、</w:t>
      </w:r>
      <w:bookmarkEnd w:id="194"/>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分项报价表</w:t>
      </w:r>
      <w:r/>
    </w:p>
    <w:p>
      <w:pPr>
        <w:pStyle w:val="691"/>
        <w:numPr>
          <w:ilvl w:val="0"/>
          <w:numId w:val="0"/>
        </w:numPr>
        <w:jc w:val="center"/>
        <w:rPr>
          <w:color w:val="000000" w:themeColor="text1"/>
          <w:highlight w:val="none"/>
          <w:lang w:eastAsia="zh-CN"/>
          <w14:textFill>
            <w14:solidFill>
              <w14:schemeClr w14:val="tx1"/>
            </w14:solidFill>
          </w14:textFill>
        </w:rPr>
      </w:pPr>
      <w:r>
        <w:rPr>
          <w:rFonts w:hint="eastAsia" w:ascii="宋体" w:hAnsi="宋体" w:eastAsia="Calibri" w:cs="黑体"/>
          <w:b/>
          <w:bCs/>
          <w:color w:val="000000" w:themeColor="text1"/>
          <w:sz w:val="24"/>
          <w:szCs w:val="21"/>
          <w:highlight w:val="none"/>
          <w:lang w:val="zh-CN" w:eastAsia="zh-CN" w:bidi="ar-SA"/>
          <w14:textFill>
            <w14:solidFill>
              <w14:schemeClr w14:val="tx1"/>
            </w14:solidFill>
          </w14:textFill>
        </w:rPr>
        <w:t xml:space="preserve">分项报价表</w:t>
      </w:r>
      <w:r/>
    </w:p>
    <w:tbl>
      <w:tblPr>
        <w:tblStyle w:val="637"/>
        <w:tblW w:w="14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1701"/>
        <w:gridCol w:w="1842"/>
        <w:gridCol w:w="4395"/>
        <w:gridCol w:w="2409"/>
        <w:gridCol w:w="2626"/>
      </w:tblGrid>
      <w:tr>
        <w:trPr>
          <w:trHeight w:val="283"/>
        </w:trPr>
        <w:tc>
          <w:tcPr>
            <w:tcW w:w="1668" w:type="dxa"/>
            <w:vAlign w:val="center"/>
            <w:textDirection w:val="lrTb"/>
            <w:noWrap w:val="false"/>
          </w:tcPr>
          <w:p>
            <w:pPr>
              <w:pStyle w:val="710"/>
              <w:jc w:val="center"/>
              <w:keepLines w:val="0"/>
              <w:keepNext w:val="0"/>
              <w:pageBreakBefore w:val="0"/>
              <w:spacing w:line="40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701" w:type="dxa"/>
            <w:vAlign w:val="center"/>
            <w:textDirection w:val="lrTb"/>
            <w:noWrap w:val="false"/>
          </w:tcPr>
          <w:p>
            <w:pPr>
              <w:pStyle w:val="710"/>
              <w:jc w:val="center"/>
              <w:keepLines w:val="0"/>
              <w:keepNext w:val="0"/>
              <w:pageBreakBefore w:val="0"/>
              <w:spacing w:line="40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类别</w:t>
            </w:r>
            <w:r/>
          </w:p>
        </w:tc>
        <w:tc>
          <w:tcPr>
            <w:gridSpan w:val="2"/>
            <w:tcW w:w="6237" w:type="dxa"/>
            <w:vAlign w:val="center"/>
            <w:textDirection w:val="lrTb"/>
            <w:noWrap w:val="false"/>
          </w:tcPr>
          <w:p>
            <w:pPr>
              <w:pStyle w:val="710"/>
              <w:jc w:val="center"/>
              <w:keepLines w:val="0"/>
              <w:keepNext w:val="0"/>
              <w:pageBreakBefore w:val="0"/>
              <w:spacing w:line="40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内容</w:t>
            </w:r>
            <w:r/>
          </w:p>
        </w:tc>
        <w:tc>
          <w:tcPr>
            <w:tcW w:w="2409" w:type="dxa"/>
            <w:vAlign w:val="center"/>
            <w:textDirection w:val="lrTb"/>
            <w:noWrap w:val="false"/>
          </w:tcPr>
          <w:p>
            <w:pPr>
              <w:pStyle w:val="710"/>
              <w:jc w:val="center"/>
              <w:keepLines w:val="0"/>
              <w:keepNext w:val="0"/>
              <w:pageBreakBefore w:val="0"/>
              <w:spacing w:line="40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金额（万元）</w:t>
            </w:r>
            <w:r/>
          </w:p>
        </w:tc>
        <w:tc>
          <w:tcPr>
            <w:tcW w:w="2626" w:type="dxa"/>
            <w:vAlign w:val="center"/>
            <w:textDirection w:val="lrTb"/>
            <w:noWrap w:val="false"/>
          </w:tcPr>
          <w:p>
            <w:pPr>
              <w:pStyle w:val="710"/>
              <w:jc w:val="center"/>
              <w:keepLines w:val="0"/>
              <w:keepNext w:val="0"/>
              <w:pageBreakBefore w:val="0"/>
              <w:spacing w:line="40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依据</w:t>
            </w:r>
            <w:r/>
          </w:p>
        </w:tc>
      </w:tr>
      <w:tr>
        <w:trPr>
          <w:trHeight w:val="283"/>
        </w:trPr>
        <w:tc>
          <w:tcPr>
            <w:tcW w:w="1668" w:type="dxa"/>
            <w:vAlign w:val="center"/>
            <w:vMerge w:val="restart"/>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p>
        </w:tc>
        <w:tc>
          <w:tcPr>
            <w:tcW w:w="1701" w:type="dxa"/>
            <w:vAlign w:val="center"/>
            <w:vMerge w:val="restart"/>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配备人员及薪酬</w:t>
            </w:r>
            <w:r/>
          </w:p>
        </w:tc>
        <w:tc>
          <w:tcPr>
            <w:gridSpan w:val="2"/>
            <w:tcW w:w="6237" w:type="dxa"/>
            <w:vAlign w:val="center"/>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大厨：2名</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元/月</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12月</w:t>
            </w:r>
            <w:r/>
          </w:p>
        </w:tc>
        <w:tc>
          <w:tcPr>
            <w:tcW w:w="2409" w:type="dxa"/>
            <w:vAlign w:val="center"/>
            <w:textDirection w:val="lrTb"/>
            <w:noWrap w:val="false"/>
          </w:tcPr>
          <w:p>
            <w:pPr>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restart"/>
            <w:textDirection w:val="lrTb"/>
            <w:noWrap w:val="false"/>
          </w:tcPr>
          <w:p>
            <w:pPr>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p>
        </w:tc>
      </w:tr>
      <w:tr>
        <w:trPr>
          <w:trHeight w:val="283"/>
        </w:trPr>
        <w:tc>
          <w:tcPr>
            <w:tcW w:w="1668"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gridSpan w:val="2"/>
            <w:tcW w:w="6237" w:type="dxa"/>
            <w:vAlign w:val="center"/>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面点师：1名</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元/月</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12月</w:t>
            </w:r>
            <w:r/>
          </w:p>
        </w:tc>
        <w:tc>
          <w:tcPr>
            <w:tcW w:w="2409" w:type="dxa"/>
            <w:vAlign w:val="center"/>
            <w:textDirection w:val="lrTb"/>
            <w:noWrap w:val="false"/>
          </w:tcPr>
          <w:p>
            <w:pPr>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283"/>
        </w:trPr>
        <w:tc>
          <w:tcPr>
            <w:tcW w:w="1668"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gridSpan w:val="2"/>
            <w:tcW w:w="6237" w:type="dxa"/>
            <w:vAlign w:val="center"/>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勤杂：2名</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元/月</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12月</w:t>
            </w:r>
            <w:r/>
          </w:p>
        </w:tc>
        <w:tc>
          <w:tcPr>
            <w:tcW w:w="2409" w:type="dxa"/>
            <w:vAlign w:val="center"/>
            <w:textDirection w:val="lrTb"/>
            <w:noWrap w:val="false"/>
          </w:tcPr>
          <w:p>
            <w:pPr>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283"/>
        </w:trPr>
        <w:tc>
          <w:tcPr>
            <w:tcW w:w="1668" w:type="dxa"/>
            <w:vAlign w:val="center"/>
            <w:textDirection w:val="lrTb"/>
            <w:noWrap w:val="false"/>
          </w:tcPr>
          <w:p>
            <w:pPr>
              <w:pStyle w:val="710"/>
              <w:jc w:val="center"/>
              <w:keepLines w:val="0"/>
              <w:keepNext w:val="0"/>
              <w:pageBreakBefore w:val="0"/>
              <w:spacing w:line="400" w:lineRule="exact"/>
              <w:widowControl/>
              <w:rPr>
                <w:rFonts w:ascii="宋体" w:hAnsi="宋体" w:cs="Arial"/>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2</w:t>
            </w:r>
            <w:r/>
          </w:p>
        </w:tc>
        <w:tc>
          <w:tcPr>
            <w:tcW w:w="1701" w:type="dxa"/>
            <w:vAlign w:val="center"/>
            <w:textDirection w:val="lrTb"/>
            <w:noWrap w:val="false"/>
          </w:tcPr>
          <w:p>
            <w:pPr>
              <w:pStyle w:val="710"/>
              <w:jc w:val="center"/>
              <w:keepLines w:val="0"/>
              <w:keepNext w:val="0"/>
              <w:pageBreakBefore w:val="0"/>
              <w:spacing w:line="400" w:lineRule="exact"/>
              <w:widowControl/>
              <w:rPr>
                <w:rFonts w:ascii="宋体" w:hAnsi="宋体" w:cs="Arial"/>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人员社保</w:t>
            </w:r>
            <w:r/>
          </w:p>
        </w:tc>
        <w:tc>
          <w:tcPr>
            <w:gridSpan w:val="2"/>
            <w:tcW w:w="6237" w:type="dxa"/>
            <w:vAlign w:val="center"/>
            <w:textDirection w:val="lrTb"/>
            <w:noWrap w:val="false"/>
          </w:tcPr>
          <w:p>
            <w:pPr>
              <w:pStyle w:val="710"/>
              <w:jc w:val="center"/>
              <w:keepLines w:val="0"/>
              <w:keepNext w:val="0"/>
              <w:pageBreakBefore w:val="0"/>
              <w:spacing w:line="400" w:lineRule="exact"/>
              <w:widowControl/>
              <w:rPr>
                <w:rFonts w:hint="eastAsia" w:ascii="宋体" w:hAnsi="宋体" w:cs="Arial"/>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人</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元/月</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12月</w:t>
            </w:r>
            <w:r/>
          </w:p>
        </w:tc>
        <w:tc>
          <w:tcPr>
            <w:tcW w:w="2409" w:type="dxa"/>
            <w:vAlign w:val="center"/>
            <w:textDirection w:val="lrTb"/>
            <w:noWrap w:val="false"/>
          </w:tcPr>
          <w:p>
            <w:pPr>
              <w:jc w:val="center"/>
              <w:keepLines w:val="0"/>
              <w:keepNext w:val="0"/>
              <w:pageBreakBefore w:val="0"/>
              <w:spacing w:line="400" w:lineRule="exact"/>
              <w:widowControl/>
              <w:rPr>
                <w:rFonts w:hint="default"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default" w:ascii="宋体" w:hAnsi="宋体" w:eastAsia="宋体" w:cs="Arial"/>
                <w:color w:val="000000" w:themeColor="text1"/>
                <w:sz w:val="24"/>
                <w:szCs w:val="24"/>
                <w:highlight w:val="none"/>
                <w:lang w:val="en-US" w:eastAsia="zh-CN" w:bidi="ar-SA"/>
                <w14:textFill>
                  <w14:solidFill>
                    <w14:schemeClr w14:val="tx1"/>
                  </w14:solidFill>
                </w14:textFill>
              </w:rPr>
            </w:r>
            <w:r/>
          </w:p>
        </w:tc>
        <w:tc>
          <w:tcPr>
            <w:tcW w:w="2626" w:type="dxa"/>
            <w:vAlign w:val="center"/>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283"/>
        </w:trPr>
        <w:tc>
          <w:tcPr>
            <w:tcW w:w="1668" w:type="dxa"/>
            <w:vAlign w:val="center"/>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3</w:t>
            </w:r>
            <w:r/>
          </w:p>
        </w:tc>
        <w:tc>
          <w:tcPr>
            <w:tcW w:w="1701" w:type="dxa"/>
            <w:vAlign w:val="center"/>
            <w:textDirection w:val="lrTb"/>
            <w:noWrap w:val="false"/>
          </w:tcPr>
          <w:p>
            <w:pPr>
              <w:pStyle w:val="710"/>
              <w:jc w:val="center"/>
              <w:keepLines w:val="0"/>
              <w:keepNext w:val="0"/>
              <w:pageBreakBefore w:val="0"/>
              <w:spacing w:line="400" w:lineRule="exact"/>
              <w:widowControl/>
              <w:rPr>
                <w:rFonts w:hint="default"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人员公积金</w:t>
            </w:r>
            <w:r/>
          </w:p>
        </w:tc>
        <w:tc>
          <w:tcPr>
            <w:gridSpan w:val="2"/>
            <w:tcW w:w="6237" w:type="dxa"/>
            <w:vAlign w:val="center"/>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人</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元/月</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12月</w:t>
            </w:r>
            <w:r/>
          </w:p>
        </w:tc>
        <w:tc>
          <w:tcPr>
            <w:tcW w:w="2409" w:type="dxa"/>
            <w:vAlign w:val="center"/>
            <w:textDirection w:val="lrTb"/>
            <w:noWrap w:val="false"/>
          </w:tcPr>
          <w:p>
            <w:pPr>
              <w:jc w:val="center"/>
              <w:keepLines w:val="0"/>
              <w:keepNext w:val="0"/>
              <w:pageBreakBefore w:val="0"/>
              <w:spacing w:line="400" w:lineRule="exact"/>
              <w:widowControl/>
              <w:rPr>
                <w:rFonts w:hint="default" w:ascii="宋体" w:hAnsi="宋体" w:eastAsia="宋体"/>
                <w:color w:val="000000" w:themeColor="text1"/>
                <w:szCs w:val="24"/>
                <w:highlight w:val="none"/>
                <w:lang w:val="en-US" w:eastAsia="zh-CN"/>
                <w14:textFill>
                  <w14:solidFill>
                    <w14:schemeClr w14:val="tx1"/>
                  </w14:solidFill>
                </w14:textFill>
              </w:rPr>
              <w:suppressLineNumbers w:val="0"/>
            </w:pPr>
            <w:r>
              <w:rPr>
                <w:rFonts w:hint="default" w:ascii="宋体" w:hAnsi="宋体" w:eastAsia="宋体"/>
                <w:color w:val="000000" w:themeColor="text1"/>
                <w:szCs w:val="24"/>
                <w:highlight w:val="none"/>
                <w:lang w:val="en-US" w:eastAsia="zh-CN"/>
                <w14:textFill>
                  <w14:solidFill>
                    <w14:schemeClr w14:val="tx1"/>
                  </w14:solidFill>
                </w14:textFill>
              </w:rPr>
            </w:r>
            <w:r/>
          </w:p>
        </w:tc>
        <w:tc>
          <w:tcPr>
            <w:tcW w:w="2626" w:type="dxa"/>
            <w:vAlign w:val="center"/>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283"/>
        </w:trPr>
        <w:tc>
          <w:tcPr>
            <w:tcW w:w="1668" w:type="dxa"/>
            <w:vAlign w:val="center"/>
            <w:vMerge w:val="restart"/>
            <w:textDirection w:val="lrTb"/>
            <w:noWrap w:val="false"/>
          </w:tcPr>
          <w:p>
            <w:pPr>
              <w:pStyle w:val="710"/>
              <w:jc w:val="center"/>
              <w:keepLines w:val="0"/>
              <w:keepNext w:val="0"/>
              <w:pageBreakBefore w:val="0"/>
              <w:spacing w:line="40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4</w:t>
            </w:r>
            <w:r/>
          </w:p>
        </w:tc>
        <w:tc>
          <w:tcPr>
            <w:tcW w:w="1701" w:type="dxa"/>
            <w:vAlign w:val="center"/>
            <w:vMerge w:val="restart"/>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餐标及就餐人数</w:t>
            </w:r>
            <w:r/>
          </w:p>
        </w:tc>
        <w:tc>
          <w:tcPr>
            <w:tcW w:w="1842" w:type="dxa"/>
            <w:vAlign w:val="center"/>
            <w:vMerge w:val="restart"/>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工作日：</w:t>
            </w:r>
            <w:r/>
          </w:p>
        </w:tc>
        <w:tc>
          <w:tcPr>
            <w:tcW w:w="4395" w:type="dxa"/>
            <w:vAlign w:val="center"/>
            <w:textDirection w:val="lrTb"/>
            <w:noWrap w:val="false"/>
          </w:tcPr>
          <w:p>
            <w:pPr>
              <w:jc w:val="center"/>
              <w:keepLines w:val="0"/>
              <w:keepNext w:val="0"/>
              <w:pageBreakBefore w:val="0"/>
              <w:spacing w:line="40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130人*</w:t>
            </w:r>
            <w:r>
              <w:rPr>
                <w:rFonts w:hint="eastAsia" w:ascii="宋体" w:hAnsi="宋体" w:eastAsia="宋体" w:cs="宋体"/>
                <w:i w:val="0"/>
                <w:iCs w:val="0"/>
                <w:color w:val="000000" w:themeColor="text1"/>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元／人*250天</w:t>
            </w:r>
            <w:r/>
          </w:p>
        </w:tc>
        <w:tc>
          <w:tcPr>
            <w:tcW w:w="2409" w:type="dxa"/>
            <w:vAlign w:val="center"/>
            <w:textDirection w:val="lrTb"/>
            <w:noWrap w:val="false"/>
          </w:tcPr>
          <w:p>
            <w:pPr>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restart"/>
            <w:textDirection w:val="lrTb"/>
            <w:noWrap w:val="false"/>
          </w:tcPr>
          <w:p>
            <w:pPr>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p>
        </w:tc>
      </w:tr>
      <w:tr>
        <w:trPr>
          <w:trHeight w:val="283"/>
        </w:trPr>
        <w:tc>
          <w:tcPr>
            <w:tcW w:w="1668"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40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170人*</w:t>
            </w:r>
            <w:r>
              <w:rPr>
                <w:rFonts w:hint="eastAsia" w:ascii="宋体" w:hAnsi="宋体" w:eastAsia="宋体" w:cs="宋体"/>
                <w:i w:val="0"/>
                <w:iCs w:val="0"/>
                <w:color w:val="000000" w:themeColor="text1"/>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元／人*250天</w:t>
            </w:r>
            <w:r/>
          </w:p>
        </w:tc>
        <w:tc>
          <w:tcPr>
            <w:tcW w:w="2409" w:type="dxa"/>
            <w:vAlign w:val="center"/>
            <w:textDirection w:val="lrTb"/>
            <w:noWrap w:val="false"/>
          </w:tcPr>
          <w:p>
            <w:pPr>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317"/>
        </w:trPr>
        <w:tc>
          <w:tcPr>
            <w:tcW w:w="1668"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40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100人*</w:t>
            </w:r>
            <w:r>
              <w:rPr>
                <w:rFonts w:hint="eastAsia" w:ascii="宋体" w:hAnsi="宋体" w:eastAsia="宋体" w:cs="宋体"/>
                <w:i w:val="0"/>
                <w:iCs w:val="0"/>
                <w:color w:val="000000" w:themeColor="text1"/>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元／人*250天</w:t>
            </w:r>
            <w:r/>
          </w:p>
        </w:tc>
        <w:tc>
          <w:tcPr>
            <w:tcW w:w="2409" w:type="dxa"/>
            <w:vAlign w:val="center"/>
            <w:textDirection w:val="lrTb"/>
            <w:noWrap w:val="false"/>
          </w:tcPr>
          <w:p>
            <w:pPr>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300"/>
        </w:trPr>
        <w:tc>
          <w:tcPr>
            <w:tcW w:w="1668"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40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60人*</w:t>
            </w:r>
            <w:r>
              <w:rPr>
                <w:rFonts w:hint="eastAsia" w:ascii="宋体" w:hAnsi="宋体" w:eastAsia="宋体" w:cs="宋体"/>
                <w:i w:val="0"/>
                <w:iCs w:val="0"/>
                <w:color w:val="000000" w:themeColor="text1"/>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元／人*250天</w:t>
            </w:r>
            <w:r/>
          </w:p>
        </w:tc>
        <w:tc>
          <w:tcPr>
            <w:tcW w:w="2409" w:type="dxa"/>
            <w:vAlign w:val="center"/>
            <w:textDirection w:val="lrTb"/>
            <w:noWrap w:val="false"/>
          </w:tcPr>
          <w:p>
            <w:pPr>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283"/>
        </w:trPr>
        <w:tc>
          <w:tcPr>
            <w:tcW w:w="1668"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restart"/>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节假日：</w:t>
            </w:r>
            <w:r/>
          </w:p>
        </w:tc>
        <w:tc>
          <w:tcPr>
            <w:tcW w:w="4395" w:type="dxa"/>
            <w:vAlign w:val="center"/>
            <w:textDirection w:val="lrTb"/>
            <w:noWrap w:val="false"/>
          </w:tcPr>
          <w:p>
            <w:pPr>
              <w:jc w:val="center"/>
              <w:keepLines w:val="0"/>
              <w:keepNext w:val="0"/>
              <w:pageBreakBefore w:val="0"/>
              <w:spacing w:line="40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80人*</w:t>
            </w:r>
            <w:r>
              <w:rPr>
                <w:rFonts w:hint="eastAsia" w:ascii="宋体" w:hAnsi="宋体" w:eastAsia="宋体" w:cs="宋体"/>
                <w:i w:val="0"/>
                <w:iCs w:val="0"/>
                <w:color w:val="000000" w:themeColor="text1"/>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元／人*115天</w:t>
            </w:r>
            <w:r/>
          </w:p>
        </w:tc>
        <w:tc>
          <w:tcPr>
            <w:tcW w:w="2409" w:type="dxa"/>
            <w:vAlign w:val="center"/>
            <w:textDirection w:val="lrTb"/>
            <w:noWrap w:val="false"/>
          </w:tcPr>
          <w:p>
            <w:pPr>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restart"/>
            <w:textDirection w:val="lrTb"/>
            <w:noWrap w:val="false"/>
          </w:tcPr>
          <w:p>
            <w:pPr>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p>
        </w:tc>
      </w:tr>
      <w:tr>
        <w:trPr>
          <w:trHeight w:val="283"/>
        </w:trPr>
        <w:tc>
          <w:tcPr>
            <w:tcW w:w="1668"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40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122人*</w:t>
            </w:r>
            <w:r>
              <w:rPr>
                <w:rFonts w:hint="eastAsia" w:ascii="宋体" w:hAnsi="宋体" w:eastAsia="宋体" w:cs="宋体"/>
                <w:i w:val="0"/>
                <w:iCs w:val="0"/>
                <w:color w:val="000000" w:themeColor="text1"/>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元／人*115天</w:t>
            </w:r>
            <w:r/>
          </w:p>
        </w:tc>
        <w:tc>
          <w:tcPr>
            <w:tcW w:w="2409" w:type="dxa"/>
            <w:vAlign w:val="center"/>
            <w:textDirection w:val="lrTb"/>
            <w:noWrap w:val="false"/>
          </w:tcPr>
          <w:p>
            <w:pPr>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400" w:lineRule="exac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283"/>
        </w:trPr>
        <w:tc>
          <w:tcPr>
            <w:tcW w:w="1668"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40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80人*</w:t>
            </w:r>
            <w:r>
              <w:rPr>
                <w:rFonts w:hint="eastAsia" w:ascii="宋体" w:hAnsi="宋体" w:eastAsia="宋体" w:cs="宋体"/>
                <w:i w:val="0"/>
                <w:iCs w:val="0"/>
                <w:color w:val="000000" w:themeColor="text1"/>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元／人*115天</w:t>
            </w:r>
            <w:r/>
          </w:p>
        </w:tc>
        <w:tc>
          <w:tcPr>
            <w:tcW w:w="2409" w:type="dxa"/>
            <w:vAlign w:val="center"/>
            <w:textDirection w:val="lrTb"/>
            <w:noWrap w:val="false"/>
          </w:tcPr>
          <w:p>
            <w:pPr>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400" w:lineRule="exac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283"/>
        </w:trPr>
        <w:tc>
          <w:tcPr>
            <w:tcW w:w="1668"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40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60人*</w:t>
            </w:r>
            <w:r>
              <w:rPr>
                <w:rFonts w:hint="eastAsia" w:ascii="宋体" w:hAnsi="宋体" w:eastAsia="宋体" w:cs="宋体"/>
                <w:i w:val="0"/>
                <w:iCs w:val="0"/>
                <w:color w:val="000000" w:themeColor="text1"/>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元／人*115天</w:t>
            </w:r>
            <w:r/>
          </w:p>
        </w:tc>
        <w:tc>
          <w:tcPr>
            <w:tcW w:w="2409" w:type="dxa"/>
            <w:vAlign w:val="center"/>
            <w:textDirection w:val="lrTb"/>
            <w:noWrap w:val="false"/>
          </w:tcPr>
          <w:p>
            <w:pPr>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400" w:lineRule="exac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283"/>
        </w:trPr>
        <w:tc>
          <w:tcPr>
            <w:tcW w:w="1668" w:type="dxa"/>
            <w:vAlign w:val="center"/>
            <w:textDirection w:val="lrTb"/>
            <w:noWrap w:val="false"/>
          </w:tcPr>
          <w:p>
            <w:pPr>
              <w:pStyle w:val="710"/>
              <w:jc w:val="center"/>
              <w:keepLines w:val="0"/>
              <w:keepNext w:val="0"/>
              <w:pageBreakBefore w:val="0"/>
              <w:spacing w:line="400" w:lineRule="exact"/>
              <w:widowControl/>
              <w:rPr>
                <w:rFonts w:hint="default"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5</w:t>
            </w:r>
            <w:r/>
          </w:p>
        </w:tc>
        <w:tc>
          <w:tcPr>
            <w:tcW w:w="1701" w:type="dxa"/>
            <w:vAlign w:val="center"/>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合理利润</w:t>
            </w:r>
            <w:r/>
          </w:p>
        </w:tc>
        <w:tc>
          <w:tcPr>
            <w:gridSpan w:val="2"/>
            <w:tcW w:w="6237" w:type="dxa"/>
            <w:vAlign w:val="center"/>
            <w:textDirection w:val="lrTb"/>
            <w:noWrap w:val="false"/>
          </w:tcPr>
          <w:p>
            <w:pPr>
              <w:jc w:val="center"/>
              <w:keepLines w:val="0"/>
              <w:keepNext w:val="0"/>
              <w:pageBreakBefore w:val="0"/>
              <w:spacing w:line="40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olor w:val="000000" w:themeColor="text1"/>
                <w:szCs w:val="24"/>
                <w:highlight w:val="none"/>
                <w14:textFill>
                  <w14:solidFill>
                    <w14:schemeClr w14:val="tx1"/>
                  </w14:solidFill>
                </w14:textFill>
              </w:rPr>
              <w:t xml:space="preserve">1-</w:t>
            </w:r>
            <w:r>
              <w:rPr>
                <w:rFonts w:hint="eastAsia" w:ascii="宋体" w:hAnsi="宋体" w:eastAsia="宋体"/>
                <w:color w:val="000000" w:themeColor="text1"/>
                <w:szCs w:val="24"/>
                <w:highlight w:val="none"/>
                <w:lang w:val="en-US" w:eastAsia="zh-CN"/>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项之和*</w:t>
            </w:r>
            <w:r>
              <w:rPr>
                <w:rFonts w:hint="eastAsia" w:ascii="宋体" w:hAnsi="宋体"/>
                <w:color w:val="000000" w:themeColor="text1"/>
                <w:szCs w:val="24"/>
                <w:highlight w:val="none"/>
                <w:lang w:val="en-US" w:eastAsia="zh-CN"/>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w:t>
            </w:r>
            <w:r/>
          </w:p>
        </w:tc>
        <w:tc>
          <w:tcPr>
            <w:tcW w:w="24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r>
            <w:r/>
          </w:p>
        </w:tc>
        <w:tc>
          <w:tcPr>
            <w:tcW w:w="2626" w:type="dxa"/>
            <w:vAlign w:val="center"/>
            <w:textDirection w:val="lrTb"/>
            <w:noWrap w:val="false"/>
          </w:tcPr>
          <w:p>
            <w:pPr>
              <w:pStyle w:val="710"/>
              <w:jc w:val="center"/>
              <w:keepLines w:val="0"/>
              <w:keepNext w:val="0"/>
              <w:pageBreakBefore w:val="0"/>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r>
      <w:tr>
        <w:trPr>
          <w:trHeight w:val="283"/>
        </w:trPr>
        <w:tc>
          <w:tcPr>
            <w:tcW w:w="1668" w:type="dxa"/>
            <w:vAlign w:val="center"/>
            <w:textDirection w:val="lrTb"/>
            <w:noWrap w:val="false"/>
          </w:tcPr>
          <w:p>
            <w:pPr>
              <w:pStyle w:val="710"/>
              <w:jc w:val="center"/>
              <w:keepLines w:val="0"/>
              <w:keepNext w:val="0"/>
              <w:pageBreakBefore w:val="0"/>
              <w:spacing w:line="40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6</w:t>
            </w:r>
            <w:r/>
          </w:p>
        </w:tc>
        <w:tc>
          <w:tcPr>
            <w:tcW w:w="1701" w:type="dxa"/>
            <w:vAlign w:val="center"/>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税金</w:t>
            </w:r>
            <w:r/>
          </w:p>
        </w:tc>
        <w:tc>
          <w:tcPr>
            <w:gridSpan w:val="2"/>
            <w:tcW w:w="6237" w:type="dxa"/>
            <w:vAlign w:val="center"/>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rPr>
                <w:rFonts w:hint="eastAsia" w:ascii="宋体" w:hAnsi="宋体"/>
                <w:color w:val="000000" w:themeColor="text1"/>
                <w:szCs w:val="24"/>
                <w:highlight w:val="none"/>
                <w:lang w:val="en-US" w:eastAsia="zh-CN"/>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项之和*</w:t>
            </w:r>
            <w:r>
              <w:rPr>
                <w:rFonts w:hint="eastAsia" w:ascii="宋体" w:hAnsi="宋体"/>
                <w:color w:val="000000" w:themeColor="text1"/>
                <w:szCs w:val="24"/>
                <w:highlight w:val="none"/>
                <w:lang w:val="en-US" w:eastAsia="zh-CN"/>
                <w14:textFill>
                  <w14:solidFill>
                    <w14:schemeClr w14:val="tx1"/>
                  </w14:solidFill>
                </w14:textFill>
              </w:rPr>
              <w:t xml:space="preserve">6</w:t>
            </w:r>
            <w:r>
              <w:rPr>
                <w:rFonts w:hint="eastAsia" w:ascii="宋体" w:hAnsi="宋体"/>
                <w:color w:val="000000" w:themeColor="text1"/>
                <w:szCs w:val="24"/>
                <w:highlight w:val="none"/>
                <w14:textFill>
                  <w14:solidFill>
                    <w14:schemeClr w14:val="tx1"/>
                  </w14:solidFill>
                </w14:textFill>
              </w:rPr>
              <w:t xml:space="preserve">%</w:t>
            </w:r>
            <w:r/>
          </w:p>
        </w:tc>
        <w:tc>
          <w:tcPr>
            <w:tcW w:w="24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r>
            <w:r/>
          </w:p>
        </w:tc>
        <w:tc>
          <w:tcPr>
            <w:tcW w:w="2626" w:type="dxa"/>
            <w:vAlign w:val="center"/>
            <w:textDirection w:val="lrTb"/>
            <w:noWrap w:val="false"/>
          </w:tcPr>
          <w:p>
            <w:pPr>
              <w:pStyle w:val="710"/>
              <w:jc w:val="center"/>
              <w:keepLines w:val="0"/>
              <w:keepNext w:val="0"/>
              <w:pageBreakBefore w:val="0"/>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w:t>
            </w:r>
            <w:r/>
          </w:p>
        </w:tc>
      </w:tr>
      <w:tr>
        <w:trPr>
          <w:trHeight w:val="283"/>
        </w:trPr>
        <w:tc>
          <w:tcPr>
            <w:gridSpan w:val="4"/>
            <w:tcW w:w="9606" w:type="dxa"/>
            <w:vAlign w:val="center"/>
            <w:textDirection w:val="lrTb"/>
            <w:noWrap w:val="false"/>
          </w:tcPr>
          <w:p>
            <w:pPr>
              <w:pStyle w:val="710"/>
              <w:jc w:val="center"/>
              <w:keepLines w:val="0"/>
              <w:keepNext w:val="0"/>
              <w:pageBreakBefore w:val="0"/>
              <w:spacing w:line="40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合计</w:t>
            </w:r>
            <w:r/>
          </w:p>
        </w:tc>
        <w:tc>
          <w:tcPr>
            <w:tcW w:w="24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r>
            <w:r/>
          </w:p>
        </w:tc>
        <w:tc>
          <w:tcPr>
            <w:tcW w:w="2626" w:type="dxa"/>
            <w:vAlign w:val="center"/>
            <w:textDirection w:val="lrTb"/>
            <w:noWrap w:val="false"/>
          </w:tcPr>
          <w:p>
            <w:pPr>
              <w:pStyle w:val="710"/>
              <w:jc w:val="center"/>
              <w:keepLines w:val="0"/>
              <w:keepNext w:val="0"/>
              <w:pageBreakBefore w:val="0"/>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p>
        </w:tc>
      </w:tr>
    </w:tbl>
    <w:p>
      <w:pPr>
        <w:rPr>
          <w:rFonts w:ascii="宋体" w:hAnsi="宋体" w:cs="宋体"/>
          <w:b/>
          <w:color w:val="000000" w:themeColor="text1"/>
          <w:sz w:val="24"/>
          <w:szCs w:val="21"/>
          <w:highlight w:val="none"/>
          <w:lang w:eastAsia="zh-CN"/>
          <w14:textFill>
            <w14:solidFill>
              <w14:schemeClr w14:val="tx1"/>
            </w14:solidFill>
          </w14:textFill>
        </w:rPr>
      </w:pPr>
      <w:r>
        <w:rPr>
          <w:rFonts w:ascii="宋体" w:hAnsi="宋体" w:cs="宋体"/>
          <w:b/>
          <w:color w:val="000000" w:themeColor="text1"/>
          <w:sz w:val="24"/>
          <w:szCs w:val="21"/>
          <w:highlight w:val="none"/>
          <w:lang w:eastAsia="zh-CN"/>
          <w14:textFill>
            <w14:solidFill>
              <w14:schemeClr w14:val="tx1"/>
            </w14:solidFill>
          </w14:textFill>
        </w:rPr>
      </w:r>
      <w:r/>
    </w:p>
    <w:p>
      <w:pPr>
        <w:pStyle w:val="645"/>
        <w:ind w:left="0" w:firstLine="0"/>
        <w:rPr>
          <w:rFonts w:hint="default" w:ascii="宋体" w:hAnsi="宋体" w:cs="宋体"/>
          <w:b/>
          <w:color w:val="000000" w:themeColor="text1"/>
          <w:sz w:val="24"/>
          <w:szCs w:val="21"/>
          <w:highlight w:val="none"/>
          <w:lang w:val="en-US" w:eastAsia="zh-CN"/>
          <w14:textFill>
            <w14:solidFill>
              <w14:schemeClr w14:val="tx1"/>
            </w14:solidFill>
          </w14:textFill>
        </w:rPr>
      </w:pPr>
      <w:r>
        <w:rPr>
          <w:rFonts w:hint="eastAsia" w:cs="宋体"/>
          <w:b/>
          <w:color w:val="000000" w:themeColor="text1"/>
          <w:sz w:val="24"/>
          <w:szCs w:val="21"/>
          <w:highlight w:val="none"/>
          <w:lang w:val="en-US" w:eastAsia="zh-CN"/>
          <w14:textFill>
            <w14:solidFill>
              <w14:schemeClr w14:val="tx1"/>
            </w14:solidFill>
          </w14:textFill>
        </w:rPr>
        <w:t xml:space="preserve">十六、其他</w:t>
      </w:r>
      <w:r/>
    </w:p>
    <w:p>
      <w:pPr>
        <w:pStyle w:val="645"/>
        <w:ind w:left="112" w:right="233"/>
        <w:jc w:val="center"/>
        <w:spacing w:before="26"/>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r>
      <w:r/>
    </w:p>
    <w:sectPr>
      <w:footnotePr/>
      <w:endnotePr/>
      <w:type w:val="nextPage"/>
      <w:pgSz w:w="16838" w:h="11906" w:orient="landscape"/>
      <w:pgMar w:top="1304" w:right="1418" w:bottom="1134"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Tahoma">
    <w:panose1 w:val="020B0604030504040204"/>
  </w:font>
  <w:font w:name="KNLe">
    <w:panose1 w:val="020B0503020202020204"/>
  </w:font>
  <w:font w:name="Courier New">
    <w:panose1 w:val="02070309020205020404"/>
  </w:font>
  <w:font w:name="金山简魏碑">
    <w:panose1 w:val="020B0503020202020204"/>
  </w:font>
  <w:font w:name="华文细黑">
    <w:panose1 w:val="02010600040101010101"/>
  </w:font>
  <w:font w:name=":ZLe">
    <w:panose1 w:val="020B0503020202020204"/>
  </w:font>
  <w:font w:name="仿宋">
    <w:panose1 w:val="02010609060101010101"/>
  </w:font>
  <w:font w:name="楷体_GB2312">
    <w:panose1 w:val="02010609060101010101"/>
  </w:font>
  <w:font w:name="Consolas">
    <w:panose1 w:val="020B0609020204030204"/>
  </w:font>
  <w:font w:name="Cambria">
    <w:panose1 w:val="02040503050406030204"/>
  </w:font>
  <w:font w:name="Arial">
    <w:panose1 w:val="020B0604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jc w:val="center"/>
      <w:rPr>
        <w:rFonts w:eastAsiaTheme="minorEastAsia"/>
        <w:lang w:eastAsia="zh-CN"/>
      </w:rPr>
    </w:pPr>
    <w:r>
      <w:rPr>
        <w:lang w:val="en-US"/>
      </w:rPr>
      <w:fldChar w:fldCharType="begin"/>
    </w:r>
    <w:r>
      <w:instrText xml:space="preserve"> PAGE   \* MERGEFORMAT </w:instrText>
    </w:r>
    <w:r>
      <w:rPr>
        <w:lang w:val="en-US"/>
      </w:rPr>
      <w:fldChar w:fldCharType="separate"/>
    </w:r>
    <w:r>
      <w:rPr>
        <w:lang w:val="zh-CN"/>
      </w:rPr>
      <w:t xml:space="preserve">31</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36"/>
    <w:link w:val="663"/>
    <w:uiPriority w:val="11"/>
    <w:rPr>
      <w:sz w:val="24"/>
      <w:szCs w:val="24"/>
    </w:rPr>
  </w:style>
  <w:style w:type="character" w:styleId="38">
    <w:name w:val="Quote Char"/>
    <w:link w:val="713"/>
    <w:uiPriority w:val="29"/>
    <w:rPr>
      <w:i/>
    </w:rPr>
  </w:style>
  <w:style w:type="character" w:styleId="40">
    <w:name w:val="Intense Quote Char"/>
    <w:link w:val="715"/>
    <w:uiPriority w:val="30"/>
    <w:rPr>
      <w:i/>
    </w:rPr>
  </w:style>
  <w:style w:type="character" w:styleId="175">
    <w:name w:val="Footnote Text Char"/>
    <w:link w:val="665"/>
    <w:uiPriority w:val="99"/>
    <w:rPr>
      <w:sz w:val="18"/>
    </w:rPr>
  </w:style>
  <w:style w:type="character" w:styleId="178">
    <w:name w:val="Endnote Text Char"/>
    <w:link w:val="655"/>
    <w:uiPriority w:val="99"/>
    <w:rPr>
      <w:sz w:val="20"/>
    </w:rPr>
  </w:style>
  <w:style w:type="paragraph" w:styleId="189">
    <w:name w:val="TOC Heading"/>
    <w:uiPriority w:val="39"/>
    <w:unhideWhenUsed/>
  </w:style>
  <w:style w:type="paragraph" w:styleId="626" w:default="1">
    <w:name w:val="Normal"/>
    <w:next w:val="630"/>
    <w:uiPriority w:val="1"/>
    <w:qFormat/>
    <w:pPr>
      <w:widowControl w:val="off"/>
    </w:pPr>
    <w:rPr>
      <w:rFonts w:ascii="Calibri" w:hAnsi="Calibri" w:eastAsia="Calibri" w:cs="Times New Roman"/>
      <w:sz w:val="22"/>
      <w:szCs w:val="22"/>
      <w:lang w:val="en-US" w:eastAsia="en-US" w:bidi="ar-SA"/>
    </w:rPr>
  </w:style>
  <w:style w:type="paragraph" w:styleId="627">
    <w:name w:val="Heading 1"/>
    <w:basedOn w:val="626"/>
    <w:next w:val="626"/>
    <w:link w:val="851"/>
    <w:uiPriority w:val="0"/>
    <w:qFormat/>
    <w:pPr>
      <w:outlineLvl w:val="0"/>
    </w:pPr>
    <w:rPr>
      <w:rFonts w:ascii="黑体" w:hAnsi="黑体" w:eastAsia="黑体"/>
      <w:sz w:val="72"/>
      <w:szCs w:val="72"/>
    </w:rPr>
  </w:style>
  <w:style w:type="paragraph" w:styleId="628">
    <w:name w:val="Heading 2"/>
    <w:basedOn w:val="626"/>
    <w:next w:val="626"/>
    <w:link w:val="852"/>
    <w:uiPriority w:val="0"/>
    <w:qFormat/>
    <w:pPr>
      <w:ind w:left="1558"/>
      <w:outlineLvl w:val="1"/>
    </w:pPr>
    <w:rPr>
      <w:rFonts w:ascii="黑体" w:hAnsi="黑体" w:eastAsia="黑体"/>
      <w:b/>
      <w:bCs/>
      <w:sz w:val="36"/>
      <w:szCs w:val="36"/>
    </w:rPr>
  </w:style>
  <w:style w:type="paragraph" w:styleId="629">
    <w:name w:val="Heading 3"/>
    <w:basedOn w:val="626"/>
    <w:next w:val="626"/>
    <w:link w:val="853"/>
    <w:uiPriority w:val="0"/>
    <w:qFormat/>
    <w:pPr>
      <w:outlineLvl w:val="2"/>
    </w:pPr>
    <w:rPr>
      <w:rFonts w:ascii="黑体" w:hAnsi="黑体" w:eastAsia="黑体"/>
      <w:sz w:val="32"/>
      <w:szCs w:val="32"/>
    </w:rPr>
  </w:style>
  <w:style w:type="paragraph" w:styleId="630">
    <w:name w:val="Heading 4"/>
    <w:basedOn w:val="626"/>
    <w:next w:val="626"/>
    <w:link w:val="854"/>
    <w:uiPriority w:val="0"/>
    <w:qFormat/>
    <w:pPr>
      <w:ind w:left="358"/>
      <w:spacing w:before="34"/>
      <w:outlineLvl w:val="3"/>
    </w:pPr>
    <w:rPr>
      <w:rFonts w:ascii="宋体" w:hAnsi="宋体" w:eastAsia="宋体"/>
      <w:b/>
      <w:bCs/>
      <w:sz w:val="24"/>
      <w:szCs w:val="24"/>
    </w:rPr>
  </w:style>
  <w:style w:type="paragraph" w:styleId="631">
    <w:name w:val="Heading 5"/>
    <w:basedOn w:val="626"/>
    <w:next w:val="626"/>
    <w:link w:val="911"/>
    <w:uiPriority w:val="0"/>
    <w:qFormat/>
    <w:pPr>
      <w:jc w:val="both"/>
      <w:keepLines/>
      <w:keepNext/>
      <w:spacing w:before="280" w:after="290" w:line="372" w:lineRule="auto"/>
      <w:outlineLvl w:val="4"/>
    </w:pPr>
    <w:rPr>
      <w:rFonts w:ascii="Times New Roman" w:hAnsi="Times New Roman" w:eastAsia="宋体"/>
      <w:b/>
      <w:bCs/>
      <w:sz w:val="28"/>
      <w:szCs w:val="28"/>
      <w:lang w:eastAsia="zh-CN"/>
    </w:rPr>
  </w:style>
  <w:style w:type="paragraph" w:styleId="632">
    <w:name w:val="Heading 6"/>
    <w:basedOn w:val="626"/>
    <w:next w:val="626"/>
    <w:link w:val="855"/>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633">
    <w:name w:val="Heading 7"/>
    <w:basedOn w:val="626"/>
    <w:next w:val="626"/>
    <w:link w:val="856"/>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634">
    <w:name w:val="Heading 8"/>
    <w:basedOn w:val="626"/>
    <w:next w:val="626"/>
    <w:link w:val="857"/>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635">
    <w:name w:val="Heading 9"/>
    <w:basedOn w:val="626"/>
    <w:next w:val="626"/>
    <w:link w:val="858"/>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0"/>
    <w:unhideWhenUsed/>
    <w:qFormat/>
    <w:pPr>
      <w:ind w:left="2520"/>
      <w:jc w:val="both"/>
    </w:pPr>
    <w:rPr>
      <w:rFonts w:eastAsia="宋体"/>
      <w:sz w:val="21"/>
      <w:lang w:eastAsia="zh-CN"/>
    </w:rPr>
  </w:style>
  <w:style w:type="paragraph" w:styleId="639">
    <w:name w:val="Normal Indent"/>
    <w:basedOn w:val="626"/>
    <w:uiPriority w:val="0"/>
    <w:qFormat/>
    <w:pPr>
      <w:ind w:firstLine="420"/>
    </w:pPr>
  </w:style>
  <w:style w:type="paragraph" w:styleId="640">
    <w:name w:val="Caption"/>
    <w:basedOn w:val="626"/>
    <w:next w:val="626"/>
    <w:uiPriority w:val="0"/>
    <w:qFormat/>
    <w:pPr>
      <w:jc w:val="both"/>
    </w:pPr>
    <w:rPr>
      <w:rFonts w:ascii="Cambria" w:hAnsi="Cambria" w:eastAsia="黑体"/>
      <w:sz w:val="20"/>
      <w:szCs w:val="20"/>
      <w:lang w:eastAsia="zh-CN"/>
    </w:rPr>
  </w:style>
  <w:style w:type="paragraph" w:styleId="641">
    <w:name w:val="Document Map"/>
    <w:basedOn w:val="626"/>
    <w:link w:val="859"/>
    <w:uiPriority w:val="0"/>
    <w:qFormat/>
    <w:rPr>
      <w:rFonts w:ascii="宋体" w:eastAsia="宋体"/>
      <w:sz w:val="18"/>
      <w:szCs w:val="18"/>
    </w:rPr>
  </w:style>
  <w:style w:type="paragraph" w:styleId="642">
    <w:name w:val="annotation text"/>
    <w:basedOn w:val="626"/>
    <w:link w:val="860"/>
    <w:uiPriority w:val="0"/>
    <w:qFormat/>
    <w:rPr>
      <w:sz w:val="20"/>
    </w:rPr>
  </w:style>
  <w:style w:type="paragraph" w:styleId="643">
    <w:name w:val="Salutation"/>
    <w:basedOn w:val="626"/>
    <w:next w:val="626"/>
    <w:link w:val="1012"/>
    <w:uiPriority w:val="99"/>
    <w:qFormat/>
    <w:pPr>
      <w:jc w:val="both"/>
    </w:pPr>
    <w:rPr>
      <w:rFonts w:ascii="楷体_GB2312" w:eastAsia="楷体_GB2312"/>
      <w:sz w:val="28"/>
      <w:szCs w:val="20"/>
      <w:lang w:eastAsia="zh-CN"/>
    </w:rPr>
  </w:style>
  <w:style w:type="paragraph" w:styleId="644">
    <w:name w:val="Body Text 3"/>
    <w:basedOn w:val="626"/>
    <w:link w:val="861"/>
    <w:uiPriority w:val="0"/>
    <w:qFormat/>
    <w:pPr>
      <w:jc w:val="both"/>
    </w:pPr>
    <w:rPr>
      <w:rFonts w:ascii="宋体" w:eastAsia="宋体"/>
      <w:sz w:val="24"/>
      <w:szCs w:val="20"/>
    </w:rPr>
  </w:style>
  <w:style w:type="paragraph" w:styleId="645">
    <w:name w:val="Body Text"/>
    <w:basedOn w:val="626"/>
    <w:link w:val="862"/>
    <w:uiPriority w:val="0"/>
    <w:qFormat/>
    <w:pPr>
      <w:ind w:left="118"/>
      <w:spacing w:before="34"/>
    </w:pPr>
    <w:rPr>
      <w:rFonts w:ascii="宋体" w:hAnsi="宋体" w:eastAsia="宋体"/>
      <w:sz w:val="24"/>
      <w:szCs w:val="24"/>
    </w:rPr>
  </w:style>
  <w:style w:type="paragraph" w:styleId="646">
    <w:name w:val="Body Text Indent"/>
    <w:basedOn w:val="626"/>
    <w:next w:val="647"/>
    <w:link w:val="863"/>
    <w:uiPriority w:val="99"/>
    <w:qFormat/>
    <w:pPr>
      <w:ind w:left="420"/>
      <w:jc w:val="both"/>
      <w:spacing w:after="120"/>
    </w:pPr>
    <w:rPr>
      <w:rFonts w:eastAsia="宋体"/>
      <w:sz w:val="21"/>
      <w:szCs w:val="20"/>
    </w:rPr>
  </w:style>
  <w:style w:type="paragraph" w:styleId="647">
    <w:name w:val="envelope return"/>
    <w:basedOn w:val="626"/>
    <w:uiPriority w:val="99"/>
    <w:unhideWhenUsed/>
    <w:qFormat/>
    <w:rPr>
      <w:rFonts w:ascii="Arial" w:hAnsi="Arial" w:cs="Arial"/>
    </w:rPr>
  </w:style>
  <w:style w:type="paragraph" w:styleId="648">
    <w:name w:val="index 4"/>
    <w:basedOn w:val="626"/>
    <w:next w:val="626"/>
    <w:uiPriority w:val="0"/>
    <w:unhideWhenUsed/>
    <w:qFormat/>
    <w:pPr>
      <w:ind w:left="600"/>
    </w:pPr>
  </w:style>
  <w:style w:type="paragraph" w:styleId="649">
    <w:name w:val="toc 5"/>
    <w:basedOn w:val="626"/>
    <w:next w:val="626"/>
    <w:uiPriority w:val="0"/>
    <w:unhideWhenUsed/>
    <w:qFormat/>
    <w:pPr>
      <w:ind w:left="1680"/>
      <w:jc w:val="both"/>
    </w:pPr>
    <w:rPr>
      <w:rFonts w:eastAsia="宋体"/>
      <w:sz w:val="21"/>
      <w:lang w:eastAsia="zh-CN"/>
    </w:rPr>
  </w:style>
  <w:style w:type="paragraph" w:styleId="650">
    <w:name w:val="toc 3"/>
    <w:basedOn w:val="626"/>
    <w:next w:val="626"/>
    <w:uiPriority w:val="39"/>
    <w:qFormat/>
    <w:pPr>
      <w:ind w:left="840"/>
      <w:jc w:val="both"/>
    </w:pPr>
    <w:rPr>
      <w:rFonts w:eastAsia="宋体"/>
      <w:sz w:val="21"/>
      <w:szCs w:val="20"/>
      <w:lang w:eastAsia="zh-CN"/>
    </w:rPr>
  </w:style>
  <w:style w:type="paragraph" w:styleId="651">
    <w:name w:val="Plain Text"/>
    <w:basedOn w:val="626"/>
    <w:link w:val="864"/>
    <w:uiPriority w:val="0"/>
    <w:qFormat/>
    <w:pPr>
      <w:jc w:val="both"/>
    </w:pPr>
    <w:rPr>
      <w:rFonts w:ascii="Ari" w:eastAsia="宋体"/>
      <w:sz w:val="21"/>
      <w:szCs w:val="24"/>
    </w:rPr>
  </w:style>
  <w:style w:type="paragraph" w:styleId="652">
    <w:name w:val="toc 8"/>
    <w:basedOn w:val="626"/>
    <w:next w:val="626"/>
    <w:uiPriority w:val="0"/>
    <w:unhideWhenUsed/>
    <w:qFormat/>
    <w:pPr>
      <w:ind w:left="2940"/>
      <w:jc w:val="both"/>
    </w:pPr>
    <w:rPr>
      <w:rFonts w:eastAsia="宋体"/>
      <w:sz w:val="21"/>
      <w:lang w:eastAsia="zh-CN"/>
    </w:rPr>
  </w:style>
  <w:style w:type="paragraph" w:styleId="653">
    <w:name w:val="Date"/>
    <w:basedOn w:val="626"/>
    <w:next w:val="626"/>
    <w:link w:val="865"/>
    <w:uiPriority w:val="0"/>
    <w:qFormat/>
    <w:pPr>
      <w:jc w:val="both"/>
    </w:pPr>
    <w:rPr>
      <w:rFonts w:eastAsia="宋体"/>
      <w:sz w:val="24"/>
      <w:szCs w:val="20"/>
    </w:rPr>
  </w:style>
  <w:style w:type="paragraph" w:styleId="654">
    <w:name w:val="Body Text Indent 2"/>
    <w:basedOn w:val="626"/>
    <w:link w:val="910"/>
    <w:uiPriority w:val="0"/>
    <w:unhideWhenUsed/>
    <w:qFormat/>
    <w:pPr>
      <w:ind w:left="420"/>
      <w:spacing w:after="120" w:line="480" w:lineRule="auto"/>
    </w:pPr>
  </w:style>
  <w:style w:type="paragraph" w:styleId="655">
    <w:name w:val="endnote text"/>
    <w:basedOn w:val="626"/>
    <w:link w:val="849"/>
    <w:uiPriority w:val="99"/>
    <w:semiHidden/>
    <w:unhideWhenUsed/>
    <w:qFormat/>
    <w:rPr>
      <w:rFonts w:eastAsia="宋体"/>
      <w:sz w:val="20"/>
      <w:szCs w:val="20"/>
    </w:rPr>
  </w:style>
  <w:style w:type="paragraph" w:styleId="656">
    <w:name w:val="Balloon Text"/>
    <w:basedOn w:val="626"/>
    <w:link w:val="866"/>
    <w:uiPriority w:val="0"/>
    <w:qFormat/>
    <w:rPr>
      <w:sz w:val="18"/>
      <w:szCs w:val="18"/>
    </w:rPr>
  </w:style>
  <w:style w:type="paragraph" w:styleId="657">
    <w:name w:val="Footer"/>
    <w:basedOn w:val="626"/>
    <w:link w:val="867"/>
    <w:uiPriority w:val="0"/>
    <w:qFormat/>
    <w:pPr>
      <w:tabs>
        <w:tab w:val="center" w:pos="4153" w:leader="none"/>
        <w:tab w:val="right" w:pos="8306" w:leader="none"/>
      </w:tabs>
    </w:pPr>
    <w:rPr>
      <w:sz w:val="18"/>
    </w:rPr>
  </w:style>
  <w:style w:type="paragraph" w:styleId="658">
    <w:name w:val="Header"/>
    <w:basedOn w:val="626"/>
    <w:link w:val="868"/>
    <w:uiPriority w:val="9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59">
    <w:name w:val="toc 1"/>
    <w:basedOn w:val="626"/>
    <w:next w:val="626"/>
    <w:uiPriority w:val="39"/>
    <w:qFormat/>
    <w:pPr>
      <w:spacing w:before="271"/>
    </w:pPr>
    <w:rPr>
      <w:rFonts w:ascii="宋体" w:hAnsi="宋体" w:eastAsia="宋体"/>
      <w:b/>
      <w:bCs/>
      <w:sz w:val="24"/>
      <w:szCs w:val="24"/>
    </w:rPr>
  </w:style>
  <w:style w:type="paragraph" w:styleId="660">
    <w:name w:val="toc 4"/>
    <w:basedOn w:val="626"/>
    <w:next w:val="626"/>
    <w:uiPriority w:val="0"/>
    <w:unhideWhenUsed/>
    <w:qFormat/>
    <w:pPr>
      <w:ind w:left="1260"/>
      <w:jc w:val="both"/>
    </w:pPr>
    <w:rPr>
      <w:rFonts w:eastAsia="宋体"/>
      <w:sz w:val="21"/>
      <w:lang w:eastAsia="zh-CN"/>
    </w:rPr>
  </w:style>
  <w:style w:type="paragraph" w:styleId="661">
    <w:name w:val="index heading"/>
    <w:basedOn w:val="626"/>
    <w:next w:val="662"/>
    <w:uiPriority w:val="0"/>
    <w:qFormat/>
    <w:pPr>
      <w:jc w:val="both"/>
    </w:pPr>
    <w:rPr>
      <w:rFonts w:ascii="Times New Roman" w:hAnsi="Times New Roman" w:eastAsia="宋体"/>
      <w:sz w:val="21"/>
      <w:szCs w:val="20"/>
      <w:lang w:eastAsia="zh-CN"/>
    </w:rPr>
  </w:style>
  <w:style w:type="paragraph" w:styleId="662">
    <w:name w:val="index 1"/>
    <w:basedOn w:val="626"/>
    <w:next w:val="626"/>
    <w:uiPriority w:val="0"/>
    <w:qFormat/>
    <w:pPr>
      <w:jc w:val="center"/>
      <w:spacing w:line="220" w:lineRule="exact"/>
    </w:pPr>
    <w:rPr>
      <w:rFonts w:ascii="仿宋_GB2312" w:eastAsia="仿宋_GB2312"/>
      <w:sz w:val="21"/>
      <w:szCs w:val="20"/>
      <w:lang w:eastAsia="zh-CN"/>
    </w:rPr>
  </w:style>
  <w:style w:type="paragraph" w:styleId="663">
    <w:name w:val="Subtitle"/>
    <w:basedOn w:val="626"/>
    <w:next w:val="626"/>
    <w:link w:val="712"/>
    <w:uiPriority w:val="0"/>
    <w:qFormat/>
    <w:pPr>
      <w:spacing w:before="200" w:after="200"/>
    </w:pPr>
    <w:rPr>
      <w:rFonts w:eastAsia="宋体"/>
      <w:sz w:val="24"/>
      <w:szCs w:val="24"/>
    </w:rPr>
  </w:style>
  <w:style w:type="paragraph" w:styleId="664">
    <w:name w:val="List"/>
    <w:basedOn w:val="626"/>
    <w:uiPriority w:val="0"/>
    <w:qFormat/>
    <w:pPr>
      <w:contextualSpacing/>
      <w:ind w:left="200" w:hanging="200"/>
    </w:pPr>
    <w:rPr>
      <w:rFonts w:ascii="Times New Roman" w:hAnsi="Times New Roman"/>
    </w:rPr>
  </w:style>
  <w:style w:type="paragraph" w:styleId="665">
    <w:name w:val="footnote text"/>
    <w:basedOn w:val="626"/>
    <w:link w:val="848"/>
    <w:uiPriority w:val="99"/>
    <w:semiHidden/>
    <w:unhideWhenUsed/>
    <w:qFormat/>
    <w:pPr>
      <w:spacing w:after="40"/>
    </w:pPr>
    <w:rPr>
      <w:rFonts w:eastAsia="宋体"/>
      <w:sz w:val="18"/>
      <w:szCs w:val="20"/>
    </w:rPr>
  </w:style>
  <w:style w:type="paragraph" w:styleId="666">
    <w:name w:val="toc 6"/>
    <w:basedOn w:val="626"/>
    <w:next w:val="626"/>
    <w:uiPriority w:val="0"/>
    <w:unhideWhenUsed/>
    <w:qFormat/>
    <w:pPr>
      <w:ind w:left="2100"/>
      <w:jc w:val="both"/>
    </w:pPr>
    <w:rPr>
      <w:rFonts w:eastAsia="宋体"/>
      <w:sz w:val="21"/>
      <w:lang w:eastAsia="zh-CN"/>
    </w:rPr>
  </w:style>
  <w:style w:type="paragraph" w:styleId="667">
    <w:name w:val="Body Text Indent 3"/>
    <w:basedOn w:val="626"/>
    <w:link w:val="869"/>
    <w:uiPriority w:val="0"/>
    <w:qFormat/>
    <w:pPr>
      <w:ind w:left="420"/>
      <w:jc w:val="both"/>
      <w:spacing w:after="120"/>
    </w:pPr>
    <w:rPr>
      <w:rFonts w:eastAsia="宋体"/>
      <w:sz w:val="16"/>
      <w:szCs w:val="20"/>
    </w:rPr>
  </w:style>
  <w:style w:type="paragraph" w:styleId="668">
    <w:name w:val="table of figures"/>
    <w:basedOn w:val="626"/>
    <w:next w:val="626"/>
    <w:uiPriority w:val="99"/>
    <w:unhideWhenUsed/>
    <w:qFormat/>
  </w:style>
  <w:style w:type="paragraph" w:styleId="669">
    <w:name w:val="toc 2"/>
    <w:basedOn w:val="626"/>
    <w:next w:val="626"/>
    <w:uiPriority w:val="39"/>
    <w:qFormat/>
    <w:pPr>
      <w:ind w:left="327"/>
      <w:spacing w:before="151"/>
    </w:pPr>
    <w:rPr>
      <w:rFonts w:ascii="宋体" w:hAnsi="宋体" w:eastAsia="宋体"/>
      <w:sz w:val="24"/>
      <w:szCs w:val="24"/>
    </w:rPr>
  </w:style>
  <w:style w:type="paragraph" w:styleId="670">
    <w:name w:val="toc 9"/>
    <w:basedOn w:val="626"/>
    <w:next w:val="626"/>
    <w:uiPriority w:val="0"/>
    <w:unhideWhenUsed/>
    <w:qFormat/>
    <w:pPr>
      <w:ind w:left="3360"/>
      <w:jc w:val="both"/>
    </w:pPr>
    <w:rPr>
      <w:rFonts w:eastAsia="宋体"/>
      <w:sz w:val="21"/>
      <w:lang w:eastAsia="zh-CN"/>
    </w:rPr>
  </w:style>
  <w:style w:type="paragraph" w:styleId="671">
    <w:name w:val="Body Text 2"/>
    <w:basedOn w:val="626"/>
    <w:link w:val="1013"/>
    <w:uiPriority w:val="99"/>
    <w:qFormat/>
    <w:pPr>
      <w:jc w:val="both"/>
    </w:pPr>
    <w:rPr>
      <w:rFonts w:ascii="宋体" w:eastAsia="宋体"/>
      <w:b/>
      <w:bCs/>
      <w:sz w:val="24"/>
      <w:szCs w:val="24"/>
      <w:lang w:eastAsia="zh-CN"/>
    </w:rPr>
  </w:style>
  <w:style w:type="paragraph" w:styleId="672">
    <w:name w:val="HTML Preformatted"/>
    <w:basedOn w:val="626"/>
    <w:link w:val="913"/>
    <w:uiPriority w:val="99"/>
    <w:unhideWhenUsed/>
    <w:qFormat/>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lang w:eastAsia="zh-CN"/>
    </w:rPr>
  </w:style>
  <w:style w:type="paragraph" w:styleId="673">
    <w:name w:val="Normal (Web)"/>
    <w:basedOn w:val="626"/>
    <w:uiPriority w:val="0"/>
    <w:unhideWhenUsed/>
    <w:qFormat/>
    <w:pPr>
      <w:spacing w:before="100" w:beforeAutospacing="1" w:after="100" w:afterAutospacing="1"/>
      <w:widowControl/>
    </w:pPr>
    <w:rPr>
      <w:rFonts w:ascii="宋体" w:hAnsi="宋体" w:eastAsia="宋体" w:cs="宋体"/>
      <w:sz w:val="24"/>
      <w:szCs w:val="24"/>
      <w:lang w:eastAsia="zh-CN"/>
    </w:rPr>
  </w:style>
  <w:style w:type="paragraph" w:styleId="674">
    <w:name w:val="Title"/>
    <w:basedOn w:val="626"/>
    <w:link w:val="870"/>
    <w:uiPriority w:val="0"/>
    <w:qFormat/>
    <w:pPr>
      <w:jc w:val="center"/>
      <w:spacing w:before="240" w:after="60" w:line="420" w:lineRule="atLeast"/>
      <w:outlineLvl w:val="0"/>
    </w:pPr>
    <w:rPr>
      <w:rFonts w:ascii="Arial" w:hAnsi="Arial" w:eastAsia="宋体"/>
      <w:b/>
      <w:sz w:val="32"/>
      <w:szCs w:val="20"/>
    </w:rPr>
  </w:style>
  <w:style w:type="paragraph" w:styleId="675">
    <w:name w:val="annotation subject"/>
    <w:basedOn w:val="642"/>
    <w:next w:val="642"/>
    <w:link w:val="871"/>
    <w:uiPriority w:val="0"/>
    <w:qFormat/>
    <w:rPr>
      <w:rFonts w:eastAsia="宋体"/>
      <w:szCs w:val="20"/>
    </w:rPr>
  </w:style>
  <w:style w:type="paragraph" w:styleId="676">
    <w:name w:val="Body Text First Indent"/>
    <w:basedOn w:val="645"/>
    <w:next w:val="626"/>
    <w:link w:val="872"/>
    <w:uiPriority w:val="0"/>
    <w:qFormat/>
    <w:pPr>
      <w:ind w:firstLine="200"/>
      <w:tabs>
        <w:tab w:val="left" w:pos="562" w:leader="none"/>
        <w:tab w:val="left" w:pos="3372" w:leader="none"/>
        <w:tab w:val="left" w:pos="3653" w:leader="none"/>
      </w:tabs>
    </w:pPr>
  </w:style>
  <w:style w:type="paragraph" w:styleId="677">
    <w:name w:val="Body Text First Indent 2"/>
    <w:basedOn w:val="646"/>
    <w:next w:val="626"/>
    <w:link w:val="1014"/>
    <w:uiPriority w:val="0"/>
    <w:qFormat/>
    <w:pPr>
      <w:ind w:firstLine="420"/>
    </w:pPr>
  </w:style>
  <w:style w:type="table" w:styleId="678">
    <w:name w:val="Table Grid"/>
    <w:basedOn w:val="637"/>
    <w:uiPriority w:val="0"/>
    <w:qFormat/>
    <w:tblPr>
      <w:tblCellMar>
        <w:left w:w="108" w:type="dxa"/>
        <w:top w:w="0" w:type="dxa"/>
        <w:right w:w="108" w:type="dxa"/>
        <w:bottom w:w="0" w:type="dxa"/>
      </w:tblCellMar>
    </w:tblPr>
  </w:style>
  <w:style w:type="character" w:styleId="679">
    <w:name w:val="Strong"/>
    <w:uiPriority w:val="0"/>
    <w:qFormat/>
    <w:rPr>
      <w:b/>
      <w:bCs/>
    </w:rPr>
  </w:style>
  <w:style w:type="character" w:styleId="680">
    <w:name w:val="endnote reference"/>
    <w:uiPriority w:val="99"/>
    <w:semiHidden/>
    <w:unhideWhenUsed/>
    <w:qFormat/>
    <w:rPr>
      <w:vertAlign w:val="superscript"/>
    </w:rPr>
  </w:style>
  <w:style w:type="character" w:styleId="681">
    <w:name w:val="page number"/>
    <w:uiPriority w:val="0"/>
    <w:qFormat/>
  </w:style>
  <w:style w:type="character" w:styleId="682">
    <w:name w:val="FollowedHyperlink"/>
    <w:uiPriority w:val="99"/>
    <w:unhideWhenUsed/>
    <w:qFormat/>
    <w:rPr>
      <w:color w:val="800080"/>
      <w:u w:val="single"/>
    </w:rPr>
  </w:style>
  <w:style w:type="character" w:styleId="683">
    <w:name w:val="Emphasis"/>
    <w:uiPriority w:val="0"/>
    <w:qFormat/>
    <w:rPr>
      <w:i/>
      <w:iCs/>
    </w:rPr>
  </w:style>
  <w:style w:type="character" w:styleId="684">
    <w:name w:val="HTML Definition"/>
    <w:uiPriority w:val="0"/>
    <w:qFormat/>
    <w:rPr>
      <w:i/>
    </w:rPr>
  </w:style>
  <w:style w:type="character" w:styleId="685">
    <w:name w:val="Hyperlink"/>
    <w:uiPriority w:val="99"/>
    <w:qFormat/>
    <w:rPr>
      <w:color w:val="0000ff"/>
      <w:u w:val="single"/>
    </w:rPr>
  </w:style>
  <w:style w:type="character" w:styleId="686">
    <w:name w:val="HTML Code"/>
    <w:uiPriority w:val="0"/>
    <w:qFormat/>
    <w:rPr>
      <w:rFonts w:ascii="Consolas" w:hAnsi="Consolas" w:eastAsia="Consolas" w:cs="Consolas"/>
      <w:color w:val="ca4440"/>
      <w:sz w:val="21"/>
      <w:szCs w:val="21"/>
      <w:shd w:val="clear" w:color="auto" w:fill="f9f2f4"/>
    </w:rPr>
  </w:style>
  <w:style w:type="character" w:styleId="687">
    <w:name w:val="annotation reference"/>
    <w:uiPriority w:val="0"/>
    <w:qFormat/>
    <w:rPr>
      <w:sz w:val="21"/>
      <w:szCs w:val="21"/>
    </w:rPr>
  </w:style>
  <w:style w:type="character" w:styleId="688">
    <w:name w:val="footnote reference"/>
    <w:uiPriority w:val="99"/>
    <w:unhideWhenUsed/>
    <w:qFormat/>
    <w:rPr>
      <w:vertAlign w:val="superscript"/>
    </w:rPr>
  </w:style>
  <w:style w:type="character" w:styleId="689">
    <w:name w:val="HTML Keyboard"/>
    <w:uiPriority w:val="0"/>
    <w:qFormat/>
    <w:rPr>
      <w:rFonts w:hint="default" w:ascii="Consolas" w:hAnsi="Consolas" w:eastAsia="Consolas" w:cs="Consolas"/>
      <w:color w:val="ffffff"/>
      <w:sz w:val="21"/>
      <w:szCs w:val="21"/>
      <w:shd w:val="clear" w:color="auto" w:fill="333333"/>
    </w:rPr>
  </w:style>
  <w:style w:type="character" w:styleId="690">
    <w:name w:val="HTML Sample"/>
    <w:uiPriority w:val="0"/>
    <w:qFormat/>
    <w:rPr>
      <w:rFonts w:hint="default" w:ascii="Consolas" w:hAnsi="Consolas" w:eastAsia="Consolas" w:cs="Consolas"/>
      <w:sz w:val="21"/>
      <w:szCs w:val="21"/>
    </w:rPr>
  </w:style>
  <w:style w:type="paragraph" w:styleId="691">
    <w:name w:val="List Paragraph"/>
    <w:basedOn w:val="626"/>
    <w:uiPriority w:val="1"/>
    <w:qFormat/>
  </w:style>
  <w:style w:type="paragraph" w:styleId="692" w:customStyle="1">
    <w:name w:val="Heading 1"/>
    <w:basedOn w:val="626"/>
    <w:next w:val="626"/>
    <w:link w:val="693"/>
    <w:uiPriority w:val="9"/>
    <w:qFormat/>
    <w:pPr>
      <w:keepLines/>
      <w:keepNext/>
      <w:spacing w:before="480" w:after="200"/>
      <w:outlineLvl w:val="0"/>
    </w:pPr>
    <w:rPr>
      <w:rFonts w:ascii="Arial" w:hAnsi="Arial" w:eastAsia="Arial"/>
      <w:sz w:val="40"/>
      <w:szCs w:val="40"/>
    </w:rPr>
  </w:style>
  <w:style w:type="character" w:styleId="693" w:customStyle="1">
    <w:name w:val="Heading 1 Char"/>
    <w:link w:val="692"/>
    <w:uiPriority w:val="9"/>
    <w:qFormat/>
    <w:rPr>
      <w:rFonts w:ascii="Arial" w:hAnsi="Arial" w:eastAsia="Arial" w:cs="Arial"/>
      <w:sz w:val="40"/>
      <w:szCs w:val="40"/>
    </w:rPr>
  </w:style>
  <w:style w:type="character" w:styleId="694" w:customStyle="1">
    <w:name w:val="Heading 2 Char"/>
    <w:link w:val="695"/>
    <w:uiPriority w:val="9"/>
    <w:qFormat/>
    <w:rPr>
      <w:rFonts w:ascii="Arial" w:hAnsi="Arial" w:eastAsia="Arial" w:cs="Arial"/>
      <w:sz w:val="34"/>
    </w:rPr>
  </w:style>
  <w:style w:type="paragraph" w:styleId="695" w:customStyle="1">
    <w:name w:val="Heading 2"/>
    <w:basedOn w:val="626"/>
    <w:link w:val="694"/>
    <w:uiPriority w:val="9"/>
    <w:qFormat/>
    <w:pPr>
      <w:ind w:left="157"/>
      <w:spacing w:before="169"/>
      <w:outlineLvl w:val="2"/>
    </w:pPr>
    <w:rPr>
      <w:rFonts w:ascii="Arial" w:hAnsi="Arial" w:eastAsia="Arial"/>
      <w:sz w:val="34"/>
      <w:szCs w:val="20"/>
    </w:rPr>
  </w:style>
  <w:style w:type="paragraph" w:styleId="696" w:customStyle="1">
    <w:name w:val="Heading 3"/>
    <w:basedOn w:val="626"/>
    <w:next w:val="626"/>
    <w:link w:val="697"/>
    <w:uiPriority w:val="9"/>
    <w:unhideWhenUsed/>
    <w:qFormat/>
    <w:pPr>
      <w:keepLines/>
      <w:keepNext/>
      <w:spacing w:before="320" w:after="200"/>
      <w:outlineLvl w:val="2"/>
    </w:pPr>
    <w:rPr>
      <w:rFonts w:ascii="Arial" w:hAnsi="Arial" w:eastAsia="Arial"/>
      <w:sz w:val="30"/>
      <w:szCs w:val="30"/>
    </w:rPr>
  </w:style>
  <w:style w:type="character" w:styleId="697" w:customStyle="1">
    <w:name w:val="Heading 3 Char"/>
    <w:link w:val="696"/>
    <w:uiPriority w:val="9"/>
    <w:qFormat/>
    <w:rPr>
      <w:rFonts w:ascii="Arial" w:hAnsi="Arial" w:eastAsia="Arial" w:cs="Arial"/>
      <w:sz w:val="30"/>
      <w:szCs w:val="30"/>
    </w:rPr>
  </w:style>
  <w:style w:type="paragraph" w:styleId="698" w:customStyle="1">
    <w:name w:val="Heading 4"/>
    <w:basedOn w:val="626"/>
    <w:next w:val="626"/>
    <w:link w:val="699"/>
    <w:uiPriority w:val="9"/>
    <w:unhideWhenUsed/>
    <w:qFormat/>
    <w:pPr>
      <w:keepLines/>
      <w:keepNext/>
      <w:spacing w:before="320" w:after="200"/>
      <w:outlineLvl w:val="3"/>
    </w:pPr>
    <w:rPr>
      <w:rFonts w:ascii="Arial" w:hAnsi="Arial" w:eastAsia="Arial"/>
      <w:b/>
      <w:bCs/>
      <w:sz w:val="26"/>
      <w:szCs w:val="26"/>
    </w:rPr>
  </w:style>
  <w:style w:type="character" w:styleId="699" w:customStyle="1">
    <w:name w:val="Heading 4 Char"/>
    <w:link w:val="698"/>
    <w:uiPriority w:val="9"/>
    <w:qFormat/>
    <w:rPr>
      <w:rFonts w:ascii="Arial" w:hAnsi="Arial" w:eastAsia="Arial" w:cs="Arial"/>
      <w:b/>
      <w:bCs/>
      <w:sz w:val="26"/>
      <w:szCs w:val="26"/>
    </w:rPr>
  </w:style>
  <w:style w:type="paragraph" w:styleId="700" w:customStyle="1">
    <w:name w:val="Heading 5"/>
    <w:basedOn w:val="626"/>
    <w:next w:val="626"/>
    <w:link w:val="701"/>
    <w:uiPriority w:val="9"/>
    <w:unhideWhenUsed/>
    <w:qFormat/>
    <w:pPr>
      <w:keepLines/>
      <w:keepNext/>
      <w:spacing w:before="320" w:after="200"/>
      <w:outlineLvl w:val="4"/>
    </w:pPr>
    <w:rPr>
      <w:rFonts w:ascii="Arial" w:hAnsi="Arial" w:eastAsia="Arial"/>
      <w:b/>
      <w:bCs/>
      <w:sz w:val="24"/>
      <w:szCs w:val="24"/>
    </w:rPr>
  </w:style>
  <w:style w:type="character" w:styleId="701" w:customStyle="1">
    <w:name w:val="Heading 5 Char"/>
    <w:link w:val="700"/>
    <w:uiPriority w:val="9"/>
    <w:qFormat/>
    <w:rPr>
      <w:rFonts w:ascii="Arial" w:hAnsi="Arial" w:eastAsia="Arial" w:cs="Arial"/>
      <w:b/>
      <w:bCs/>
      <w:sz w:val="24"/>
      <w:szCs w:val="24"/>
    </w:rPr>
  </w:style>
  <w:style w:type="paragraph" w:styleId="702" w:customStyle="1">
    <w:name w:val="Heading 6"/>
    <w:basedOn w:val="626"/>
    <w:next w:val="626"/>
    <w:link w:val="703"/>
    <w:uiPriority w:val="9"/>
    <w:unhideWhenUsed/>
    <w:qFormat/>
    <w:pPr>
      <w:keepLines/>
      <w:keepNext/>
      <w:spacing w:before="320" w:after="200"/>
      <w:outlineLvl w:val="5"/>
    </w:pPr>
    <w:rPr>
      <w:rFonts w:ascii="Arial" w:hAnsi="Arial" w:eastAsia="Arial"/>
      <w:b/>
      <w:bCs/>
    </w:rPr>
  </w:style>
  <w:style w:type="character" w:styleId="703" w:customStyle="1">
    <w:name w:val="Heading 6 Char"/>
    <w:link w:val="702"/>
    <w:uiPriority w:val="9"/>
    <w:qFormat/>
    <w:rPr>
      <w:rFonts w:ascii="Arial" w:hAnsi="Arial" w:eastAsia="Arial" w:cs="Arial"/>
      <w:b/>
      <w:bCs/>
      <w:sz w:val="22"/>
      <w:szCs w:val="22"/>
    </w:rPr>
  </w:style>
  <w:style w:type="paragraph" w:styleId="704" w:customStyle="1">
    <w:name w:val="Heading 7"/>
    <w:basedOn w:val="626"/>
    <w:next w:val="626"/>
    <w:link w:val="705"/>
    <w:uiPriority w:val="9"/>
    <w:unhideWhenUsed/>
    <w:qFormat/>
    <w:pPr>
      <w:keepLines/>
      <w:keepNext/>
      <w:spacing w:before="320" w:after="200"/>
      <w:outlineLvl w:val="6"/>
    </w:pPr>
    <w:rPr>
      <w:rFonts w:ascii="Arial" w:hAnsi="Arial" w:eastAsia="Arial"/>
      <w:b/>
      <w:bCs/>
      <w:i/>
      <w:iCs/>
    </w:rPr>
  </w:style>
  <w:style w:type="character" w:styleId="705" w:customStyle="1">
    <w:name w:val="Heading 7 Char"/>
    <w:link w:val="704"/>
    <w:uiPriority w:val="9"/>
    <w:qFormat/>
    <w:rPr>
      <w:rFonts w:ascii="Arial" w:hAnsi="Arial" w:eastAsia="Arial" w:cs="Arial"/>
      <w:b/>
      <w:bCs/>
      <w:i/>
      <w:iCs/>
      <w:sz w:val="22"/>
      <w:szCs w:val="22"/>
    </w:rPr>
  </w:style>
  <w:style w:type="paragraph" w:styleId="706" w:customStyle="1">
    <w:name w:val="Heading 8"/>
    <w:basedOn w:val="626"/>
    <w:next w:val="626"/>
    <w:link w:val="707"/>
    <w:uiPriority w:val="9"/>
    <w:unhideWhenUsed/>
    <w:qFormat/>
    <w:pPr>
      <w:keepLines/>
      <w:keepNext/>
      <w:spacing w:before="320" w:after="200"/>
      <w:outlineLvl w:val="7"/>
    </w:pPr>
    <w:rPr>
      <w:rFonts w:ascii="Arial" w:hAnsi="Arial" w:eastAsia="Arial"/>
      <w:i/>
      <w:iCs/>
    </w:rPr>
  </w:style>
  <w:style w:type="character" w:styleId="707" w:customStyle="1">
    <w:name w:val="Heading 8 Char"/>
    <w:link w:val="706"/>
    <w:uiPriority w:val="9"/>
    <w:qFormat/>
    <w:rPr>
      <w:rFonts w:ascii="Arial" w:hAnsi="Arial" w:eastAsia="Arial" w:cs="Arial"/>
      <w:i/>
      <w:iCs/>
      <w:sz w:val="22"/>
      <w:szCs w:val="22"/>
    </w:rPr>
  </w:style>
  <w:style w:type="paragraph" w:styleId="708" w:customStyle="1">
    <w:name w:val="Heading 9"/>
    <w:basedOn w:val="626"/>
    <w:next w:val="626"/>
    <w:link w:val="709"/>
    <w:uiPriority w:val="9"/>
    <w:unhideWhenUsed/>
    <w:qFormat/>
    <w:pPr>
      <w:keepLines/>
      <w:keepNext/>
      <w:spacing w:before="320" w:after="200"/>
      <w:outlineLvl w:val="8"/>
    </w:pPr>
    <w:rPr>
      <w:rFonts w:ascii="Arial" w:hAnsi="Arial" w:eastAsia="Arial"/>
      <w:i/>
      <w:iCs/>
      <w:sz w:val="21"/>
      <w:szCs w:val="21"/>
    </w:rPr>
  </w:style>
  <w:style w:type="character" w:styleId="709" w:customStyle="1">
    <w:name w:val="Heading 9 Char"/>
    <w:link w:val="708"/>
    <w:uiPriority w:val="9"/>
    <w:qFormat/>
    <w:rPr>
      <w:rFonts w:ascii="Arial" w:hAnsi="Arial" w:eastAsia="Arial" w:cs="Arial"/>
      <w:i/>
      <w:iCs/>
      <w:sz w:val="21"/>
      <w:szCs w:val="21"/>
    </w:rPr>
  </w:style>
  <w:style w:type="paragraph" w:styleId="710">
    <w:name w:val="No Spacing"/>
    <w:link w:val="955"/>
    <w:uiPriority w:val="1"/>
    <w:qFormat/>
    <w:rPr>
      <w:rFonts w:ascii="Calibri" w:hAnsi="Calibri" w:eastAsia="宋体" w:cs="Times New Roman"/>
      <w:lang w:val="en-US" w:eastAsia="zh-CN" w:bidi="ar-SA"/>
    </w:rPr>
  </w:style>
  <w:style w:type="character" w:styleId="711" w:customStyle="1">
    <w:name w:val="Title Char"/>
    <w:uiPriority w:val="10"/>
    <w:qFormat/>
    <w:rPr>
      <w:sz w:val="48"/>
      <w:szCs w:val="48"/>
    </w:rPr>
  </w:style>
  <w:style w:type="character" w:styleId="712" w:customStyle="1">
    <w:name w:val="副标题 Char"/>
    <w:link w:val="663"/>
    <w:uiPriority w:val="0"/>
    <w:qFormat/>
    <w:rPr>
      <w:sz w:val="24"/>
      <w:szCs w:val="24"/>
    </w:rPr>
  </w:style>
  <w:style w:type="paragraph" w:styleId="713">
    <w:name w:val="Quote"/>
    <w:basedOn w:val="626"/>
    <w:next w:val="626"/>
    <w:link w:val="714"/>
    <w:uiPriority w:val="0"/>
    <w:qFormat/>
    <w:pPr>
      <w:ind w:left="720" w:right="720"/>
    </w:pPr>
    <w:rPr>
      <w:rFonts w:eastAsia="宋体"/>
      <w:i/>
      <w:sz w:val="20"/>
      <w:szCs w:val="20"/>
    </w:rPr>
  </w:style>
  <w:style w:type="character" w:styleId="714" w:customStyle="1">
    <w:name w:val="引用 Char"/>
    <w:link w:val="713"/>
    <w:uiPriority w:val="0"/>
    <w:qFormat/>
    <w:rPr>
      <w:i/>
    </w:rPr>
  </w:style>
  <w:style w:type="paragraph" w:styleId="715">
    <w:name w:val="Intense Quote"/>
    <w:basedOn w:val="626"/>
    <w:next w:val="626"/>
    <w:link w:val="71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716" w:customStyle="1">
    <w:name w:val="明显引用 Char"/>
    <w:link w:val="715"/>
    <w:uiPriority w:val="0"/>
    <w:qFormat/>
    <w:rPr>
      <w:i/>
    </w:rPr>
  </w:style>
  <w:style w:type="paragraph" w:styleId="717" w:customStyle="1">
    <w:name w:val="Header"/>
    <w:basedOn w:val="626"/>
    <w:link w:val="718"/>
    <w:uiPriority w:val="99"/>
    <w:unhideWhenUsed/>
    <w:qFormat/>
    <w:pPr>
      <w:tabs>
        <w:tab w:val="center" w:pos="7143" w:leader="none"/>
        <w:tab w:val="right" w:pos="14287" w:leader="none"/>
      </w:tabs>
    </w:pPr>
  </w:style>
  <w:style w:type="character" w:styleId="718" w:customStyle="1">
    <w:name w:val="Header Char"/>
    <w:link w:val="717"/>
    <w:uiPriority w:val="99"/>
    <w:qFormat/>
  </w:style>
  <w:style w:type="paragraph" w:styleId="719" w:customStyle="1">
    <w:name w:val="Footer"/>
    <w:basedOn w:val="626"/>
    <w:link w:val="722"/>
    <w:uiPriority w:val="99"/>
    <w:unhideWhenUsed/>
    <w:qFormat/>
    <w:pPr>
      <w:tabs>
        <w:tab w:val="center" w:pos="7143" w:leader="none"/>
        <w:tab w:val="right" w:pos="14287" w:leader="none"/>
      </w:tabs>
    </w:pPr>
  </w:style>
  <w:style w:type="character" w:styleId="720" w:customStyle="1">
    <w:name w:val="Footer Char"/>
    <w:uiPriority w:val="99"/>
    <w:qFormat/>
  </w:style>
  <w:style w:type="paragraph" w:styleId="721" w:customStyle="1">
    <w:name w:val="Caption"/>
    <w:basedOn w:val="626"/>
    <w:next w:val="626"/>
    <w:uiPriority w:val="35"/>
    <w:semiHidden/>
    <w:unhideWhenUsed/>
    <w:qFormat/>
    <w:pPr>
      <w:spacing w:line="276" w:lineRule="auto"/>
    </w:pPr>
    <w:rPr>
      <w:b/>
      <w:bCs/>
      <w:color w:val="4f81bd"/>
      <w:sz w:val="18"/>
      <w:szCs w:val="18"/>
    </w:rPr>
  </w:style>
  <w:style w:type="character" w:styleId="722" w:customStyle="1">
    <w:name w:val="Caption Char"/>
    <w:link w:val="719"/>
    <w:uiPriority w:val="99"/>
    <w:qFormat/>
  </w:style>
  <w:style w:type="table" w:styleId="7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6" w:customStyle="1">
    <w:name w:val="Plain Table 3"/>
    <w:uiPriority w:val="99"/>
    <w:qFormat/>
    <w:tblPr>
      <w:tblCellMar>
        <w:left w:w="0" w:type="dxa"/>
        <w:top w:w="0" w:type="dxa"/>
        <w:right w:w="0" w:type="dxa"/>
        <w:bottom w:w="0" w:type="dxa"/>
      </w:tblCellMar>
    </w:tblPr>
  </w:style>
  <w:style w:type="table" w:styleId="727" w:customStyle="1">
    <w:name w:val="Plain Table 4"/>
    <w:uiPriority w:val="99"/>
    <w:qFormat/>
    <w:tblPr>
      <w:tblCellMar>
        <w:left w:w="0" w:type="dxa"/>
        <w:top w:w="0" w:type="dxa"/>
        <w:right w:w="0" w:type="dxa"/>
        <w:bottom w:w="0" w:type="dxa"/>
      </w:tblCellMar>
    </w:tblPr>
  </w:style>
  <w:style w:type="table" w:styleId="728" w:customStyle="1">
    <w:name w:val="Plain Table 5"/>
    <w:uiPriority w:val="99"/>
    <w:qFormat/>
    <w:tblPr>
      <w:tblCellMar>
        <w:left w:w="0" w:type="dxa"/>
        <w:top w:w="0" w:type="dxa"/>
        <w:right w:w="0" w:type="dxa"/>
        <w:bottom w:w="0" w:type="dxa"/>
      </w:tblCellMar>
    </w:tblPr>
  </w:style>
  <w:style w:type="table" w:styleId="72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8" w:customStyle="1">
    <w:name w:val="List Table 1 Light"/>
    <w:uiPriority w:val="99"/>
    <w:qFormat/>
    <w:tblPr>
      <w:tblCellMar>
        <w:left w:w="0" w:type="dxa"/>
        <w:top w:w="0" w:type="dxa"/>
        <w:right w:w="0" w:type="dxa"/>
        <w:bottom w:w="0" w:type="dxa"/>
      </w:tblCellMar>
    </w:tblPr>
  </w:style>
  <w:style w:type="table" w:styleId="779" w:customStyle="1">
    <w:name w:val="List Table 1 Light - Accent 1"/>
    <w:uiPriority w:val="99"/>
    <w:qFormat/>
    <w:tblPr>
      <w:tblCellMar>
        <w:left w:w="0" w:type="dxa"/>
        <w:top w:w="0" w:type="dxa"/>
        <w:right w:w="0" w:type="dxa"/>
        <w:bottom w:w="0" w:type="dxa"/>
      </w:tblCellMar>
    </w:tblPr>
  </w:style>
  <w:style w:type="table" w:styleId="780" w:customStyle="1">
    <w:name w:val="List Table 1 Light - Accent 2"/>
    <w:uiPriority w:val="99"/>
    <w:qFormat/>
    <w:tblPr>
      <w:tblCellMar>
        <w:left w:w="0" w:type="dxa"/>
        <w:top w:w="0" w:type="dxa"/>
        <w:right w:w="0" w:type="dxa"/>
        <w:bottom w:w="0" w:type="dxa"/>
      </w:tblCellMar>
    </w:tblPr>
  </w:style>
  <w:style w:type="table" w:styleId="781" w:customStyle="1">
    <w:name w:val="List Table 1 Light - Accent 3"/>
    <w:uiPriority w:val="99"/>
    <w:qFormat/>
    <w:tblPr>
      <w:tblCellMar>
        <w:left w:w="0" w:type="dxa"/>
        <w:top w:w="0" w:type="dxa"/>
        <w:right w:w="0" w:type="dxa"/>
        <w:bottom w:w="0" w:type="dxa"/>
      </w:tblCellMar>
    </w:tblPr>
  </w:style>
  <w:style w:type="table" w:styleId="782" w:customStyle="1">
    <w:name w:val="List Table 1 Light - Accent 4"/>
    <w:uiPriority w:val="99"/>
    <w:qFormat/>
    <w:tblPr>
      <w:tblCellMar>
        <w:left w:w="0" w:type="dxa"/>
        <w:top w:w="0" w:type="dxa"/>
        <w:right w:w="0" w:type="dxa"/>
        <w:bottom w:w="0" w:type="dxa"/>
      </w:tblCellMar>
    </w:tblPr>
  </w:style>
  <w:style w:type="table" w:styleId="783" w:customStyle="1">
    <w:name w:val="List Table 1 Light - Accent 5"/>
    <w:uiPriority w:val="99"/>
    <w:qFormat/>
    <w:tblPr>
      <w:tblCellMar>
        <w:left w:w="0" w:type="dxa"/>
        <w:top w:w="0" w:type="dxa"/>
        <w:right w:w="0" w:type="dxa"/>
        <w:bottom w:w="0" w:type="dxa"/>
      </w:tblCellMar>
    </w:tblPr>
  </w:style>
  <w:style w:type="table" w:styleId="784" w:customStyle="1">
    <w:name w:val="List Table 1 Light - Accent 6"/>
    <w:uiPriority w:val="99"/>
    <w:qFormat/>
    <w:tblPr>
      <w:tblCellMar>
        <w:left w:w="0" w:type="dxa"/>
        <w:top w:w="0" w:type="dxa"/>
        <w:right w:w="0" w:type="dxa"/>
        <w:bottom w:w="0" w:type="dxa"/>
      </w:tblCellMar>
    </w:tblPr>
  </w:style>
  <w:style w:type="table" w:styleId="78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0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0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0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1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1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1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1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1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1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1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1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1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1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2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2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2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2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2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2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2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27" w:customStyle="1">
    <w:name w:val="Lined - Accent"/>
    <w:uiPriority w:val="99"/>
    <w:qFormat/>
    <w:rPr>
      <w:color w:val="404040"/>
    </w:rPr>
    <w:tblPr>
      <w:tblCellMar>
        <w:left w:w="0" w:type="dxa"/>
        <w:top w:w="0" w:type="dxa"/>
        <w:right w:w="0" w:type="dxa"/>
        <w:bottom w:w="0" w:type="dxa"/>
      </w:tblCellMar>
    </w:tblPr>
  </w:style>
  <w:style w:type="table" w:styleId="828" w:customStyle="1">
    <w:name w:val="Lined - Accent 1"/>
    <w:uiPriority w:val="99"/>
    <w:qFormat/>
    <w:rPr>
      <w:color w:val="404040"/>
    </w:rPr>
    <w:tblPr>
      <w:tblCellMar>
        <w:left w:w="0" w:type="dxa"/>
        <w:top w:w="0" w:type="dxa"/>
        <w:right w:w="0" w:type="dxa"/>
        <w:bottom w:w="0" w:type="dxa"/>
      </w:tblCellMar>
    </w:tblPr>
  </w:style>
  <w:style w:type="table" w:styleId="829" w:customStyle="1">
    <w:name w:val="Lined - Accent 2"/>
    <w:uiPriority w:val="99"/>
    <w:qFormat/>
    <w:rPr>
      <w:color w:val="404040"/>
    </w:rPr>
    <w:tblPr>
      <w:tblCellMar>
        <w:left w:w="0" w:type="dxa"/>
        <w:top w:w="0" w:type="dxa"/>
        <w:right w:w="0" w:type="dxa"/>
        <w:bottom w:w="0" w:type="dxa"/>
      </w:tblCellMar>
    </w:tblPr>
  </w:style>
  <w:style w:type="table" w:styleId="830" w:customStyle="1">
    <w:name w:val="Lined - Accent 3"/>
    <w:uiPriority w:val="99"/>
    <w:qFormat/>
    <w:rPr>
      <w:color w:val="404040"/>
    </w:rPr>
    <w:tblPr>
      <w:tblCellMar>
        <w:left w:w="0" w:type="dxa"/>
        <w:top w:w="0" w:type="dxa"/>
        <w:right w:w="0" w:type="dxa"/>
        <w:bottom w:w="0" w:type="dxa"/>
      </w:tblCellMar>
    </w:tblPr>
  </w:style>
  <w:style w:type="table" w:styleId="831" w:customStyle="1">
    <w:name w:val="Lined - Accent 4"/>
    <w:uiPriority w:val="99"/>
    <w:qFormat/>
    <w:rPr>
      <w:color w:val="404040"/>
    </w:rPr>
    <w:tblPr>
      <w:tblCellMar>
        <w:left w:w="0" w:type="dxa"/>
        <w:top w:w="0" w:type="dxa"/>
        <w:right w:w="0" w:type="dxa"/>
        <w:bottom w:w="0" w:type="dxa"/>
      </w:tblCellMar>
    </w:tblPr>
  </w:style>
  <w:style w:type="table" w:styleId="832" w:customStyle="1">
    <w:name w:val="Lined - Accent 5"/>
    <w:uiPriority w:val="99"/>
    <w:qFormat/>
    <w:rPr>
      <w:color w:val="404040"/>
    </w:rPr>
    <w:tblPr>
      <w:tblCellMar>
        <w:left w:w="0" w:type="dxa"/>
        <w:top w:w="0" w:type="dxa"/>
        <w:right w:w="0" w:type="dxa"/>
        <w:bottom w:w="0" w:type="dxa"/>
      </w:tblCellMar>
    </w:tblPr>
  </w:style>
  <w:style w:type="table" w:styleId="833" w:customStyle="1">
    <w:name w:val="Lined - Accent 6"/>
    <w:uiPriority w:val="99"/>
    <w:qFormat/>
    <w:rPr>
      <w:color w:val="404040"/>
    </w:rPr>
    <w:tblPr>
      <w:tblCellMar>
        <w:left w:w="0" w:type="dxa"/>
        <w:top w:w="0" w:type="dxa"/>
        <w:right w:w="0" w:type="dxa"/>
        <w:bottom w:w="0" w:type="dxa"/>
      </w:tblCellMar>
    </w:tblPr>
  </w:style>
  <w:style w:type="table" w:styleId="83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8" w:customStyle="1">
    <w:name w:val="脚注文本 Char"/>
    <w:link w:val="665"/>
    <w:uiPriority w:val="99"/>
    <w:qFormat/>
    <w:rPr>
      <w:sz w:val="18"/>
    </w:rPr>
  </w:style>
  <w:style w:type="character" w:styleId="849" w:customStyle="1">
    <w:name w:val="尾注文本 Char"/>
    <w:link w:val="655"/>
    <w:uiPriority w:val="99"/>
    <w:qFormat/>
    <w:rPr>
      <w:sz w:val="20"/>
    </w:rPr>
  </w:style>
  <w:style w:type="paragraph" w:styleId="850" w:customStyle="1">
    <w:name w:val="TOC 标题1"/>
    <w:uiPriority w:val="39"/>
    <w:unhideWhenUsed/>
    <w:qFormat/>
    <w:rPr>
      <w:rFonts w:ascii="Calibri" w:hAnsi="Calibri" w:eastAsia="宋体" w:cs="Times New Roman"/>
      <w:lang w:val="en-US" w:eastAsia="zh-CN" w:bidi="ar-SA"/>
    </w:rPr>
  </w:style>
  <w:style w:type="character" w:styleId="851" w:customStyle="1">
    <w:name w:val="标题 1 Char1"/>
    <w:basedOn w:val="636"/>
    <w:link w:val="627"/>
    <w:uiPriority w:val="0"/>
    <w:qFormat/>
    <w:rPr>
      <w:rFonts w:ascii="黑体" w:hAnsi="Times New Roman" w:eastAsia="仿宋" w:cs="Times New Roman"/>
      <w:b/>
      <w:sz w:val="24"/>
      <w:szCs w:val="28"/>
    </w:rPr>
  </w:style>
  <w:style w:type="character" w:styleId="852" w:customStyle="1">
    <w:name w:val="标题 2 Char"/>
    <w:link w:val="628"/>
    <w:uiPriority w:val="0"/>
    <w:qFormat/>
    <w:rPr>
      <w:rFonts w:ascii="黑体" w:hAnsi="黑体" w:eastAsia="黑体"/>
      <w:b/>
      <w:bCs/>
      <w:sz w:val="36"/>
      <w:szCs w:val="36"/>
      <w:lang w:eastAsia="en-US"/>
    </w:rPr>
  </w:style>
  <w:style w:type="character" w:styleId="853" w:customStyle="1">
    <w:name w:val="标题 3 Char"/>
    <w:link w:val="629"/>
    <w:uiPriority w:val="0"/>
    <w:qFormat/>
    <w:rPr>
      <w:rFonts w:ascii="黑体" w:hAnsi="黑体" w:eastAsia="黑体"/>
      <w:sz w:val="32"/>
      <w:szCs w:val="32"/>
      <w:lang w:eastAsia="en-US"/>
    </w:rPr>
  </w:style>
  <w:style w:type="character" w:styleId="854" w:customStyle="1">
    <w:name w:val="标题 4 Char"/>
    <w:link w:val="630"/>
    <w:uiPriority w:val="0"/>
    <w:qFormat/>
    <w:rPr>
      <w:rFonts w:ascii="宋体" w:hAnsi="宋体"/>
      <w:b/>
      <w:bCs/>
      <w:sz w:val="24"/>
      <w:szCs w:val="24"/>
      <w:lang w:eastAsia="en-US"/>
    </w:rPr>
  </w:style>
  <w:style w:type="character" w:styleId="855" w:customStyle="1">
    <w:name w:val="标题 6 Char"/>
    <w:link w:val="632"/>
    <w:uiPriority w:val="0"/>
    <w:qFormat/>
    <w:rPr>
      <w:rFonts w:ascii="Arial" w:hAnsi="Arial" w:eastAsia="黑体"/>
      <w:b/>
      <w:sz w:val="24"/>
    </w:rPr>
  </w:style>
  <w:style w:type="character" w:styleId="856" w:customStyle="1">
    <w:name w:val="标题 7 Char"/>
    <w:link w:val="633"/>
    <w:uiPriority w:val="0"/>
    <w:qFormat/>
    <w:rPr>
      <w:b/>
      <w:sz w:val="24"/>
    </w:rPr>
  </w:style>
  <w:style w:type="character" w:styleId="857" w:customStyle="1">
    <w:name w:val="标题 8 Char"/>
    <w:link w:val="634"/>
    <w:uiPriority w:val="0"/>
    <w:qFormat/>
    <w:rPr>
      <w:rFonts w:ascii="Arial" w:hAnsi="Arial" w:eastAsia="黑体"/>
      <w:sz w:val="24"/>
    </w:rPr>
  </w:style>
  <w:style w:type="character" w:styleId="858" w:customStyle="1">
    <w:name w:val="标题 9 Char"/>
    <w:link w:val="635"/>
    <w:uiPriority w:val="0"/>
    <w:qFormat/>
    <w:rPr>
      <w:rFonts w:ascii="Arial" w:hAnsi="Arial" w:eastAsia="黑体"/>
      <w:sz w:val="21"/>
    </w:rPr>
  </w:style>
  <w:style w:type="character" w:styleId="859" w:customStyle="1">
    <w:name w:val="文档结构图 Char"/>
    <w:link w:val="641"/>
    <w:uiPriority w:val="0"/>
    <w:qFormat/>
    <w:rPr>
      <w:rFonts w:ascii="宋体"/>
      <w:sz w:val="18"/>
      <w:szCs w:val="18"/>
      <w:lang w:eastAsia="en-US"/>
    </w:rPr>
  </w:style>
  <w:style w:type="character" w:styleId="860" w:customStyle="1">
    <w:name w:val="批注文字 Char"/>
    <w:link w:val="642"/>
    <w:uiPriority w:val="0"/>
    <w:qFormat/>
    <w:rPr>
      <w:rFonts w:eastAsia="Calibri"/>
      <w:szCs w:val="22"/>
      <w:lang w:eastAsia="en-US"/>
    </w:rPr>
  </w:style>
  <w:style w:type="character" w:styleId="861" w:customStyle="1">
    <w:name w:val="正文文本 3 Char"/>
    <w:link w:val="644"/>
    <w:uiPriority w:val="0"/>
    <w:qFormat/>
    <w:rPr>
      <w:rFonts w:ascii="宋体"/>
      <w:sz w:val="24"/>
    </w:rPr>
  </w:style>
  <w:style w:type="character" w:styleId="862" w:customStyle="1">
    <w:name w:val="正文文本 Char"/>
    <w:link w:val="645"/>
    <w:uiPriority w:val="0"/>
    <w:qFormat/>
    <w:rPr>
      <w:rFonts w:ascii="宋体" w:hAnsi="宋体"/>
      <w:sz w:val="24"/>
      <w:szCs w:val="24"/>
      <w:lang w:eastAsia="en-US"/>
    </w:rPr>
  </w:style>
  <w:style w:type="character" w:styleId="863" w:customStyle="1">
    <w:name w:val="正文文本缩进 Char"/>
    <w:link w:val="646"/>
    <w:uiPriority w:val="99"/>
    <w:qFormat/>
    <w:rPr>
      <w:sz w:val="21"/>
    </w:rPr>
  </w:style>
  <w:style w:type="character" w:styleId="864" w:customStyle="1">
    <w:name w:val="纯文本 Char"/>
    <w:link w:val="651"/>
    <w:uiPriority w:val="0"/>
    <w:qFormat/>
    <w:rPr>
      <w:rFonts w:ascii="Ari"/>
      <w:sz w:val="21"/>
      <w:szCs w:val="24"/>
    </w:rPr>
  </w:style>
  <w:style w:type="character" w:styleId="865" w:customStyle="1">
    <w:name w:val="日期 Char"/>
    <w:link w:val="653"/>
    <w:uiPriority w:val="0"/>
    <w:qFormat/>
    <w:rPr>
      <w:sz w:val="24"/>
    </w:rPr>
  </w:style>
  <w:style w:type="character" w:styleId="866" w:customStyle="1">
    <w:name w:val="批注框文本 Char"/>
    <w:link w:val="656"/>
    <w:uiPriority w:val="0"/>
    <w:qFormat/>
    <w:rPr>
      <w:rFonts w:eastAsia="Calibri"/>
      <w:sz w:val="18"/>
      <w:szCs w:val="18"/>
      <w:lang w:eastAsia="en-US"/>
    </w:rPr>
  </w:style>
  <w:style w:type="character" w:styleId="867" w:customStyle="1">
    <w:name w:val="页脚 Char"/>
    <w:link w:val="657"/>
    <w:uiPriority w:val="0"/>
    <w:qFormat/>
    <w:rPr>
      <w:rFonts w:eastAsia="Calibri"/>
      <w:sz w:val="18"/>
      <w:szCs w:val="22"/>
      <w:lang w:eastAsia="en-US"/>
    </w:rPr>
  </w:style>
  <w:style w:type="character" w:styleId="868" w:customStyle="1">
    <w:name w:val="页眉 Char"/>
    <w:link w:val="658"/>
    <w:uiPriority w:val="99"/>
    <w:qFormat/>
    <w:rPr>
      <w:rFonts w:eastAsia="Calibri"/>
      <w:sz w:val="18"/>
      <w:szCs w:val="22"/>
      <w:lang w:eastAsia="en-US"/>
    </w:rPr>
  </w:style>
  <w:style w:type="character" w:styleId="869" w:customStyle="1">
    <w:name w:val="正文文本缩进 3 Char"/>
    <w:link w:val="667"/>
    <w:uiPriority w:val="0"/>
    <w:qFormat/>
    <w:rPr>
      <w:sz w:val="16"/>
    </w:rPr>
  </w:style>
  <w:style w:type="character" w:styleId="870" w:customStyle="1">
    <w:name w:val="标题 Char"/>
    <w:link w:val="674"/>
    <w:uiPriority w:val="0"/>
    <w:qFormat/>
    <w:rPr>
      <w:rFonts w:ascii="Arial" w:hAnsi="Arial"/>
      <w:b/>
      <w:sz w:val="32"/>
    </w:rPr>
  </w:style>
  <w:style w:type="character" w:styleId="871" w:customStyle="1">
    <w:name w:val="批注主题 Char"/>
    <w:link w:val="675"/>
    <w:uiPriority w:val="0"/>
    <w:qFormat/>
    <w:rPr>
      <w:lang w:eastAsia="en-US"/>
    </w:rPr>
  </w:style>
  <w:style w:type="character" w:styleId="872" w:customStyle="1">
    <w:name w:val="正文首行缩进 Char"/>
    <w:link w:val="676"/>
    <w:uiPriority w:val="0"/>
    <w:qFormat/>
    <w:rPr>
      <w:rFonts w:ascii="宋体" w:hAnsi="宋体" w:cs="宋体"/>
      <w:sz w:val="24"/>
      <w:szCs w:val="24"/>
      <w:lang w:eastAsia="en-US"/>
    </w:rPr>
  </w:style>
  <w:style w:type="character" w:styleId="873" w:customStyle="1">
    <w:name w:val="标题 1 Char"/>
    <w:uiPriority w:val="0"/>
    <w:qFormat/>
    <w:rPr>
      <w:rFonts w:ascii="黑体" w:hAnsi="黑体" w:eastAsia="黑体"/>
      <w:sz w:val="72"/>
      <w:szCs w:val="72"/>
      <w:lang w:eastAsia="en-US"/>
    </w:rPr>
  </w:style>
  <w:style w:type="character" w:styleId="874" w:customStyle="1">
    <w:name w:val="Char Char25"/>
    <w:uiPriority w:val="0"/>
    <w:qFormat/>
    <w:rPr>
      <w:rFonts w:ascii="Arial" w:hAnsi="Arial" w:eastAsia="黑体"/>
      <w:b/>
      <w:sz w:val="28"/>
    </w:rPr>
  </w:style>
  <w:style w:type="character" w:styleId="875" w:customStyle="1">
    <w:name w:val="未处理的提及"/>
    <w:uiPriority w:val="99"/>
    <w:unhideWhenUsed/>
    <w:qFormat/>
    <w:rPr>
      <w:color w:val="605e5c"/>
      <w:shd w:val="clear" w:color="auto" w:fill="e1dfdd"/>
    </w:rPr>
  </w:style>
  <w:style w:type="character" w:styleId="876" w:customStyle="1">
    <w:name w:val="bookmark"/>
    <w:uiPriority w:val="0"/>
    <w:qFormat/>
  </w:style>
  <w:style w:type="character" w:styleId="877" w:customStyle="1">
    <w:name w:val="NormalCharacter1"/>
    <w:uiPriority w:val="0"/>
    <w:qFormat/>
  </w:style>
  <w:style w:type="character" w:styleId="878" w:customStyle="1">
    <w:name w:val="font161"/>
    <w:uiPriority w:val="0"/>
    <w:qFormat/>
    <w:rPr>
      <w:b/>
      <w:sz w:val="32"/>
    </w:rPr>
  </w:style>
  <w:style w:type="character" w:styleId="879" w:customStyle="1">
    <w:name w:val="已访问的超链接11"/>
    <w:uiPriority w:val="99"/>
    <w:qFormat/>
    <w:rPr>
      <w:rFonts w:eastAsia="Calibri"/>
      <w:sz w:val="22"/>
      <w:szCs w:val="22"/>
      <w:lang w:val="en-US" w:eastAsia="en-US" w:bidi="ar-SA"/>
    </w:rPr>
  </w:style>
  <w:style w:type="paragraph" w:styleId="880" w:customStyle="1">
    <w:name w:val="Table Paragraph"/>
    <w:basedOn w:val="626"/>
    <w:uiPriority w:val="99"/>
    <w:qFormat/>
  </w:style>
  <w:style w:type="paragraph" w:styleId="881" w:customStyle="1">
    <w:name w:val="首行缩进"/>
    <w:basedOn w:val="626"/>
    <w:uiPriority w:val="99"/>
    <w:qFormat/>
    <w:pPr>
      <w:ind w:firstLine="480"/>
      <w:spacing w:line="360" w:lineRule="auto"/>
    </w:pPr>
    <w:rPr>
      <w:rFonts w:ascii="宋体" w:hAnsi="宋体"/>
      <w:sz w:val="24"/>
      <w:szCs w:val="24"/>
    </w:rPr>
  </w:style>
  <w:style w:type="paragraph" w:styleId="882" w:customStyle="1">
    <w:name w:val="样式 标题 2 + Times New Roman 四号 非加粗 段前: 5 磅 段后: 0 磅 行距: 固定值 20..."/>
    <w:basedOn w:val="628"/>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883" w:customStyle="1">
    <w:name w:val="Heading21"/>
    <w:basedOn w:val="626"/>
    <w:next w:val="626"/>
    <w:uiPriority w:val="0"/>
    <w:qFormat/>
    <w:pPr>
      <w:keepLines/>
      <w:keepNext/>
    </w:pPr>
    <w:rPr>
      <w:rFonts w:ascii="Arial" w:hAnsi="Arial"/>
      <w:sz w:val="28"/>
      <w:szCs w:val="24"/>
    </w:rPr>
  </w:style>
  <w:style w:type="paragraph" w:styleId="884" w:customStyle="1">
    <w:name w:val="6'"/>
    <w:basedOn w:val="626"/>
    <w:uiPriority w:val="0"/>
    <w:qFormat/>
    <w:pPr>
      <w:jc w:val="center"/>
      <w:spacing w:line="320" w:lineRule="exact"/>
    </w:pPr>
    <w:rPr>
      <w:rFonts w:eastAsia="宋体"/>
      <w:spacing w:val="20"/>
      <w:sz w:val="21"/>
      <w:szCs w:val="20"/>
      <w:lang w:eastAsia="zh-CN"/>
    </w:rPr>
  </w:style>
  <w:style w:type="paragraph" w:styleId="885" w:customStyle="1">
    <w:name w:val="正文_1_0_0_0_0"/>
    <w:uiPriority w:val="0"/>
    <w:qFormat/>
    <w:pPr>
      <w:jc w:val="both"/>
      <w:widowControl w:val="off"/>
    </w:pPr>
    <w:rPr>
      <w:rFonts w:ascii="Times New Roman" w:hAnsi="Times New Roman" w:eastAsia="宋体" w:cs="Times New Roman"/>
      <w:szCs w:val="24"/>
      <w:lang w:val="en-US" w:eastAsia="zh-CN" w:bidi="ar-SA"/>
    </w:rPr>
  </w:style>
  <w:style w:type="paragraph" w:styleId="886" w:customStyle="1">
    <w:name w:val="样式 标题 3 + (中文) 黑体 小四 非加粗 段前: 7.8 磅 段后: 0 磅 行距: 固定值 20 磅"/>
    <w:basedOn w:val="629"/>
    <w:uiPriority w:val="0"/>
    <w:qFormat/>
    <w:pPr>
      <w:jc w:val="both"/>
      <w:keepLines/>
      <w:keepNext/>
      <w:spacing w:line="400" w:lineRule="exact"/>
    </w:pPr>
    <w:rPr>
      <w:rFonts w:ascii="Times New Roman" w:hAnsi="Times New Roman"/>
      <w:sz w:val="24"/>
      <w:szCs w:val="20"/>
      <w:lang w:eastAsia="zh-CN"/>
    </w:rPr>
  </w:style>
  <w:style w:type="paragraph" w:styleId="887" w:customStyle="1">
    <w:name w:val="Heading 3_0_0_0"/>
    <w:basedOn w:val="888"/>
    <w:next w:val="888"/>
    <w:uiPriority w:val="0"/>
    <w:qFormat/>
    <w:pPr>
      <w:keepLines/>
      <w:keepNext/>
      <w:spacing w:line="400" w:lineRule="exact"/>
      <w:outlineLvl w:val="2"/>
    </w:pPr>
    <w:rPr>
      <w:rFonts w:ascii="黑体" w:hAnsi="黑体" w:eastAsia="黑体"/>
      <w:bCs/>
      <w:color w:val="ff0000"/>
      <w:szCs w:val="21"/>
    </w:rPr>
  </w:style>
  <w:style w:type="paragraph" w:styleId="888" w:customStyle="1">
    <w:name w:val="Normal_0_0"/>
    <w:uiPriority w:val="0"/>
    <w:qFormat/>
    <w:pPr>
      <w:jc w:val="both"/>
      <w:widowControl w:val="off"/>
    </w:pPr>
    <w:rPr>
      <w:rFonts w:ascii="Times New Roman" w:hAnsi="Times New Roman" w:eastAsia="宋体" w:cs="Times New Roman"/>
      <w:szCs w:val="24"/>
      <w:lang w:val="en-US" w:eastAsia="zh-CN" w:bidi="ar-SA"/>
    </w:rPr>
  </w:style>
  <w:style w:type="paragraph" w:styleId="889" w:customStyle="1">
    <w:name w:val="正文_1_0"/>
    <w:uiPriority w:val="0"/>
    <w:qFormat/>
    <w:pPr>
      <w:jc w:val="both"/>
      <w:widowControl w:val="off"/>
    </w:pPr>
    <w:rPr>
      <w:rFonts w:ascii="Times New Roman" w:hAnsi="Times New Roman" w:eastAsia="宋体" w:cs="Times New Roman"/>
      <w:szCs w:val="24"/>
      <w:lang w:val="en-US" w:eastAsia="zh-CN" w:bidi="ar-SA"/>
    </w:rPr>
  </w:style>
  <w:style w:type="paragraph" w:styleId="890" w:customStyle="1">
    <w:name w:val="表格文字"/>
    <w:basedOn w:val="626"/>
    <w:uiPriority w:val="0"/>
    <w:qFormat/>
    <w:pPr>
      <w:spacing w:line="420" w:lineRule="atLeast"/>
    </w:pPr>
    <w:rPr>
      <w:rFonts w:eastAsia="宋体"/>
      <w:sz w:val="21"/>
      <w:szCs w:val="20"/>
      <w:lang w:eastAsia="zh-CN"/>
    </w:rPr>
  </w:style>
  <w:style w:type="paragraph" w:styleId="891" w:customStyle="1">
    <w:name w:val="1"/>
    <w:basedOn w:val="626"/>
    <w:next w:val="626"/>
    <w:uiPriority w:val="0"/>
    <w:qFormat/>
    <w:pPr>
      <w:jc w:val="both"/>
    </w:pPr>
    <w:rPr>
      <w:rFonts w:eastAsia="宋体"/>
      <w:sz w:val="21"/>
      <w:szCs w:val="20"/>
      <w:lang w:eastAsia="zh-CN"/>
    </w:rPr>
  </w:style>
  <w:style w:type="paragraph" w:styleId="892" w:customStyle="1">
    <w:name w:val="WPSOffice手动目录 1"/>
    <w:uiPriority w:val="0"/>
    <w:qFormat/>
    <w:rPr>
      <w:rFonts w:ascii="Calibri" w:hAnsi="Calibri" w:eastAsia="宋体" w:cs="Times New Roman"/>
      <w:lang w:val="en-US" w:eastAsia="zh-CN" w:bidi="ar-SA"/>
    </w:rPr>
  </w:style>
  <w:style w:type="paragraph" w:styleId="893" w:customStyle="1">
    <w:name w:val="段"/>
    <w:next w:val="626"/>
    <w:uiPriority w:val="0"/>
    <w:qFormat/>
    <w:pPr>
      <w:ind w:firstLine="200"/>
      <w:jc w:val="both"/>
    </w:pPr>
    <w:rPr>
      <w:rFonts w:ascii="宋体" w:hAnsi="Calibri" w:eastAsia="宋体" w:cs="Times New Roman"/>
      <w:sz w:val="21"/>
      <w:lang w:val="en-US" w:eastAsia="zh-CN" w:bidi="ar-SA"/>
    </w:rPr>
  </w:style>
  <w:style w:type="paragraph" w:styleId="89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95"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896" w:customStyle="1">
    <w:name w:val="正文_2"/>
    <w:uiPriority w:val="0"/>
    <w:qFormat/>
    <w:pPr>
      <w:spacing w:after="200" w:line="276" w:lineRule="auto"/>
      <w:widowControl w:val="off"/>
    </w:pPr>
    <w:rPr>
      <w:rFonts w:ascii="Calibri" w:hAnsi="Calibri" w:eastAsia="宋体" w:cs="Times New Roman"/>
      <w:lang w:val="en-US" w:eastAsia="zh-CN" w:bidi="ar-SA"/>
    </w:rPr>
  </w:style>
  <w:style w:type="paragraph" w:styleId="897" w:customStyle="1">
    <w:name w:val="表格"/>
    <w:basedOn w:val="626"/>
    <w:uiPriority w:val="0"/>
    <w:qFormat/>
    <w:pPr>
      <w:jc w:val="center"/>
    </w:pPr>
    <w:rPr>
      <w:rFonts w:ascii="华文细黑" w:hAnsi="华文细黑" w:eastAsia="宋体"/>
      <w:sz w:val="21"/>
      <w:szCs w:val="20"/>
      <w:lang w:eastAsia="zh-CN"/>
    </w:rPr>
  </w:style>
  <w:style w:type="paragraph" w:styleId="898" w:customStyle="1">
    <w:name w:val="正文_1_1"/>
    <w:uiPriority w:val="99"/>
    <w:qFormat/>
    <w:pPr>
      <w:jc w:val="both"/>
      <w:widowControl w:val="off"/>
    </w:pPr>
    <w:rPr>
      <w:rFonts w:ascii="Times New Roman" w:hAnsi="Times New Roman" w:eastAsia="宋体" w:cs="Times New Roman"/>
      <w:szCs w:val="24"/>
      <w:lang w:val="en-US" w:eastAsia="zh-CN" w:bidi="ar-SA"/>
    </w:rPr>
  </w:style>
  <w:style w:type="paragraph" w:styleId="899" w:customStyle="1">
    <w:name w:val="正文_1_0_0_0_0_0"/>
    <w:uiPriority w:val="0"/>
    <w:qFormat/>
    <w:pPr>
      <w:jc w:val="both"/>
      <w:widowControl w:val="off"/>
    </w:pPr>
    <w:rPr>
      <w:rFonts w:ascii="Times New Roman" w:hAnsi="Times New Roman" w:eastAsia="宋体" w:cs="Times New Roman"/>
      <w:szCs w:val="24"/>
      <w:lang w:val="en-US" w:eastAsia="zh-CN" w:bidi="ar-SA"/>
    </w:rPr>
  </w:style>
  <w:style w:type="paragraph" w:styleId="900"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901" w:customStyle="1">
    <w:name w:val="列出段落1"/>
    <w:basedOn w:val="626"/>
    <w:uiPriority w:val="0"/>
    <w:qFormat/>
    <w:pPr>
      <w:contextualSpacing/>
      <w:ind w:left="720"/>
      <w:widowControl/>
    </w:pPr>
    <w:rPr>
      <w:rFonts w:ascii="Arial" w:hAnsi="Arial" w:eastAsia="黑体"/>
      <w:sz w:val="24"/>
      <w:szCs w:val="24"/>
    </w:rPr>
  </w:style>
  <w:style w:type="paragraph" w:styleId="902" w:customStyle="1">
    <w:name w:val="正文_1_0_0_0"/>
    <w:uiPriority w:val="0"/>
    <w:qFormat/>
    <w:pPr>
      <w:jc w:val="both"/>
      <w:widowControl w:val="off"/>
    </w:pPr>
    <w:rPr>
      <w:rFonts w:ascii="Times New Roman" w:hAnsi="Times New Roman" w:eastAsia="宋体" w:cs="Times New Roman"/>
      <w:szCs w:val="24"/>
      <w:lang w:val="en-US" w:eastAsia="zh-CN" w:bidi="ar-SA"/>
    </w:rPr>
  </w:style>
  <w:style w:type="paragraph" w:styleId="903" w:customStyle="1">
    <w:name w:val="Normal_0_1"/>
    <w:uiPriority w:val="0"/>
    <w:qFormat/>
    <w:pPr>
      <w:jc w:val="both"/>
      <w:widowControl w:val="off"/>
    </w:pPr>
    <w:rPr>
      <w:rFonts w:ascii="Times New Roman" w:hAnsi="Times New Roman" w:eastAsia="宋体" w:cs="Times New Roman"/>
      <w:lang w:val="en-US" w:eastAsia="zh-CN" w:bidi="ar-SA"/>
    </w:rPr>
  </w:style>
  <w:style w:type="paragraph" w:styleId="904" w:customStyle="1">
    <w:name w:val="正文文本缩进1"/>
    <w:basedOn w:val="889"/>
    <w:uiPriority w:val="0"/>
    <w:qFormat/>
    <w:pPr>
      <w:ind w:left="420"/>
      <w:spacing w:after="120"/>
    </w:pPr>
    <w:rPr>
      <w:rFonts w:ascii="Calibri" w:hAnsi="Calibri" w:eastAsia="微软雅黑"/>
    </w:rPr>
  </w:style>
  <w:style w:type="paragraph" w:styleId="905" w:customStyle="1">
    <w:name w:val="样式 标题 1 + 黑体 三号 非加粗 居中 段前: 6 磅 段后: 6 磅 行距: 固定值 20 磅"/>
    <w:basedOn w:val="627"/>
    <w:uiPriority w:val="0"/>
    <w:qFormat/>
    <w:pPr>
      <w:jc w:val="center"/>
      <w:keepLines/>
      <w:keepNext/>
      <w:spacing w:before="120" w:after="120" w:line="400" w:lineRule="exact"/>
    </w:pPr>
    <w:rPr>
      <w:sz w:val="32"/>
      <w:szCs w:val="20"/>
      <w:lang w:eastAsia="zh-CN"/>
    </w:rPr>
  </w:style>
  <w:style w:type="paragraph" w:styleId="906" w:customStyle="1">
    <w:name w:val="Blockquote"/>
    <w:basedOn w:val="626"/>
    <w:uiPriority w:val="99"/>
    <w:qFormat/>
    <w:pPr>
      <w:ind w:left="360" w:right="360"/>
      <w:spacing w:before="100" w:after="100"/>
    </w:pPr>
    <w:rPr>
      <w:rFonts w:eastAsia="宋体"/>
      <w:sz w:val="24"/>
      <w:szCs w:val="20"/>
      <w:lang w:eastAsia="zh-CN"/>
    </w:rPr>
  </w:style>
  <w:style w:type="paragraph" w:styleId="907" w:customStyle="1">
    <w:name w:val="_Style 19"/>
    <w:uiPriority w:val="0"/>
    <w:qFormat/>
    <w:pPr>
      <w:jc w:val="both"/>
      <w:widowControl w:val="off"/>
    </w:pPr>
    <w:rPr>
      <w:rFonts w:ascii="Calibri" w:hAnsi="Calibri" w:eastAsia="宋体" w:cs="Times New Roman"/>
      <w:sz w:val="21"/>
      <w:szCs w:val="22"/>
      <w:lang w:val="en-US" w:eastAsia="zh-CN" w:bidi="ar-SA"/>
    </w:rPr>
  </w:style>
  <w:style w:type="table" w:styleId="908" w:customStyle="1">
    <w:name w:val="Table Normal"/>
    <w:uiPriority w:val="2"/>
    <w:unhideWhenUsed/>
    <w:qFormat/>
    <w:tblPr>
      <w:tblCellMar>
        <w:left w:w="0" w:type="dxa"/>
        <w:top w:w="0" w:type="dxa"/>
        <w:right w:w="0" w:type="dxa"/>
        <w:bottom w:w="0" w:type="dxa"/>
      </w:tblCellMar>
    </w:tblPr>
  </w:style>
  <w:style w:type="table" w:styleId="909" w:customStyle="1">
    <w:name w:val="网格型1"/>
    <w:basedOn w:val="637"/>
    <w:uiPriority w:val="59"/>
    <w:qFormat/>
    <w:tblPr>
      <w:tblCellMar>
        <w:left w:w="108" w:type="dxa"/>
        <w:top w:w="0" w:type="dxa"/>
        <w:right w:w="108" w:type="dxa"/>
        <w:bottom w:w="0" w:type="dxa"/>
      </w:tblCellMar>
    </w:tblPr>
  </w:style>
  <w:style w:type="character" w:styleId="910" w:customStyle="1">
    <w:name w:val="正文文本缩进 2 Char"/>
    <w:basedOn w:val="636"/>
    <w:link w:val="654"/>
    <w:uiPriority w:val="0"/>
    <w:qFormat/>
    <w:rPr>
      <w:rFonts w:eastAsia="Calibri"/>
      <w:sz w:val="22"/>
      <w:szCs w:val="22"/>
      <w:lang w:eastAsia="en-US"/>
    </w:rPr>
  </w:style>
  <w:style w:type="character" w:styleId="911" w:customStyle="1">
    <w:name w:val="标题 5 Char"/>
    <w:basedOn w:val="636"/>
    <w:link w:val="631"/>
    <w:uiPriority w:val="0"/>
    <w:qFormat/>
    <w:rPr>
      <w:rFonts w:ascii="Times New Roman" w:hAnsi="Times New Roman"/>
      <w:b/>
      <w:bCs/>
      <w:sz w:val="28"/>
      <w:szCs w:val="28"/>
    </w:rPr>
  </w:style>
  <w:style w:type="character" w:styleId="912" w:customStyle="1">
    <w:name w:val="纯文本 Char1"/>
    <w:uiPriority w:val="0"/>
    <w:qFormat/>
    <w:rPr>
      <w:rFonts w:ascii="宋体" w:hAnsi="Courier New" w:cs="金山简魏碑"/>
      <w:sz w:val="21"/>
      <w:szCs w:val="21"/>
    </w:rPr>
  </w:style>
  <w:style w:type="character" w:styleId="913" w:customStyle="1">
    <w:name w:val="HTML 预设格式 Char"/>
    <w:basedOn w:val="636"/>
    <w:link w:val="672"/>
    <w:uiPriority w:val="99"/>
    <w:qFormat/>
    <w:rPr>
      <w:rFonts w:ascii="Arial" w:hAnsi="Arial"/>
      <w:sz w:val="11"/>
      <w:szCs w:val="11"/>
    </w:rPr>
  </w:style>
  <w:style w:type="character" w:styleId="914" w:customStyle="1">
    <w:name w:val="明显引用 Char1"/>
    <w:uiPriority w:val="99"/>
    <w:qFormat/>
    <w:rPr>
      <w:b/>
      <w:bCs/>
      <w:i/>
      <w:iCs/>
      <w:color w:val="4f81bd"/>
      <w:sz w:val="21"/>
      <w:szCs w:val="24"/>
    </w:rPr>
  </w:style>
  <w:style w:type="character" w:styleId="915" w:customStyle="1">
    <w:name w:val="rvts13"/>
    <w:uiPriority w:val="0"/>
    <w:qFormat/>
    <w:rPr>
      <w:rFonts w:hint="default" w:ascii="KNLe" w:hAnsi="KNLe"/>
      <w:color w:val="000000"/>
    </w:rPr>
  </w:style>
  <w:style w:type="character" w:styleId="916" w:customStyle="1">
    <w:name w:val="文档结构图 Char1"/>
    <w:uiPriority w:val="0"/>
    <w:qFormat/>
    <w:rPr>
      <w:rFonts w:ascii="宋体"/>
      <w:sz w:val="18"/>
      <w:szCs w:val="18"/>
    </w:rPr>
  </w:style>
  <w:style w:type="character" w:styleId="917" w:customStyle="1">
    <w:name w:val="标题 Char1"/>
    <w:uiPriority w:val="10"/>
    <w:qFormat/>
    <w:rPr>
      <w:rFonts w:ascii="Cambria" w:hAnsi="Cambria" w:eastAsia="宋体" w:cs="Times New Roman"/>
      <w:b/>
      <w:bCs/>
      <w:sz w:val="32"/>
      <w:szCs w:val="32"/>
    </w:rPr>
  </w:style>
  <w:style w:type="character" w:styleId="918" w:customStyle="1">
    <w:name w:val="标题 3 Char1"/>
    <w:uiPriority w:val="0"/>
    <w:qFormat/>
    <w:rPr>
      <w:b/>
      <w:bCs/>
      <w:sz w:val="32"/>
      <w:szCs w:val="32"/>
    </w:rPr>
  </w:style>
  <w:style w:type="character" w:styleId="919" w:customStyle="1">
    <w:name w:val="font21"/>
    <w:uiPriority w:val="0"/>
    <w:qFormat/>
    <w:rPr>
      <w:rFonts w:hint="eastAsia" w:ascii="微软雅黑" w:hAnsi="微软雅黑" w:eastAsia="微软雅黑" w:cs="微软雅黑"/>
      <w:color w:val="000000"/>
      <w:sz w:val="24"/>
      <w:szCs w:val="24"/>
      <w:u w:val="none"/>
    </w:rPr>
  </w:style>
  <w:style w:type="character" w:styleId="920" w:customStyle="1">
    <w:name w:val="标题 4 Char1"/>
    <w:uiPriority w:val="0"/>
    <w:qFormat/>
    <w:rPr>
      <w:rFonts w:ascii="Cambria" w:hAnsi="Cambria" w:eastAsia="宋体" w:cs="Times New Roman"/>
      <w:b/>
      <w:bCs/>
      <w:sz w:val="28"/>
      <w:szCs w:val="28"/>
    </w:rPr>
  </w:style>
  <w:style w:type="character" w:styleId="921" w:customStyle="1">
    <w:name w:val="标题4 Char Char"/>
    <w:link w:val="922"/>
    <w:uiPriority w:val="0"/>
    <w:qFormat/>
    <w:rPr>
      <w:rFonts w:ascii="Arial" w:hAnsi="Arial"/>
      <w:b/>
      <w:bCs/>
      <w:sz w:val="24"/>
      <w:szCs w:val="32"/>
    </w:rPr>
  </w:style>
  <w:style w:type="paragraph" w:styleId="922" w:customStyle="1">
    <w:name w:val="标题4"/>
    <w:basedOn w:val="628"/>
    <w:next w:val="648"/>
    <w:link w:val="921"/>
    <w:uiPriority w:val="0"/>
    <w:qFormat/>
    <w:pPr>
      <w:ind w:left="0"/>
      <w:jc w:val="both"/>
      <w:keepLines/>
      <w:keepNext/>
      <w:spacing w:before="260" w:after="260" w:line="413" w:lineRule="auto"/>
    </w:pPr>
    <w:rPr>
      <w:rFonts w:ascii="Arial" w:hAnsi="Arial" w:eastAsia="宋体"/>
      <w:sz w:val="24"/>
      <w:szCs w:val="32"/>
    </w:rPr>
  </w:style>
  <w:style w:type="character" w:styleId="923" w:customStyle="1">
    <w:name w:val="批注框文本 Char1"/>
    <w:uiPriority w:val="0"/>
    <w:qFormat/>
    <w:rPr>
      <w:sz w:val="18"/>
      <w:szCs w:val="18"/>
    </w:rPr>
  </w:style>
  <w:style w:type="character" w:styleId="924" w:customStyle="1">
    <w:name w:val="_Style 78"/>
    <w:uiPriority w:val="0"/>
    <w:qFormat/>
    <w:rPr>
      <w:b/>
      <w:bCs/>
      <w:smallCaps/>
      <w:spacing w:val="5"/>
    </w:rPr>
  </w:style>
  <w:style w:type="character" w:styleId="925" w:customStyle="1">
    <w:name w:val="副标题 Char1"/>
    <w:uiPriority w:val="0"/>
    <w:qFormat/>
    <w:rPr>
      <w:rFonts w:ascii="Cambria" w:hAnsi="Cambria" w:cs="Times New Roman"/>
      <w:b/>
      <w:bCs/>
      <w:sz w:val="32"/>
      <w:szCs w:val="32"/>
    </w:rPr>
  </w:style>
  <w:style w:type="character" w:styleId="926" w:customStyle="1">
    <w:name w:val="批注文字 Char Char"/>
    <w:uiPriority w:val="0"/>
    <w:qFormat/>
    <w:rPr>
      <w:rFonts w:ascii="宋体" w:hAnsi="Times New Roman" w:eastAsia="宋体" w:cs="Times New Roman"/>
      <w:sz w:val="28"/>
      <w:szCs w:val="20"/>
    </w:rPr>
  </w:style>
  <w:style w:type="character" w:styleId="927" w:customStyle="1">
    <w:name w:val="批注主题 Char1"/>
    <w:uiPriority w:val="0"/>
    <w:qFormat/>
    <w:rPr>
      <w:b/>
      <w:bCs/>
      <w:sz w:val="21"/>
      <w:szCs w:val="22"/>
    </w:rPr>
  </w:style>
  <w:style w:type="character" w:styleId="928" w:customStyle="1">
    <w:name w:val="_Style 82"/>
    <w:uiPriority w:val="0"/>
    <w:qFormat/>
    <w:rPr>
      <w:b/>
      <w:bCs/>
      <w:smallCaps/>
      <w:color w:val="c0504d"/>
      <w:spacing w:val="5"/>
      <w:u w:val="single"/>
    </w:rPr>
  </w:style>
  <w:style w:type="character" w:styleId="929" w:customStyle="1">
    <w:name w:val="rvts10"/>
    <w:uiPriority w:val="0"/>
    <w:qFormat/>
    <w:rPr>
      <w:rFonts w:hint="default" w:ascii="KNLe" w:hAnsi="KNLe"/>
      <w:b/>
      <w:bCs/>
    </w:rPr>
  </w:style>
  <w:style w:type="character" w:styleId="930" w:customStyle="1">
    <w:name w:val="font11"/>
    <w:uiPriority w:val="0"/>
    <w:qFormat/>
    <w:rPr>
      <w:rFonts w:hint="eastAsia" w:ascii="微软雅黑" w:hAnsi="微软雅黑" w:eastAsia="微软雅黑" w:cs="微软雅黑"/>
      <w:color w:val="000000"/>
      <w:sz w:val="24"/>
      <w:szCs w:val="24"/>
      <w:u w:val="none"/>
      <w:vertAlign w:val="superscript"/>
    </w:rPr>
  </w:style>
  <w:style w:type="character" w:styleId="931" w:customStyle="1">
    <w:name w:val="引用 Char1"/>
    <w:uiPriority w:val="99"/>
    <w:qFormat/>
    <w:rPr>
      <w:i/>
      <w:iCs/>
      <w:color w:val="000000"/>
      <w:sz w:val="21"/>
      <w:szCs w:val="24"/>
    </w:rPr>
  </w:style>
  <w:style w:type="character" w:styleId="932" w:customStyle="1">
    <w:name w:val="日期 Char1"/>
    <w:uiPriority w:val="0"/>
    <w:qFormat/>
    <w:rPr>
      <w:sz w:val="21"/>
      <w:szCs w:val="22"/>
    </w:rPr>
  </w:style>
  <w:style w:type="character" w:styleId="933" w:customStyle="1">
    <w:name w:val="NormalCharacter"/>
    <w:uiPriority w:val="0"/>
    <w:qFormat/>
  </w:style>
  <w:style w:type="character" w:styleId="934" w:customStyle="1">
    <w:name w:val="批注主题 Char2"/>
    <w:uiPriority w:val="0"/>
    <w:qFormat/>
    <w:rPr>
      <w:b/>
      <w:bCs/>
      <w:sz w:val="21"/>
      <w:szCs w:val="24"/>
    </w:rPr>
  </w:style>
  <w:style w:type="character" w:styleId="935" w:customStyle="1">
    <w:name w:val="批注文字 字符"/>
    <w:uiPriority w:val="0"/>
    <w:semiHidden/>
    <w:qFormat/>
    <w:rPr>
      <w:sz w:val="21"/>
    </w:rPr>
  </w:style>
  <w:style w:type="character" w:styleId="936" w:customStyle="1">
    <w:name w:val="_Style 91"/>
    <w:uiPriority w:val="0"/>
    <w:qFormat/>
    <w:rPr>
      <w:smallCaps/>
      <w:color w:val="c0504d"/>
      <w:u w:val="single"/>
    </w:rPr>
  </w:style>
  <w:style w:type="character" w:styleId="937" w:customStyle="1">
    <w:name w:val="_Style 92"/>
    <w:uiPriority w:val="0"/>
    <w:qFormat/>
    <w:rPr>
      <w:i/>
      <w:iCs/>
      <w:color w:val="808080"/>
    </w:rPr>
  </w:style>
  <w:style w:type="character" w:styleId="938" w:customStyle="1">
    <w:name w:val="rvts11"/>
    <w:uiPriority w:val="0"/>
    <w:qFormat/>
    <w:rPr>
      <w:rFonts w:hint="default" w:ascii="KNLe" w:hAnsi="KNLe"/>
      <w:u w:val="single"/>
    </w:rPr>
  </w:style>
  <w:style w:type="character" w:styleId="939" w:customStyle="1">
    <w:name w:val="标题3 Char"/>
    <w:link w:val="940"/>
    <w:uiPriority w:val="0"/>
    <w:qFormat/>
    <w:rPr>
      <w:rFonts w:ascii="黑体" w:hAnsi="黑体" w:eastAsia="黑体"/>
      <w:b/>
      <w:sz w:val="32"/>
      <w:szCs w:val="32"/>
    </w:rPr>
  </w:style>
  <w:style w:type="paragraph" w:styleId="940" w:customStyle="1">
    <w:name w:val="标题3"/>
    <w:basedOn w:val="626"/>
    <w:link w:val="939"/>
    <w:uiPriority w:val="0"/>
    <w:qFormat/>
    <w:pPr>
      <w:jc w:val="center"/>
      <w:pageBreakBefore/>
      <w:outlineLvl w:val="2"/>
    </w:pPr>
    <w:rPr>
      <w:rFonts w:ascii="黑体" w:hAnsi="黑体" w:eastAsia="黑体"/>
      <w:b/>
      <w:sz w:val="32"/>
      <w:szCs w:val="32"/>
    </w:rPr>
  </w:style>
  <w:style w:type="character" w:styleId="941" w:customStyle="1">
    <w:name w:val="_Style 96"/>
    <w:uiPriority w:val="0"/>
    <w:qFormat/>
    <w:rPr>
      <w:b/>
      <w:bCs/>
      <w:i/>
      <w:iCs/>
      <w:color w:val="4f81bd"/>
    </w:rPr>
  </w:style>
  <w:style w:type="character" w:styleId="942" w:customStyle="1">
    <w:name w:val="正文文本 Char1"/>
    <w:uiPriority w:val="0"/>
    <w:qFormat/>
    <w:rPr>
      <w:sz w:val="21"/>
      <w:szCs w:val="22"/>
    </w:rPr>
  </w:style>
  <w:style w:type="character" w:styleId="943" w:customStyle="1">
    <w:name w:val="textcontents"/>
    <w:uiPriority w:val="0"/>
    <w:qFormat/>
    <w:rPr>
      <w:rFonts w:cs="Times New Roman"/>
    </w:rPr>
  </w:style>
  <w:style w:type="character" w:styleId="944" w:customStyle="1">
    <w:name w:val="p21"/>
    <w:uiPriority w:val="0"/>
    <w:qFormat/>
    <w:rPr>
      <w:sz w:val="9"/>
      <w:szCs w:val="9"/>
    </w:rPr>
  </w:style>
  <w:style w:type="character" w:styleId="945" w:customStyle="1">
    <w:name w:val="标题5 Char Char"/>
    <w:link w:val="946"/>
    <w:uiPriority w:val="0"/>
    <w:qFormat/>
    <w:rPr>
      <w:rFonts w:ascii="Arial" w:hAnsi="Arial"/>
      <w:b/>
      <w:bCs/>
      <w:sz w:val="24"/>
      <w:szCs w:val="32"/>
    </w:rPr>
  </w:style>
  <w:style w:type="paragraph" w:styleId="946" w:customStyle="1">
    <w:name w:val="标题5"/>
    <w:basedOn w:val="629"/>
    <w:link w:val="945"/>
    <w:uiPriority w:val="0"/>
    <w:qFormat/>
    <w:pPr>
      <w:jc w:val="both"/>
      <w:keepLines/>
      <w:keepNext/>
      <w:spacing w:before="260" w:after="260" w:line="413" w:lineRule="auto"/>
      <w:tabs>
        <w:tab w:val="left" w:pos="432" w:leader="none"/>
      </w:tabs>
    </w:pPr>
    <w:rPr>
      <w:rFonts w:ascii="Arial" w:hAnsi="Arial" w:eastAsia="宋体"/>
      <w:b/>
      <w:bCs/>
      <w:sz w:val="24"/>
    </w:rPr>
  </w:style>
  <w:style w:type="character" w:styleId="947" w:customStyle="1">
    <w:name w:val="标题 2 Char_0"/>
    <w:link w:val="948"/>
    <w:uiPriority w:val="0"/>
    <w:qFormat/>
    <w:rPr>
      <w:rFonts w:ascii="Cambria" w:hAnsi="Cambria" w:eastAsia="黑体"/>
      <w:b/>
      <w:bCs/>
      <w:sz w:val="32"/>
      <w:szCs w:val="32"/>
    </w:rPr>
  </w:style>
  <w:style w:type="paragraph" w:styleId="948" w:customStyle="1">
    <w:name w:val="标题 21"/>
    <w:basedOn w:val="949"/>
    <w:next w:val="949"/>
    <w:link w:val="947"/>
    <w:uiPriority w:val="0"/>
    <w:qFormat/>
    <w:rPr>
      <w:rFonts w:ascii="Cambria" w:hAnsi="Cambria" w:eastAsia="黑体"/>
      <w:b/>
      <w:bCs/>
      <w:sz w:val="32"/>
      <w:szCs w:val="32"/>
    </w:rPr>
  </w:style>
  <w:style w:type="paragraph" w:styleId="949" w:customStyle="1">
    <w:name w:val="Normal_0"/>
    <w:uiPriority w:val="0"/>
    <w:qFormat/>
    <w:pPr>
      <w:widowControl w:val="off"/>
    </w:pPr>
    <w:rPr>
      <w:rFonts w:ascii="Times New Roman" w:hAnsi="Times New Roman" w:eastAsia="宋体" w:cs="Times New Roman"/>
      <w:lang w:val="en-US" w:eastAsia="zh-CN" w:bidi="ar-SA"/>
    </w:rPr>
  </w:style>
  <w:style w:type="character" w:styleId="950" w:customStyle="1">
    <w:name w:val="rvts9"/>
    <w:uiPriority w:val="0"/>
    <w:qFormat/>
    <w:rPr>
      <w:rFonts w:hint="default" w:ascii="KNLe" w:hAnsi="KNLe"/>
    </w:rPr>
  </w:style>
  <w:style w:type="paragraph" w:styleId="951" w:customStyle="1">
    <w:name w:val="Char7"/>
    <w:basedOn w:val="641"/>
    <w:uiPriority w:val="0"/>
    <w:qFormat/>
    <w:pPr>
      <w:jc w:val="both"/>
      <w:spacing w:line="360" w:lineRule="auto"/>
      <w:shd w:val="clear" w:color="auto" w:fill="000080"/>
    </w:pPr>
    <w:rPr>
      <w:rFonts w:ascii="Tahoma" w:hAnsi="Tahoma"/>
      <w:sz w:val="24"/>
      <w:szCs w:val="24"/>
      <w:lang w:eastAsia="zh-CN"/>
    </w:rPr>
  </w:style>
  <w:style w:type="paragraph" w:styleId="952" w:customStyle="1">
    <w:name w:val="列出段落2"/>
    <w:basedOn w:val="626"/>
    <w:uiPriority w:val="0"/>
    <w:qFormat/>
    <w:pPr>
      <w:ind w:firstLine="420"/>
      <w:jc w:val="both"/>
    </w:pPr>
    <w:rPr>
      <w:rFonts w:eastAsia="宋体"/>
      <w:sz w:val="21"/>
      <w:lang w:eastAsia="zh-CN"/>
    </w:rPr>
  </w:style>
  <w:style w:type="paragraph" w:styleId="953" w:customStyle="1">
    <w:name w:val="Char Char Char Char Char Char Char Char Char Char Char Char Char Char Char Char"/>
    <w:basedOn w:val="626"/>
    <w:uiPriority w:val="0"/>
    <w:qFormat/>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954" w:customStyle="1">
    <w:name w:val="t_black_12_b"/>
    <w:basedOn w:val="626"/>
    <w:uiPriority w:val="0"/>
    <w:qFormat/>
    <w:pPr>
      <w:widowControl/>
    </w:pPr>
    <w:rPr>
      <w:rFonts w:ascii="宋体" w:hAnsi="宋体" w:eastAsia="宋体" w:cs="宋体"/>
      <w:b/>
      <w:bCs/>
      <w:color w:val="212121"/>
      <w:sz w:val="9"/>
      <w:szCs w:val="9"/>
      <w:lang w:eastAsia="zh-CN"/>
    </w:rPr>
  </w:style>
  <w:style w:type="character" w:styleId="955" w:customStyle="1">
    <w:name w:val="无间隔 Char"/>
    <w:link w:val="710"/>
    <w:uiPriority w:val="1"/>
    <w:qFormat/>
    <w:rPr>
      <w:lang w:val="en-US" w:eastAsia="zh-CN" w:bidi="ar-SA"/>
    </w:rPr>
  </w:style>
  <w:style w:type="paragraph" w:styleId="956" w:customStyle="1">
    <w:name w:val="pa-2"/>
    <w:basedOn w:val="626"/>
    <w:uiPriority w:val="0"/>
    <w:qFormat/>
    <w:pPr>
      <w:ind w:firstLine="700"/>
      <w:jc w:val="both"/>
      <w:spacing w:line="320" w:lineRule="atLeast"/>
      <w:widowControl/>
    </w:pPr>
    <w:rPr>
      <w:rFonts w:ascii="宋体" w:hAnsi="宋体" w:eastAsia="宋体" w:cs="宋体"/>
      <w:sz w:val="24"/>
      <w:szCs w:val="24"/>
      <w:lang w:eastAsia="zh-CN"/>
    </w:rPr>
  </w:style>
  <w:style w:type="paragraph" w:styleId="957" w:customStyle="1">
    <w:name w:val="Char Char Char Char Char Char Char1 Char"/>
    <w:basedOn w:val="626"/>
    <w:uiPriority w:val="0"/>
    <w:qFormat/>
    <w:pPr>
      <w:jc w:val="both"/>
    </w:pPr>
    <w:rPr>
      <w:rFonts w:ascii="Tahoma" w:hAnsi="Tahoma" w:eastAsia="宋体" w:cs="Tahoma"/>
      <w:sz w:val="24"/>
      <w:szCs w:val="24"/>
      <w:lang w:eastAsia="zh-CN"/>
    </w:rPr>
  </w:style>
  <w:style w:type="paragraph" w:styleId="958" w:customStyle="1">
    <w:name w:val="Char1"/>
    <w:basedOn w:val="626"/>
    <w:uiPriority w:val="0"/>
    <w:qFormat/>
    <w:pPr>
      <w:spacing w:after="160" w:line="240" w:lineRule="exact"/>
      <w:widowControl/>
    </w:pPr>
    <w:rPr>
      <w:rFonts w:ascii="Verdana" w:hAnsi="Verdana" w:eastAsia="仿宋_GB2312"/>
      <w:sz w:val="24"/>
      <w:szCs w:val="20"/>
    </w:rPr>
  </w:style>
  <w:style w:type="paragraph" w:styleId="95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样式 小四 段前: 5 磅 段后: 5 磅 首行缩进:  2 字符"/>
    <w:basedOn w:val="626"/>
    <w:uiPriority w:val="0"/>
    <w:qFormat/>
    <w:pPr>
      <w:jc w:val="both"/>
      <w:spacing w:line="360" w:lineRule="auto"/>
    </w:pPr>
    <w:rPr>
      <w:rFonts w:ascii="宋体" w:hAnsi="宋体" w:eastAsia="宋体"/>
      <w:sz w:val="21"/>
      <w:szCs w:val="21"/>
      <w:lang w:eastAsia="zh-CN"/>
    </w:rPr>
  </w:style>
  <w:style w:type="paragraph" w:styleId="961" w:customStyle="1">
    <w:name w:val="Char"/>
    <w:basedOn w:val="626"/>
    <w:uiPriority w:val="0"/>
    <w:qFormat/>
    <w:pPr>
      <w:spacing w:after="160" w:line="240" w:lineRule="exact"/>
      <w:widowControl/>
    </w:pPr>
    <w:rPr>
      <w:rFonts w:ascii="Verdana" w:hAnsi="Verdana" w:eastAsia="仿宋_GB2312"/>
      <w:sz w:val="24"/>
      <w:szCs w:val="20"/>
    </w:rPr>
  </w:style>
  <w:style w:type="paragraph" w:styleId="962" w:customStyle="1">
    <w:name w:val="_Style 122"/>
    <w:basedOn w:val="627"/>
    <w:next w:val="626"/>
    <w:uiPriority w:val="39"/>
    <w:qFormat/>
    <w:pPr>
      <w:jc w:val="both"/>
      <w:keepLines/>
      <w:keepNext/>
      <w:spacing w:before="340" w:after="330" w:line="578" w:lineRule="auto"/>
      <w:tabs>
        <w:tab w:val="left" w:pos="432" w:leader="none"/>
      </w:tabs>
      <w:outlineLvl w:val="9"/>
    </w:pPr>
    <w:rPr>
      <w:rFonts w:ascii="Calibri" w:hAnsi="Times New Roman" w:eastAsia="宋体"/>
      <w:b/>
      <w:bCs/>
      <w:sz w:val="44"/>
      <w:szCs w:val="44"/>
      <w:lang w:eastAsia="zh-CN"/>
    </w:rPr>
  </w:style>
  <w:style w:type="paragraph" w:styleId="963" w:customStyle="1">
    <w:name w:val="正文2"/>
    <w:uiPriority w:val="0"/>
    <w:qFormat/>
    <w:pPr>
      <w:jc w:val="both"/>
      <w:widowControl w:val="off"/>
    </w:pPr>
    <w:rPr>
      <w:rFonts w:ascii="Times New Roman" w:hAnsi="Times New Roman" w:eastAsia="Times New Roman" w:cs="Times New Roman"/>
      <w:lang w:val="en-US" w:eastAsia="zh-CN" w:bidi="ar-SA"/>
    </w:rPr>
  </w:style>
  <w:style w:type="paragraph" w:styleId="964" w:customStyle="1">
    <w:name w:val="正文1"/>
    <w:uiPriority w:val="0"/>
    <w:qFormat/>
    <w:pPr>
      <w:widowControl w:val="off"/>
    </w:pPr>
    <w:rPr>
      <w:rFonts w:ascii="Times New Roman" w:hAnsi="Times New Roman" w:eastAsia="Times New Roman" w:cs="Times New Roman"/>
      <w:lang w:val="en-US" w:eastAsia="zh-CN" w:bidi="ar-SA"/>
    </w:rPr>
  </w:style>
  <w:style w:type="paragraph" w:styleId="965" w:customStyle="1">
    <w:name w:val="TOC 标题11"/>
    <w:basedOn w:val="627"/>
    <w:next w:val="626"/>
    <w:uiPriority w:val="0"/>
    <w:qFormat/>
    <w:pPr>
      <w:ind w:left="8"/>
      <w:jc w:val="center"/>
      <w:outlineLvl w:val="9"/>
    </w:pPr>
    <w:rPr>
      <w:rFonts w:cs="黑体"/>
      <w:sz w:val="30"/>
      <w:szCs w:val="30"/>
      <w:lang w:val="zh-CN" w:eastAsia="zh-CN" w:bidi="zh-CN"/>
    </w:rPr>
  </w:style>
  <w:style w:type="paragraph" w:styleId="966" w:customStyle="1">
    <w:name w:val="正文_0"/>
    <w:uiPriority w:val="0"/>
    <w:qFormat/>
    <w:pPr>
      <w:widowControl w:val="off"/>
    </w:pPr>
    <w:rPr>
      <w:rFonts w:ascii="Times New Roman" w:hAnsi="Times New Roman" w:eastAsia="宋体" w:cs="Times New Roman"/>
      <w:szCs w:val="24"/>
      <w:lang w:val="en-US" w:eastAsia="zh-CN" w:bidi="ar-SA"/>
    </w:rPr>
  </w:style>
  <w:style w:type="paragraph" w:styleId="967" w:customStyle="1">
    <w:name w:val="Char2"/>
    <w:basedOn w:val="626"/>
    <w:uiPriority w:val="0"/>
    <w:qFormat/>
    <w:pPr>
      <w:spacing w:after="160" w:line="240" w:lineRule="exact"/>
      <w:widowControl/>
    </w:pPr>
    <w:rPr>
      <w:rFonts w:ascii="Verdana" w:hAnsi="Verdana" w:eastAsia="仿宋_GB2312"/>
      <w:sz w:val="24"/>
      <w:szCs w:val="20"/>
    </w:rPr>
  </w:style>
  <w:style w:type="paragraph" w:styleId="968" w:customStyle="1">
    <w:name w:val="Char711"/>
    <w:basedOn w:val="641"/>
    <w:uiPriority w:val="0"/>
    <w:qFormat/>
    <w:pPr>
      <w:jc w:val="both"/>
      <w:spacing w:line="360" w:lineRule="auto"/>
      <w:shd w:val="clear" w:color="auto" w:fill="000080"/>
    </w:pPr>
    <w:rPr>
      <w:rFonts w:ascii="Tahoma" w:hAnsi="Tahoma"/>
      <w:sz w:val="24"/>
      <w:szCs w:val="24"/>
      <w:lang w:eastAsia="zh-CN"/>
    </w:rPr>
  </w:style>
  <w:style w:type="paragraph" w:styleId="969" w:customStyle="1">
    <w:name w:val="列出段落4"/>
    <w:basedOn w:val="626"/>
    <w:uiPriority w:val="0"/>
    <w:qFormat/>
    <w:pPr>
      <w:ind w:firstLine="420"/>
      <w:jc w:val="both"/>
    </w:pPr>
    <w:rPr>
      <w:rFonts w:ascii="Times New Roman" w:hAnsi="Times New Roman" w:eastAsia="宋体"/>
      <w:sz w:val="21"/>
      <w:szCs w:val="20"/>
      <w:lang w:eastAsia="zh-CN"/>
    </w:rPr>
  </w:style>
  <w:style w:type="paragraph" w:styleId="970" w:customStyle="1">
    <w:name w:val="普通 (Web)"/>
    <w:basedOn w:val="626"/>
    <w:uiPriority w:val="0"/>
    <w:qFormat/>
    <w:pPr>
      <w:spacing w:before="100" w:beforeAutospacing="1" w:after="100" w:afterAutospacing="1"/>
      <w:widowControl/>
    </w:pPr>
    <w:rPr>
      <w:rFonts w:ascii="宋体" w:hAnsi="宋体" w:eastAsia="宋体"/>
      <w:sz w:val="24"/>
      <w:szCs w:val="24"/>
      <w:lang w:eastAsia="zh-CN"/>
    </w:rPr>
  </w:style>
  <w:style w:type="paragraph" w:styleId="971" w:customStyle="1">
    <w:name w:val="纯文本1"/>
    <w:basedOn w:val="626"/>
    <w:uiPriority w:val="0"/>
    <w:qFormat/>
    <w:pPr>
      <w:jc w:val="both"/>
    </w:pPr>
    <w:rPr>
      <w:rFonts w:ascii="宋体" w:hAnsi="Courier New" w:eastAsia="楷体_GB2312"/>
      <w:sz w:val="26"/>
      <w:szCs w:val="20"/>
      <w:lang w:eastAsia="zh-CN"/>
    </w:rPr>
  </w:style>
  <w:style w:type="paragraph" w:styleId="972" w:customStyle="1">
    <w:name w:val="列出段落3"/>
    <w:basedOn w:val="626"/>
    <w:uiPriority w:val="99"/>
    <w:qFormat/>
    <w:pPr>
      <w:contextualSpacing/>
      <w:ind w:left="720"/>
      <w:widowControl/>
    </w:pPr>
    <w:rPr>
      <w:rFonts w:ascii="Arial" w:hAnsi="Arial" w:eastAsia="黑体"/>
      <w:sz w:val="24"/>
      <w:szCs w:val="24"/>
    </w:rPr>
  </w:style>
  <w:style w:type="paragraph" w:styleId="973" w:customStyle="1">
    <w:name w:val="列出段落11"/>
    <w:basedOn w:val="626"/>
    <w:uiPriority w:val="0"/>
    <w:qFormat/>
    <w:pPr>
      <w:ind w:firstLine="420"/>
      <w:jc w:val="both"/>
    </w:pPr>
    <w:rPr>
      <w:rFonts w:eastAsia="宋体"/>
      <w:sz w:val="21"/>
      <w:lang w:eastAsia="zh-CN"/>
    </w:rPr>
  </w:style>
  <w:style w:type="paragraph" w:styleId="974" w:customStyle="1">
    <w:name w:val="正文_0_0"/>
    <w:uiPriority w:val="0"/>
    <w:qFormat/>
    <w:pPr>
      <w:widowControl w:val="off"/>
    </w:pPr>
    <w:rPr>
      <w:rFonts w:ascii="Times New Roman" w:hAnsi="Times New Roman" w:eastAsia="宋体" w:cs="Times New Roman"/>
      <w:szCs w:val="24"/>
      <w:lang w:val="en-US" w:eastAsia="zh-CN" w:bidi="ar-SA"/>
    </w:rPr>
  </w:style>
  <w:style w:type="paragraph" w:styleId="975" w:customStyle="1">
    <w:name w:val="默认段落字体 Para Char Char Char Char Char Char Char"/>
    <w:basedOn w:val="626"/>
    <w:uiPriority w:val="0"/>
    <w:qFormat/>
    <w:pPr>
      <w:jc w:val="both"/>
    </w:pPr>
    <w:rPr>
      <w:rFonts w:ascii="Tahoma" w:hAnsi="Tahoma" w:eastAsia="宋体"/>
      <w:sz w:val="24"/>
      <w:szCs w:val="20"/>
      <w:lang w:eastAsia="zh-CN"/>
    </w:rPr>
  </w:style>
  <w:style w:type="paragraph" w:styleId="976" w:customStyle="1">
    <w:name w:val="_Style 140"/>
    <w:uiPriority w:val="0"/>
    <w:qFormat/>
    <w:rPr>
      <w:rFonts w:ascii="Times New Roman" w:hAnsi="Times New Roman" w:eastAsia="宋体" w:cs="Times New Roman"/>
      <w:sz w:val="21"/>
      <w:szCs w:val="24"/>
      <w:lang w:val="en-US" w:eastAsia="zh-CN" w:bidi="ar-SA"/>
    </w:rPr>
  </w:style>
  <w:style w:type="paragraph" w:styleId="977" w:customStyle="1">
    <w:name w:val="正文缩进4"/>
    <w:next w:val="626"/>
    <w:uiPriority w:val="99"/>
    <w:qFormat/>
    <w:pPr>
      <w:ind w:left="3400"/>
      <w:jc w:val="both"/>
    </w:pPr>
    <w:rPr>
      <w:rFonts w:ascii="Times New Roman" w:hAnsi="Times New Roman" w:eastAsia="宋体" w:cs="Times New Roman"/>
      <w:sz w:val="21"/>
      <w:lang w:val="en-US" w:eastAsia="zh-CN" w:bidi="ar-SA"/>
    </w:rPr>
  </w:style>
  <w:style w:type="paragraph" w:styleId="978" w:customStyle="1">
    <w:name w:val="contentarticle"/>
    <w:basedOn w:val="626"/>
    <w:uiPriority w:val="0"/>
    <w:qFormat/>
    <w:pPr>
      <w:spacing w:before="100" w:beforeAutospacing="1" w:after="100" w:afterAutospacing="1"/>
      <w:widowControl/>
    </w:pPr>
    <w:rPr>
      <w:rFonts w:ascii="宋体" w:hAnsi="宋体" w:eastAsia="宋体" w:cs="宋体"/>
      <w:sz w:val="24"/>
      <w:lang w:eastAsia="zh-CN"/>
    </w:rPr>
  </w:style>
  <w:style w:type="paragraph" w:styleId="979" w:customStyle="1">
    <w:name w:val="_Style 2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980" w:customStyle="1">
    <w:name w:val="Char71"/>
    <w:basedOn w:val="641"/>
    <w:uiPriority w:val="0"/>
    <w:qFormat/>
    <w:pPr>
      <w:jc w:val="both"/>
      <w:spacing w:line="360" w:lineRule="auto"/>
      <w:shd w:val="clear" w:color="auto" w:fill="000080"/>
    </w:pPr>
    <w:rPr>
      <w:rFonts w:ascii="Tahoma" w:hAnsi="Tahoma"/>
      <w:sz w:val="24"/>
      <w:szCs w:val="24"/>
      <w:lang w:eastAsia="zh-CN"/>
    </w:rPr>
  </w:style>
  <w:style w:type="character" w:styleId="981" w:customStyle="1">
    <w:name w:val="15"/>
    <w:basedOn w:val="636"/>
    <w:uiPriority w:val="0"/>
    <w:qFormat/>
    <w:rPr>
      <w:rFonts w:hint="default" w:ascii="Calibri" w:hAnsi="Calibri"/>
    </w:rPr>
  </w:style>
  <w:style w:type="paragraph" w:styleId="982" w:customStyle="1">
    <w:name w:val="正文首缩两字"/>
    <w:basedOn w:val="626"/>
    <w:uiPriority w:val="0"/>
    <w:qFormat/>
    <w:pPr>
      <w:ind w:left="210" w:right="210" w:firstLine="480"/>
      <w:spacing w:line="360" w:lineRule="auto"/>
    </w:pPr>
    <w:rPr>
      <w:rFonts w:ascii="宋体" w:hAnsi="宋体" w:eastAsia="仿宋_GB2312"/>
      <w:sz w:val="24"/>
      <w:szCs w:val="24"/>
      <w:lang w:eastAsia="zh-CN"/>
    </w:rPr>
  </w:style>
  <w:style w:type="paragraph" w:styleId="983" w:customStyle="1">
    <w:name w:val="列出段落5"/>
    <w:basedOn w:val="626"/>
    <w:uiPriority w:val="0"/>
    <w:qFormat/>
    <w:pPr>
      <w:ind w:firstLine="420"/>
      <w:jc w:val="both"/>
    </w:pPr>
    <w:rPr>
      <w:rFonts w:eastAsia="宋体"/>
      <w:sz w:val="21"/>
      <w:lang w:eastAsia="zh-CN"/>
    </w:rPr>
  </w:style>
  <w:style w:type="character" w:styleId="984" w:customStyle="1">
    <w:name w:val="font121"/>
    <w:uiPriority w:val="0"/>
    <w:qFormat/>
    <w:rPr>
      <w:rFonts w:hint="eastAsia" w:ascii="宋体" w:hAnsi="宋体" w:eastAsia="宋体" w:cs="宋体"/>
      <w:color w:val="ff0000"/>
      <w:sz w:val="24"/>
      <w:szCs w:val="24"/>
      <w:u w:val="none"/>
    </w:rPr>
  </w:style>
  <w:style w:type="character" w:styleId="985" w:customStyle="1">
    <w:name w:val="font101"/>
    <w:uiPriority w:val="0"/>
    <w:qFormat/>
    <w:rPr>
      <w:rFonts w:hint="eastAsia" w:ascii="宋体" w:hAnsi="宋体" w:eastAsia="宋体" w:cs="宋体"/>
      <w:color w:val="000000"/>
      <w:sz w:val="22"/>
      <w:szCs w:val="22"/>
      <w:u w:val="none"/>
    </w:rPr>
  </w:style>
  <w:style w:type="character" w:styleId="986" w:customStyle="1">
    <w:name w:val="font131"/>
    <w:uiPriority w:val="0"/>
    <w:qFormat/>
    <w:rPr>
      <w:rFonts w:hint="eastAsia" w:ascii="宋体" w:hAnsi="宋体" w:eastAsia="宋体" w:cs="宋体"/>
      <w:color w:val="000000"/>
      <w:sz w:val="22"/>
      <w:szCs w:val="22"/>
      <w:u w:val="none"/>
    </w:rPr>
  </w:style>
  <w:style w:type="paragraph" w:styleId="987" w:customStyle="1">
    <w:name w:val="Index4"/>
    <w:basedOn w:val="626"/>
    <w:next w:val="626"/>
    <w:uiPriority w:val="0"/>
    <w:semiHidden/>
    <w:qFormat/>
    <w:pPr>
      <w:ind w:left="1260"/>
      <w:jc w:val="both"/>
      <w:widowControl/>
    </w:pPr>
    <w:rPr>
      <w:sz w:val="20"/>
      <w:szCs w:val="20"/>
      <w:lang w:val="zh-CN" w:eastAsia="zh-CN"/>
    </w:rPr>
  </w:style>
  <w:style w:type="paragraph" w:styleId="988" w:customStyle="1">
    <w:name w:val="font5"/>
    <w:basedOn w:val="626"/>
    <w:uiPriority w:val="0"/>
    <w:qFormat/>
    <w:pPr>
      <w:spacing w:before="100" w:beforeAutospacing="1" w:after="100" w:afterAutospacing="1"/>
      <w:widowControl/>
    </w:pPr>
    <w:rPr>
      <w:rFonts w:ascii="宋体" w:hAnsi="宋体" w:eastAsia="宋体" w:cs="宋体"/>
      <w:sz w:val="18"/>
      <w:szCs w:val="18"/>
      <w:lang w:eastAsia="zh-CN"/>
    </w:rPr>
  </w:style>
  <w:style w:type="paragraph" w:styleId="989" w:customStyle="1">
    <w:name w:val="xl65"/>
    <w:basedOn w:val="626"/>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990" w:customStyle="1">
    <w:name w:val="xl66"/>
    <w:basedOn w:val="626"/>
    <w:uiPriority w:val="0"/>
    <w:qFormat/>
    <w:pPr>
      <w:jc w:val="center"/>
      <w:spacing w:before="100" w:beforeAutospacing="1" w:after="100" w:afterAutospacing="1"/>
      <w:widowControl/>
    </w:pPr>
    <w:rPr>
      <w:rFonts w:ascii="宋体" w:hAnsi="宋体" w:eastAsia="宋体" w:cs="宋体"/>
      <w:sz w:val="18"/>
      <w:szCs w:val="18"/>
      <w:lang w:eastAsia="zh-CN"/>
    </w:rPr>
  </w:style>
  <w:style w:type="paragraph" w:styleId="991" w:customStyle="1">
    <w:name w:val="xl67"/>
    <w:basedOn w:val="6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lang w:eastAsia="zh-CN"/>
    </w:rPr>
  </w:style>
  <w:style w:type="paragraph" w:styleId="992" w:customStyle="1">
    <w:name w:val="xl68"/>
    <w:basedOn w:val="6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18"/>
      <w:szCs w:val="18"/>
      <w:lang w:eastAsia="zh-CN"/>
    </w:rPr>
  </w:style>
  <w:style w:type="paragraph" w:styleId="993" w:customStyle="1">
    <w:name w:val="xl69"/>
    <w:basedOn w:val="6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994" w:customStyle="1">
    <w:name w:val="xl70"/>
    <w:basedOn w:val="6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995" w:customStyle="1">
    <w:name w:val="xl71"/>
    <w:basedOn w:val="6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996" w:customStyle="1">
    <w:name w:val="xl72"/>
    <w:basedOn w:val="6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18"/>
      <w:szCs w:val="18"/>
      <w:lang w:eastAsia="zh-CN"/>
    </w:rPr>
  </w:style>
  <w:style w:type="paragraph" w:styleId="997" w:customStyle="1">
    <w:name w:val="xl73"/>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lang w:eastAsia="zh-CN"/>
    </w:rPr>
  </w:style>
  <w:style w:type="paragraph" w:styleId="998" w:customStyle="1">
    <w:name w:val="xl74"/>
    <w:basedOn w:val="62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999" w:customStyle="1">
    <w:name w:val="xl75"/>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1000" w:customStyle="1">
    <w:name w:val="xl76"/>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character" w:styleId="1001" w:customStyle="1">
    <w:name w:val="书籍标题1"/>
    <w:uiPriority w:val="0"/>
    <w:qFormat/>
    <w:rPr>
      <w:b/>
      <w:bCs/>
      <w:smallCaps/>
      <w:spacing w:val="5"/>
    </w:rPr>
  </w:style>
  <w:style w:type="character" w:styleId="1002" w:customStyle="1">
    <w:name w:val="明显参考1"/>
    <w:uiPriority w:val="0"/>
    <w:qFormat/>
    <w:rPr>
      <w:b/>
      <w:bCs/>
      <w:smallCaps/>
      <w:color w:val="c0504d"/>
      <w:spacing w:val="5"/>
      <w:u w:val="single"/>
    </w:rPr>
  </w:style>
  <w:style w:type="character" w:styleId="1003" w:customStyle="1">
    <w:name w:val="不明显参考1"/>
    <w:uiPriority w:val="0"/>
    <w:qFormat/>
    <w:rPr>
      <w:smallCaps/>
      <w:color w:val="c0504d"/>
      <w:u w:val="single"/>
    </w:rPr>
  </w:style>
  <w:style w:type="character" w:styleId="1004" w:customStyle="1">
    <w:name w:val="不明显强调1"/>
    <w:uiPriority w:val="0"/>
    <w:qFormat/>
    <w:rPr>
      <w:i/>
      <w:iCs/>
      <w:color w:val="808080"/>
    </w:rPr>
  </w:style>
  <w:style w:type="character" w:styleId="1005" w:customStyle="1">
    <w:name w:val="明显强调1"/>
    <w:uiPriority w:val="0"/>
    <w:qFormat/>
    <w:rPr>
      <w:b/>
      <w:bCs/>
      <w:i/>
      <w:iCs/>
      <w:color w:val="4f81bd"/>
    </w:rPr>
  </w:style>
  <w:style w:type="paragraph" w:styleId="1006" w:customStyle="1">
    <w:name w:val="标题 22"/>
    <w:basedOn w:val="949"/>
    <w:next w:val="949"/>
    <w:uiPriority w:val="0"/>
    <w:qFormat/>
  </w:style>
  <w:style w:type="paragraph" w:styleId="1007" w:customStyle="1">
    <w:name w:val="列出段落6"/>
    <w:basedOn w:val="626"/>
    <w:uiPriority w:val="0"/>
    <w:qFormat/>
    <w:pPr>
      <w:ind w:firstLine="420"/>
      <w:jc w:val="both"/>
    </w:pPr>
    <w:rPr>
      <w:rFonts w:ascii="Times New Roman" w:hAnsi="Times New Roman" w:eastAsia="宋体"/>
      <w:sz w:val="21"/>
      <w:szCs w:val="20"/>
      <w:lang w:eastAsia="zh-CN"/>
    </w:rPr>
  </w:style>
  <w:style w:type="paragraph" w:styleId="1008" w:customStyle="1">
    <w:name w:val="修订1"/>
    <w:uiPriority w:val="0"/>
    <w:qFormat/>
    <w:rPr>
      <w:rFonts w:ascii="Times New Roman" w:hAnsi="Times New Roman" w:eastAsia="宋体" w:cs="Times New Roman"/>
      <w:sz w:val="21"/>
      <w:szCs w:val="24"/>
      <w:lang w:val="en-US" w:eastAsia="zh-CN" w:bidi="ar-SA"/>
    </w:rPr>
  </w:style>
  <w:style w:type="character" w:styleId="1009" w:customStyle="1">
    <w:name w:val="纯文本 Char Char"/>
    <w:uiPriority w:val="99"/>
    <w:qFormat/>
    <w:rPr>
      <w:rFonts w:ascii="宋体" w:hAnsi="Courier New" w:eastAsia="宋体"/>
      <w:sz w:val="21"/>
      <w:szCs w:val="21"/>
      <w:lang w:val="en-US" w:eastAsia="zh-CN" w:bidi="ar-SA"/>
    </w:rPr>
  </w:style>
  <w:style w:type="paragraph" w:styleId="1010" w:customStyle="1">
    <w:name w:val="正文（首行缩进）"/>
    <w:uiPriority w:val="0"/>
    <w:qFormat/>
    <w:pPr>
      <w:ind w:firstLine="200"/>
      <w:jc w:val="both"/>
      <w:spacing w:line="360" w:lineRule="auto"/>
      <w:widowControl w:val="off"/>
    </w:pPr>
    <w:rPr>
      <w:rFonts w:ascii="Times New Roman" w:hAnsi="Times New Roman" w:eastAsia="宋体" w:cs="Times New Roman"/>
      <w:sz w:val="21"/>
      <w:szCs w:val="24"/>
      <w:lang w:val="en-US" w:eastAsia="zh-CN" w:bidi="ar-SA"/>
    </w:rPr>
  </w:style>
  <w:style w:type="paragraph" w:styleId="1011"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012" w:customStyle="1">
    <w:name w:val="称呼 Char"/>
    <w:basedOn w:val="636"/>
    <w:link w:val="643"/>
    <w:uiPriority w:val="99"/>
    <w:qFormat/>
    <w:rPr>
      <w:rFonts w:ascii="楷体_GB2312" w:eastAsia="楷体_GB2312"/>
      <w:sz w:val="28"/>
    </w:rPr>
  </w:style>
  <w:style w:type="character" w:styleId="1013" w:customStyle="1">
    <w:name w:val="正文文本 2 Char"/>
    <w:basedOn w:val="636"/>
    <w:link w:val="671"/>
    <w:uiPriority w:val="99"/>
    <w:qFormat/>
    <w:rPr>
      <w:rFonts w:ascii="宋体"/>
      <w:b/>
      <w:bCs/>
      <w:sz w:val="24"/>
      <w:szCs w:val="24"/>
    </w:rPr>
  </w:style>
  <w:style w:type="character" w:styleId="1014" w:customStyle="1">
    <w:name w:val="正文首行缩进 2 Char"/>
    <w:basedOn w:val="863"/>
    <w:link w:val="677"/>
    <w:uiPriority w:val="0"/>
    <w:qFormat/>
    <w:rPr>
      <w:lang w:eastAsia="en-US"/>
    </w:rPr>
  </w:style>
  <w:style w:type="character" w:styleId="1015" w:customStyle="1">
    <w:name w:val="书籍标题11"/>
    <w:uiPriority w:val="0"/>
    <w:qFormat/>
    <w:rPr>
      <w:b/>
      <w:bCs/>
      <w:smallCaps/>
      <w:spacing w:val="5"/>
    </w:rPr>
  </w:style>
  <w:style w:type="character" w:styleId="1016" w:customStyle="1">
    <w:name w:val="明显参考11"/>
    <w:uiPriority w:val="0"/>
    <w:qFormat/>
    <w:rPr>
      <w:b/>
      <w:bCs/>
      <w:smallCaps/>
      <w:color w:val="c0504d"/>
      <w:spacing w:val="5"/>
      <w:u w:val="single"/>
    </w:rPr>
  </w:style>
  <w:style w:type="character" w:styleId="1017" w:customStyle="1">
    <w:name w:val="不明显参考11"/>
    <w:uiPriority w:val="0"/>
    <w:qFormat/>
    <w:rPr>
      <w:smallCaps/>
      <w:color w:val="c0504d"/>
      <w:u w:val="single"/>
    </w:rPr>
  </w:style>
  <w:style w:type="character" w:styleId="1018" w:customStyle="1">
    <w:name w:val="不明显强调11"/>
    <w:uiPriority w:val="0"/>
    <w:qFormat/>
    <w:rPr>
      <w:i/>
      <w:iCs/>
      <w:color w:val="808080"/>
    </w:rPr>
  </w:style>
  <w:style w:type="character" w:styleId="1019" w:customStyle="1">
    <w:name w:val="明显强调11"/>
    <w:uiPriority w:val="0"/>
    <w:qFormat/>
    <w:rPr>
      <w:b/>
      <w:bCs/>
      <w:i/>
      <w:iCs/>
      <w:color w:val="4f81bd"/>
    </w:rPr>
  </w:style>
  <w:style w:type="paragraph" w:styleId="1020" w:customStyle="1">
    <w:name w:val="列出段落111"/>
    <w:basedOn w:val="626"/>
    <w:uiPriority w:val="0"/>
    <w:qFormat/>
    <w:pPr>
      <w:ind w:firstLine="420"/>
      <w:jc w:val="both"/>
    </w:pPr>
    <w:rPr>
      <w:rFonts w:eastAsia="宋体"/>
      <w:sz w:val="21"/>
      <w:lang w:eastAsia="zh-CN"/>
    </w:rPr>
  </w:style>
  <w:style w:type="paragraph" w:styleId="1021" w:customStyle="1">
    <w:name w:val="修订11"/>
    <w:uiPriority w:val="0"/>
    <w:qFormat/>
    <w:rPr>
      <w:rFonts w:ascii="Times New Roman" w:hAnsi="Times New Roman" w:eastAsia="宋体" w:cs="Times New Roman"/>
      <w:sz w:val="21"/>
      <w:szCs w:val="24"/>
      <w:lang w:val="en-US" w:eastAsia="zh-CN" w:bidi="ar-SA"/>
    </w:rPr>
  </w:style>
  <w:style w:type="character" w:styleId="1022" w:customStyle="1">
    <w:name w:val="fontstyle01"/>
    <w:uiPriority w:val="0"/>
    <w:qFormat/>
    <w:rPr>
      <w:rFonts w:hint="eastAsia" w:ascii="仿宋_GB2312" w:eastAsia="仿宋_GB2312"/>
      <w:color w:val="000000"/>
      <w:sz w:val="32"/>
      <w:szCs w:val="32"/>
    </w:rPr>
  </w:style>
  <w:style w:type="character" w:styleId="1023" w:customStyle="1">
    <w:name w:val="fontstyle21"/>
    <w:uiPriority w:val="0"/>
    <w:qFormat/>
    <w:rPr>
      <w:rFonts w:hint="default" w:ascii="Times New Roman" w:hAnsi="Times New Roman" w:cs="Times New Roman"/>
      <w:color w:val="000000"/>
      <w:sz w:val="32"/>
      <w:szCs w:val="32"/>
    </w:rPr>
  </w:style>
  <w:style w:type="paragraph" w:styleId="1024" w:customStyle="1">
    <w:name w:val="正文文本1"/>
    <w:basedOn w:val="626"/>
    <w:uiPriority w:val="0"/>
    <w:qFormat/>
    <w:pPr>
      <w:ind w:firstLine="400"/>
      <w:spacing w:line="463" w:lineRule="auto"/>
    </w:pPr>
    <w:rPr>
      <w:rFonts w:ascii="宋体" w:hAnsi="宋体" w:eastAsia="宋体" w:cs="宋体"/>
      <w:sz w:val="40"/>
      <w:szCs w:val="40"/>
      <w:lang w:val="zh-CN" w:eastAsia="zh-CN" w:bidi="zh-CN"/>
    </w:rPr>
  </w:style>
  <w:style w:type="character" w:styleId="1025" w:customStyle="1">
    <w:name w:val="正文文本 字符"/>
    <w:basedOn w:val="636"/>
    <w:uiPriority w:val="0"/>
    <w:qFormat/>
    <w:rPr>
      <w:rFonts w:ascii="宋体" w:hAnsi="宋体" w:cs="宋体"/>
      <w:sz w:val="21"/>
      <w:szCs w:val="21"/>
      <w:lang w:val="zh-CN" w:bidi="zh-CN"/>
    </w:rPr>
  </w:style>
  <w:style w:type="character" w:styleId="1026" w:customStyle="1">
    <w:name w:val="页脚 字符"/>
    <w:basedOn w:val="636"/>
    <w:uiPriority w:val="0"/>
    <w:qFormat/>
    <w:rPr>
      <w:rFonts w:ascii="宋体" w:hAnsi="宋体" w:cs="宋体"/>
      <w:sz w:val="18"/>
      <w:szCs w:val="18"/>
      <w:lang w:val="zh-CN" w:bidi="zh-CN"/>
    </w:rPr>
  </w:style>
  <w:style w:type="character" w:styleId="1027" w:customStyle="1">
    <w:name w:val="批注文字 Char1"/>
    <w:basedOn w:val="636"/>
    <w:uiPriority w:val="0"/>
    <w:qFormat/>
    <w:rPr>
      <w:rFonts w:ascii="宋体" w:hAnsi="宋体" w:cs="宋体"/>
      <w:sz w:val="22"/>
      <w:szCs w:val="22"/>
      <w:lang w:val="zh-CN" w:bidi="zh-CN"/>
    </w:rPr>
  </w:style>
  <w:style w:type="character" w:styleId="1028" w:customStyle="1">
    <w:name w:val="正文文本缩进 2 Char1"/>
    <w:basedOn w:val="636"/>
    <w:uiPriority w:val="0"/>
    <w:qFormat/>
    <w:rPr>
      <w:rFonts w:ascii="宋体" w:hAnsi="宋体" w:cs="宋体"/>
      <w:sz w:val="22"/>
      <w:szCs w:val="22"/>
      <w:lang w:val="zh-CN" w:bidi="zh-CN"/>
    </w:rPr>
  </w:style>
  <w:style w:type="character" w:styleId="1029" w:customStyle="1">
    <w:name w:val="Char Char9"/>
    <w:uiPriority w:val="0"/>
    <w:qFormat/>
    <w:rPr>
      <w:rFonts w:ascii="Calibri" w:hAnsi="Calibri" w:eastAsia="宋体" w:cs="Times New Roman"/>
      <w:sz w:val="21"/>
      <w:szCs w:val="24"/>
    </w:rPr>
  </w:style>
  <w:style w:type="character" w:styleId="1030" w:customStyle="1">
    <w:name w:val="标题 字符1"/>
    <w:basedOn w:val="636"/>
    <w:uiPriority w:val="10"/>
    <w:qFormat/>
    <w:rPr>
      <w:rFonts w:ascii="Arial" w:hAnsi="Arial" w:eastAsia="黑体" w:cs="Times New Roman"/>
      <w:b/>
      <w:bCs/>
      <w:sz w:val="32"/>
      <w:szCs w:val="32"/>
      <w:lang w:val="zh-CN" w:bidi="zh-CN"/>
    </w:rPr>
  </w:style>
  <w:style w:type="paragraph" w:styleId="1031" w:customStyle="1">
    <w:name w:val="_Style 2"/>
    <w:basedOn w:val="626"/>
    <w:uiPriority w:val="0"/>
    <w:qFormat/>
    <w:pPr>
      <w:ind w:firstLine="420"/>
      <w:widowControl/>
    </w:pPr>
    <w:rPr>
      <w:rFonts w:eastAsia="宋体"/>
      <w:sz w:val="21"/>
      <w:lang w:eastAsia="zh-CN"/>
    </w:rPr>
  </w:style>
  <w:style w:type="paragraph" w:styleId="1032" w:customStyle="1">
    <w:name w:val="表格无间距"/>
    <w:basedOn w:val="626"/>
    <w:uiPriority w:val="0"/>
    <w:qFormat/>
    <w:pPr>
      <w:jc w:val="center"/>
      <w:spacing w:line="240" w:lineRule="atLeast"/>
      <w:widowControl/>
    </w:pPr>
    <w:rPr>
      <w:rFonts w:ascii="宋体" w:hAnsi="宋体" w:eastAsia="宋体" w:cs="宋体"/>
      <w:bCs/>
      <w:sz w:val="18"/>
      <w:szCs w:val="18"/>
      <w:lang w:eastAsia="zh-CN"/>
    </w:rPr>
  </w:style>
  <w:style w:type="character" w:styleId="1033" w:customStyle="1">
    <w:name w:val="rvts14"/>
    <w:uiPriority w:val="0"/>
    <w:qFormat/>
    <w:rPr>
      <w:rFonts w:hint="default" w:ascii="KNLe" w:hAnsi="KNLe" w:eastAsia="宋体" w:cs="Times New Roman"/>
      <w:color w:val="000000"/>
      <w:u w:val="single"/>
    </w:rPr>
  </w:style>
  <w:style w:type="character" w:styleId="1034" w:customStyle="1">
    <w:name w:val="rvts19"/>
    <w:uiPriority w:val="0"/>
    <w:qFormat/>
    <w:rPr>
      <w:rFonts w:hint="default" w:ascii="KNLe" w:hAnsi="KNLe" w:eastAsia="宋体" w:cs="Times New Roman"/>
      <w:sz w:val="24"/>
      <w:szCs w:val="24"/>
    </w:rPr>
  </w:style>
  <w:style w:type="character" w:styleId="1035" w:customStyle="1">
    <w:name w:val="rvts7"/>
    <w:uiPriority w:val="0"/>
    <w:qFormat/>
    <w:rPr>
      <w:rFonts w:hint="default" w:ascii=":ZLe" w:hAnsi=":ZLe" w:eastAsia="宋体" w:cs="Times New Roman"/>
      <w:sz w:val="32"/>
      <w:szCs w:val="32"/>
    </w:rPr>
  </w:style>
  <w:style w:type="character" w:styleId="1036" w:customStyle="1">
    <w:name w:val="rvts12"/>
    <w:uiPriority w:val="0"/>
    <w:qFormat/>
    <w:rPr>
      <w:rFonts w:hint="default" w:ascii="KNLe" w:hAnsi="KNLe" w:eastAsia="宋体" w:cs="Times New Roman"/>
      <w:b/>
      <w:bCs/>
      <w:u w:val="single"/>
    </w:rPr>
  </w:style>
  <w:style w:type="character" w:styleId="1037" w:customStyle="1">
    <w:name w:val="正文文本 3 Char1"/>
    <w:basedOn w:val="636"/>
    <w:uiPriority w:val="99"/>
    <w:qFormat/>
    <w:rPr>
      <w:rFonts w:ascii="宋体" w:hAnsi="宋体" w:cs="宋体"/>
      <w:sz w:val="16"/>
      <w:szCs w:val="16"/>
      <w:lang w:val="zh-CN" w:bidi="zh-CN"/>
    </w:rPr>
  </w:style>
  <w:style w:type="paragraph" w:styleId="1038" w:customStyle="1">
    <w:name w:val="rvps1"/>
    <w:basedOn w:val="626"/>
    <w:uiPriority w:val="99"/>
    <w:qFormat/>
    <w:pPr>
      <w:jc w:val="center"/>
      <w:widowControl/>
    </w:pPr>
    <w:rPr>
      <w:rFonts w:ascii="Times New Roman" w:hAnsi="Times New Roman" w:eastAsia="宋体"/>
      <w:sz w:val="24"/>
      <w:szCs w:val="24"/>
      <w:lang w:eastAsia="zh-CN"/>
    </w:rPr>
  </w:style>
  <w:style w:type="paragraph" w:styleId="1039" w:customStyle="1">
    <w:name w:val="rvps2"/>
    <w:basedOn w:val="626"/>
    <w:uiPriority w:val="0"/>
    <w:qFormat/>
    <w:pPr>
      <w:jc w:val="both"/>
      <w:widowControl/>
    </w:pPr>
    <w:rPr>
      <w:rFonts w:ascii="宋体" w:hAnsi="宋体" w:eastAsia="宋体" w:cs="宋体"/>
      <w:sz w:val="24"/>
      <w:szCs w:val="24"/>
      <w:lang w:eastAsia="zh-CN"/>
    </w:rPr>
  </w:style>
  <w:style w:type="character" w:styleId="1040" w:customStyle="1">
    <w:name w:val="普通文字 Char Char1"/>
    <w:uiPriority w:val="0"/>
    <w:qFormat/>
    <w:rPr>
      <w:rFonts w:ascii="宋体" w:hAnsi="Courier New" w:eastAsia="宋体" w:cs="Times New Roman"/>
      <w:sz w:val="21"/>
      <w:szCs w:val="21"/>
      <w:lang w:val="en-US" w:eastAsia="zh-CN" w:bidi="ar-SA"/>
    </w:rPr>
  </w:style>
  <w:style w:type="character" w:styleId="1041" w:customStyle="1">
    <w:name w:val="称呼 Char1"/>
    <w:basedOn w:val="636"/>
    <w:uiPriority w:val="99"/>
    <w:qFormat/>
    <w:rPr>
      <w:rFonts w:ascii="宋体" w:hAnsi="宋体" w:cs="宋体"/>
      <w:sz w:val="22"/>
      <w:szCs w:val="22"/>
      <w:lang w:val="zh-CN" w:bidi="zh-CN"/>
    </w:rPr>
  </w:style>
  <w:style w:type="character" w:styleId="1042" w:customStyle="1">
    <w:name w:val="正文文本 2 Char1"/>
    <w:basedOn w:val="636"/>
    <w:uiPriority w:val="99"/>
    <w:qFormat/>
    <w:rPr>
      <w:rFonts w:ascii="宋体" w:hAnsi="宋体" w:cs="宋体"/>
      <w:sz w:val="22"/>
      <w:szCs w:val="22"/>
      <w:lang w:val="zh-CN" w:bidi="zh-CN"/>
    </w:rPr>
  </w:style>
  <w:style w:type="paragraph" w:styleId="1043" w:customStyle="1">
    <w:name w:val="目录文字"/>
    <w:basedOn w:val="626"/>
    <w:uiPriority w:val="0"/>
    <w:qFormat/>
    <w:pPr>
      <w:spacing w:line="480" w:lineRule="auto"/>
      <w:widowControl/>
    </w:pPr>
    <w:rPr>
      <w:rFonts w:ascii="宋体" w:hAnsi="宋体" w:eastAsia="宋体"/>
      <w:sz w:val="24"/>
      <w:szCs w:val="20"/>
      <w:lang w:eastAsia="zh-CN"/>
    </w:rPr>
  </w:style>
  <w:style w:type="paragraph" w:styleId="1044" w:customStyle="1">
    <w:name w:val="Char Char Char Char"/>
    <w:basedOn w:val="626"/>
    <w:uiPriority w:val="0"/>
    <w:qFormat/>
    <w:pPr>
      <w:jc w:val="both"/>
      <w:spacing w:line="360" w:lineRule="atLeast"/>
    </w:pPr>
    <w:rPr>
      <w:rFonts w:ascii="Tahoma" w:hAnsi="Tahoma" w:eastAsia="宋体"/>
      <w:sz w:val="24"/>
      <w:szCs w:val="20"/>
      <w:lang w:eastAsia="zh-CN"/>
    </w:rPr>
  </w:style>
  <w:style w:type="paragraph" w:styleId="1045" w:customStyle="1">
    <w:name w:val="p0"/>
    <w:basedOn w:val="626"/>
    <w:uiPriority w:val="99"/>
    <w:qFormat/>
    <w:pPr>
      <w:spacing w:before="100" w:beforeAutospacing="1" w:after="100" w:afterAutospacing="1"/>
      <w:widowControl/>
    </w:pPr>
    <w:rPr>
      <w:rFonts w:ascii="宋体" w:hAnsi="宋体" w:eastAsia="宋体" w:cs="宋体"/>
      <w:sz w:val="24"/>
      <w:szCs w:val="24"/>
      <w:lang w:eastAsia="zh-CN"/>
    </w:rPr>
  </w:style>
  <w:style w:type="paragraph" w:styleId="1046" w:customStyle="1">
    <w:name w:val="Char Char Char Char Char Char"/>
    <w:basedOn w:val="626"/>
    <w:uiPriority w:val="0"/>
    <w:qFormat/>
    <w:pPr>
      <w:spacing w:after="160" w:line="240" w:lineRule="exact"/>
      <w:widowControl/>
    </w:pPr>
    <w:rPr>
      <w:rFonts w:ascii="Arial" w:hAnsi="Arial" w:eastAsia="Times New Roman" w:cs="Verdana"/>
      <w:b/>
      <w:sz w:val="21"/>
      <w:szCs w:val="20"/>
    </w:rPr>
  </w:style>
  <w:style w:type="character" w:styleId="1047" w:customStyle="1">
    <w:name w:val="label11"/>
    <w:basedOn w:val="636"/>
    <w:uiPriority w:val="0"/>
    <w:qFormat/>
    <w:rPr>
      <w:rFonts w:ascii="Calibri" w:hAnsi="Calibri" w:eastAsia="宋体" w:cs="Times New Roman"/>
    </w:rPr>
  </w:style>
  <w:style w:type="character" w:styleId="1048" w:customStyle="1">
    <w:name w:val="rvts15"/>
    <w:uiPriority w:val="0"/>
    <w:qFormat/>
    <w:rPr>
      <w:rFonts w:hint="default" w:ascii="KNLe" w:hAnsi="KNLe"/>
      <w:color w:val="0000ff"/>
      <w:u w:val="single"/>
    </w:rPr>
  </w:style>
  <w:style w:type="character" w:styleId="1049" w:customStyle="1">
    <w:name w:val="明显引用 字符1"/>
    <w:basedOn w:val="636"/>
    <w:uiPriority w:val="30"/>
    <w:qFormat/>
    <w:rPr>
      <w:rFonts w:ascii="宋体" w:hAnsi="宋体" w:cs="宋体"/>
      <w:i/>
      <w:iCs/>
      <w:color w:val="4f81bd"/>
      <w:sz w:val="22"/>
      <w:szCs w:val="22"/>
      <w:lang w:val="zh-CN" w:bidi="zh-CN"/>
    </w:rPr>
  </w:style>
  <w:style w:type="character" w:styleId="1050" w:customStyle="1">
    <w:name w:val="label12"/>
    <w:basedOn w:val="636"/>
    <w:uiPriority w:val="0"/>
    <w:qFormat/>
    <w:rPr>
      <w:rFonts w:ascii="Calibri" w:hAnsi="Calibri" w:eastAsia="宋体" w:cs="Times New Roman"/>
    </w:rPr>
  </w:style>
  <w:style w:type="character" w:styleId="1051" w:customStyle="1">
    <w:name w:val="first-child"/>
    <w:basedOn w:val="636"/>
    <w:uiPriority w:val="0"/>
    <w:qFormat/>
    <w:rPr>
      <w:rFonts w:ascii="Calibri" w:hAnsi="Calibri" w:eastAsia="宋体" w:cs="Times New Roman"/>
    </w:rPr>
  </w:style>
  <w:style w:type="character" w:styleId="1052" w:customStyle="1">
    <w:name w:val="label10"/>
    <w:uiPriority w:val="0"/>
    <w:qFormat/>
    <w:rPr>
      <w:color w:val="1cc09f"/>
      <w:shd w:val="clear" w:color="auto" w:fill="ffffff"/>
    </w:rPr>
  </w:style>
  <w:style w:type="character" w:styleId="1053" w:customStyle="1">
    <w:name w:val="cdropright"/>
    <w:basedOn w:val="636"/>
    <w:uiPriority w:val="0"/>
    <w:qFormat/>
    <w:rPr>
      <w:rFonts w:ascii="Calibri" w:hAnsi="Calibri" w:eastAsia="宋体" w:cs="Times New Roman"/>
    </w:rPr>
  </w:style>
  <w:style w:type="character" w:styleId="1054" w:customStyle="1">
    <w:name w:val="1page sec3 Char2"/>
    <w:uiPriority w:val="0"/>
    <w:qFormat/>
    <w:rPr>
      <w:rFonts w:eastAsia="宋体"/>
      <w:sz w:val="18"/>
      <w:szCs w:val="18"/>
      <w:lang w:val="en-US" w:eastAsia="zh-CN" w:bidi="ar-SA"/>
    </w:rPr>
  </w:style>
  <w:style w:type="character" w:styleId="1055" w:customStyle="1">
    <w:name w:val="layui-this"/>
    <w:uiPriority w:val="0"/>
    <w:qFormat/>
    <w:rPr>
      <w:shd w:val="clear" w:color="auto" w:fill="ffffff"/>
    </w:rPr>
  </w:style>
  <w:style w:type="character" w:styleId="1056" w:customStyle="1">
    <w:name w:val="button"/>
    <w:basedOn w:val="636"/>
    <w:uiPriority w:val="0"/>
    <w:qFormat/>
    <w:rPr>
      <w:rFonts w:ascii="Calibri" w:hAnsi="Calibri" w:eastAsia="宋体" w:cs="Times New Roman"/>
    </w:rPr>
  </w:style>
  <w:style w:type="character" w:styleId="1057" w:customStyle="1">
    <w:name w:val="tmpztreemove_arrow"/>
    <w:basedOn w:val="636"/>
    <w:uiPriority w:val="0"/>
    <w:qFormat/>
    <w:rPr>
      <w:rFonts w:ascii="Calibri" w:hAnsi="Calibri" w:eastAsia="宋体" w:cs="Times New Roman"/>
    </w:rPr>
  </w:style>
  <w:style w:type="character" w:styleId="1058" w:customStyle="1">
    <w:name w:val="label9"/>
    <w:uiPriority w:val="0"/>
    <w:qFormat/>
    <w:rPr>
      <w:color w:val="1ab394"/>
      <w:shd w:val="clear" w:color="auto" w:fill="ffffff"/>
    </w:rPr>
  </w:style>
  <w:style w:type="character" w:styleId="1059" w:customStyle="1">
    <w:name w:val="引用 字符1"/>
    <w:basedOn w:val="636"/>
    <w:uiPriority w:val="29"/>
    <w:qFormat/>
    <w:rPr>
      <w:rFonts w:ascii="宋体" w:hAnsi="宋体" w:cs="宋体"/>
      <w:i/>
      <w:iCs/>
      <w:color w:val="404040"/>
      <w:sz w:val="22"/>
      <w:szCs w:val="22"/>
      <w:lang w:val="zh-CN" w:bidi="zh-CN"/>
    </w:rPr>
  </w:style>
  <w:style w:type="character" w:styleId="1060" w:customStyle="1">
    <w:name w:val="引用 Char2"/>
    <w:basedOn w:val="636"/>
    <w:uiPriority w:val="99"/>
    <w:qFormat/>
    <w:rPr>
      <w:rFonts w:ascii="宋体" w:hAnsi="宋体" w:cs="宋体"/>
      <w:i/>
      <w:iCs/>
      <w:color w:val="000000"/>
      <w:sz w:val="22"/>
      <w:szCs w:val="22"/>
      <w:lang w:val="zh-CN" w:bidi="zh-CN"/>
    </w:rPr>
  </w:style>
  <w:style w:type="character" w:styleId="1061" w:customStyle="1">
    <w:name w:val="cdropleft"/>
    <w:basedOn w:val="636"/>
    <w:uiPriority w:val="0"/>
    <w:qFormat/>
    <w:rPr>
      <w:rFonts w:ascii="Calibri" w:hAnsi="Calibri" w:eastAsia="宋体" w:cs="Times New Roman"/>
    </w:rPr>
  </w:style>
  <w:style w:type="paragraph" w:styleId="1062" w:customStyle="1">
    <w:name w:val="空半行"/>
    <w:basedOn w:val="626"/>
    <w:uiPriority w:val="0"/>
    <w:qFormat/>
    <w:pPr>
      <w:jc w:val="both"/>
      <w:spacing w:line="120" w:lineRule="exact"/>
    </w:pPr>
    <w:rPr>
      <w:rFonts w:ascii="Times New Roman" w:hAnsi="Times New Roman" w:eastAsia="仿宋_GB2312"/>
      <w:color w:val="ffffff"/>
      <w:sz w:val="30"/>
      <w:szCs w:val="20"/>
      <w:lang w:eastAsia="zh-CN"/>
    </w:rPr>
  </w:style>
  <w:style w:type="paragraph" w:styleId="1063" w:customStyle="1">
    <w:name w:val="aspnumfaautoadjustrightr"/>
    <w:uiPriority w:val="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064" w:customStyle="1">
    <w:name w:val="flNote"/>
    <w:basedOn w:val="626"/>
    <w:uiPriority w:val="0"/>
    <w:qFormat/>
    <w:pPr>
      <w:jc w:val="center"/>
      <w:spacing w:before="320" w:after="160" w:line="360" w:lineRule="atLeast"/>
    </w:pPr>
    <w:rPr>
      <w:rFonts w:ascii="Arial" w:hAnsi="Times New Roman" w:eastAsia="黑体"/>
      <w:sz w:val="30"/>
      <w:szCs w:val="20"/>
      <w:lang w:eastAsia="zh-CN"/>
    </w:rPr>
  </w:style>
  <w:style w:type="paragraph" w:styleId="1065" w:customStyle="1">
    <w:name w:val="投标文件二级标题"/>
    <w:basedOn w:val="628"/>
    <w:uiPriority w:val="0"/>
    <w:qFormat/>
    <w:pPr>
      <w:ind w:left="223"/>
      <w:jc w:val="both"/>
      <w:keepLines/>
      <w:keepNext/>
      <w:spacing w:before="480" w:after="120" w:line="400" w:lineRule="exact"/>
      <w:tabs>
        <w:tab w:val="left" w:pos="576" w:leader="none"/>
      </w:tabs>
    </w:pPr>
    <w:rPr>
      <w:rFonts w:ascii="Cambria" w:hAnsi="Cambria" w:eastAsia="宋体"/>
      <w:sz w:val="32"/>
      <w:szCs w:val="28"/>
      <w:lang w:val="zh-CN" w:eastAsia="zh-CN"/>
    </w:rPr>
  </w:style>
  <w:style w:type="paragraph" w:styleId="1066" w:customStyle="1">
    <w:name w:val="xl31"/>
    <w:basedOn w:val="626"/>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sz w:val="24"/>
      <w:szCs w:val="24"/>
      <w:lang w:eastAsia="zh-CN"/>
    </w:rPr>
  </w:style>
  <w:style w:type="paragraph" w:styleId="1067" w:customStyle="1">
    <w:name w:val="标题3_0"/>
    <w:basedOn w:val="898"/>
    <w:uiPriority w:val="0"/>
    <w:qFormat/>
    <w:pPr>
      <w:jc w:val="center"/>
      <w:outlineLvl w:val="2"/>
    </w:pPr>
    <w:rPr>
      <w:rFonts w:ascii="黑体" w:hAnsi="黑体" w:eastAsia="黑体"/>
      <w:b/>
      <w:sz w:val="32"/>
      <w:szCs w:val="32"/>
    </w:rPr>
  </w:style>
  <w:style w:type="paragraph" w:styleId="1068"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1069" w:customStyle="1">
    <w:name w:val="Normal_0_2_0"/>
    <w:uiPriority w:val="0"/>
    <w:qFormat/>
    <w:pPr>
      <w:jc w:val="both"/>
      <w:widowControl w:val="off"/>
    </w:pPr>
    <w:rPr>
      <w:rFonts w:ascii="Calibri" w:hAnsi="Calibri" w:eastAsia="宋体" w:cs="Times New Roman"/>
      <w:lang w:val="en-US" w:eastAsia="zh-CN" w:bidi="ar-SA"/>
    </w:rPr>
  </w:style>
  <w:style w:type="paragraph" w:styleId="1070" w:customStyle="1">
    <w:name w:val="Normal_0_2"/>
    <w:uiPriority w:val="0"/>
    <w:qFormat/>
    <w:pPr>
      <w:jc w:val="both"/>
      <w:widowControl w:val="off"/>
    </w:pPr>
    <w:rPr>
      <w:rFonts w:ascii="Calibri" w:hAnsi="Calibri" w:eastAsia="宋体" w:cs="Times New Roman"/>
      <w:lang w:val="en-US" w:eastAsia="zh-CN" w:bidi="ar-SA"/>
    </w:rPr>
  </w:style>
  <w:style w:type="paragraph" w:styleId="1071" w:customStyle="1">
    <w:name w:val="Normal_4"/>
    <w:uiPriority w:val="0"/>
    <w:qFormat/>
    <w:pPr>
      <w:jc w:val="both"/>
      <w:widowControl w:val="off"/>
    </w:pPr>
    <w:rPr>
      <w:rFonts w:ascii="Times New Roman" w:hAnsi="Times New Roman" w:eastAsia="宋体" w:cs="Times New Roman"/>
      <w:lang w:val="en-US" w:eastAsia="zh-CN" w:bidi="ar-SA"/>
    </w:rPr>
  </w:style>
  <w:style w:type="paragraph" w:styleId="1072" w:customStyle="1">
    <w:name w:val="正文_3_0"/>
    <w:uiPriority w:val="99"/>
    <w:qFormat/>
    <w:pPr>
      <w:jc w:val="both"/>
      <w:widowControl w:val="off"/>
    </w:pPr>
    <w:rPr>
      <w:rFonts w:ascii="Calibri" w:hAnsi="Calibri" w:eastAsia="宋体" w:cs="Times New Roman"/>
      <w:lang w:val="en-US" w:eastAsia="zh-CN" w:bidi="ar-SA"/>
    </w:rPr>
  </w:style>
  <w:style w:type="paragraph" w:styleId="1073" w:customStyle="1">
    <w:name w:val="正文_5_1"/>
    <w:uiPriority w:val="0"/>
    <w:qFormat/>
    <w:pPr>
      <w:jc w:val="both"/>
      <w:widowControl w:val="off"/>
    </w:pPr>
    <w:rPr>
      <w:rFonts w:ascii="Calibri" w:hAnsi="Calibri" w:eastAsia="宋体" w:cs="Times New Roman"/>
      <w:sz w:val="21"/>
      <w:szCs w:val="22"/>
      <w:lang w:val="en-US" w:eastAsia="zh-CN" w:bidi="ar-SA"/>
    </w:rPr>
  </w:style>
  <w:style w:type="character" w:styleId="1074" w:customStyle="1">
    <w:name w:val="ca-10_0"/>
    <w:uiPriority w:val="0"/>
    <w:qFormat/>
    <w:rPr>
      <w:rFonts w:ascii="Calibri" w:hAnsi="Calibri" w:eastAsia="Times New Roman"/>
      <w:lang w:val="en-US" w:eastAsia="zh-CN" w:bidi="ar-SA"/>
    </w:rPr>
  </w:style>
  <w:style w:type="paragraph" w:styleId="1075" w:customStyle="1">
    <w:name w:val="pa-13_0"/>
    <w:basedOn w:val="895"/>
    <w:uiPriority w:val="0"/>
    <w:qFormat/>
    <w:pPr>
      <w:jc w:val="left"/>
      <w:spacing w:before="100" w:beforeAutospacing="1" w:after="100" w:afterAutospacing="1"/>
      <w:widowControl/>
    </w:pPr>
    <w:rPr>
      <w:rFonts w:ascii="宋体" w:hAnsi="宋体" w:eastAsia="Times New Roman"/>
      <w:sz w:val="24"/>
      <w:szCs w:val="24"/>
    </w:rPr>
  </w:style>
  <w:style w:type="character" w:styleId="1076" w:customStyle="1">
    <w:name w:val="ca-2_0"/>
    <w:uiPriority w:val="0"/>
    <w:qFormat/>
    <w:rPr>
      <w:rFonts w:ascii="Calibri" w:hAnsi="Calibri" w:eastAsia="Times New Roman"/>
      <w:lang w:val="en-US" w:eastAsia="zh-CN" w:bidi="ar-SA"/>
    </w:rPr>
  </w:style>
  <w:style w:type="paragraph" w:styleId="1077" w:customStyle="1">
    <w:name w:val="pa-15_1"/>
    <w:basedOn w:val="895"/>
    <w:uiPriority w:val="0"/>
    <w:qFormat/>
    <w:pPr>
      <w:jc w:val="left"/>
      <w:spacing w:before="100" w:beforeAutospacing="1" w:after="100" w:afterAutospacing="1"/>
      <w:widowControl/>
    </w:pPr>
    <w:rPr>
      <w:rFonts w:ascii="宋体" w:hAnsi="宋体" w:eastAsia="Times New Roman"/>
      <w:sz w:val="24"/>
      <w:szCs w:val="24"/>
    </w:rPr>
  </w:style>
  <w:style w:type="character" w:styleId="1078" w:customStyle="1">
    <w:name w:val="apple-converted-space_0"/>
    <w:uiPriority w:val="0"/>
    <w:qFormat/>
    <w:rPr>
      <w:rFonts w:ascii="Calibri" w:hAnsi="Calibri" w:eastAsia="Times New Roman"/>
      <w:lang w:val="en-US" w:eastAsia="zh-CN" w:bidi="ar-SA"/>
    </w:rPr>
  </w:style>
  <w:style w:type="paragraph" w:styleId="1079" w:customStyle="1">
    <w:name w:val="pa-16_0"/>
    <w:basedOn w:val="895"/>
    <w:uiPriority w:val="0"/>
    <w:qFormat/>
    <w:pPr>
      <w:jc w:val="left"/>
      <w:spacing w:before="100" w:beforeAutospacing="1" w:after="100" w:afterAutospacing="1"/>
      <w:widowControl/>
    </w:pPr>
    <w:rPr>
      <w:rFonts w:ascii="宋体" w:hAnsi="宋体" w:eastAsia="Times New Roman"/>
      <w:sz w:val="24"/>
      <w:szCs w:val="24"/>
    </w:rPr>
  </w:style>
  <w:style w:type="numbering" w:styleId="13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招标代</dc:creator>
  <cp:lastModifiedBy>李盼</cp:lastModifiedBy>
  <cp:revision>62</cp:revision>
  <dcterms:created xsi:type="dcterms:W3CDTF">2024-03-28T06:58:00Z</dcterms:created>
  <dcterms:modified xsi:type="dcterms:W3CDTF">2026-07-15T05:52:43Z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F05CA303FFF04C64845A8DFAD62E180A_13</vt:lpwstr>
  </property>
  <property fmtid="{D5CDD505-2E9C-101B-9397-08002B2CF9AE}" pid="4" name="KSOTemplateDocerSaveRecord">
    <vt:lpwstr>eyJoZGlkIjoiNmQ4MzQyZWVhMThiODFkZmVlZmEyYWI0MWFkN2M5MGEiLCJ1c2VySWQiOiIzMDI0MzIyNDMifQ==</vt:lpwstr>
  </property>
</Properties>
</file>