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150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项目名称：南京市中医院智慧中医人工智能应用基础建设项目</w:t>
      </w:r>
      <w:r/>
    </w:p>
    <w:p>
      <w:pPr>
        <w:ind w:left="0" w:right="0" w:firstLine="1506"/>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项目编号：JSZC-320100-NJZZ-G2026-0014</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（货物类项目，非专门面向中小企业）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采购人：南京市中医院</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代理机构：南京众智工程咨询有限公司</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04</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u w:val="none"/>
        </w:rPr>
        <w:t xml:space="preserve">第一章</w:t>
      </w:r>
      <w:r>
        <w:rPr>
          <w:rFonts w:ascii="SimSun" w:hAnsi="SimSun" w:eastAsia="SimSun" w:cs="SimSun"/>
          <w:color w:val="000000"/>
          <w:sz w:val="36"/>
        </w:rPr>
        <w:t xml:space="preserve">投标邀请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受南京市中医院（采购单位）委托，南京众智工程咨询有限公司（以下简称“招标代理机构”）就南京市中医院智慧中医人工智能应用基础建设项目（项目名称）进行公开招标采购，欢迎符合条件的供应商投标。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1.项目编号：JSZC-320100-NJZZ-G2026-0014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2.项目名称：南京市中医院智慧中医人工智能应用基础建设项目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3.预算金额：660万元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4.最高限价：本项目最高限价660万元，投标总价超过最高限价按无效标处理，集成服务分项不设单独限价，由供应商自主报价。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评审委员会有权对异常报价（含集成服务）要求供应商提供成本构成说明，无法说明合理性的，按无效投标处理。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需求（简介）：南京市中医院为贯彻落实国家关于新一代人工智能与卫生健康行业深度融合的指导方针，加速构筑面向未来的智慧医院数字基座，南京市中医院正式规划建设新一代智能算力与安全中枢平台。该项目旨在以前瞻性架构打破传统算力资源分散建设的壁垒，构建全院级弹性、集约、开放的智能算力调度与管理体系，实现跨平台算力资源的统一纳管与优化配置，为临床科研、智能诊疗与管理决策等场景的AI规模化应用提供敏捷、高效、可持续的算力支撑。同时，项目将同步筑牢与智能发展相匹配的安全防线，通过构建覆盖模型内生安全、数据全域流转及高</w:t>
      </w:r>
      <w:r>
        <w:rPr>
          <w:rFonts w:ascii="SimSun" w:hAnsi="SimSun" w:eastAsia="SimSun" w:cs="SimSun"/>
          <w:color w:val="000000"/>
          <w:sz w:val="21"/>
        </w:rPr>
        <w:t xml:space="preserve">级威胁协同防御的一体化主动防护体系，确保医疗大模型应用全生命周期的安全可控、输出可靠与数据合规，全面赋能医院高质量发展，打造安全、智能、韧性的智慧医疗新范式。（详细内容见本招标文件第四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6.合同履行期限：合同签订后40天内交付并完成安装调试及验收等相关工作。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7.本项目(是/否)接受联合体投标：否。</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（一）</w:t>
      </w:r>
      <w:r>
        <w:rPr>
          <w:rFonts w:ascii="SimSun" w:hAnsi="SimSun" w:eastAsia="SimSun" w:cs="SimSun"/>
          <w:color w:val="000000"/>
          <w:sz w:val="21"/>
        </w:rPr>
        <w:t xml:space="preserve">满足《中华人民共和国政府采购法》第二十二条规定，并提供下列材料：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1.具有独立承担民事责任的能力（法人或者其他组织提供营业执照或法人证书或组织机构代码证，自然人提供身份证）；</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参加本次政府采购活动前6个月内至少一个月份的会计报表（至少包括资产负债表和利润表）复印件或其年度经审计的财务报告（2024年度或2025年度）加盖供应商公章，成立不满6个月的无需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3.具有履行合同所必需的设备和专业技术能力（根据项目需求提供履行合同所必需的设备和专业技术能力的证明材料或承诺书原件）；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4.参加政府采购活动前三年内，在经营活动中没有重大违法记录（提供参加本次政府采购活动前3年内在经营活动中没有重大违法记录的书面声明）；</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5.有依法缴纳税收和社会保障资金的良好记录（提供参加本次政府采购活动前一年内（至少一个月）依法缴纳税收和社会保障资金的相关材料复印件加盖供应商公章）；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6.法律、行政法规规定的其他条件（提供项目实施所必须的许可资质证明材料）：无。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（二）落实政府采购政策需满足的资格要求（如属于专门面向中小企业采购的项目，供应商应为中小微企业、监狱企业、残疾人福利性单位）：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w:t>
      </w:r>
      <w:r>
        <w:rPr>
          <w:rFonts w:ascii="SimSun" w:hAnsi="SimSun" w:eastAsia="SimSun" w:cs="SimSun"/>
          <w:color w:val="000000"/>
          <w:sz w:val="21"/>
          <w:u w:val="single"/>
        </w:rPr>
        <w:t xml:space="preserve">（4）</w:t>
      </w:r>
      <w:r>
        <w:rPr>
          <w:rFonts w:ascii="SimSun" w:hAnsi="SimSun" w:eastAsia="SimSun" w:cs="SimSun"/>
          <w:color w:val="000000"/>
          <w:sz w:val="21"/>
        </w:rPr>
        <w:t xml:space="preserve">种方式落实政府采购促进中小企业发展的要求：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）种方式预留部分采购份额采购中小企业货物：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（4）本项目为非预留份额的采购项目或采购包，执行价格扣除优惠政策，具体详见第三章评审办法与标准。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（三）本项目特定资格要求：无。</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1.提交投标文件截止时间、开标时间：2026年05月27日10时00分（北京时间）。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2.地点：江苏省政府采购交易系统（以下简称“苏采云系统”）网上开标大厅。</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自本公告发布之日起5个工作日。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六、其他事宜</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1.本项目采购标的对应的中小企业划分标准所属行业为：工业。</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2.本项目不接受进口产品投标。</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根据《关于在政府采购活动中推行信用承诺制的通知》(宁财购通[2021]5号)的规定，申请人的资格要求涉及的证明材料，投标人可以在投标文件中一次性提交，也可以在投标文件中提供满足相应条件的供应商信用承诺函(详见“第六章投标文件格式及附件”),不再需要提供上述涉及的证明材料。</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4.拒绝下述供应商参加本次采购活动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①单位负责人为同一人或者存在直接控股、管理关系的不同供应商，不得参加同一合同项下的政府采购活动。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②为采购项目提供整体设计、规范编制或者项目管理、监理、检测等服务的供应商，不得参加本项目的采购活动。</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③供应商被“信用中国”网站（www.creditchina.gov.cn）、“中国政府采购网”（www.ccgp.gov.cn）列入失信被执行人、重大税收违法案件当事人名单、政府采购严重违法失信行为记录名单。</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5.本次招标不收取投标保证金。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6.本项目不组织集中勘察及答疑，供应商如对采购需求有疑问，请咨询采购单位联系人。</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798"/>
            <w:rFonts w:ascii="SimSun" w:hAnsi="SimSun" w:eastAsia="SimSun" w:cs="SimSun"/>
            <w:color w:val="000000"/>
            <w:sz w:val="21"/>
            <w:u w:val="single"/>
          </w:rPr>
          <w:t xml:space="preserve">下载地址</w:t>
        </w:r>
      </w:hyperlink>
      <w:r>
        <w:rPr>
          <w:rFonts w:ascii="SimSun" w:hAnsi="SimSun" w:eastAsia="SimSun" w:cs="SimSun"/>
          <w:color w:val="000000"/>
          <w:sz w:val="21"/>
        </w:rPr>
        <w:t xml:space="preserve">（CTRL+鼠标左键）。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8.报价响应人应充分考虑网络环境、网络带宽等因素可能对投标产生的影响，如因投标人自身原因造成的电子投标文件上传不成功的，做无效响应文件处理。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9.招标代理公司可以按照规定，通过修改招标文件酌情延长投标截止时间，在此情况下，供应商的所有权利和义务均以延长后新的截止时间为准。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10.有关本次招标的事项若存在变动或修改，敬请及时关注“江苏政府采购网”（www.ccgp-jiangsu.gov.cn）发布的信息更正公告。</w:t>
      </w:r>
      <w:r/>
    </w:p>
    <w:p>
      <w:pPr>
        <w:ind w:left="0" w:right="0" w:firstLine="465"/>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七、本次招标联系方式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名称：南京市中医院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地址：南京市秦淮区大明路157号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联系人：郭老师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SimSun" w:hAnsi="SimSun" w:eastAsia="SimSun" w:cs="SimSun"/>
          <w:color w:val="000000"/>
          <w:sz w:val="21"/>
          <w:u w:val="none"/>
        </w:rPr>
        <w:t xml:space="preserve">025-86369663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名称：南京众智工程咨询有限公司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地址：南京市鼓楼区郑和中路18号中海广场A座601、602室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联系方式：谭工 025-52896520-20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第二章投标人须知</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w:t>
      </w:r>
      <w:r>
        <w:rPr>
          <w:rFonts w:ascii="KaiTi" w:hAnsi="KaiTi" w:eastAsia="KaiTi" w:cs="KaiTi"/>
          <w:b/>
          <w:color w:val="000000"/>
          <w:sz w:val="21"/>
        </w:rPr>
        <w:t xml:space="preserve">.招标方式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2.合格的投标人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满足招标公告对供应商的资格要求的规定。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满足本文件规定的实质性要求和条件。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4.投标费用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投标人应自行承担所有与参加投标有关的费用，无论投标过程中的做法和结果如何，本公司和采购人在任何情况下均无义务和责任承担这些费用。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本次招标代理机构和采购人不收取标书工本费，但收取代理服务费。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5.招标文件的约束力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二、招标文件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6.招标文件构成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（1）投标邀请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投标人应仔细检查招标文件是否齐全，如有缺漏请立即与招标代理机构联系。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7.招标文件的澄清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任何要求对招标文件进行澄清的投标人，应在投标截止期十日前按招标公告中的通讯地址，以书面形式通知招标代理机构。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8.招标文件的修改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8.1 在投标截止时间前，招标代理机构可以对招标文件进行修改。招标文件的修改将在原公告媒体发布更正公告，更正内容将作为招标文件的组成部分，并对投标人具有约束力。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招标代理机构有权按照法定的要求推迟投标截止日期和开标日期，并在原公告媒体发布更正公告。</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三、投标文件的编制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9.投标文件的语言及度量衡单位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投标人提交的投标文件以及投标人与招标代理机构就有关投标的所有来往通知、函件和文件均应使用简体中文。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10.投标文件构成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投标人编写的投标文件应包括资格证明文件、符合性证明文件、投标分项报价表、响应及偏离表、其他证明文件、投标函、开标一览表等部分。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如标书制作工具中格式和内容与“江苏政府采购网”发布的招标文件不一致，以“江苏政府采购网”发布的招标文件为准。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11.证明投标人及投标标的符合招标文件规定的文件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投标人应按照法律、法规、规章和规范性文件以及招标文件要求提交证明文件，证明其投标标的符合招标文件规定。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招标文件对证明文件无明确形式要求的，证明文件可以以文字资料、图纸和数据等形式提交。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12.投标分项报价表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投标货币。投标文件中的单价和总价无特殊规定的采用人民币报价，以元为单位标注。招标文件中另有规定的按规定执行。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13.响应及偏离表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投标人可以在投标文件中提供认为需要的其他技术文件或说明。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14.投标函和开标一览表及核心产品品牌一览表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投标人应按照招标文件规定格式完整、正确填报投标函、开标一览表及核心产品品牌一览表。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对于采用货币报价的项目，开标一览表中的投标总报价应与投标分项报价表中的投标总报价一致，如不一致不作为无效投标处理，评标时以开标一览表中价格为准。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核心产品品牌一览表中所投核心产品品牌缺项的将视为无效投标。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15.投标有效期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投标有效期为招标公告规定的开标之日起六十天。投标有效期比规定短的将被视为未实质性响应招标文件而被拒绝。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16.投标有效期的延长</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四、投标文件的递交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17.投标文件</w:t>
      </w:r>
      <w:r>
        <w:rPr>
          <w:rFonts w:ascii="KaiTi" w:hAnsi="KaiTi" w:eastAsia="KaiTi" w:cs="KaiTi"/>
          <w:b/>
          <w:color w:val="000000"/>
          <w:sz w:val="21"/>
        </w:rPr>
        <w:t xml:space="preserve">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招标代理机构可以按照规定，通过修改招标文件酌情延长投标截止时间，在此情况下，投标人的所有权利和义务均以延长后新的截止时间为准。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18.投标文件</w:t>
      </w:r>
      <w:r>
        <w:rPr>
          <w:rFonts w:ascii="KaiTi" w:hAnsi="KaiTi" w:eastAsia="KaiTi" w:cs="KaiTi"/>
          <w:b/>
          <w:color w:val="000000"/>
          <w:sz w:val="21"/>
        </w:rPr>
        <w:t xml:space="preserve">的拒收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招标代理机构拒绝接收投标截止时间后上传的任何投标文件。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19.投标文件的撤回和修改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投标人可在投标截止时间前撤回其电子投标文件，具体操作方法见《操作手册》。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投标人撤回电子投标文件，则认为其不再参与本项目投标活动。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 投标人可在投标截止时间前对其电子投标文件进行修改，具体操作方法见《操作手册》。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 投标截止时间之后，投标人不得对其电子投标文件作任何修改。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在投标截止时间至招标文件中规定的投标有效期满之间的这段时间内，投标人不得撤回其投标。</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五、开标与评标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20.开标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招标代理机构在招标公告中规定的时间和地点组织公开开标。投标人按照《操作手册》规定参加开标活动，并在苏采云系统规定的时间内对投标文件进行解密。苏采云系统公布各投标人名称和投标价格。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21.评标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评标由招标代理机构组织评标委员会（以下简称“评委会”）进行。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评委会由采购人代表和有关技术、经济等方面的专家组成，且人员构成符合政府采购有关规定。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评委会独立工作，负责评审所有投标文件并推荐中标候选人，或根据采购人授权直接确定中标人。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22.评标过程的保密与公正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凡是与审查、澄清、评价和比较投标的有关资料以及授标建议等，采购人、评委、招标代理机构均不得向投标人或与评标无关的其他人员透露。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投标人不得以任何方式影响评标，否则其投标文件将被作为无效投标文件。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招标代理机构和评委会不向未中标的投标人解释未中标原因，也不公布评标过程中的相关细节。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 采用综合评分法的项目，未中标的投标人可于中标结果公告期限届满之日起通过苏采云系统查看本单位的评审得分及排名情况。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23.投标文件的澄清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接到评委会澄清、说明和补正要求的，投标人如未按规定作出澄清、说明和补正，其风险由投标人自行承担。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24.投标文件的</w:t>
      </w:r>
      <w:r>
        <w:rPr>
          <w:rFonts w:ascii="KaiTi" w:hAnsi="KaiTi" w:eastAsia="KaiTi" w:cs="KaiTi"/>
          <w:b/>
          <w:color w:val="000000"/>
          <w:sz w:val="21"/>
        </w:rPr>
        <w:t xml:space="preserve">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投标文件审查分为资格审查和符合性审查。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24.1.1 资格审查。依据法律法规和招标文件规定，由采购人对投标文件中的资格证明文件进行审查，并向评委会反馈审查结论。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接受联合体的项目，联合体成员存在不良信用记录的，视同联合体存在不良信用记录。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评审委员会启动异常低价投标（响应）审查的情形和具体要求：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（1）采购人应当在采购文件中明确，政府采购评审中出现下列情形之一的，评审委员会应当启动异常低价投标（响应）审查程序：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①投标（响应）报价低于全部通过符合性审查供应商投标（响应）报价平均值50%的，即投标（响应）报价&lt;全部通过符合性审查供应商投标（响应）报价平均值×50%；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②投标（响应）报价低于通过符合性审查的次低报价供应商投标（响应）报价50%的，即投标（响应）报价&lt;通过符合性审查的次低报价供应商投标（响应）报价×50%；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③投标（响应）报价低于采购项目最高限价45%的，即投标（响应）报价&lt;采购项目最高限价×45%；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④评审委员会基于专业判断，认为供应商报价过低，有可能影响产品质量或者不能诚信履约的其他情形。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采购人可以结合具体项目实际情况，提高上述第1项至第3项中启动异常低价投标（响应）审查的数值标准，但是最高不得超过65%。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相关法律法规对供应商报价有规定的，从其规定。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24.1.3 未通过资格审查或符合性审查的投标人，招标代理机构将通过苏采云系统告知其具体原因，评标结束后不再接受有关询问。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评委会将对确定为实质性响应的投标进行进一步审核，确定其是否有计算上或累加上的算术错误。修正错误的原则如下：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4.6 投标人在开、评标全过程中应保持通讯畅通，及时登录苏采云系统查阅、答复相关信息，并安排专人与招标代理机构及评委会联系。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25.无效投标和废标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5.1 无效投标条款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 投标人在苏采云系统规定的时间内未成功解密电子投标文件。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25.1.2 投标人未按照招标文件要求上传电子投标文件。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25.1.3 同一投标人提交两个（含两个）以上不同的投标报价。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25.1.4 投标人不具备招标文件规定的资格要求。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25.1.5 投标人的报价超过了采购预算或最高限价。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25.1.6 未通过符合性审查。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25.1.7 不符合招标文件中实质性要求和条件（</w:t>
      </w:r>
      <w:r>
        <w:rPr>
          <w:rFonts w:ascii="SimSun" w:hAnsi="SimSun" w:eastAsia="SimSun" w:cs="SimSun"/>
          <w:b/>
          <w:color w:val="000000"/>
          <w:sz w:val="21"/>
        </w:rPr>
        <w:t xml:space="preserve">本招标文件中斜体且有下划线部分，或者打“★”内容为实质性要求和条件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25.1.9 投标文件含有采购人不能接受的附加条件。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25.1.10 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25.1.12 投标文件未按照招标文件要求加盖电子公章。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25.1.13 法律法规及本招标文件规定的其他无效投标情形。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废标条款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25.2.1 符合资格条件的供应商或者对招标文件作出实质性响应的供应商不足三家。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25.2.2 出现影响采购公正的违法、违规行为。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25.2.3 因重大变故采购任务取消。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25.2.4 评委会认定招标文件存在歧义、重大缺陷导致评审工作无法进行。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25.2.5 因苏采云系统故障造成开标不成功。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如出现投标截止时间后参加投标的供应商或者对招标文件作出实质性响应的供应商不足三家的情况，按政府采购相关规定执行。</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六、定标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u w:val="none"/>
        </w:rPr>
        <w:t xml:space="preserve">2</w:t>
      </w:r>
      <w:r>
        <w:rPr>
          <w:rFonts w:ascii="KaiTi" w:hAnsi="KaiTi" w:eastAsia="KaiTi" w:cs="KaiTi"/>
          <w:b/>
          <w:color w:val="000000"/>
          <w:sz w:val="21"/>
        </w:rPr>
        <w:t xml:space="preserve">6.确定中标单位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中标候选人的确定原则和数量见招标文件第五章。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按以下第（2）种方式确定中标人：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 招标代理机构将在“江苏政府采购网”发布中标公告，公告期限为1个工作日。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26.4 </w:t>
      </w:r>
      <w:r>
        <w:rPr>
          <w:rFonts w:ascii="SimSun" w:hAnsi="SimSun" w:eastAsia="SimSun" w:cs="SimSun"/>
          <w:b/>
          <w:color w:val="000000"/>
          <w:sz w:val="21"/>
        </w:rPr>
        <w:t xml:space="preserve">若有充分证据证明中标人有下列情况之一的，一经查实将被取消中标资格：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26.4.1 提供虚假材料谋取中标。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26.4.2 向采购人、招标代理机构行贿或者提供其他不正当利益。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26.4.3 属于本文件规定的无效投标情形，但在评标过程中未被评委会发现。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26.4.4 与采购人或者其他供应商恶意串通。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26.4.5 采取不正当手段诋毁、排挤其他供应商。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w:t>
      </w:r>
      <w:r>
        <w:rPr>
          <w:rFonts w:ascii="SimSun" w:hAnsi="SimSun" w:eastAsia="SimSun" w:cs="SimSun"/>
          <w:b/>
          <w:color w:val="000000"/>
          <w:sz w:val="21"/>
        </w:rPr>
        <w:t xml:space="preserve">有下列情形之一的视为投标人串通投标，投标无效：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26.5.1 不同投标人的投标文件由同一单位或者个人编制。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26.5.2 不同投标人委托同一单位或者个人办理投标事宜。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26.5.3 不同投标人的投标文件载明的项目管理成员或者联系人员为同一人。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26.5.4 不同投标人的投标文件异常一致或者投标报价呈规律性差异。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27.中标通知书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27.l 中标结果确定后，招标代理机构将向中标人发出《中标通知书》。中标人可在中标结果公告届满之日起三十日内,登录苏采云系统下载。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七、授予合同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28.签订合同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28.l 中标人应当在《中标通知书》发出之日起三十日内，按照招标文件确定的事项与采购人签订政府采购合同。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招标文件、中标人的投标文件及招标过程中有关澄清、承诺文件均作为合同附件。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29.货物（包含与货物相关的服务）的追加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30.政府采购履约资金扶持政策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 依据《关于在全省政府采购领域推行电子履约保函（保险）的通知》（苏财购〔2023〕150号），中标供应商可通过江苏政府采购网“政府采购电子履约保函（保险）综合服务平台”线上办理履约保函（保险）。</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提出质疑的供应商应当是参与所质疑项目采购活动的供应商，潜在供应商依法获取其可质疑的采购文件的，可以对采购文件提出质疑。(对采购文件质疑的,通过网上下载方式获取采购文件的供应商，应当提供依法获取采购文件的截图或者其他资料，否则质疑将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32.供应商认为采购文件、采购过程和采购结果使自己的权益受到损害的，可以在知道或应知其权益受到损害之日起七个工作日内，按照第34条、第35条之规定以书面形式向招标代理机构或采购人提出质疑。</w:t>
      </w:r>
      <w:r>
        <w:rPr>
          <w:rFonts w:ascii="SimSun" w:hAnsi="SimSun" w:eastAsia="SimSun" w:cs="SimSun"/>
          <w:b/>
          <w:color w:val="000000"/>
          <w:sz w:val="21"/>
        </w:rPr>
        <w:t xml:space="preserve">上述应知其权益受到损害之日是指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对采购文件提出质疑的，为收到采购文件之日或者采购文件公告期限届满之日。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对采购过程提出质疑的，为各采购程序环节结束之日。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对中标或者成交结果提出质疑的，为中标或者成交结果公告期限届满之日。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33.供应商应当在法定质疑期内一次性提出针对同一采购程序环节的质疑。供应商如在法定期限内对同一采购程序环节提出多次质疑的，招标代理机构或采购人将只对供应商第一次质疑作出答复。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供应商提出质疑应提交《质疑函》原件,将质疑文件原件送达招标代理机构或采购人。通过邮寄方式送达的，招标代理机构和采购人不接受无运单的快件。《质疑函》应按照财政部、江苏省财政厅《质疑函》的格式和内容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供应商如组成联合体参加投标，《质疑函》中要求加盖公章之处，联合体各方均须按要求加盖公章。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35.《质疑函》接收部门为本次招标代理机构注明的联系地址和联系方式。</w:t>
      </w:r>
      <w:r>
        <w:rPr>
          <w:rFonts w:ascii="SimSun" w:hAnsi="SimSun" w:eastAsia="SimSun" w:cs="SimSun"/>
          <w:color w:val="0000ff"/>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36.以下情形的质疑不予受理：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 内容不符合《政府采购质疑和投诉办法》第十二条规定的质疑。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 超出政府采购法定期限的质疑。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 以传真、电子邮件等方式递交的非原件形式的质疑。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 未参加投标活动的供应商或在投标活动中自身权益未受到损害的供应商所提出的质疑。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供应商组成联合体参加投标，联合体中任何一方或多方未按要求签字或签章、加盖公章的质疑。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36.6 法律法规规定的其他不予受理情形。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供应商提出书面质疑必须有理、有据，不得捏造事实、提供虚假材料进行恶意质疑。否则，一经查实，招标代理机构或采购人有权依据政府采购的有关规定，报请政府采购监管部门对该供应商进行相应的行政处罚和记录该供应商的失信信息。</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九、政策功能落实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38.促进中小企业发展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 在政府采购活动中，供应商提供的货物或者服务符合下列情形的，享受中小企业扶持政策：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（1）在货物采购项目中，全部货物由中小企业制造；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（2）在服务采购项目中，服务由中小企业承接。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38.3 中小企业参加政府采购活动，应当出具《中小企业声明函》，否则不享受相关中小企业支持政策。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39.节能环保产品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40.绿色采购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41.创新产品采购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42.网络产品、市场准入类产品采购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1"/>
        </w:rPr>
        <w:t xml:space="preserve">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43.对本国产品的支持政策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43.1为贯彻落实《国务院办公厅关于在政府采购中实施本国产品标准及相关政策的通知》（国办发〔2025〕34号），在政府采购中实施本国产品标准及相关政策。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43.2本项目中既有本国产品又有非本国产品参与竞争的，依法对本国产品给予价格评审优惠，对本国产品的报价给予20%的价格扣除，用扣除后的价格参与评审。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43.3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65"/>
        <w:spacing w:before="145" w:after="145"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十、其他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1"/>
        </w:rPr>
        <w:t xml:space="preserve">44.代理服务费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 本次采购的代理服务费由成交供应商承担；参照行业标准按招标收费基准费率计算，开具增值税普通发票。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 中标供应商向采购代理机构支付所有费用后到采购代理机构领取中标通知书。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代理费汇款单位：南京众智工程咨询有限公司；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代理费汇款银行：华夏银行股份有限公司南京城北支行；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代理费汇款账号：10366000000495882</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 有关发票开具事项：请将开票信息发至财务邮箱：njzz@wisdomzz.cn（开票信息包括公司名称、统一社会信用代码、公司地址、联系电话、开户银行及账号、财务联系人等）。领取发票：电子发票。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第三章合同文本</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以下为本项目的合同条款，合同双方不得对招标、投标文件内容作实质性修改。</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南京市中医院智慧中医人工智能应用基础建设项目采购合同</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80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合同编号：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项目名称：南京市中医院智慧中医人工智能应用基础建设项目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使用单位：南京市中医院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供货单位：</w:t>
      </w:r>
      <w:r>
        <w:rPr>
          <w:rFonts w:ascii="SimSun" w:hAnsi="SimSun" w:eastAsia="SimSun" w:cs="SimSun"/>
          <w:b/>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签订日期：    年月日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0"/>
        <w:gridCol w:w="4730"/>
      </w:tblGrid>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4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采购人（以下称甲方）：南京市中医院</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7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供应商（以下称乙方）： </w:t>
            </w:r>
            <w:r/>
          </w:p>
          <w:p>
            <w:pPr>
              <w:ind w:left="1440" w:right="144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42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住所地：南京市中医院大明路157号</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73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住所地： </w:t>
            </w:r>
            <w:r/>
          </w:p>
          <w:p>
            <w:pPr>
              <w:ind w:left="1440" w:right="144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根据《中华人民共和国政府采购法》、《中华人民共和国民法典》等法律法规的规定，甲乙双方按照采购代理机构的采购结果签订本合同。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合同标的乙方根据甲方需求提供下列货物：</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1"/>
        <w:gridCol w:w="1778"/>
        <w:gridCol w:w="1269"/>
        <w:gridCol w:w="626"/>
        <w:gridCol w:w="626"/>
        <w:gridCol w:w="626"/>
        <w:gridCol w:w="1267"/>
        <w:gridCol w:w="1267"/>
        <w:gridCol w:w="152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 w:type="dxa"/>
            <w:vAlign w:val="center"/>
            <w:textDirection w:val="lrTb"/>
            <w:noWrap w:val="false"/>
          </w:tcPr>
          <w:p>
            <w:pPr>
              <w:ind w:left="-10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品牌及型号规格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商品类型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本项目内容详见附件：功能清单。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本合同项下总价款为¥</w:t>
      </w:r>
      <w:r>
        <w:rPr>
          <w:rFonts w:ascii="SimSun" w:hAnsi="SimSun" w:eastAsia="SimSun" w:cs="SimSun"/>
          <w:color w:val="000000"/>
          <w:sz w:val="21"/>
          <w:u w:val="single"/>
        </w:rPr>
        <w:t xml:space="preserve">           </w:t>
      </w:r>
      <w:r>
        <w:rPr>
          <w:rFonts w:ascii="SimSun" w:hAnsi="SimSun" w:eastAsia="SimSun" w:cs="SimSun"/>
          <w:color w:val="000000"/>
          <w:sz w:val="21"/>
        </w:rPr>
        <w:t xml:space="preserve">元，（大写）人民币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本合同总价款包含以下内容：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（1）完成本货物项目发生的所有含税费用；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（2）支付给员工的工资和国家强制缴纳的各种社会保障资金；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（3）乙方应当提供的伴随服务/售后服务费用；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（4）乙方认为需要的其他费用。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甲方除此费用外不再向乙方支付其他任何费用。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合同款支付（注：此项为通用模板可根据不同项目进行调整）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2.本合同项下的采购资金由甲方自行支付，乙方向甲方开具内容为“                 ”的发票。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3.自本合同签订之日起 15 日内,乙方出具全额发票，甲方向乙方支付合同额的 30 %作为预付款，即人民币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元整(大写) (¥</w:t>
      </w:r>
      <w:r>
        <w:rPr>
          <w:rFonts w:ascii="SimSun" w:hAnsi="SimSun" w:eastAsia="SimSun" w:cs="SimSun"/>
          <w:color w:val="000000"/>
          <w:sz w:val="21"/>
          <w:u w:val="single"/>
        </w:rPr>
        <w:t xml:space="preserve">      </w:t>
      </w:r>
      <w:r>
        <w:rPr>
          <w:rFonts w:ascii="SimSun" w:hAnsi="SimSun" w:eastAsia="SimSun" w:cs="SimSun"/>
          <w:color w:val="000000"/>
          <w:sz w:val="21"/>
        </w:rPr>
        <w:t xml:space="preserve">元，小写)；项目验收合格后凭验收单、收据和合同复印件15日内，甲方向乙方支付合同额的60%，即人民币          元整(大写) (¥      元，小写)；项目整体验收合格后满12个月的15日内，甲方向乙方支付合同额的10%,即人民币元整(大写) (¥      元，小写)。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4.乙方账户信息：</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公司名称： </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 </w:t>
      </w:r>
      <w:r/>
    </w:p>
    <w:p>
      <w:pPr>
        <w:ind w:left="0" w:right="-8"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5.甲方账户信息：</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名称：南京市中医院</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税号：1232 0100 4258 0091 9F</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单位地址：南京市秦淮区大明路157号</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开户银行：工行城南支行</w:t>
      </w:r>
      <w:r/>
    </w:p>
    <w:p>
      <w:pPr>
        <w:ind w:left="0" w:right="-8"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银行账户：4301 0129 0900 1201 247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组成本合同的有关文件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招标（采购）文件、投标（响应）文件，以及与本次采购活动相关的文件及有关附件是本合同不可分割的组成部分，与本合同具有同等法律效力，这些文件包括但不限于：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（1）投标（响应）文件和报价表；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（2）货物一览表；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（3）交付一览表；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（4）技术规格响应表；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（6）服务承诺；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（7）中标（成交）通知书；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（8）甲乙双方商定的其它文件。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权利保证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1.乙方应保证向甲方提供的本合同项下货物任何一部分时不受第三方提出侵犯其专利权、版权、商标权或其他权利的起诉。一旦出现侵权，乙方应承担全部责任。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因甲方业务变更、外在不可抗力因素或者其他非乙方原因，致使乙方交付期限需要延长或导致乙方无法交付的，乙方不因此承担逾期任何违约责任。另，因前述原因造成的乙方逾期交付或交付不能，不影响本合同付款条件的成就，乙方有权就已履约部分收取对应的合同款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质量保证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乙方所提供的货物的技术规格应与招标（采购）文件规定的技术规格及所附的“技术规格响应表”相一致；若技术性能无特殊说明，则按国家有关部门最新颁布的标准及规范及甲方需求为准。</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服务期限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1.乙方提供为期</w:t>
      </w:r>
      <w:r>
        <w:rPr>
          <w:rFonts w:ascii="SimSun" w:hAnsi="SimSun" w:eastAsia="SimSun" w:cs="SimSun"/>
          <w:color w:val="000000"/>
          <w:sz w:val="21"/>
          <w:u w:val="single"/>
        </w:rPr>
        <w:t xml:space="preserve">   </w:t>
      </w:r>
      <w:r>
        <w:rPr>
          <w:rFonts w:ascii="SimSun" w:hAnsi="SimSun" w:eastAsia="SimSun" w:cs="SimSun"/>
          <w:color w:val="000000"/>
          <w:sz w:val="21"/>
        </w:rPr>
        <w:t xml:space="preserve">年的免费软件系统维护服务和质量保证，质保服务期从项目通过验收之日起计算。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2.在质保服务期内，乙方保证就本合同内的产品向甲方免费提供以下技术支持：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3.每天8小时（8:00-12:00，13:00-17:00），每周5天提供解决有关使用、安装、测试、缺陷等一般问题的技术支持，以电话、电子邮件、传真、远程登录等方式及时做出解答；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天24小时，每周7天提供导致产品运行中断，业务系统受到严重影响的紧急问题的技术支持，以电话、电子邮件、传真、远程登录等方式及时做出解答，在上述方式无法解决问题时，将提供现场支持，协助甲方及时排除故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5.在质保服务期内，如有产品补丁程序，乙方应主动通知甲方，并免费提供。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6.在质保服务期满后，如甲方需乙方继续提供售后服务，需与乙方另行协商确认。双方可另行协商签订维保合同，维保价格和维保细则可在在维保合同中体现。</w:t>
      </w:r>
      <w:r/>
    </w:p>
    <w:p>
      <w:pPr>
        <w:ind w:left="0" w:right="0" w:firstLine="2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0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甲方权利与义务（可根据项目具体需求进行调整）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1.甲方负责组建</w:t>
      </w:r>
      <w:r>
        <w:rPr>
          <w:rFonts w:ascii="SimSun" w:hAnsi="SimSun" w:eastAsia="SimSun" w:cs="SimSun"/>
          <w:color w:val="000000"/>
          <w:sz w:val="21"/>
          <w:u w:val="single"/>
        </w:rPr>
        <w:t xml:space="preserve">           </w:t>
      </w:r>
      <w:r>
        <w:rPr>
          <w:rFonts w:ascii="SimSun" w:hAnsi="SimSun" w:eastAsia="SimSun" w:cs="SimSun"/>
          <w:color w:val="000000"/>
          <w:sz w:val="21"/>
        </w:rPr>
        <w:t xml:space="preserve">项目的工作组,明确项目组织分工。</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2.甲方参与项目实施人员应该熟悉信息管理及相关基础管理工作。</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3.甲方负责协调项目实施过程中相关职能部门的沟通与协调,根据项目实施计划,督促检查各职能部门基础工作的完善和基础数据的准备。</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4.甲方负责协调项目实施的场地安排、硬件网络等设施准备、数据提供、数据录入、调试配合,按实施进度组织项目验收。</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5.甲方负责配合乙方的业务数据集成(接口)开发，提供技术支持与相关咨询。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6.甲方对运行在甲方提供的服务器上的数据库中所有数据拥有所有权；未经甲方许可，乙方不得向任何第三方提供该数据。</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1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乙方权利与义务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1.乙方提供的软件产品应符合国家有关法律、法规、制度、规范。</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2.乙方成立专业项目组,指定专人负责项目各环节的实施和服务。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3.乙方按照双方确认的项目实施计划组织项目实施,并根据不同实施阶段,对项目实施计划进行细化、补充和修改。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4.双方应本着友好合作的态度，如开发过程中因甲方实际需求发生变化而有所变动，乙方应配合甲方进行调整。</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5.乙方应对甲方指定的系统管理员进行专门培训,内容包括系统维护、系统安全等。</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所派人员应严格服从甲方项目组的管理及相关规章制度,乙方所派人员应按时完成甲方项目组所安排的任务；乙方所派人员保证不泄露相关项目信息；项目经理及其项目团队不得出现无故旷工、缺席、迟到现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7.乙方应当对甲方及使用方的数据保密，未经甲方许可的情况下，乙方不得向任何第三方提供该数据。</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8.如果乙方软件存在缺陷，乙方应免费为甲方进行修复。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提供专职人员上门实施、调试和免费操作培训上线服务。系统上线期间，至少安排1名以上研发工程师及1名实施工程师现场协助项目经理上线，保证系统上线正常；正式上线运行平稳正常后，专项小组成员一直服务于该项目。</w:t>
      </w:r>
      <w:r/>
    </w:p>
    <w:p>
      <w:pPr>
        <w:ind w:left="0" w:right="144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1.甲方未按合同规定的期限向乙方支付服务款的，每逾期1天甲方向乙方偿付欠款总额的0.5‰滞纳金，但累计滞纳金总额不超过欠款总额的5%。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2.如乙方不能如期交付服务的，乙方应向甲方支付合同总价5%的违约金并赔偿因此给甲方造成的损失。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通过甲方验收并交付甲方使用的，每逾期1天，乙方向甲方偿付合同总额的0.5‰的滞纳金。如乙方逾期交付达10天，甲方有权解除合同，要求乙方退还已支付的全部款项，并向甲方支付合同总价款的5%，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4.在乙方承诺的服务期内，如经乙方2次整改仍不能达到合同约定的质量标准，乙方应退回全部合同价款，并按本条第3款处理，同时，乙方还须赔偿甲方因此遭受的损失。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5.乙方未按本合同的规定和服务承诺提供伴随服务/售后服务的，甲方有权委托第三方提供伴随服务/售后服务，由此产生的费用由乙方承担，且乙方应按合同总价款的5%向甲方承担违约责任。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6.乙方所交付的服务不符合合同规定的，甲方有权拒收。甲方拒收的，乙方应退还已支付的全部款项，并向甲方支付合同总款5%的违约金。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7.乙方在承担上述一项或多项违约责任后，仍应继续履行合同规定的义务（甲方解除合同的除外）。甲方未能及时追究乙方的任何一项违约责任并不表明甲方放弃追究乙方该项或其他违约责任。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8.乙方响应属虚假承诺，或服务不能满足投标（响应）文件要求，或是由于乙方的过错造成合同无法继续履行的，乙方应向甲方支付不少于合同总价 5%赔偿金。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2.除发生法律规定的不能预见、不能避免并不能克服的客观情况外，甲乙双方不得放弃或拒绝履行合同。乙方放弃或拒绝履行合同，应向甲方支付合同总额5%的违约金并赔偿因此给甲方造成的损失。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争议的解决</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1.合同的实施或与合同有关的一切争端应通过双方友好协商解决。如友好协商开始60天后仍不能解决的，任何一方都可依法提交甲方所在地有管辖权的人民法院解决。</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2.诉讼费由败诉方负担。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3.在诉讼期间，除正在进行诉讼的部分以外，双方应继续执行合同的其余部分。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4.本合同适用中华人民共和国法律。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诚实信用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乙方应诚实信用，严格按照采购文件要求和乙方承诺履行合同，不向甲方进行商业贿赂或者提供不正当利益。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合同生效及其他</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1.本合同自签订之日起至服务期满为止。</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2.本合同一式4份，甲方执3份乙方执1份。</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4"/>
        <w:gridCol w:w="4562"/>
      </w:tblGrid>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4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甲方（采购人）：南京市中医院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5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4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代表人（签字）：</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5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代表人（签字）： </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4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5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4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电话：02586369663</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562"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w:t>
            </w:r>
            <w:r/>
          </w:p>
        </w:tc>
      </w:tr>
      <w:tr>
        <w:trPr>
          <w:trHeight w:val="320"/>
        </w:trPr>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40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c>
          <w:tcPr>
            <w:shd w:val="clear" w:color="ffffff" w:fill="ffffff"/>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56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附件：1.廉洁合约、2.南京市中医院保密协议书、3.安全生产承诺书（该附件为采购合同组成部分，不可或缺。）</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4.功能清单※（供应商根据招标文件内容提供清单</w:t>
      </w:r>
      <w:r>
        <w:rPr>
          <w:rFonts w:ascii="SimSun" w:hAnsi="SimSun" w:eastAsia="SimSun" w:cs="SimSun"/>
          <w:color w:val="000000"/>
          <w:sz w:val="21"/>
        </w:rPr>
        <w:t xml:space="preserve">）</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附件一：</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廉 洁 合 约</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为加强卫生党风廉政建设，切实纠正各类招标和采购等经济活动中的不正之风，南京市各医疗单位与各营销厂商及代表，在签订经济合同时，必须签订《廉洁合约》：</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南京市中医院（医疗卫生单位）</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（供应商）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1.甲乙双方在各种招标、采购等经济活动中，均要严格执行上级有关部门及南京市卫计委的有关规定，遵守法律法规，规范操作程序，公平公正交易，履行合同承诺。</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2.甲乙双方经办人员不准私下洽谈业务，不准组织可能影响公正执行公务的各类活动，不准违反规定私自向对方提供内部信息和个人承诺，不准在合同之外私定潜规则。</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3.甲方要遵循有关法律法规和专项规定，在编制采购文件、提出资质要求、技术参数及规格型号、确定采购计划等工作环节中，做到公开透明，科学合理，公平准入，条件明确。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4.乙方要在参与招标和实施合同规定过程中，做到身份明确，证件无误，良性竞争，有序操作。在制定标书和履行合同时，要体现企业诚信和责任心。</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方不得违反规定，增加不合理条件限制或排斥有正当权益的经济当事人或潜在投标人，不得违反公开、公平、公正原则制定歧视性规定，不得接受和索要乙方为个人提供的各种名目的红包、回扣等，不得参加乙方组织的旅游、娱乐、宴请等非公务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6.乙方不得伪造资质，不得弄虚作假，不得串通作弊，不得以红包、回扣等不正当经济手段向甲方人员进行促销活动。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7.甲方如有违反廉洁规定的行为，乙方可向甲方纪检部门或上级部门举报投诉，并配合调查处理。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8.乙方如有违法违纪促销和不按规定履约行为，甲方有权按有关规定停止乙方1—2年的采购活动或取消与乙方的业务关系，直至取消其在南京卫生系统的招投标资格。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甲方单位：（章）乙方单位：（章）</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代表签字：代表签字： </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签订日期：签订日期：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附件二：</w:t>
      </w:r>
      <w:r/>
    </w:p>
    <w:p>
      <w:pPr>
        <w:ind w:left="0" w:right="0" w:firstLine="63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南京市中医院保密协议书</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本保密协议由以下双方签订：</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甲方：南京市中医院</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乙方：</w:t>
      </w:r>
      <w:r>
        <w:rPr>
          <w:rFonts w:ascii="SimSun" w:hAnsi="SimSun" w:eastAsia="SimSun" w:cs="SimSun"/>
          <w:color w:val="000000"/>
          <w:sz w:val="21"/>
          <w:u w:val="single"/>
        </w:rPr>
        <w:t xml:space="preserve">供应商名称</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总则</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预防乙方提供的服务及产品和人员的行为给甲方带来的信息安全潜在风险，同时为充分保护甲方的保密信息,乙方同意签署本保密协议并按照本协议的约定对在合同履行过程中所获悉的甲方的保密信息予以保密:。</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协议条款</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保密信息的范围：基于 </w:t>
      </w:r>
      <w:r>
        <w:rPr>
          <w:rFonts w:ascii="SimSun" w:hAnsi="SimSun" w:eastAsia="SimSun" w:cs="SimSun"/>
          <w:color w:val="000000"/>
          <w:sz w:val="21"/>
          <w:u w:val="single"/>
        </w:rPr>
        <w:t xml:space="preserve">南京市中医院智慧中医人工智能应用基础建设项目</w:t>
      </w:r>
      <w:r>
        <w:rPr>
          <w:rFonts w:ascii="SimSun" w:hAnsi="SimSun" w:eastAsia="SimSun" w:cs="SimSun"/>
          <w:color w:val="000000"/>
          <w:sz w:val="21"/>
        </w:rPr>
        <w:t xml:space="preserve">，保密信息是指不为公众所知的所有信息、数据或技术，包括但不限于甲方的所有研究、生产、服务的信息、数据或技术资料，甲方工作人员、患者的个人信息、隐私等数据（如有）等。</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甲乙双方必须遵守国家颁发的有关安全生产、技术规范、制度和规定。</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甲乙双方都应有安全管理组织体制，有专职和兼职的负责人，乙方成员在甲方提供服务或产品期间必须严格执行和遵守甲方的安全生产、防火管理的各项规定，严格遵守甲方的安全操作规程。</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乙方不得将甲方的保密信息透露给任何第三方，而应尽力避免由于疏忽将保密信息披露给任何第三方。</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经甲方书面许可，乙方不得使用甲方的保密信息也不应在自己的组织内流通，由此产生的一切法律责任包括但不限于刑事责任、民事责任等均由乙方承担，同时造成甲方或任何第三方的一切损失的，均由乙方赔偿。</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所有由甲方提供给乙方的材料，包括但不限于文件、设计和清单应仍为甲方的财产，且甲方要求时乙方应立即归还原件和所有据此制作的副本。</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甲方提供乙方正常的技术研究，开发条件和业务拓展的空间，努力创造有利于乙方发展的机会。</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乙方若承担合同标的信息系统的开发工作，软件编码必须规范，应杜绝如下行为：</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A、内置后门</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B、设置恶意代码和病毒代码</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C、应用软件代码存在安全漏洞</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否则，乙方应承担由此产生的一切法律责任，造成甲方损失的应当予以赔偿。</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乙方提供的产品（包括软硬件及独立开发的软件编码）在上线前必须有国家权威机构提供的测试证明，并按单位相关要求进行上线测试后才能投入运行。</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乙方未经甲方书面批准，乙方不得复印、摘抄、 随意或恶意拿走甲方秘密文件、电脑软件、硬件等。</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妥善谨慎保管和处理甲方及其客户之机密信息资料及固定资产、如有遗失应立即报告并采取补救措施挽回损失，造成甲方一切损失的，均由乙方承担赔偿责任，如产生刑事、民事等法律责任的，均由乙方承担。</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密期限：本协议项下保密信息的自合同签订之日起,至本保密信息为公众所知止。如采购合同签订后在履行期间被解除或终止，不影响本协议的法律效力，乙方仍应履行本协议项下的保密义务。上述保密信息的保密期限不因本协议终止而终止。</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违约责任</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乙方违反此协议，甲方有权无条件解除采购合同，甲方有权要求乙方支付合同总价款10%的违约金，违约金不足以弥补损失的，还应赔偿甲方全部经济损失。</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本协议同合同正本同日生效，甲、乙双方必须严格执行，由于违反本协议而造成事件，由违约方承担一切经济损失。</w:t>
      </w:r>
      <w:r/>
    </w:p>
    <w:p>
      <w:pPr>
        <w:ind w:left="0" w:right="0" w:firstLine="6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甲、乙双方在履行本协议过程中如发生争议，应协商解决；若协商不成时，任何一方都有权至甲方所在地法院起诉。</w:t>
      </w:r>
      <w:r/>
    </w:p>
    <w:p>
      <w:pPr>
        <w:ind w:left="0" w:right="0" w:firstLine="6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经签署，签字人保证是经正式授权代表签署本协议。</w:t>
      </w:r>
      <w:r/>
    </w:p>
    <w:p>
      <w:pPr>
        <w:ind w:left="0" w:right="0" w:firstLine="6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甲方：南京市中医院</w:t>
      </w:r>
      <w:r/>
    </w:p>
    <w:p>
      <w:pPr>
        <w:ind w:left="0" w:right="0" w:firstLine="6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签字：（授权签字）_________________</w:t>
      </w:r>
      <w:r/>
    </w:p>
    <w:p>
      <w:pPr>
        <w:ind w:left="0" w:right="0" w:firstLine="6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乙方：供应商名称              </w:t>
      </w:r>
      <w:r/>
    </w:p>
    <w:p>
      <w:pPr>
        <w:ind w:left="0" w:right="0" w:firstLine="6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签字：（授权签字）__________________</w:t>
      </w:r>
      <w:r/>
    </w:p>
    <w:p>
      <w:pPr>
        <w:ind w:left="0" w:right="0" w:firstLine="62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   月  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安全生产承诺书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设备/软件安装（含维修）单位的消防、安全生产、治安管理工作责任人在</w:t>
      </w:r>
      <w:r>
        <w:rPr>
          <w:rFonts w:ascii="SimSun" w:hAnsi="SimSun" w:eastAsia="SimSun" w:cs="SimSun"/>
          <w:b/>
          <w:color w:val="000000"/>
          <w:sz w:val="21"/>
          <w:u w:val="single"/>
        </w:rPr>
        <w:t xml:space="preserve">南京市中医院</w:t>
      </w:r>
      <w:r>
        <w:rPr>
          <w:rFonts w:ascii="SimSun" w:hAnsi="SimSun" w:eastAsia="SimSun" w:cs="SimSun"/>
          <w:color w:val="000000"/>
          <w:sz w:val="21"/>
        </w:rPr>
        <w:t xml:space="preserve">的指导下，全面负责本单位相关设备/软件安装（含维修）期间的消防、安全生产和治安防范工作，履行下列职责：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一、贯彻执行消防法规、建筑法规、安全治安管理有关法律法规，自觉接受信息管理部门的安全管理领导。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二、设备/软件安装（含维修）管理必须坚持“安全第一、预防为主”的方针，软件安装（含维修）单位的法定代表人对本单位在</w:t>
      </w:r>
      <w:r>
        <w:rPr>
          <w:rFonts w:ascii="SimSun" w:hAnsi="SimSun" w:eastAsia="SimSun" w:cs="SimSun"/>
          <w:b/>
          <w:color w:val="000000"/>
          <w:sz w:val="21"/>
          <w:u w:val="single"/>
        </w:rPr>
        <w:t xml:space="preserve">南京市中医院智慧中医人工智能应用基础建设项目</w:t>
      </w:r>
      <w:r>
        <w:rPr>
          <w:rFonts w:ascii="SimSun" w:hAnsi="SimSun" w:eastAsia="SimSun" w:cs="SimSun"/>
          <w:color w:val="000000"/>
          <w:sz w:val="21"/>
        </w:rPr>
        <w:t xml:space="preserve">的安全生产负责。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三、设备/软件安装（含维修）单位必须依法加强对医疗设备安全施工的管理，执行安全生产责任制度，采取有效措施，防止伤亡和其他安全生产责任事故的发生。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四、设备/软件安装（含维修）单位应当建立健全劳动安全生产教育培训制度，加强对职工安全生产的教育和培训，未经安全生产教育培训人员不得上岗作业。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五、设备/软件安装（含维修）的施工人员在</w:t>
      </w:r>
      <w:r>
        <w:rPr>
          <w:rFonts w:ascii="SimSun" w:hAnsi="SimSun" w:eastAsia="SimSun" w:cs="SimSun"/>
          <w:b/>
          <w:color w:val="000000"/>
          <w:sz w:val="21"/>
          <w:u w:val="single"/>
        </w:rPr>
        <w:t xml:space="preserve">南京市中医院智慧中医人工智能应用基础建设项目</w:t>
      </w:r>
      <w:r>
        <w:rPr>
          <w:rFonts w:ascii="SimSun" w:hAnsi="SimSun" w:eastAsia="SimSun" w:cs="SimSun"/>
          <w:color w:val="000000"/>
          <w:sz w:val="21"/>
        </w:rPr>
        <w:t xml:space="preserve">施工过程中，应当遵守有关安全生产的法律、法规和建筑行业、医疗设备行业的安全规章（规程），不得违章指挥或违章作业。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设备/软件安装（含维修）单位应当在施工现场采取维护安全、防范危险、预防火灾等措施，施工现场对毗邻的建筑、构筑物、其他设备和特殊作业环境可能造成伤害的，设备/软件安装（含维修）单位应当采取措施加以保护。设备/软件安装（含维修）单位在施工现场应注意对现场施工人员、医护人员、就诊患者及家属的安全防护，做好场地围挡、现场维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七、设备/软件安装（含维修）单位应加强对在</w:t>
      </w:r>
      <w:r>
        <w:rPr>
          <w:rFonts w:ascii="SimSun" w:hAnsi="SimSun" w:eastAsia="SimSun" w:cs="SimSun"/>
          <w:b/>
          <w:color w:val="000000"/>
          <w:sz w:val="21"/>
          <w:u w:val="single"/>
        </w:rPr>
        <w:t xml:space="preserve"> 南京市中医院</w:t>
      </w:r>
      <w:r>
        <w:rPr>
          <w:rFonts w:ascii="SimSun" w:hAnsi="SimSun" w:eastAsia="SimSun" w:cs="SimSun"/>
          <w:color w:val="000000"/>
          <w:sz w:val="21"/>
        </w:rPr>
        <w:t xml:space="preserve"> 施工的工程人员的管理，并将在我单位施工的所有工作人员名单上报到</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南京市中医院</w:t>
      </w:r>
      <w:r>
        <w:rPr>
          <w:rFonts w:ascii="SimSun" w:hAnsi="SimSun" w:eastAsia="SimSun" w:cs="SimSun"/>
          <w:color w:val="000000"/>
          <w:sz w:val="21"/>
        </w:rPr>
        <w:t xml:space="preserve"> 信息管理部门备案，接受甲方动态监督。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设备/软件安装（含维修）单位因违反上述规定引起事故、造成人员伤亡及财产损失的，由设备/软件安装（含维修）单位负全部责任，并承担受损单位的经济赔偿责任，对屡教不改的设备/软件安装（含维修）单位，甲方有权中止采购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十、请认真阅读以上规定，签字（盖章）后，表示已同意遵守甲方有关消防、安全生产、治安保卫规定，甲方对本制度有最终解释权。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软件安装（维护）单位（章）：供应商名称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   月  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u w:val="none"/>
        </w:rPr>
        <w:t xml:space="preserve">一、项目属性：</w:t>
      </w:r>
      <w:r>
        <w:rPr>
          <w:rFonts w:ascii="SimSun" w:hAnsi="SimSun" w:eastAsia="SimSun" w:cs="SimSun"/>
          <w:color w:val="000000"/>
          <w:sz w:val="21"/>
        </w:rPr>
        <w:t xml:space="preserve">货物类项目。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工智能迅猛发展的时代，AI与大模型浪潮正深刻地改变着各行各业，医疗领域也不例外。中医药作为中华民族的瑰宝，拥有数千年的历史和丰富的实践经验，但在现代社会的快速发展中，也面临着诸多挑战与机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作为南京市的重要中医医疗机构，南京市中医院积极响应政策号召，近年来持续推进智慧医院建设，并率先启动智慧中药药事服务管理项目。在此基础上，进一步深入推进数智中医项目建设，不仅是医院顺应时代发展潮流、提升自身竞争力的必然选择，更是落实国家和地方政策要求，为广大患者提供更加优质、便捷、高效中医药服务的重要举措。</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作为数智中医建设的首期工程，将重点完成基础平台搭建，为后续应用层面的深化建设奠定技术底座。后续建设将围绕智能诊疗应用、中西医协同决策系统、患者服务智能化等方向展开，逐步实现数智中医全场景覆盖。最终，为后续构建金陵医派大模型，肛肠专科大模型等核心能力，筑牢坚实的基础设施底座，全方位提升南京市中医院的人工智能应用水平，为中医药现代化发展注入强劲动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江苏省推动中医药振兴发展重大工程实施方案》，南京市中医院数智中医项目旨在通过全面应用人工智能技术，使中医药服务体系更加健全，服务功能更加完善，中西医结合防病治病水平显著提高，中医药传承创新能力明显增强，中医药特色人才队伍建设加快推进，中药质量不断提升，中医药文化传播体系更加完善，中医药国际影响力进一步扩大，促进中医药高质量发展的体制机制和政策体系进一步优化，中医药振兴发展取得显著成效，中医药成为全面推进健康江苏建设的重要支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中医院“数智中医”致力于将数字化、人工智能、大数据、云计算、物联网等现代信息技术深度融合应用于医院运营、管理、诊断和治疗等各个环节，以提升医疗服务质量、效率和患者体验。整体设计方案以多模态医学垂类大模型为核心，强化AI能力中心建设，平台与院内核心业务系统实现一体化对接。在多模态医学诊疗大数据的基础上，依托“大影像+大模型+大科研”基座能力，通过提供覆盖院前、院中、院后全流程的智能体应用，以平台化、一站式的方式赋能临床诊疗、患者服务、医院管理场景，并通过AI算法实现对医院数据资产的全面治理与挖掘利用，在</w:t>
      </w:r>
      <w:r>
        <w:rPr>
          <w:rFonts w:ascii="SimSun" w:hAnsi="SimSun" w:eastAsia="SimSun" w:cs="SimSun"/>
          <w:color w:val="000000"/>
          <w:sz w:val="21"/>
        </w:rPr>
        <w:t xml:space="preserve">实际业务场景中持续沉淀高质量数据要素，构建全院数据资产闭环。实现以人工智能为核心驱动，全面提升医院医疗服务质量与管理效率，助力医院完成数智化转型。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数智中医院建设通过诊疗、服务、管理多维度的数智化升级，全方位赋能医院高质量发展。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数字人体开放平台为基石，在智慧中医领域，致力于让医疗具备“思考”能力，依托中西医结合优势，融合数智中医临床、数智中医医技、数智中医专病专科协同发力，覆盖诊疗救治全环节，推动诊断更精准、治疗更高效，全面赋能南京市中医院智慧中医发展。围绕智慧服务升级，坚持让服务富有“温度”，通过贯穿“诊前-诊中-诊后”的健康咨询、智慧分诊、报告解读等高效智能体应用，实现从挂号到随访全流程优化患者服务体验。围绕数智管理升级，让管理有“抓手”，通过构建数智科教研中心、数智管理中心、区域协作中心，全面助力医院科研教学、运营质效、资</w:t>
      </w:r>
      <w:r>
        <w:rPr>
          <w:rFonts w:ascii="SimSun" w:hAnsi="SimSun" w:eastAsia="SimSun" w:cs="SimSun"/>
          <w:color w:val="000000"/>
          <w:sz w:val="21"/>
        </w:rPr>
        <w:t xml:space="preserve">源联动能力提升。</w:t>
      </w:r>
      <w:r/>
    </w:p>
    <w:p>
      <w:pPr>
        <w:numPr>
          <w:ilvl w:val="0"/>
          <w:numId w:val="2"/>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项目建设遵循标准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遵循国家、行业及地方现行的规范和标准。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三、产品清单</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6"/>
        <w:gridCol w:w="2034"/>
        <w:gridCol w:w="675"/>
        <w:gridCol w:w="629"/>
        <w:gridCol w:w="1321"/>
        <w:gridCol w:w="1122"/>
        <w:gridCol w:w="1057"/>
        <w:gridCol w:w="1038"/>
        <w:gridCol w:w="793"/>
      </w:tblGrid>
      <w:tr>
        <w:trPr>
          <w:trHeight w:val="47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单价报价上限（元）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所属行业类型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产品属性</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模型算力调度一体机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模型数据过滤网关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模型数据交换机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联动防御系统数据防护一体机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模型国产化高级威胁监测分析及漏洞系统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大模型应用流量镜像交换机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大模型调度平台硬件管理交换机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数据中心AI数字运维官平台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大模型国产化策略隔离系统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系统集成服务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注：系统集成服务报价不能为0，若为0按无效报价处理。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四、拟采购标的需要满足的技术、商务要求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color w:val="000000"/>
          <w:sz w:val="21"/>
        </w:rPr>
        <w:t xml:space="preserve">一）技术要求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1.产品技术指标</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4"/>
        <w:gridCol w:w="1708"/>
        <w:gridCol w:w="7042"/>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模型算力调度一体机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1.一体机要求：通过对算力资源统一接入、统一标识与统一管理，为模型训练和推理提供稳定、可控的算力底座，满足医疗单位算力资源规范化管理要求；2U标准机架式；配置CPU≥2颗国产化CPU 、≥32C、 ≥每颗基础频率规格不低于2.5GHZ ≥260W；内存≥8根64GB DDR5, ≥32根内存插槽；系统盘≥2块480GB SSD（Raid1）；数据盘≥8块3.84T NVME ；配置直通硬盘控制器；网络接口≥3块双+E4:E19口10/25Gb以太网卡（带模块）；配置冗余电源模块，企业级远程管理模块；一体机要</w:t>
            </w:r>
            <w:r>
              <w:rPr>
                <w:rFonts w:ascii="SimSun" w:hAnsi="SimSun" w:eastAsia="SimSun" w:cs="SimSun"/>
                <w:color w:val="000000"/>
                <w:sz w:val="21"/>
              </w:rPr>
              <w:t xml:space="preserve">求国产化数据库正版化≥1套，提供数据专线对接大模型算力平台实现算力调度融合调度；GPU总算力（FP16/BF16 Tensor Core稠密模式）≥7.5 PFlops，由 8 张高性能GPU卡聚合提供，单卡显存≥80GB，支持全互联架构、时间不能少于8个月；为保证数据安全提供的算力必须独立的专区运行；</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2.平台要求：</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▲（1）接入要求：支持对裸金属、虚拟化及云主机等多形态算力资源的统一纳管，兼容GPU、NPU（昇腾）等异构算力，包括昇腾910B、NVIDIA Tesla T4、NVIDIA H800等，可实现跨区域、跨资源池集中管理；</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（需提供功能界面截图并加盖投标人公章）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（2）算力切片：平台算力卡规格支持按显存切片、多卡组合模式，提供算力卡时计量和模型Token计量能力；</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（3）弹性扩容：支持任务进程中对于算力规格、存储、带宽资源进行增减配；</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3.国产适配：适配CPU、NPU等国产化硬件；适配国产化操作系统；支持多种国产化学习框架；</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源监控：支持节点资源监控，算力平台具备完善的节点级系统资源监控功能，支持对CPU、GPU、内存、磁盘及网络等关键指标进行实时采集与可视化展示，平台提供直观的监控界面；CPU利用率：实时监控节点CPU核心整体及单核利用情况、内存利用率、磁盘读写速率、算力性能监控、GPU利用率、GPU显存使用率、GPU卡间互联通信速率、算力用量监控、算力用量实时监控、精细化计量机制；</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5.算力调度：支持对算力统一资源调度，支持算力资源切片、并行及弹性调度；支持单机与分布式训练调度，提升资源利用效率，避免算力碎片化，保障多用户、多任务并发场景下算力资源高效有序运行；</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6.容器与镜像管理与集成：</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容器与镜像的统一管理能力，支持镜像存储、版本管理；通过标准化运行环境，保障模型训练与推理环境一致性，降低部署与运维复杂度，提升模型交付效率，适配医疗系统对稳定性和可控性的要求；集成Jupyter、VS Code、Tensor Board等流行集成工具；为用户提供集成环境；图形化Desktop界面，使得用户能够像操作本地电脑—样进行操作平台提供 API 接口，实现算力服务与其他平台对接调度；</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仓库管理：高效的仓库管理功能,包括镜像的上传、下载、删除等，镜像管理：支持镜像的版本控制,方便用户管理和使用不同版本的镜像；允许用户将自己的镜像推送到镜像平台,便于管理和分发；镜像和仓库共享：提供镜像和仓库的共享机制,促进团队协作和资源复用；镜像预制：预置pytorch、tensorflow、paddlepaddle等多种国内外基础镜像；</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7.文件与存储管理：支持统一的文件与存储管理能力，支持高性能分布式存储，满足大规模数据读写需求；实现数据集、模型文件等资源的集中管理、权限控制与安全访问，为模型训练和推理提供数据支撑；</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分布式存储、对象存储、共享存储、缓存盘，支持用户上传等操作，可通过WEB界面统—管理存储，能对分布式存储进行挂载和资源，可新增、删除存储卷并设置其名称、容量和所有者权限；支持共享目录给指定用户并设置只读/读写权限；</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8.支持文件与存储管理、支持模型一键部署与统一管理，可将模型快速发布为在线服务，并通过标准 API 对外提供能力；平台支持版本管理与弹性扩缩容、支持标准化模型训练服务，支持单卡、多卡及多机分布式训练，兼容主流深度学习框架；通过统一调度与训练环境管理，简化训练流程，提升训练效率，为科研与医疗智能场景提供稳定、可复现的模型训练能力、支持数据集与模型资源的统一管理与安全共享；数据共享服务促进资源复用与协同创新、支持预置主流Qwen、Deepseek开源大模型和数据集，支持用户一键调用；</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9.具备租户级别的算力，存力，Token配额限制能力；</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支持计量能力，支持按算力使用量进行精细化核算，提供使用统计与费用分析功能，满足医疗单位算力成本管理、预算控制与审计合规等管理要求、支持记录登录日志和操作日志，为平台安全和故障诊断提供信息；</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▲11.支持无GPU模式启动用户任务，用户可以使用无GPU卡模式启动任务；（提供功能界面截图并加盖投标人公章）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支持多智能体协同工作，通过画布拖拽节点定义对话流程，支持智能体节点、支持上架审核与公开范围设置；智能体可选多模态模型，并进行多模态解读；对话内容支持生成有md形式的表格，并支持下载；支持智能体、管理、创建、编排、调试、使用的全生命周期管理与外部API对接；支持管理工作流、创建工作流；配置工作流、工作流、发布分享还原使用等；</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支持在工作流编排中添加插件节点、大模型节点、Python节点、代码节点、知识库节点、数据库节点、工作流节点、Agent节点、多模态节点等；支持对话内容支持生成有md形式的表格，并支持下载，知识库节点可通过语义、全文、混合等方式查询知识库以及自定义最低相关度和知识引用上限，代码节点可以编写Javascript\python代码，支持通过自定义创建或模板快速搭建工作流，提供不少于5种灵活的工作流调用方式，支持广场对话、智能体集成、工作流嵌套、API共享和页面嵌入；</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14.支持用户自定义插件名称、描述、分类及图标，支持基于已有服务和在线编辑器两种创建方式；</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15.支持发布、调试、上架、下架、复制等操作；支持2种模式进行创建插件；</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16.支持知识库列表：支持列表展示知识库信息，并按编辑时间排列；提供模糊搜索功能，支持根据名称、标签以及状态进行搜索；</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知识库启停：支持对单个知识库进行启用或停用操作，停用后该知识库不可选择；知识库编辑：支持用户可编辑知识库的基本信息，如名称和描述；提供调试功能，帮助验证知识库的可用性和功能完整性；知识库调试：支持用户对知识库的最终效果进行调试；</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17.支持文本知识切分功能，提供智能拆分、段落拆分；</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18.支持用户通过本地文件上传照片知识，并提供智能标注和人工标注功能来解析照片；</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19.支持多种表格知识上传方式，包括本地上传、API接口和自定义导入；</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MCP服务创建：支持创建MCP服务，填写服务名称、描述信息以及服务配置参数等；MCP支持Streamable类型，MCP服务信息编辑：支持编辑MCP的名称、描述及配置参数等内容；MCP服务上架/下架：支持将MCP服务上架至MCP广场或从MCP广场中进行下架，工具调试：支持在MCP平台中创建和编辑页面时，解析工具列表，并对各工具进行调试；</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（提供功能界面截图并加盖投标人公章）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21.支持工具广场中进行MCP服务查看；支持MCP服务的基本概述及其工具清单；收藏，支持收藏MCP服务；</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22.支持3种分段设置包括智能切分、QA、自定义分隔符；</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▲23.支持通过秘钥访问智能体；</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（提供功能界面截图并加盖投标人公章）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24.支持以列表的方式展示用户平台的记录，如用户账号、时间、状态等。</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模型数据过滤网关</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1.配置要求：产品支持并发数≥100QPS；</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本功能要求：支持对原有模型服务无侵入，以中间层代理形式部署在用户与大模型服务之间，可根据实际需求在任何节点进行调用；覆盖文本、图像等实时安全防护能力，对多模态数据检测延迟不超过200ms，检测精度95%以上，可自动阻断各类恶意内容传输；测试界面友好简易，需要具备前端测试界面，以对话的方式进行输入、输出的安全检测，并能实时看到各类风险评分、检测及代答结果；需要具备前端测试界面，以对话的方式进行输入、输出的安全检测，并能实时看到各类风险评分、检测及代答结果；</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AI大模型网关防护：支持输入输出双重安全防护，包括检测和防护提示词注入攻击，支持将大模型输入和输出内容进行无害化，防止模型中的敏感数据泄露；检测需依赖于预训练的垂域安全模型而非静态敏感词特征库；可根据业务需求选择仅输入拦截、仅输出拦截、全链路拦截，输入端在恶意访问到达业务模型之前进行拦截；识别覆盖20+种主流大模型攻击手段，支持对越狱攻击、自动化对抗、后门攻击、数据污染、梯度操控、模型替换、供应链投毒等进行安全检测，防护成功率95%以上；支持对数据外泄的检测和隐私防护，包括成员推断性攻击防护、数据收集、</w:t>
            </w:r>
            <w:r>
              <w:rPr>
                <w:rFonts w:ascii="SimSun" w:hAnsi="SimSun" w:eastAsia="SimSun" w:cs="SimSun"/>
                <w:color w:val="000000"/>
                <w:sz w:val="21"/>
              </w:rPr>
              <w:t xml:space="preserve">数据删除、数据共享、数据访问控制、数据授权管理等行为的管理，防护成功率95%以上；</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4.内容审查：具备60+安全合规评估标准，标准包含违法犯罪、偏见歧视、暴力、政治敏感等；</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拦截响应安全审计：支持自定义黑名单，可根据业务需求自定义敏感关键词、选择所属大类及子类，作为对产品预定义分类的补充，产品可依据新的设定进行检测和拦截；产品支持策略组拦截，支持60+风险类别评分设定不同的风险阈值，结合业务特点组合为自定义策略组；</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产品具备安全代答能力，判断出输出或输出存在风险，可代替业务模型做出安全回答，做出回答风险的判定理由及正向价值引导。数据看板实时展示风险请求数和无风险请求数，可按照时间线以趋势图的方式展示模型活动记录；（提供产品功能界面截图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7.依据《GB/T 45654—2025 网络安全技术生成式人工智能服务安全基本要求》，展示5大类安全风险：违反社会价值观、包含歧视性内容、商业违法违规、侵犯他人权益、无法满足特定服务类型的安全需求，并展示各类风险的占比；日志中心可展示检测状态、日期、模型路径、会话ID、输入与输出判定结果与风险数量统计；并支持下钻查看日志详情，记录原始模型输入及输出内容，大模型策略隔离系统风险标记、判定结果、代答详情等；支持安全审计日志功能，记录系统所有操作行为、安全事件等信息，日志存储周期不少于180天，支持快速检索与分</w:t>
            </w:r>
            <w:r>
              <w:rPr>
                <w:rFonts w:ascii="SimSun" w:hAnsi="SimSun" w:eastAsia="SimSun" w:cs="SimSun"/>
                <w:color w:val="000000"/>
                <w:sz w:val="21"/>
              </w:rPr>
              <w:t xml:space="preserve">析。</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模型数据交换机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1.转发性能：交换容量≥4.8Tbps，包转发率≥2000Mpps；</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2.硬件规格：电源1+1备份，风扇3+1备份；40/100 GE光接口≥8个，10GE/25GE光端口数量≥48个；</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▲3.国产化要求及功能要求：CPU（处理器）均为国产芯片；Netstream满足 1:1采样；支持MAC漂移联动端口error-down；</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（提供第三方检测机构出具的具有CMA或CNAS标识的测试报告并加盖投标人公章）</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4.链路捆绑要求：支持M-LAG或vPC或DRNI等跨机箱链路捆绑技术；</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5.三层功能：支持RIP、OSPF、ISIS、BGP等IPv4动态路由协议；支持RIPng、OSPFv3、ISISv6、BGP4+等IPv6动态路由协议；</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6.配置和维护：支持ERSPAN增强；</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7.功能要求：支持MPLSQoS：支持PQ,WRR,DRR,PQ+WRR,PQ+DRR调度方式；提供广播风暴抑制功能；DC特性：支持FCoE/PFC/ETS/DCBX；支持QinQ Access VXLAN组播：支持组播VXLAN；支持组播流量抑制；可靠性：支持VRRP、VRRP负载分担、BFD for VRRP；支持集群或堆叠多虚一技术，实现单一界面管理多台设备；安全性：支持方式Ddos、arp攻击和ICMP攻击；支持RMON。</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联动防御系统数据防护一体机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1.配置要求：CPU：核心数≥2*20核，线程数≥2*40线程，主频≥2.30GHz，缓存≥30MB；内存容量：≥512GB DDR4；硬盘容量：6*8TB SATA 硬盘+480G SSD +960G SSD；硬盘盘位数：≥8；RAID卡：RAID5；板载网口：≥4个千兆电口；标配网卡：≥4个万兆光口，带光模块；PCIE插槽总数：≥6个，闲置4个PCIE槽位；管理口：≥1个HDM；显示器接口：≥1个VGA（后置）；USB口：≥3个USB3.0（前1后2）；电源：2*550W冗余电源；机箱规格：2U机架式；</w:t>
            </w:r>
            <w:r>
              <w:rPr>
                <w:rFonts w:ascii="SimSun" w:hAnsi="SimSun" w:eastAsia="SimSun" w:cs="SimSun"/>
                <w:color w:val="000000"/>
                <w:sz w:val="21"/>
              </w:rPr>
              <w:t xml:space="preserve">托管资产授权：5000点；</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本功能要求：支持界面化配置规范化规则，实现采集的日志格式归一化，解析规则支持正则表达式，支持多级解析提取嵌套字段，日志解析支持划词提取，支持划词选中日志中任意字符串，自动生成正则解析语句；支持日志字段映射，能够将原始日志映射为统一标准日志；支持字段映射方式包括:直接赋值、值映射默认值、时间戳、时间格式化等，支持针对不同的日志格式在赋值时选择Unicode解码、Base64解码、Hex解码等方式进行直接解码转换，提高日志格式转换工作效率；</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3.资产管理：</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（1）支持资产的多源数据融合，可有效结合终端、流量探针、主动扫描等方式发现的网内资产，对资产覆盖度更加彻底，大幅降低资产管理盲区；支持基于资产硬件指纹特征生成唯一标识ID（Agent ID），可有效解决传统方案因资产IP变化导致资产重复统计的问题；</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（2）为有效解决医院在网络攻击面管理中面临的“已知IP，未知资产”的普遍性难题，产品应具备将网络侧发现的未知IP资产与端侧采集的详细资产信息进行自动化关联与信息补全的能力；</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为每个资产提供独立的全景安全视图页面，集成展示资产概览信息（包括漏洞，安全事件的处置情况，安全事件发生趋势，漏洞风险趋势，漏洞风险分布，安全事件占比等）、漏洞信息（包括具体的漏洞名称，漏洞等级，漏洞类型，漏洞标号，cve编号，CNVD编号,CNNVD编号，当前处理人，处置状态等），弱密码（应包括具体的弱密码类型，用户名，密码，资产类型，资产等级，资产状态，组织机构，发现时间，最近更新时间，当前处理人，处置状态等详细信息），安全事件（包括具体的事件名称，威胁等级，攻击者IP，受害者IP，事件状态，检</w:t>
            </w:r>
            <w:r>
              <w:rPr>
                <w:rFonts w:ascii="SimSun" w:hAnsi="SimSun" w:eastAsia="SimSun" w:cs="SimSun"/>
                <w:color w:val="000000"/>
                <w:sz w:val="21"/>
              </w:rPr>
              <w:t xml:space="preserve">测引擎，事件的开始，结束时间，攻击结果，处置结果等），安全告警（包括具体的告警名称，威胁等级，攻击者IP，受害者IP，告警状态，检测引擎，告警的开始，结束时间，攻击结果，处置结果等）、信立方综合解读等信息（包括分析摘要，资产总览，关联脆弱性分析，关联告警，事件分析，处置建议等）；</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自定义资产状态自动确认规则于下线规则，通过自定义规则，指定符合条件的资产，自动成为确认的状态或者下线的状态，提高运营效率；自动确认规则与自动下线规则的配置条件支持IP、MAC地址、主机名称、公网地址、操作系统名称、操作系统内核、操作系统类型、AgentID、Agent状态、遏制状态、暴露面、资产类型、资产登记、资产组、业务系统、组织名称、安全域、责任人姓名、责任人邮箱、责任人电话、客户端安装时间、客户端注册时间、最后上线时间、资产来源，根据业务需求自定义配置规则；</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（5）脆弱性管理：能根据资产的精确版本信息与本地漏洞信息进行匹配，以精准发现资产的漏洞信息，且要求投标产品本地漏洞库不少于320000条；</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4.威胁分析：</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（1）产品须内置基于MITRE ATT&amp;CK框架的战略级威胁可视化模块。该模块应能以热力图形式直观展示攻击战术与技术的全局分布，并实时动态统计与高亮显示被告警命中的具体战术、技术及其命中数量。当用户点击任一被命中的战术技术时，系统应支持交互式下钻，直接跳转并列出所有关联告警。此告警列表至少需包含：告警名称、威胁等级、受害者IP、状态、开始/结束时间、处置结果、威胁分类及“查看详情”操作入口。通过“查看详情”操作，用户可进一步下钻至单个告警的完整上下文页面，该页面必须全面展示攻击者信息、受害者信息、告警摘要、</w:t>
            </w:r>
            <w:r>
              <w:rPr>
                <w:rFonts w:ascii="SimSun" w:hAnsi="SimSun" w:eastAsia="SimSun" w:cs="SimSun"/>
                <w:color w:val="000000"/>
                <w:sz w:val="21"/>
              </w:rPr>
              <w:t xml:space="preserve">取证信息、标准日志、关联的脆弱性、关联资产、处置响应措施以及完整的告警字段等详细信息，以实现从宏观战略研判到微观事件取证的全流程闭环分析；</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AI建模场景引导，通过引导方式选择数据源及场景，进入自定义融合建模场景配置。支持通过前台拖拽预定义算子的方式进行场景模型的配置，支持配置各实例化算子的参数信息和启动场景任务。支持机器人登录检测、账号短时异地登录检测、资产可疑内部访问行为等高级威胁场景，同时支持展示建模过程的数据流向，确保模型的准确性。</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联动处置能力：支持IP封堵，域名封堵，终端隔离，文件隔离，进程处置等多维处置能力；支持通过联动终端安全/主机安全软件，对终端上的恶意文件进行隔离，而不仅限于网络层封禁；支持通过终端安全/主机安全软件，实时终止终端上正在运行的恶意进程（如挖矿、远控）；支持通过预案管理，在一个预案中同时完成对恶意IP/域名的网络阻断和对终端，恶意文件的隔离清除；平台具备比传统方案（仅能封IP）更精细的处置粒度，能精准清除恶意对象（如Webshell）而不影响资产正常业务；平台支持预案管理功能，在特定攻击事件被触发时，能自动</w:t>
            </w:r>
            <w:r>
              <w:rPr>
                <w:rFonts w:ascii="SimSun" w:hAnsi="SimSun" w:eastAsia="SimSun" w:cs="SimSun"/>
                <w:color w:val="000000"/>
                <w:sz w:val="21"/>
              </w:rPr>
              <w:t xml:space="preserve">执行系列操作（如隔离文件、终止进程、阻断IP）；</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处置：支持设置剧本的执行时间，包括单次执行、周期性重复执行。重复执行支持按分、时、天、周、月设置指定时间执行，支持设计周期性执行的开始时间和结束时间。支持剧本自定义编排，可根据不同联动需求，通过拖拽插件、剧本自定义形成安全预案，实现安全流程的自动化处置。</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模型国产化高级威胁监测分析及漏洞系统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1.配置要求：</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（1）2U标准机架式设备；板载自带接口：≥4个千兆电口；≥2个万兆光口；存储：≥8T；CPU：20/40T；内存：≥128G；电源：AC电源*2；扩展插槽：≥2；网络层吞吐率：≥6Gbps；</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漏洞扫描虚拟化版，内置系统漏洞扫描模块（支持数据库漏洞扫描）。无限ip授权。软硬一体化1U标准机架式设备；标配≥4个千兆电口；处理能力：≥15000文件/天；沙箱个数：≥15个；电源：550W*2；CPU：8核*2；内存：≥32G；硬盘容量：≥2T；</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多种工作模式，包含：正常模式：所有样本都经过静态扫描，沙箱支持的格式的样本都经过动态分析；快速模式：所有样本都经过静态扫描，前置静态引擎发现可疑（置信度低）的样本送动态分析；极速模式：所有样本只做静态扫描；可根据用户对处理速度、检测率和报告的详细程度的不同需求进行调整，选择方式多灵活性高。具备账号管理机制，支持多角色权限；提供SSH远程调试模式；提供网页接口，可让授权用户手动提交可疑威胁对象；允许多位用户同时登入系统；</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▲2.威胁检测能力：恶意文件传输的实时还原和检测能力。支持针对常用的文件传输协议包括：HTTP、FTP、SMTP、POP3、IMAP、SMB等协议进行网络传输文件的实时还原，并使用病毒检测引擎做实时检测的能力；</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（提供功能界面截图并加盖投标人公章）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3.威胁分析能力：</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（1）提供内置沙箱系统，内置沙箱允许用户导入自定义镜像，并支持Win XP、Win 2003server、Win 7等主流Windows平台沙箱镜像；</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置沙箱能够对未知漏洞利用代码和恶意程序的以下行为进行动态分析：1)进程操作行为；2)文件操作行为，文件删除、下载、共享或者复制；3)系统配置操作行为，自运行或其他系统配置；4)网络通信行为，控制与命令(C&amp;C)违规外联；5)恶意未知威胁逃逸行为；6)内存镜像分析，畸形，有瑕疵，或者带有已知威胁特征，劫持、重定向，或数据窃取，进程、服务，或者内存对象被篡改；</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（3）支持8000多CVE漏洞检测规则，支持2000多种符合国家安全要求的漏洞检测，支持200多个国产厂商的系统或软件的漏洞检测，涵盖国产化系统常见的OA、ERP、CRM、数据库等系统；</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识别流量中的个人敏感信息，包括身份证、银行卡、手机号、港澳通行证等，并展示传输信息的协议、网站域名、URL、客户端IP、服务端IP，便于用户发现敏感信息的传输安全隐患和处置。内置常见的弱密码字典，条数不低于一万条，并且每一条都包含对应的MD5、SHA1和Base64编码等常见的变化方式，适应更多的密码检测场景。其中每一条内置的弱密码都可以单独的开启和关闭。能够以某个恶意文件为中心，溯源整个文件的流转记录，并以图形化方式展示出来，直观展示在不同时间点上该恶意文件在不同主机服务器上的传播路径，支持文</w:t>
            </w:r>
            <w:r>
              <w:rPr>
                <w:rFonts w:ascii="SimSun" w:hAnsi="SimSun" w:eastAsia="SimSun" w:cs="SimSun"/>
                <w:color w:val="000000"/>
                <w:sz w:val="21"/>
              </w:rPr>
              <w:t xml:space="preserve">件下载；</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（提供功能界面截图并加盖投标人公章）</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能够通过智能算法研判出风险主机的IP、最近更新时间、主机风险状态、攻击结果、规则触发次数以及风险因素等信息的能力。能够提供攻击详情分析，包含风险信息概览，攻击链阶段，攻击关系图，风险主机涉及的告警列表详情，入侵检测攻击上下文、资产相关的信息等；</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（提供功能界面截图并加盖投标人公章）</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▲（6）具备恶意扫描行为监测、钓鱼攻击监测、地址欺骗监测、漏洞攻击监测、恶意程序攻击监测、异常网络通信行为监测、逃避监测防护、未知威胁监测、未知威胁分析能力；</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（提供第三方检测机构出具的具有CMA或CNAS标识的测试报告并加盖投标人公章）</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4.漏洞扫描软件功能要求</w:t>
            </w:r>
            <w:r>
              <w:rPr>
                <w:rFonts w:ascii="SimSun" w:hAnsi="SimSun" w:eastAsia="SimSun" w:cs="SimSun"/>
                <w:b/>
                <w:color w:val="000000"/>
                <w:sz w:val="21"/>
              </w:rPr>
              <w:t xml:space="preserve">：</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超过20万种漏洞的检测，涵盖所有主流网络对象；采用国际通用CVSS漏洞评分系统，同时兼容CVE、CNCVE、CNVD、CNNVD等数据库；覆盖了众多类型的应用程序（如Adobe类、浏览器类、apache类等）、操作系统（如Unix、国产化系统、windows系统等）和数据库（如oracle、sqlserver、postgresql等）；支持口令猜测：支持的协议类型30+；</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扫描目标支持：IPV4,IPV6,域名同时下发。系统漏洞数量&gt;300000条；CVE漏洞数量&gt;28,0000条；系统原理扫描漏洞数量&gt;1800条；所有的漏洞信息都能够在产品中随机进行浏览和多维度检索。支持对弱验证码逻辑漏洞的扫描策略配置。支持智能服务识别、授权登录扫描、多路扫描（可以同时对多个隔离网络进行扫描）等；（提供功能界面截图并加盖投标人公章）</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漏洞知识库兼容CVE、CNCVE、CNNVD、CNVD、CVSS、Bugtraq等主流标准。支持的协议：支持HTTP、HTTPS协议。支持的编程语言：Asp、Jsp、.Net、J2EE、Php等。支持的数据库类型：Access、Mysql、ORACLE、DB2、PostgreSQL、Sybase、Informix、sqlite、MSSQL SERVER等。支持的第三方组件：WordPress、eWebEditor、FCKeditor、Struts2等。WEB漏洞知识库兼容CVE、CNNVD等主流标</w:t>
            </w:r>
            <w:r>
              <w:rPr>
                <w:rFonts w:ascii="SimSun" w:hAnsi="SimSun" w:eastAsia="SimSun" w:cs="SimSun"/>
                <w:color w:val="000000"/>
                <w:sz w:val="21"/>
              </w:rPr>
              <w:t xml:space="preserve">准；</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（4）支持检测的漏洞种类需覆盖：OWASP TOP10、OA系统漏洞、邮箱系统漏洞、集权设备漏洞、CMS漏洞、集成框架漏洞、网络设备漏洞、操作系统漏洞、数据库漏洞、应用服务器漏洞、Web中间件漏洞、智能设备漏洞、移动终端漏洞、工控设备漏洞等。</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5.高级威胁样本分析：</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支持文件、URL、URL列表（IP、Domain）、捆绑文件的提交分析；内建扫毒引擎，支持样本预扫毒功能；通过本地和云端URL评估数据库查询，支持URL（IP/Domain）样本预过滤功能；支持样本文件信息提取、解压、附件提取和URL提取等处理之后再进行静态和动态检测；支持280+真实文件类型的识别；</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能够对样本进行过滤去重减少分析数量；沙箱能够对恶意样本的以下行为进行动态分析：进程操作行为、文件操作行为、系统配置操作行为、网络通信行为、内存镜像分析、休眠逃逸、虚拟层检测、加壳检测、躲藏、欺骗、注册表操作行为、劫持、重定向或数据窃取等行为；</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（3）支持Win XP、Win 2008 &amp; 2012 server、Win 7、Win 10、Win11等主流Windows平台沙箱镜像，Linux支持Ubuntu18平台沙箱镜像。可以根据医院最经常使用的windows版本和上面安装的常用应用程序进行高度模拟和定制化，可以自主制作沙箱环境的镜像并导入使用；</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（4）根据实际需要配置每种镜像沙箱实例的数量；支持对沙盒平台的状态进行实时监控，包括排队文件数、处理中文件数等；支持2G大文件提交分析；支持未知威胁事件证据留存；</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动态检测支持超过50种文件类型，支持设置指定动态分析/不分析的文件类型；支持自定义YARA规则，精准侦测恶意样本，为威胁研究员搭建深度狩猎分析的高效平台，确保分析结果能迅速落地应用，全面提升安全防护效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高级威胁支持动态检测的文件类型：可执行文件：dll,exe,com,msi,elf,so；办公文件doc,docx,pdf,ppt,pptx,rtf,xls,xlsx,xml,pub,odp,ods,odt,hwp,hwpx,wps；网页文件：htm,html,shtm,shtml,xht,xhtml,mht,mhtml；脚本文件：cmd,vbe,vbs,js,jse,jtd,ps1,wsf,hta,bat；图片文件：bmp,gif,jpeg,jpg,png,svg；快捷方式：lnk,url；媒体文件：</w:t>
            </w:r>
            <w:r>
              <w:rPr>
                <w:rFonts w:ascii="SimSun" w:hAnsi="SimSun" w:eastAsia="SimSun" w:cs="SimSun"/>
                <w:color w:val="000000"/>
                <w:sz w:val="21"/>
              </w:rPr>
              <w:t xml:space="preserve">mov,swf；其他文件：ell,gul,iqy,slk,class,jar,chm；</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高级威胁沙盒管理：支持对不同来源的文件提交对象进行管理和分配权重，支持体现具体的提交对象名称、样本过去7天和一天平均处理时间、提交个数、超时的样本数量；支持查看沙盒状态，包括正在排队和正在处理的样本数量，每种镜像沙盒实例的使用率等；支持对文件sha1、IP、域名、URL进行加白处理，支持批量导入和导出；支持对文件sha1、IP、域名、URL自动和手动加黑处理成为可疑对象，支持对可疑对象进行批量导入和导出，支持查看过期时间，支持调整为立即过期或永不过期。</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大模型应用流量镜像交换机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1.转发性能：交换容量≥4.8Tbps，包转发率≥2000Mpps，以官网所列最低参数为准；</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2.硬件规格：40/100 GE 光接口≥6个，10GE电端口数量≥48个；CPU（处理器）、LSW（转发芯片）均为国产芯片；缓存≥42MB；</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3.三层功能：支持RIP、OSPF、ISIS、BGP等IPv4动态路由协议；支持RIPng、OSPFv3、ISISv6、BGP4+等IPv6动态路由协议；</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4.DC特性：支持Vxlan，且支持BGP EVPN特性；</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5.配置和维护：支持Telemetry；支持ERSPAN增强。</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大模型调度平台硬件管理交换机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1.转发性能：交换容量≥672Gbps，包转发率≥207Mpps以官网所列最低参数为准；</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2.硬件规格：电源1+1备份，风扇3+1备份；48个 10/100/1000Base-T 以太网端口，4个万兆 SFP+；</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3.国产化要求：CPU（处理器）、LSW（转发芯片）均为国产芯片；</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4.二层功能：支持M-LAG或vPC或DRNI等跨机箱链路捆绑技术；支持MAC 漂移联动端口 error-down；</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5.三层功能：支持RIP、OSPF、ISIS、BGP等IPv4动态路由协议；支持RIPng、OSPFv3、ISISv6、BGP4+等IPv6动态路由协议；</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6.配置和维护：支持ERSPAN增强；</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7.流量分析：Netstream满足1:1采样；</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8.特性：支持MPLS支持PQ,WRR,DRR,PQ+WRR,PQ+DRR调度方式；</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提供广播风暴抑制功能；支持FCoE/PFC/ETS/DCBX；支持QinQ Access VXLAN；支持组播VXLAN；支持组播流量抑制；支持VRRP、VRRP负载分担、BFD for VRRP ；支持集群或堆叠多虚一技术，实现单一界面管理多台设备；支持方式Ddos、arp攻击和ICMP攻击。</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数据中心AI数字运维官平台</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要求：基于微服务架构的资产自动发现与管理系统，提供统一的API网关入口，支持发现任务创建与进度跟踪、批量Ping与端口扫描、基础协议信息采集（SSH/SNMP/WMI）、规则驱动的设备分类，以及资产列表与详情展示。系统内置凭证管理与分类规则管理能力，能够将扫描结果自动汇总入库并在前端可视化呈现，适合在企业内网环境快速建立资产台账与基础画像；</w:t>
            </w:r>
            <w:r/>
          </w:p>
          <w:p>
            <w:pPr>
              <w:ind w:left="210" w:right="0" w:firstLine="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2.基本功能要求：</w:t>
            </w:r>
            <w:r/>
          </w:p>
          <w:p>
            <w:pPr>
              <w:ind w:left="21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（1）该模块利用机器学习算法对采集到的海量模糊数据进行深度清洗与画像构建，解决传统规则库更新滞后、识别率低的问题；</w:t>
            </w:r>
            <w:r/>
          </w:p>
          <w:p>
            <w:pPr>
              <w:ind w:left="21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（2）智能指纹拓扑学习：利用聚类算法对未知设备进行归类。当扫描到规则库未覆盖的设备时，AI 根据其开放端口组合、响应报文熵值、MAC 厂商特征自动推荐可能的资产类型；</w:t>
            </w:r>
            <w:r/>
          </w:p>
          <w:p>
            <w:pPr>
              <w:ind w:left="21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（3）资产配置基线异常检测：通过长期的资产状态追踪，建立“资产行为基线”。例如：某服务器平时只开放 80 端口，突然出现大量非常规端口活动，AI 模块自动标记为“资产配置风险”；</w:t>
            </w:r>
            <w:r/>
          </w:p>
          <w:p>
            <w:pPr>
              <w:ind w:left="21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（4）该模块将资产发现过程中的系统日志、扫描日志以及设备本身的 Syslog 进行汇聚，通过 NLP（自然语言处理）和异常检测算法实现预警；</w:t>
            </w:r>
            <w:r/>
          </w:p>
          <w:p>
            <w:pPr>
              <w:ind w:left="210" w:right="0" w:firstLine="420"/>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（5）扫描日志异常挖掘：自动识别扫描任务中的“静默失败”。例如，某网段 SNMP 采集通过率突然下降，AI 模块能从日志中分析出是由于凭证过期、策略隔离系统策略变更还是网络波动导致的，而非简单的任务失败提醒；</w:t>
            </w:r>
            <w:r/>
          </w:p>
          <w:p>
            <w:pPr>
              <w:ind w:left="210" w:right="0" w:firstLine="420"/>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（6）日志模板自动归纳：海量日志自动聚类为若干“模式（Template）”，自动过滤掉 99% 的正常冗余日志，仅突出显示从未使用过的、具有潜在风险的异常日志模式。</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大模型国产化策略隔离系统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配置要求：1U标准机架式设备；板载自带接口：≥8个千兆电口；≥8个千兆光口；≥4个万兆光口；存储：不少于480G,可支持扩展1个硬盘槽位；CPU:国产化处理器；内存：≥32G；电源：250W*2；3扩展槽位（正面1个，背面2个）；网络层吞吐率：≥80Gbps；最大并发连接数：≥4000万；每秒最大新建HTTP链接数：≥150万；包含功能模块：下一代策略隔离系统、防病毒、入侵检测与防御、应用协议管理、Web安全防护模块；全威胁应用层吞吐：≥20Gbps；</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2.基本功能：</w:t>
            </w:r>
            <w:r/>
          </w:p>
          <w:p>
            <w:pPr>
              <w:ind w:left="21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支持双硬盘，双硬盘支持Raid0和Raid1，实现硬盘数据存储的高可靠。支持配置自动备份和回滚，通过FTP发送到指定服务器；支持BFD和NQA网络协议，支持基于接口状态和路由状态等多种类型的探测机制来及时触发链路切换或主备切换，保障业务连续性；（提供功能界面截图并加盖投标人公章）</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支持策略风险调优，支持安全策略优化分析，支持策略数冗余及命中分析，支持基于应用风险的自动批量和手动逐条策略调优，可根据流量、应用、风险类型等细粒度展示，并给出总体安全评分，便于用户更好的管理安全策略；</w:t>
            </w:r>
            <w:r/>
          </w:p>
          <w:p>
            <w:pPr>
              <w:ind w:left="21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（3）策略隔离系统可以和医院终端实现联动。可在终端管理平台集成策略隔离系统，通过策略隔离系统对威胁主机IP进行隔离封禁，并可设置隔离时长；（提供功能界面截图并加盖投标人公章）</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（4）支持基于应用层协议设置流控策略，包括设置最大带宽、保证带宽、协议流量优先级等。要求支持带宽通道独占以及共享管理模式,支持父子带宽策略。支持多用户共享上网行为管理；</w:t>
            </w:r>
            <w:r/>
          </w:p>
          <w:p>
            <w:pPr>
              <w:ind w:left="21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（5）支持拒绝服务攻击防护、WEB攻击防护、数据库攻击防护、恶意代码防护、其他应用攻击防护、自动化工具威胁防护、攻击逃逸防护、外部系统协同防护功能。</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防毒功能：可基于病毒特征进行检测，实现病毒库手动和自动升级，实现病毒日志和报表；防病毒本地库数量600万+；支持基于文件协议、邮件协议（SMTP/POP3/iMAP)、共享协议（NFS/SMB）的病毒功能。可基于病毒特征进行检测、动作响应、提供报表。发现病毒发送的告警信息，支持用户编辑告警内容；支持云端防病毒，为保证检测时效性，特征缓存数至少保证20万条且缓存保留时间不应少于700分钟；支持沙箱（云沙箱或本地沙箱）联动；防火墙可以和蜜罐实现联动。防火墙通过发布诱捕端口，将监听到的可疑流量引导至蜜罐，经过</w:t>
            </w:r>
            <w:r>
              <w:rPr>
                <w:rFonts w:ascii="SimSun" w:hAnsi="SimSun" w:eastAsia="SimSun" w:cs="SimSun"/>
                <w:color w:val="000000"/>
                <w:sz w:val="21"/>
              </w:rPr>
              <w:t xml:space="preserve">蜜罐的判定后可以直接向防火墙发出阻断指令，由防火墙对威胁流量进行封堵；</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虚拟化能力：支持2台设备堆叠成一台设备使用，实现统一管理，统一配置，所投设备支持高可靠性（包含主备/主主模式）部署。支持Context+VRF二级虚拟化技术，支持CPU、内存、存储等硬件资源划分的完全虚拟化；支持vSys虚拟防火墙技术，可以将一台物理设备虚拟成N台相互独立的虚拟设备；</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5.入侵功能</w:t>
            </w:r>
            <w:r>
              <w:rPr>
                <w:rFonts w:ascii="SimSun" w:hAnsi="SimSun" w:eastAsia="SimSun" w:cs="SimSun"/>
                <w:b/>
                <w:color w:val="000000"/>
                <w:sz w:val="21"/>
              </w:rPr>
              <w:t xml:space="preserve">：</w:t>
            </w:r>
            <w:r>
              <w:rPr>
                <w:rFonts w:ascii="SimSun" w:hAnsi="SimSun" w:eastAsia="SimSun" w:cs="SimSun"/>
                <w:color w:val="000000"/>
                <w:sz w:val="21"/>
              </w:rPr>
              <w:t xml:space="preserve">支持超过20000条特征的攻击检测和防御；支持对检测到的攻击行为的前后报文进行自动化抓包功能，方便用户对攻击行为进行取证；支持基于对包括但不限于操作系统、网络设备、办公软件、网页服务等保护对象的入侵防御策略，支持基于对漏洞、恶意文件、信息收集类攻击等的攻击分类的防护策略，支持基于服务器、客户端的防护策略。且缺省动作支持黑名单；实现对黑客攻击、蠕虫/病毒、木马、恶意代码、间谍软件/广告软件等攻击的防御，实现缓冲区溢出、SQL注入、IDS/IPS逃逸等攻击的防御，实现攻击特征库的分类。IPS发现攻击后抓取报文，</w:t>
            </w:r>
            <w:r>
              <w:rPr>
                <w:rFonts w:ascii="SimSun" w:hAnsi="SimSun" w:eastAsia="SimSun" w:cs="SimSun"/>
                <w:color w:val="000000"/>
                <w:sz w:val="21"/>
              </w:rPr>
              <w:t xml:space="preserve">并支持通过WEB下载对应抓包文件；</w:t>
            </w:r>
            <w:r/>
          </w:p>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设备管理：支持SNMPv1、SNMPv2、SNMPv3、RMON等网络管理协议，并且支持通过网管软件远程进行设备软件升级、配置等；为了保证整个网络的可靠稳定，要求本次采购的安全设备支持A/S，A/A方式部署，支持配置同步和会话同步；提供开放API接口（RESTful，NetConf），可编程管理防火墙，不依赖网管软件。</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系统集成服务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2" w:type="dxa"/>
            <w:vAlign w:val="center"/>
            <w:textDirection w:val="lrTb"/>
            <w:noWrap w:val="false"/>
          </w:tcPr>
          <w:p>
            <w:pPr>
              <w:ind w:left="21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1.完成本项目所需的连接光纤、模块、配线架、标签等辅材，项目内所有设备的实施安装集成服务；</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完成模型数据过滤网关、联动防御系统数据防护一体机、模型国产化高级威胁监测分析及漏洞系统、大模型国产化策略隔离系统的联调配置，构建“输入输出防护-高级威胁监测-漏洞扫描-策略隔离-联动处置”的全链路安全防护体系建设服务；</w:t>
            </w:r>
            <w:r/>
          </w:p>
          <w:p>
            <w:pPr>
              <w:ind w:left="2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3.完成智能体上线及应用智能体对接服务。</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★2.其他技术要求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模型算力调度一体机质保1年、模型数据过滤网关质保1年、模型数据交换机质保3年、联动防御系统数据防护一体机质保3年、模型国产化高级威胁监测分析及漏洞系统质保3年、大模型应用流量镜像交换机质保3年、大模型调度平台硬件管理交换机质保3年、数据中心AI数字运维官平台质保1年、大模型国产化策略隔离系统质保3年；</w:t>
      </w:r>
      <w:r>
        <w:rPr>
          <w:rFonts w:ascii="SimSun" w:hAnsi="SimSun" w:eastAsia="SimSun" w:cs="SimSun"/>
          <w:b/>
          <w:color w:val="000000"/>
          <w:sz w:val="21"/>
        </w:rPr>
        <w:t xml:space="preserve">（提供投标人承诺函并加盖投标人公章，格式自拟）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（2）投标人具备对于本项目技术支撑服务，提供关于模型算力调度一体机服务期内的技术支撑；</w:t>
      </w:r>
      <w:r>
        <w:rPr>
          <w:rFonts w:ascii="SimSun" w:hAnsi="SimSun" w:eastAsia="SimSun" w:cs="SimSun"/>
          <w:b/>
          <w:color w:val="000000"/>
          <w:sz w:val="21"/>
        </w:rPr>
        <w:t xml:space="preserve">（提供投标人承诺函并加盖投标人公章，格式自拟）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（3）提供模型数据交换机兼容现有数据中心网络设备及网络设备授权函、质保函；</w:t>
      </w:r>
      <w:r>
        <w:rPr>
          <w:rFonts w:ascii="SimSun" w:hAnsi="SimSun" w:eastAsia="SimSun" w:cs="SimSun"/>
          <w:b/>
          <w:color w:val="000000"/>
          <w:sz w:val="21"/>
        </w:rPr>
        <w:t xml:space="preserve">（提供投标人承诺函授权函质保函并加盖投标人公章，格式自拟）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模型国产化高级威胁监测分析及漏洞系统高级威胁联动响应：支持与医院正在使用的防毒墙系统、云主机深度安全防护系统、端点安全管理软件、统一安全管理平台，以及本次采购的策略隔离系统、高级威胁监测系统产品集成，获取来自产品提交的威胁对象，并提供分析结果及本地威胁特征给相关产品。</w:t>
      </w:r>
      <w:r>
        <w:rPr>
          <w:rFonts w:ascii="SimSun" w:hAnsi="SimSun" w:eastAsia="SimSun" w:cs="SimSun"/>
          <w:b/>
          <w:color w:val="000000"/>
          <w:sz w:val="21"/>
        </w:rPr>
        <w:t xml:space="preserve">（提供投标人承诺函并加盖投标人公章，格式自拟）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Hei" w:hAnsi="SimHei" w:eastAsia="SimHei" w:cs="SimHei"/>
          <w:color w:val="000000"/>
          <w:sz w:val="21"/>
        </w:rPr>
        <w:t xml:space="preserve">（二）商务要求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（2）供应商的任何错漏、优惠、竞争性报价不得作为减轻责任、减少服务、增加收费、降低服务质量的理由；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（3）供应商报价除包含招标文件中列明的项目外，还应包括保障产品正常使用应当具有的物资和服务，对产品正常使用应当具有的物资和服务理解不一致的以招标单位理解为准。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2.实施要求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中医院智慧中医人工智能应用基础建设项目符合国家及南京市医疗信息化有关政策要求，按照《关于促进和规范“人工智能+医疗卫生”应用发展的实施意见》和省市级政府相关要求，通过此次项目建设，形成临床专病专科垂直大模型和智能体应用，建成高质量数据集与可信数据空间，开展AI辅助诊断/决策，标准体系完善，诊疗智能辅助基本全覆盖，全面提升南京市中医院安全架构下的AI辅助医疗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（2）质保（维保）及售后要求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①质保期内，每年维护保养1次，维护保养及更换损坏件的费用包含在投标总价中；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质保期内，一旦产品发生质量问题，供应商接到报修请求，在2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招标单位提供应急备用产品；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③质保期内维修（人为因素除外）费用包含在投标总价中，质保期外提供不高于市场价格的终身维护；中标后提供质保期外配件价格明细表。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合同签订之日起15日内,供应商出具全额发票，采购人向供应商支付合同额的30%作为预付款；项目验收合格后凭验收单、收据和合同复印件15日内，采购人向供应商支付合同额的60%；项目整体验收合格后满12个月的15日内，采购人向供应商支付合同额的10%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4.交付时间及地点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（1）交付时间：合同签订后40天内交付并完成安装调试及验收等相关工作；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（2）交付地点：采购人指定地点。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招标文件评标方法与评标标准中涉及的相关证明材料，应在投标文件中提供，由评审委员会在评审现场予以确认，否则无法得到相应分值；签订合同时供应商应按招标人要求提供上述证明材料原件供招标人核验。</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yellow"/>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对加“★”项实质性要求，不允许负偏离，否则作无效标处理。对加“▲”项必须在响应文件中提供技术支持资料（如白皮书、彩页、手册、检测报告、软件系统功能截图等），且在响应文件评分索引表中逐项列明对应页码及条目。未提供技术支持资料的，评审时不予认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第五章评标办法与评标标准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一、评标办法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用综合评分法的，评标结果按评审后得分由高到低顺序排列。得分相同的，按投标报价由低到高顺序排列。得分且投标报价相同的，按技术指标优劣顺序排列。在投标文件满足招标文件全部实质性要求的供应商中，按照评审得分由高到低推荐1名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2.核心产品评审。多家供应商提供的核心产品品牌相同的，按一家供应商计算，评审后得分最高的同品牌供应商获得中标人推荐资格。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二、评定标准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1.实质性要求不得负偏离；否则，按照无效响应处理；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三、小微企业价格扣除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货物和服务采购项目中，未预留份额项目以及预留份额项目中的非预留部分采购包对小微企业报价给予10%的扣除，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联合体各方均为小微企业的，联合体视同为小微企业，享受相应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2.小企业（含小型、微型企业）应当符合以下条件：货物由小微企业制造，即货物由小微企业生产且使用该小微企业商号或者注册商标。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3.价格扣除比例或者价格分加分比例对小型企业和微型企业同等对待，不作区分。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说明：价格扣除优惠政策仅适用于“第一章二、申请人的资格要求2.落实政府采购政策需满足的资格要求”中“本项目采用以下第（4）种方式落实政府采购促进中小企业发展的要求”的采购项目中。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四、监狱和戒毒企业的价格扣除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2.监狱企业需提供由省级以上监狱管理局、戒毒管理局（含新疆生产建设兵团）出具的属于监狱企业的证明文件。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五、残疾人福利性单位的价格扣除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1.本项目对残疾人福利性单位，给予等同于小微企业的价格扣除，用扣除后的价格参与评审。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2.残疾人福利单位需按照招标文件的要求提供《残疾人福利性单位声明函》。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六、对本国产品的价格扣除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1.本项目中既有本国产品又有非本国产品参与竞争的，依法对本国产品给予价格评审优惠，对本国产品的报价给予20%的价格扣除，用扣除后的价格参与评审。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3.本国产品标准请参照《国务院办公厅关于在政府采购中实施本国产品标准及相关政策的通知》（国办发〔2025〕34号）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七、监狱企业、残疾人福利单位属于小型、微型企业的，不重复享受政策。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八、上述价格扣除政策仅适用于“非专门面向中小企业采购项目”。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九、评标标准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5"/>
        <w:gridCol w:w="1043"/>
        <w:gridCol w:w="6130"/>
        <w:gridCol w:w="628"/>
        <w:gridCol w:w="874"/>
      </w:tblGrid>
      <w:tr>
        <w:trPr>
          <w:trHeight w:val="7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5"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0"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top"/>
            <w:textDirection w:val="lrTb"/>
            <w:noWrap w:val="false"/>
          </w:tcPr>
          <w:p>
            <w:pPr>
              <w:ind w:left="0" w:right="0" w:firstLine="0"/>
              <w:jc w:val="center"/>
              <w:spacing w:before="26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1.价</w:t>
            </w:r>
            <w:r>
              <w:rPr>
                <w:rFonts w:ascii="SimSun" w:hAnsi="SimSun" w:eastAsia="SimSun" w:cs="SimSun"/>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采用低价优先</w:t>
            </w:r>
            <w:r>
              <w:rPr>
                <w:rFonts w:ascii="SimSun" w:hAnsi="SimSun" w:eastAsia="SimSun" w:cs="SimSun"/>
                <w:color w:val="000000"/>
                <w:sz w:val="21"/>
              </w:rPr>
              <w:t xml:space="preserve">法计算，即满足招标文件要求且投标价格最低的投标</w:t>
            </w:r>
            <w:r>
              <w:rPr>
                <w:rFonts w:ascii="SimSun" w:hAnsi="SimSun" w:eastAsia="SimSun" w:cs="SimSun"/>
                <w:color w:val="000000"/>
                <w:spacing w:val="1"/>
                <w:sz w:val="21"/>
              </w:rPr>
              <w:t xml:space="preserve">报价为评标基准</w:t>
            </w:r>
            <w:r>
              <w:rPr>
                <w:rFonts w:ascii="SimSun" w:hAnsi="SimSun" w:eastAsia="SimSun" w:cs="SimSun"/>
                <w:color w:val="000000"/>
                <w:sz w:val="21"/>
              </w:rPr>
              <w:t xml:space="preserve">价，其价格分为满分。其他投标人的价格分统一按</w:t>
            </w:r>
            <w:r>
              <w:rPr>
                <w:rFonts w:ascii="SimSun" w:hAnsi="SimSun" w:eastAsia="SimSun" w:cs="SimSun"/>
                <w:color w:val="000000"/>
                <w:spacing w:val="-1"/>
                <w:sz w:val="21"/>
              </w:rPr>
              <w:t xml:space="preserve">照下列公</w:t>
            </w:r>
            <w:r>
              <w:rPr>
                <w:rFonts w:ascii="SimSun" w:hAnsi="SimSun" w:eastAsia="SimSun" w:cs="SimSun"/>
                <w:color w:val="000000"/>
                <w:sz w:val="21"/>
              </w:rPr>
              <w:t xml:space="preserve">式计算：投标报价得分=(评标基准价/投标报价)×30（小数点保留两位）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114" w:right="0" w:firstLine="0"/>
              <w:jc w:val="both"/>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技术参数全部满足招标要求的得满分；如有打★指标为必须满足项，如有负偏离将作为无效投标；如有打▲指标为重要指标，有1项负偏离扣2分；其余指标有1项负偏离扣1分，扣完为止，严重负偏离影响设备性能的经半数以上评委认定，本项得零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产品能力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投入本项目的模型国产化高级威胁监测分析及漏洞系统对应产品具有依据《中华人民共和国网络安全法》和国家网络安全审查、认证制度，负责实施网络安全相关审查和认证工作，承担网络安全审查技术与方法研究机构颁发的《IT 产品信息安全认证证书》的，得2分；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拟投入本项目的大模型国产化策略隔离系统对应产品具有依据《中华人民共和国网络安全法》和国家网络安全审查、认证制度，负责实施网络安全相关审查和认证工作，承担网络安全审查技术与方法研究机构颁发的《IT产品信息安全认证证书》评估保障级(EAL4 增强级)，得2分；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3.投标人拟投入本项目的模型国产化高级威胁监测分析及漏洞系统具有软件著作权证书，软件名称包含“高级威胁监测、漏洞扫描”等关键字的，得2分；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大模型国产化策略隔离系统CMA或CNAS标识的测试报告支持拒绝服务攻击防护、WEB攻击防护、数据库攻击防护、恶意代码防护、其他应用攻击防护、自动化工具威胁防护、攻击逃逸防护、外部系统协同防护功能。提供测试报告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需提供证书扫描件或检测报告扫描件并加盖投标人公章，提供的软件著作权证书“软件名称”与评分细则规定不同时，应提供符合上述要求的内容（功能）说明及关键信息并加盖投标人公章，否则不予认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center"/>
            <w:textDirection w:val="lrTb"/>
            <w:noWrap w:val="false"/>
          </w:tcPr>
          <w:p>
            <w:pPr>
              <w:ind w:left="0" w:right="0" w:firstLine="0"/>
              <w:jc w:val="both"/>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总体建设方案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评委根据投标人提供的本项目总体建设方案(包括但不限于：对本项目建设背景、建设目标、建设内容包含AI平台内容、安全管理中心、总体需求分析、重难点分析等)进行综合评分：</w:t>
              <w:br/>
              <w:t xml:space="preserve">（1）总体建设方案内容全面、科学合理、完全符合采购要求的，得9分；</w:t>
              <w:br/>
              <w:t xml:space="preserve">（2）总体建设方案内容较全面、较为科学合理、较符合采购要求的，得6分；</w:t>
              <w:br/>
              <w:t xml:space="preserve">（3）总体建设方案内容基本全面、基本科学合理、基本符合采购要求的，得3分；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评委根据投标人提供的售后服务方案(包含但不限于：服务体系、服务内容、故障解决方案、专业技术人员保障及服务、备品备件等)进行综合评分:</w:t>
              <w:br/>
              <w:t xml:space="preserve">（1）服务体系完善，服务内容全面，故障解决方案可行，专业技术人员保障和服务可靠，备品备件充足的，得9分；</w:t>
              <w:br/>
              <w:t xml:space="preserve">（2）服务体系较完善，服务内容较全面，故障解决方案较可行，专业技术人员保障和服务较可靠，备品备件较充足的，得6分；</w:t>
              <w:br/>
              <w:t xml:space="preserve">（3）服务体系基本完善，服务内容基本全面，故障解决方案基本可行，专业技术人员保障和服务基本可靠，备品备件基本充足的，得3分；</w:t>
              <w:br/>
              <w:t xml:space="preserve">（4）未提供不得分。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4.业绩</w:t>
            </w:r>
            <w:r/>
          </w:p>
        </w:tc>
      </w:tr>
      <w:tr>
        <w:trPr>
          <w:trHeight w:val="10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69"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2023年1月1日（含）以来类似项目业绩或产品业绩（至少包含人工智能或大模型或调度平台等），每提供1个得1分，最高得2分。（时间以合同签订时间为准，提供有效合同扫描件并加盖投标人公章，合同页须清晰可见相应清单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81" w:type="dxa"/>
            <w:vAlign w:val="top"/>
            <w:textDirection w:val="lrTb"/>
            <w:noWrap w:val="false"/>
          </w:tcPr>
          <w:p>
            <w:pPr>
              <w:ind w:left="0" w:right="0" w:firstLine="0"/>
              <w:jc w:val="both"/>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1"/>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项目经理具备高级工程师、信息系统项目管理师、注册信息安全专业人员（注册信息安全管理人员）CISP-CISO、ITSS-信息技术应用创新服务经理、数据库认证专家（OCP）证书，每提供1个得1分，最多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（提供人员证书扫描件及投标人近半年内任意一个月为其缴纳的社保缴纳证明材料并加盖投标人公章，证明材料缺项或未提供的不得分。）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356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both"/>
              <w:spacing w:before="69"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1.投标人拟投入本项目的项目技术负责人具备通信工程师、信息系统项目管理师、ITSS-信息技术应用创新服务工程师、ITSS-IT服务工程师，每提供1个得0.5分，最多得2分。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2.投标人拟投入本项目的项目技术项目组成员（项目经理和技术负责人除外）具有网络工程师、注册信息安全专业人员（注册信息安全工程师 CISP-CISE）的，每提供一个证书得0.5分，最高1分。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（提供以上人员证书扫描件，一人多证算一证计算及投标人近半年内任意一个月为其缴纳的社保缴纳证明材料并加盖投标人公章，证明材料缺项或未提供的不得分。）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履约能力3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3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投标人具有本项目相关产品软件著作权证书，软件名称包括“零信任安全认证平台”、“XC运维”、“医疗AI智能分析”、“智能监测分析”，每提供一个有效期内的软著证书得1分，最高得4分。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注：需提供证书扫描件并加盖投标人公章，所提供证书“软件名称”与评分细则规定不同时，应提供符合上述要求的内容（功能）说明及关键信息，否则不予认可。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8" w:type="dxa"/>
            <w:vAlign w:val="center"/>
            <w:textDirection w:val="lrTb"/>
            <w:noWrap w:val="false"/>
          </w:tcPr>
          <w:p>
            <w:pPr>
              <w:ind w:left="0" w:right="0" w:firstLine="0"/>
              <w:jc w:val="center"/>
              <w:spacing w:before="68"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4" w:type="dxa"/>
            <w:vAlign w:val="center"/>
            <w:textDirection w:val="lrTb"/>
            <w:noWrap w:val="false"/>
          </w:tcPr>
          <w:p>
            <w:pPr>
              <w:ind w:left="0" w:right="0" w:firstLine="0"/>
              <w:jc w:val="center"/>
              <w:spacing w:before="68"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w:t>
            </w:r>
            <w:r>
              <w:rPr>
                <w:rFonts w:ascii="SimSun" w:hAnsi="SimSun" w:eastAsia="SimSun" w:cs="SimSun"/>
                <w:color w:val="000000"/>
                <w:spacing w:val="-4"/>
                <w:sz w:val="21"/>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合</w:t>
            </w:r>
            <w:r>
              <w:rPr>
                <w:rFonts w:ascii="SimSun" w:hAnsi="SimSun" w:eastAsia="SimSun" w:cs="SimSun"/>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173" w:type="dxa"/>
            <w:vAlign w:val="center"/>
            <w:textDirection w:val="lrTb"/>
            <w:noWrap w:val="false"/>
          </w:tcPr>
          <w:p>
            <w:pPr>
              <w:ind w:left="172" w:right="0" w:firstLine="0"/>
              <w:jc w:val="center"/>
              <w:spacing w:before="123"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1"/>
                <w:sz w:val="21"/>
              </w:rPr>
              <w:t xml:space="preserve">100分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 </w:t>
      </w:r>
      <w:r/>
    </w:p>
    <w:p>
      <w:pPr>
        <w:ind w:left="0" w:right="0" w:firstLine="48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第六章投标文件格式</w:t>
      </w:r>
      <w:r>
        <w:rPr>
          <w:rFonts w:ascii="SimSun" w:hAnsi="SimSun" w:eastAsia="SimSun" w:cs="SimSu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投标文件目录</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七、投标分项报价表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十一、代理服务费承诺书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十四、联合体协议（如有）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南京众智工程咨询有限公司：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（2）提供参加本次政府采购活动前6个月内至少一个月份的会计报表（至少包括资产负债表和利润表）复印件或其上一年度经审计的财务报告加盖供应商公章，成立不满6个月的无需提供或其他证明材料；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（6）未被列入失信被执行人、重大税收违法案件当事人名单、政府采购严重违法失信行为记录名单的证明材料。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（7）法律、行政法规规定的其他条件（提供项目实施所必须的许可资质证明材料）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本公司对上述承诺内容的真实性、合法性、有效性负责，如有虚假，将依法承担相应责任。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说明：执行南京市财政局《关于在政府采购活动中推行信用承诺制的通知》（宁财购通〔2021〕5号）要求。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法人身份证复印件（正反面）：</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被授权人身份证复印件（正反面）：</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南京众智工程咨询有限公司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8.我方与本次投标有关信息</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项目编号：分包号：</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7"/>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小写（人民币：元）：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核心产品品牌一览表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0"/>
        <w:gridCol w:w="3355"/>
        <w:gridCol w:w="1939"/>
        <w:gridCol w:w="2146"/>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1"/>
        </w:rPr>
        <w:t xml:space="preserve">：</w:t>
      </w:r>
      <w:r>
        <w:rPr>
          <w:rFonts w:ascii="SimSun" w:hAnsi="SimSun" w:eastAsia="SimSun" w:cs="SimSun"/>
          <w:color w:val="000000"/>
          <w:sz w:val="24"/>
        </w:rPr>
        <w:t xml:space="preserve">（加盖电子公章</w:t>
      </w:r>
      <w:r>
        <w:rPr>
          <w:rFonts w:ascii="SimSun" w:hAnsi="SimSun" w:eastAsia="SimSun" w:cs="SimSun"/>
          <w:color w:val="000000"/>
          <w:sz w:val="21"/>
        </w:rPr>
        <w:t xml:space="preserve">）</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备注：供应商须按照表格要求明确填写所投“核心产品”的品牌，不得填报“/”“无”等内容，否则视为无效投标。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投标分项报价表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
        <w:gridCol w:w="1213"/>
        <w:gridCol w:w="1748"/>
        <w:gridCol w:w="834"/>
        <w:gridCol w:w="712"/>
        <w:gridCol w:w="683"/>
        <w:gridCol w:w="825"/>
        <w:gridCol w:w="125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2.“投标分项报价表”中“投标总报价”应当与“开标一览表”中“投标总报价”一致。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3.供应商所投产品须与“第四章-产品清单”中的产品一一对应，如有缺项、漏项或者超出报价上限的，视为无效投标。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商务要求响应及偏离表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2734"/>
        <w:gridCol w:w="2691"/>
        <w:gridCol w:w="3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技术要求响应及偏离表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中小企业声明函（货物）</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行业（采购文件中明确的所属行业）；制造商为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此声明函将随成交结果同时公告，接受社会监督。4.货物采购项目中，货物的制造商应当为中小企业，不对其中涉及的服务的承接商、工程的承建商作出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十一、代理服务费承诺书</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代理服务费承诺书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致：南京众智工程咨询有限公司：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若我公司中标，我公司同意按招标文件规定的服务费收取标准向贵公司支付本项目代理服务费。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代理服务费发票信息见下表：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94"/>
        <w:gridCol w:w="612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纳税人识别号：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发票邮寄地址：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4"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电话（手机）：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28" w:type="dxa"/>
            <w:vAlign w:val="center"/>
            <w:textDirection w:val="lrTb"/>
            <w:noWrap w:val="false"/>
          </w:tcPr>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授权代理人（签字）：</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624"/>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十三、符合本国产品标准的声明函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符合本国产品标准的声明函</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（产品名称1）</w:t>
      </w:r>
      <w:r>
        <w:rPr>
          <w:rFonts w:ascii="SimSun" w:hAnsi="SimSun" w:eastAsia="SimSun" w:cs="SimSun"/>
          <w:i/>
          <w:color w:val="000000"/>
          <w:sz w:val="21"/>
          <w:vertAlign w:val="superscript"/>
        </w:rPr>
        <w:t xml:space="preserve">1</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w:t>
      </w:r>
      <w:r>
        <w:rPr>
          <w:rFonts w:ascii="SimSun" w:hAnsi="SimSun" w:eastAsia="SimSun" w:cs="SimSun"/>
          <w:color w:val="000000"/>
          <w:sz w:val="21"/>
          <w:u w:val="single"/>
        </w:rPr>
        <w:t xml:space="preserve">厂名</w:t>
      </w:r>
      <w:r>
        <w:rPr>
          <w:rFonts w:ascii="SimSun" w:hAnsi="SimSun" w:eastAsia="SimSun" w:cs="SimSun"/>
          <w:i/>
          <w:color w:val="000000"/>
          <w:sz w:val="21"/>
          <w:u w:val="single"/>
        </w:rPr>
        <w:t xml:space="preserve">）</w:t>
      </w:r>
      <w:r>
        <w:rPr>
          <w:rFonts w:ascii="SimSun" w:hAnsi="SimSun" w:eastAsia="SimSun" w:cs="SimSun"/>
          <w:i/>
          <w:color w:val="000000"/>
          <w:sz w:val="21"/>
          <w:vertAlign w:val="superscript"/>
        </w:rPr>
        <w:t xml:space="preserve">2</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i/>
          <w:color w:val="000000"/>
          <w:sz w:val="21"/>
          <w:vertAlign w:val="superscript"/>
        </w:rPr>
        <w:t xml:space="preserve">3</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i/>
          <w:color w:val="000000"/>
          <w:sz w:val="21"/>
          <w:vertAlign w:val="superscript"/>
        </w:rPr>
        <w:t xml:space="preserve">4</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（产品名称1）</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i/>
          <w:color w:val="000000"/>
          <w:sz w:val="21"/>
          <w:vertAlign w:val="superscript"/>
        </w:rPr>
        <w:t xml:space="preserve">5</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，生产厂为</w:t>
      </w:r>
      <w:r>
        <w:rPr>
          <w:rFonts w:ascii="SimSun" w:hAnsi="SimSun" w:eastAsia="SimSun" w:cs="SimSun"/>
          <w:i/>
          <w:color w:val="000000"/>
          <w:sz w:val="21"/>
          <w:u w:val="single"/>
        </w:rPr>
        <w:t xml:space="preserve">（厂名）</w:t>
      </w:r>
      <w:r>
        <w:rPr>
          <w:rFonts w:ascii="SimSun" w:hAnsi="SimSun" w:eastAsia="SimSun" w:cs="SimSun"/>
          <w:color w:val="000000"/>
          <w:sz w:val="21"/>
        </w:rPr>
        <w:t xml:space="preserve">，厂址为</w:t>
      </w:r>
      <w:r>
        <w:rPr>
          <w:rFonts w:ascii="SimSun" w:hAnsi="SimSun" w:eastAsia="SimSun" w:cs="SimSun"/>
          <w:i/>
          <w:color w:val="000000"/>
          <w:sz w:val="21"/>
          <w:u w:val="single"/>
        </w:rPr>
        <w:t xml:space="preserve">（生产厂址）</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的中国境内生产的组件成本占比≥</w:t>
      </w:r>
      <w:r>
        <w:rPr>
          <w:rFonts w:ascii="SimSun" w:hAnsi="SimSun" w:eastAsia="SimSun" w:cs="SimSun"/>
          <w:i/>
          <w:color w:val="000000"/>
          <w:sz w:val="21"/>
          <w:u w:val="single"/>
        </w:rPr>
        <w:t xml:space="preserve">（规定比例）</w:t>
      </w:r>
      <w:r>
        <w:rPr>
          <w:rFonts w:ascii="SimSun" w:hAnsi="SimSun" w:eastAsia="SimSun" w:cs="SimSun"/>
          <w:color w:val="000000"/>
          <w:sz w:val="21"/>
        </w:rPr>
        <w:t xml:space="preserve">。</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（关键组件）</w:t>
      </w:r>
      <w:r>
        <w:rPr>
          <w:rFonts w:ascii="SimSun" w:hAnsi="SimSun" w:eastAsia="SimSun" w:cs="SimSun"/>
          <w:color w:val="000000"/>
          <w:sz w:val="21"/>
        </w:rPr>
        <w:t xml:space="preserve">在中国境内生产。</w:t>
      </w:r>
      <w:r>
        <w:rPr>
          <w:rFonts w:ascii="SimSun" w:hAnsi="SimSun" w:eastAsia="SimSun" w:cs="SimSun"/>
          <w:i/>
          <w:color w:val="000000"/>
          <w:sz w:val="21"/>
          <w:u w:val="single"/>
        </w:rPr>
        <w:t xml:space="preserve">（产品名称2）</w:t>
      </w:r>
      <w:r>
        <w:rPr>
          <w:rFonts w:ascii="SimSun" w:hAnsi="SimSun" w:eastAsia="SimSun" w:cs="SimSun"/>
          <w:color w:val="000000"/>
          <w:sz w:val="21"/>
        </w:rPr>
        <w:t xml:space="preserve">的</w:t>
      </w:r>
      <w:r>
        <w:rPr>
          <w:rFonts w:ascii="SimSun" w:hAnsi="SimSun" w:eastAsia="SimSun" w:cs="SimSun"/>
          <w:i/>
          <w:color w:val="000000"/>
          <w:sz w:val="21"/>
          <w:u w:val="single"/>
        </w:rPr>
        <w:t xml:space="preserve">（关键工序）</w:t>
      </w:r>
      <w:r>
        <w:rPr>
          <w:rFonts w:ascii="SimSun" w:hAnsi="SimSun" w:eastAsia="SimSun" w:cs="SimSun"/>
          <w:color w:val="000000"/>
          <w:sz w:val="21"/>
        </w:rPr>
        <w:t xml:space="preserve">在中国境内完成。</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本公司（单位）对上述声明内容的真实性负责。如有虚假，愿承担相应法律责任。</w:t>
      </w:r>
      <w:r/>
    </w:p>
    <w:p>
      <w:pPr>
        <w:ind w:left="0" w:right="0" w:firstLine="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公司（单位）名称（盖章）：　</w:t>
      </w:r>
      <w:r/>
    </w:p>
    <w:p>
      <w:pPr>
        <w:ind w:left="0" w:right="0" w:firstLine="0"/>
        <w:jc w:val="right"/>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1.产品如有型号，请在“产品名称”栏一并填写。</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2.生产厂名与厂址应与生产厂营业执照载明的相关信息保持一致。</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3.该产品的中国境内生产的组件成本占比相关要求实施前，“规定比例”栏可不填，下同。</w:t>
      </w:r>
      <w:r/>
    </w:p>
    <w:p>
      <w:pPr>
        <w:ind w:left="0" w:right="0" w:firstLine="420"/>
        <w:spacing w:before="30" w:after="3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十四、联合体协议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         </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Microsoft YaHei">
    <w:panose1 w:val="020B0503020204020204"/>
  </w:font>
  <w:font w:name="Times New Roman">
    <w:panose1 w:val="02020603050405020304"/>
  </w:font>
  <w:font w:name="SimSun">
    <w:panose1 w:val="02010600030101010101"/>
  </w:font>
  <w:font w:name="Calibri">
    <w:panose1 w:val="020F0502020204030204"/>
  </w:font>
  <w:font w:name="KaiT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张静</cp:lastModifiedBy>
  <cp:revision>3</cp:revision>
  <dcterms:created xsi:type="dcterms:W3CDTF">2026-04-29T02:44:37Z</dcterms:created>
  <dcterms:modified xsi:type="dcterms:W3CDTF">2026-04-30T07:39:52Z</dcterms:modified>
</cp:coreProperties>
</file>