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Arial" w:hAnsi="Arial" w:eastAsia="黑体"/>
          <w:b/>
          <w:bCs/>
          <w:color w:val="000000"/>
          <w:sz w:val="84"/>
          <w:szCs w:val="24"/>
        </w:rPr>
      </w:r>
      <w:r/>
    </w:p>
    <w:p>
      <w:pPr>
        <w:pStyle w:val="949"/>
        <w:rPr>
          <w:rFonts w:hint="eastAsia"/>
          <w:color w:val="000000"/>
        </w:rPr>
      </w:pPr>
      <w:r>
        <w:rPr>
          <w:rFonts w:hint="eastAsia"/>
          <w:color w:val="000000"/>
        </w:rPr>
      </w:r>
      <w:r/>
    </w:p>
    <w:p>
      <w:pPr>
        <w:pStyle w:val="967"/>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871"/>
        <w:ind w:firstLine="1506"/>
        <w:rPr>
          <w:rFonts w:hint="eastAsia"/>
          <w:b/>
          <w:color w:val="000000"/>
          <w:sz w:val="30"/>
          <w:szCs w:val="30"/>
        </w:rPr>
      </w:pPr>
      <w:r>
        <w:rPr>
          <w:rFonts w:hint="eastAsia"/>
          <w:b/>
          <w:color w:val="000000"/>
          <w:sz w:val="30"/>
          <w:szCs w:val="30"/>
        </w:rPr>
        <w:t xml:space="preserve">项目名称：紫金山实验室伴随式内生免疫系统计算平台 </w:t>
      </w:r>
      <w:r>
        <w:rPr>
          <w:rFonts w:hint="eastAsia"/>
          <w:b/>
          <w:color w:val="000000"/>
          <w:sz w:val="30"/>
          <w:szCs w:val="30"/>
        </w:rPr>
      </w:r>
      <w:r/>
    </w:p>
    <w:p>
      <w:pPr>
        <w:pStyle w:val="871"/>
        <w:ind w:firstLine="1506"/>
        <w:rPr>
          <w:rFonts w:hint="eastAsia"/>
          <w:b/>
          <w:color w:val="000000"/>
          <w:sz w:val="30"/>
          <w:szCs w:val="30"/>
        </w:rPr>
      </w:pPr>
      <w:r>
        <w:rPr>
          <w:rFonts w:hint="eastAsia"/>
          <w:b/>
          <w:color w:val="000000"/>
          <w:sz w:val="30"/>
          <w:szCs w:val="30"/>
        </w:rPr>
        <w:t xml:space="preserve">项目编号：JSZC-320100-JZCG-G2026-0131               </w:t>
      </w:r>
      <w:r>
        <w:rPr>
          <w:rFonts w:hint="eastAsia"/>
          <w:b/>
          <w:color w:val="000000"/>
          <w:sz w:val="30"/>
          <w:szCs w:val="30"/>
        </w:rPr>
      </w:r>
      <w:r/>
    </w:p>
    <w:p>
      <w:pPr>
        <w:pStyle w:val="87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7"/>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871"/>
        <w:jc w:val="center"/>
        <w:rPr>
          <w:rFonts w:hint="eastAsia"/>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7</w:t>
      </w:r>
      <w:r>
        <w:rPr>
          <w:rFonts w:hint="eastAsia"/>
          <w:b/>
          <w:color w:val="000000"/>
          <w:sz w:val="32"/>
          <w:szCs w:val="32"/>
        </w:rPr>
        <w:t xml:space="preserve">月</w:t>
      </w:r>
      <w:r>
        <w:rPr>
          <w:rFonts w:hint="eastAsia"/>
          <w:b/>
          <w:color w:val="000000"/>
          <w:sz w:val="32"/>
          <w:szCs w:val="32"/>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rPr>
          <w:rFonts w:hint="eastAsia"/>
          <w:color w:val="000000"/>
        </w:rPr>
      </w:pPr>
      <w:r>
        <w:rPr>
          <w:rFonts w:hint="eastAsia"/>
          <w:color w:val="000000"/>
        </w:rPr>
      </w:r>
      <w:r/>
    </w:p>
    <w:p>
      <w:pPr>
        <w:pStyle w:val="871"/>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r>
      <w:r/>
    </w:p>
    <w:p>
      <w:pPr>
        <w:pStyle w:val="871"/>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r>
      <w:r/>
    </w:p>
    <w:p>
      <w:pPr>
        <w:pStyle w:val="871"/>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7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1"/>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3</w:t>
      </w:r>
      <w:r>
        <w:rPr>
          <w:rFonts w:hint="eastAsia" w:ascii="黑体" w:hAnsi="宋体" w:eastAsia="黑体"/>
          <w:color w:val="000000"/>
          <w:sz w:val="36"/>
        </w:rPr>
      </w:r>
      <w:r/>
    </w:p>
    <w:p>
      <w:pPr>
        <w:pStyle w:val="871"/>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4</w:t>
      </w:r>
      <w:r>
        <w:rPr>
          <w:rFonts w:hint="eastAsia" w:ascii="黑体" w:hAnsi="宋体" w:eastAsia="黑体"/>
          <w:color w:val="000000"/>
          <w:sz w:val="36"/>
        </w:rPr>
      </w:r>
      <w:r/>
    </w:p>
    <w:p>
      <w:pPr>
        <w:pStyle w:val="871"/>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14</w:t>
      </w:r>
      <w:r>
        <w:rPr>
          <w:rFonts w:hint="eastAsia" w:ascii="黑体" w:hAnsi="宋体" w:eastAsia="黑体"/>
          <w:color w:val="000000"/>
          <w:sz w:val="36"/>
        </w:rPr>
      </w:r>
      <w:r/>
    </w:p>
    <w:p>
      <w:pPr>
        <w:pStyle w:val="871"/>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18</w:t>
      </w:r>
      <w:r>
        <w:rPr>
          <w:rFonts w:hint="eastAsia" w:ascii="黑体" w:hAnsi="宋体" w:eastAsia="黑体"/>
          <w:color w:val="000000"/>
          <w:sz w:val="36"/>
        </w:rPr>
      </w:r>
      <w:r/>
    </w:p>
    <w:p>
      <w:pPr>
        <w:pStyle w:val="871"/>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23</w:t>
      </w:r>
      <w:r>
        <w:rPr>
          <w:rFonts w:hint="eastAsia" w:ascii="黑体" w:hAnsi="宋体" w:eastAsia="黑体"/>
          <w:color w:val="000000"/>
          <w:sz w:val="36"/>
        </w:rPr>
      </w:r>
      <w:r/>
    </w:p>
    <w:p>
      <w:pPr>
        <w:pStyle w:val="871"/>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25</w:t>
      </w:r>
      <w:r>
        <w:rPr>
          <w:rFonts w:hint="eastAsia" w:ascii="黑体" w:hAnsi="宋体" w:eastAsia="黑体"/>
          <w:color w:val="000000"/>
          <w:sz w:val="36"/>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71"/>
        <w:ind w:firstLine="480"/>
        <w:rPr>
          <w:rFonts w:hint="eastAsia" w:ascii="宋体" w:hAnsi="宋体"/>
          <w:color w:val="000000"/>
          <w:sz w:val="24"/>
          <w:szCs w:val="24"/>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受紫金山实验室委托，南京市公共资源交易中心（以下简称“交易中心”）就紫金山实验室伴随式内生免疫系统计算平台进行公开招标采购，欢迎符合条件的供应商投标。</w:t>
      </w:r>
      <w:r>
        <w:rPr>
          <w:rFonts w:hint="eastAsia" w:ascii="宋体" w:hAnsi="宋体"/>
          <w:color w:val="000000"/>
          <w:sz w:val="24"/>
          <w:szCs w:val="24"/>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rPr>
          <w:rFonts w:ascii="宋体" w:hAnsi="宋体"/>
          <w:color w:val="000000"/>
          <w:sz w:val="24"/>
          <w:szCs w:val="24"/>
        </w:rPr>
      </w:pPr>
      <w:r/>
      <w:bookmarkEnd w:id="11"/>
      <w:r>
        <w:rPr>
          <w:rFonts w:hint="eastAsia" w:ascii="宋体" w:hAnsi="宋体"/>
          <w:color w:val="000000"/>
          <w:sz w:val="24"/>
          <w:szCs w:val="24"/>
        </w:rPr>
        <w:t xml:space="preserve">1.项目编号：JSZC-3201</w:t>
      </w:r>
      <w:r>
        <w:rPr>
          <w:rFonts w:hint="eastAsia" w:ascii="宋体" w:hAnsi="宋体"/>
          <w:color w:val="000000"/>
          <w:sz w:val="24"/>
          <w:szCs w:val="24"/>
          <w:lang w:val="en-US" w:eastAsia="zh-CN"/>
        </w:rPr>
        <w:t xml:space="preserve">00</w:t>
      </w:r>
      <w:r>
        <w:rPr>
          <w:rFonts w:hint="eastAsia" w:ascii="宋体" w:hAnsi="宋体"/>
          <w:color w:val="000000"/>
          <w:sz w:val="24"/>
          <w:szCs w:val="24"/>
        </w:rPr>
        <w:t xml:space="preserve">-JZCG-G2026-0131</w:t>
      </w:r>
      <w:r>
        <w:rPr>
          <w:rFonts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2.项目名称：紫金山实验室伴随式内生免疫系统计算平台</w:t>
      </w:r>
      <w:r>
        <w:rPr>
          <w:rFonts w:hint="eastAsia" w:ascii="宋体" w:hAnsi="宋体"/>
          <w:color w:val="000000"/>
          <w:sz w:val="24"/>
          <w:szCs w:val="24"/>
        </w:rPr>
      </w:r>
      <w:r/>
    </w:p>
    <w:p>
      <w:pPr>
        <w:pStyle w:val="871"/>
        <w:ind w:firstLine="480"/>
        <w:rPr>
          <w:rFonts w:ascii="宋体" w:hAnsi="宋体"/>
          <w:color w:val="000000"/>
          <w:sz w:val="24"/>
          <w:szCs w:val="24"/>
        </w:rPr>
      </w:pPr>
      <w:r>
        <w:rPr>
          <w:rFonts w:hint="eastAsia" w:ascii="宋体" w:hAnsi="宋体"/>
          <w:color w:val="000000"/>
          <w:sz w:val="24"/>
          <w:szCs w:val="24"/>
        </w:rPr>
        <w:t xml:space="preserve">3.预算金额：98万元</w:t>
      </w:r>
      <w:r>
        <w:rPr>
          <w:rFonts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4.最高限价：98万元</w:t>
      </w:r>
      <w:r>
        <w:rPr>
          <w:rFonts w:hint="eastAsia" w:ascii="宋体" w:hAnsi="宋体"/>
          <w:color w:val="000000"/>
          <w:sz w:val="24"/>
          <w:szCs w:val="24"/>
        </w:rPr>
      </w:r>
      <w:r/>
    </w:p>
    <w:p>
      <w:pPr>
        <w:pStyle w:val="871"/>
        <w:ind w:firstLine="480"/>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采购单位</w:t>
      </w:r>
      <w:r>
        <w:rPr>
          <w:rFonts w:hint="eastAsia" w:ascii="宋体" w:hAnsi="宋体"/>
          <w:color w:val="000000"/>
          <w:sz w:val="24"/>
          <w:szCs w:val="24"/>
        </w:rPr>
        <w:t xml:space="preserve">因科研需</w:t>
      </w:r>
      <w:r>
        <w:rPr>
          <w:rFonts w:hint="eastAsia" w:ascii="宋体" w:hAnsi="宋体"/>
          <w:color w:val="000000"/>
          <w:sz w:val="24"/>
          <w:szCs w:val="24"/>
          <w:lang w:val="en-US" w:eastAsia="zh-CN"/>
        </w:rPr>
        <w:t xml:space="preserve">要</w:t>
      </w:r>
      <w:r>
        <w:rPr>
          <w:rFonts w:hint="eastAsia" w:ascii="宋体" w:hAnsi="宋体"/>
          <w:color w:val="000000"/>
          <w:sz w:val="24"/>
          <w:szCs w:val="24"/>
        </w:rPr>
        <w:t xml:space="preserve">，采购DeepXDR计算平台一套，包括GPU计算节点2台和交换机1台。</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1"/>
        <w:ind w:firstLine="480"/>
        <w:rPr>
          <w:rFonts w:hint="eastAsia" w:ascii="宋体" w:hAnsi="宋体" w:cs="宋体"/>
          <w:color w:val="000000"/>
          <w:sz w:val="24"/>
          <w:szCs w:val="24"/>
          <w:highlight w:val="yellow"/>
        </w:rPr>
      </w:pPr>
      <w:r>
        <w:rPr>
          <w:rFonts w:hint="eastAsia" w:ascii="宋体" w:hAnsi="宋体"/>
          <w:color w:val="000000"/>
          <w:sz w:val="24"/>
          <w:szCs w:val="24"/>
        </w:rPr>
        <w:t xml:space="preserve">6.合同履行期限：30天</w:t>
      </w:r>
      <w:r>
        <w:rPr>
          <w:rFonts w:hint="eastAsia" w:ascii="宋体" w:hAnsi="宋体" w:cs="宋体"/>
          <w:color w:val="000000"/>
          <w:sz w:val="24"/>
          <w:szCs w:val="24"/>
          <w:highlight w:val="yellow"/>
        </w:rPr>
      </w:r>
      <w:r/>
    </w:p>
    <w:p>
      <w:pPr>
        <w:pStyle w:val="871"/>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871"/>
        <w:ind w:firstLine="480"/>
        <w:widowControl/>
        <w:rPr>
          <w:rFonts w:hint="eastAsia" w:ascii="宋体" w:hAnsi="宋体"/>
          <w:color w:val="000000"/>
          <w:sz w:val="24"/>
          <w:szCs w:val="24"/>
        </w:rPr>
      </w:pPr>
      <w:r>
        <w:rPr>
          <w:rFonts w:hint="eastAsia" w:ascii="宋体" w:hAnsi="宋体" w:cs="宋体"/>
          <w:color w:val="000000"/>
          <w:sz w:val="24"/>
          <w:szCs w:val="24"/>
        </w:rPr>
        <w:t xml:space="preserve">8.本项目不接受进口产品投标。</w:t>
      </w:r>
      <w:r>
        <w:rPr>
          <w:rFonts w:hint="eastAsia" w:ascii="宋体" w:hAnsi="宋体"/>
          <w:color w:val="000000"/>
          <w:sz w:val="24"/>
          <w:szCs w:val="24"/>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2" w:name="_Toc35393791"/>
      <w:r/>
      <w:bookmarkStart w:id="13" w:name="_Toc38985264"/>
      <w:r/>
      <w:bookmarkStart w:id="14" w:name="_Toc28359080"/>
      <w:r/>
      <w:bookmarkStart w:id="15" w:name="_Toc35393622"/>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rPr>
          <w:rFonts w:hint="eastAsia" w:ascii="宋体" w:hAnsi="宋体"/>
          <w:color w:val="000000"/>
          <w:sz w:val="24"/>
          <w:szCs w:val="24"/>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871"/>
        <w:ind w:firstLine="480"/>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871"/>
        <w:ind w:firstLine="480"/>
        <w:rPr>
          <w:rFonts w:hint="eastAsia" w:ascii="宋体" w:hAnsi="宋体"/>
          <w:color w:val="000000"/>
          <w:sz w:val="24"/>
          <w:szCs w:val="24"/>
          <w:highlight w:val="yellow"/>
        </w:rPr>
      </w:pPr>
      <w:r>
        <w:rPr>
          <w:rFonts w:hint="eastAsia" w:ascii="宋体" w:hAnsi="宋体"/>
          <w:color w:val="000000"/>
          <w:sz w:val="24"/>
          <w:szCs w:val="24"/>
          <w:lang w:val="zh-CN"/>
        </w:rPr>
        <w:t xml:space="preserve">2.落实政府采购政策需满足的资格要求：</w:t>
      </w:r>
      <w:r>
        <w:rPr>
          <w:rFonts w:hint="eastAsia" w:ascii="宋体" w:hAnsi="宋体"/>
          <w:color w:val="000000"/>
          <w:sz w:val="24"/>
          <w:szCs w:val="24"/>
        </w:rPr>
        <w:t xml:space="preserve">无</w:t>
      </w:r>
      <w:r>
        <w:rPr>
          <w:rFonts w:hint="eastAsia" w:ascii="宋体" w:hAnsi="宋体"/>
          <w:color w:val="000000"/>
          <w:sz w:val="24"/>
          <w:szCs w:val="24"/>
          <w:highlight w:val="yellow"/>
        </w:rPr>
      </w:r>
      <w:r/>
    </w:p>
    <w:p>
      <w:pPr>
        <w:pStyle w:val="871"/>
        <w:ind w:firstLine="480"/>
        <w:jc w:val="left"/>
        <w:rPr>
          <w:rFonts w:hint="eastAsia"/>
          <w:color w:val="000000"/>
        </w:rPr>
      </w:pPr>
      <w:r>
        <w:rPr>
          <w:rFonts w:hint="eastAsia" w:ascii="宋体" w:hAnsi="宋体"/>
          <w:color w:val="000000"/>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color w:val="000000"/>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rPr>
          <w:rFonts w:ascii="宋体" w:hAnsi="宋体" w:cs="宋体"/>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480"/>
        <w:rPr>
          <w:rFonts w:hint="eastAsia" w:ascii="宋体" w:hAnsi="宋体"/>
          <w:bCs/>
          <w:color w:val="000000"/>
          <w:sz w:val="24"/>
          <w:szCs w:val="24"/>
          <w:u w:val="single"/>
        </w:rPr>
      </w:pPr>
      <w:r/>
      <w:bookmarkStart w:id="27" w:name="_Toc28359084"/>
      <w:r/>
      <w:bookmarkStart w:id="28" w:name="_Toc35393625"/>
      <w:r/>
      <w:bookmarkStart w:id="29" w:name="_Toc35393794"/>
      <w:r/>
      <w:bookmarkStart w:id="30" w:name="_Toc38985267"/>
      <w:r/>
      <w:bookmarkStart w:id="31" w:name="_Toc28359007"/>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7</w:t>
      </w:r>
      <w:r>
        <w:rPr>
          <w:rFonts w:hint="eastAsia" w:ascii="宋体" w:hAnsi="宋体"/>
          <w:bCs/>
          <w:color w:val="000000"/>
          <w:sz w:val="24"/>
          <w:szCs w:val="24"/>
        </w:rPr>
        <w:t xml:space="preserve">月22</w:t>
      </w:r>
      <w:r>
        <w:rPr>
          <w:rFonts w:hint="eastAsia" w:ascii="宋体" w:hAnsi="宋体"/>
          <w:bCs/>
          <w:color w:val="000000"/>
          <w:sz w:val="24"/>
          <w:szCs w:val="24"/>
        </w:rPr>
        <w:t xml:space="preserve">日</w:t>
      </w:r>
      <w:r>
        <w:rPr>
          <w:rFonts w:hint="eastAsia" w:ascii="宋体" w:hAnsi="宋体" w:cs="宋体"/>
          <w:color w:val="000000"/>
          <w:sz w:val="24"/>
          <w:szCs w:val="24"/>
        </w:rPr>
        <w:t xml:space="preserve">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分（北京时间）。</w:t>
      </w:r>
      <w:r>
        <w:rPr>
          <w:rFonts w:hint="eastAsia" w:ascii="宋体" w:hAnsi="宋体"/>
          <w:bCs/>
          <w:color w:val="000000"/>
          <w:sz w:val="24"/>
          <w:szCs w:val="24"/>
          <w:u w:val="single"/>
        </w:rPr>
      </w:r>
      <w:r/>
    </w:p>
    <w:p>
      <w:pPr>
        <w:pStyle w:val="871"/>
        <w:ind w:firstLine="480"/>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rPr>
          <w:rFonts w:hint="eastAsia"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tabs>
          <w:tab w:val="left" w:pos="900" w:leader="none"/>
        </w:tabs>
        <w:rPr>
          <w:rFonts w:hint="eastAsia" w:ascii="宋体" w:hAnsi="宋体"/>
          <w:bCs/>
          <w:color w:val="000000"/>
          <w:sz w:val="24"/>
          <w:szCs w:val="24"/>
        </w:rPr>
      </w:pPr>
      <w:r/>
      <w:bookmarkStart w:id="35" w:name="_Toc35393627"/>
      <w:r/>
      <w:bookmarkStart w:id="36" w:name="_Toc28359085"/>
      <w:r/>
      <w:bookmarkStart w:id="37" w:name="_Toc35393796"/>
      <w:r/>
      <w:bookmarkStart w:id="38" w:name="_Toc38985269"/>
      <w:r/>
      <w:bookmarkStart w:id="39" w:name="_Toc28359008"/>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pStyle w:val="871"/>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color w:val="000000"/>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71"/>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871"/>
        <w:ind w:firstLine="480"/>
        <w:rPr>
          <w:rFonts w:ascii="宋体" w:hAnsi="宋体"/>
          <w:color w:val="000000"/>
          <w:sz w:val="24"/>
        </w:rPr>
      </w:pPr>
      <w:r>
        <w:rPr>
          <w:rFonts w:hint="eastAsia" w:ascii="宋体" w:hAnsi="宋体" w:cs="宋体"/>
          <w:color w:val="000000"/>
          <w:sz w:val="24"/>
          <w:szCs w:val="24"/>
        </w:rPr>
        <w:t xml:space="preserve">采购人《质疑函》收件人：宋工，收件地址：江苏省南京市江宁区</w:t>
      </w:r>
      <w:r>
        <w:rPr>
          <w:rFonts w:hint="eastAsia" w:ascii="宋体" w:hAnsi="宋体" w:eastAsia="宋体" w:cs="宋体"/>
          <w:color w:val="000000"/>
          <w:sz w:val="24"/>
          <w:szCs w:val="24"/>
        </w:rPr>
        <w:t xml:space="preserve">秣周东路9号</w:t>
      </w:r>
      <w:r>
        <w:rPr>
          <w:rFonts w:hint="eastAsia" w:ascii="宋体" w:hAnsi="宋体" w:eastAsia="宋体" w:cs="宋体"/>
          <w:color w:val="000000"/>
          <w:sz w:val="24"/>
          <w:szCs w:val="24"/>
          <w:lang w:val="zh-CN"/>
        </w:rPr>
        <w:t xml:space="preserve">B1栋</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联系电话：19951683616。</w:t>
      </w:r>
      <w:r>
        <w:rPr>
          <w:rFonts w:ascii="宋体" w:hAnsi="宋体"/>
          <w:color w:val="000000"/>
          <w:sz w:val="24"/>
        </w:rPr>
      </w:r>
      <w:r/>
    </w:p>
    <w:p>
      <w:pPr>
        <w:pStyle w:val="871"/>
        <w:ind w:firstLine="480"/>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地址：南京市江东中路265号南京市公共资源交易中心北门，联系电话：025-68505926。</w:t>
      </w:r>
      <w:r>
        <w:rPr>
          <w:rFonts w:hint="eastAsia" w:ascii="宋体" w:hAnsi="宋体"/>
          <w:color w:val="000000"/>
          <w:sz w:val="24"/>
          <w:lang w:val="zh-CN"/>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lang w:val="zh-CN"/>
        </w:rPr>
        <w:t xml:space="preserve">紫金山实验室</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lang w:val="zh-CN"/>
        </w:rPr>
        <w:t xml:space="preserve">南京市江宁区秣周东路9号B1栋</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联系人：宋先生</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联系电话：19951683616</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2.交易中心</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地　址：南京市建邺区江东中路265号  </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联系人：邹女士</w:t>
      </w:r>
      <w:r>
        <w:rPr>
          <w:rFonts w:hint="eastAsia" w:ascii="宋体" w:hAnsi="宋体" w:cs="宋体"/>
          <w:color w:val="000000"/>
          <w:sz w:val="24"/>
          <w:szCs w:val="24"/>
        </w:rPr>
      </w:r>
      <w:r/>
    </w:p>
    <w:p>
      <w:pPr>
        <w:pStyle w:val="871"/>
        <w:ind w:firstLine="480"/>
        <w:rPr>
          <w:rFonts w:hint="eastAsia" w:ascii="宋体" w:hAnsi="宋体" w:cs="宋体"/>
          <w:color w:val="000000"/>
          <w:sz w:val="24"/>
          <w:szCs w:val="24"/>
        </w:rPr>
      </w:pPr>
      <w:r>
        <w:rPr>
          <w:rFonts w:hint="eastAsia" w:ascii="宋体" w:hAnsi="宋体" w:cs="宋体"/>
          <w:color w:val="000000"/>
          <w:sz w:val="24"/>
          <w:szCs w:val="24"/>
        </w:rPr>
        <w:t xml:space="preserve">联系电话：025-68505810</w:t>
      </w:r>
      <w:r>
        <w:rPr>
          <w:rFonts w:hint="eastAsia" w:ascii="宋体" w:hAnsi="宋体" w:cs="宋体"/>
          <w:color w:val="000000"/>
          <w:sz w:val="24"/>
          <w:szCs w:val="24"/>
        </w:rPr>
      </w:r>
      <w:r/>
    </w:p>
    <w:p>
      <w:pPr>
        <w:pStyle w:val="949"/>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0" w:name="_Hlt16619350"/>
      <w:r/>
      <w:bookmarkStart w:id="41" w:name="_Toc16938590"/>
      <w:r/>
      <w:bookmarkStart w:id="42" w:name="_Toc120614244"/>
      <w:r/>
      <w:bookmarkStart w:id="43" w:name="_Toc479757211"/>
      <w:r/>
      <w:bookmarkStart w:id="44" w:name="_Toc20823346"/>
      <w:r/>
      <w:bookmarkStart w:id="45" w:name="_Toc462564139"/>
      <w:r>
        <w:rPr>
          <w:rFonts w:ascii="黑体" w:eastAsia="黑体"/>
          <w:bCs/>
          <w:color w:val="000000"/>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rPr>
        <w:t xml:space="preserve">第二章  </w:t>
      </w:r>
      <w:bookmarkEnd w:id="46"/>
      <w:r/>
      <w:bookmarkStart w:id="47" w:name="_Toc513029202"/>
      <w:r/>
      <w:bookmarkStart w:id="48" w:name="_Toc20823274"/>
      <w:r/>
      <w:bookmarkStart w:id="49" w:name="_Toc120614213"/>
      <w:r/>
      <w:bookmarkStart w:id="50"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51" w:name="_Toc20823275"/>
      <w:r/>
      <w:bookmarkStart w:id="52" w:name="_Toc120614214"/>
      <w:r/>
      <w:bookmarkStart w:id="53" w:name="_Toc16938519"/>
      <w:r/>
      <w:bookmarkStart w:id="54" w:name="_Toc513029242"/>
      <w:r/>
      <w:bookmarkStart w:id="55" w:name="_Toc479757207"/>
      <w:r/>
      <w:bookmarkStart w:id="56" w:name="_Toc513029203"/>
      <w:r/>
      <w:bookmarkStart w:id="57" w:name="_Toc120614221"/>
      <w:r/>
      <w:bookmarkStart w:id="58" w:name="_Toc20823314"/>
      <w:r/>
      <w:bookmarkStart w:id="59" w:name="_Toc16938558"/>
      <w:r>
        <w:rPr>
          <w:rFonts w:hint="eastAsia" w:ascii="方正黑体_GBK" w:hAnsi="方正黑体_GBK" w:eastAsia="方正黑体_GBK" w:cs="方正黑体_GBK"/>
          <w:b w:val="0"/>
          <w:bCs w:val="0"/>
          <w:color w:val="000000"/>
          <w:sz w:val="30"/>
          <w:szCs w:val="30"/>
        </w:rPr>
        <w:t xml:space="preserve">一、总则</w:t>
      </w:r>
      <w:bookmarkEnd w:id="51"/>
      <w:r/>
      <w:bookmarkEnd w:id="52"/>
      <w:r/>
      <w:bookmarkEnd w:id="53"/>
      <w:r/>
      <w:bookmarkEnd w:id="56"/>
      <w:r>
        <w:rPr>
          <w:rFonts w:hint="eastAsia" w:ascii="方正黑体_GBK" w:hAnsi="方正黑体_GBK" w:eastAsia="方正黑体_GBK" w:cs="方正黑体_GBK"/>
          <w:b w:val="0"/>
          <w:bCs w:val="0"/>
          <w:color w:val="000000"/>
          <w:sz w:val="30"/>
          <w:szCs w:val="30"/>
        </w:rPr>
      </w:r>
      <w:r/>
    </w:p>
    <w:p>
      <w:pPr>
        <w:pStyle w:val="876"/>
        <w:ind w:firstLine="422"/>
        <w:rPr>
          <w:rFonts w:hint="eastAsia" w:ascii="方正楷体_GBK" w:hAnsi="方正楷体_GBK" w:eastAsia="方正楷体_GBK" w:cs="方正楷体_GBK"/>
          <w:b/>
          <w:bCs/>
          <w:color w:val="000000"/>
        </w:rPr>
      </w:pPr>
      <w:r/>
      <w:bookmarkStart w:id="60" w:name="_Toc458694821"/>
      <w:r/>
      <w:bookmarkStart w:id="61" w:name="_Toc16938520"/>
      <w:r/>
      <w:bookmarkStart w:id="62" w:name="_Toc20823276"/>
      <w:r/>
      <w:bookmarkStart w:id="63" w:name="_Toc513029204"/>
      <w:r/>
      <w:bookmarkStart w:id="64" w:name="_Hlt16619475"/>
      <w:r/>
      <w:bookmarkEnd w:id="64"/>
      <w:r>
        <w:rPr>
          <w:rFonts w:hint="eastAsia" w:ascii="方正楷体_GBK" w:hAnsi="方正楷体_GBK" w:eastAsia="方正楷体_GBK" w:cs="方正楷体_GBK"/>
          <w:b/>
          <w:bCs/>
          <w:color w:val="000000"/>
        </w:rPr>
        <w:t xml:space="preserve">1</w:t>
      </w:r>
      <w:bookmarkEnd w:id="60"/>
      <w:r>
        <w:rPr>
          <w:rFonts w:hint="eastAsia" w:ascii="方正楷体_GBK" w:hAnsi="方正楷体_GBK" w:eastAsia="方正楷体_GBK" w:cs="方正楷体_GBK"/>
          <w:b/>
          <w:bCs/>
          <w:color w:val="000000"/>
        </w:rPr>
        <w:t xml:space="preserve">.招标方式</w:t>
      </w:r>
      <w:bookmarkEnd w:id="61"/>
      <w:r/>
      <w:bookmarkEnd w:id="62"/>
      <w:r/>
      <w:bookmarkEnd w:id="63"/>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876"/>
        <w:ind w:firstLine="422"/>
        <w:rPr>
          <w:rFonts w:hint="eastAsia" w:ascii="方正楷体_GBK" w:hAnsi="方正楷体_GBK" w:eastAsia="方正楷体_GBK" w:cs="方正楷体_GBK"/>
          <w:b/>
          <w:bCs/>
          <w:color w:val="000000"/>
        </w:rPr>
      </w:pPr>
      <w:r/>
      <w:bookmarkStart w:id="65" w:name="_Toc20823277"/>
      <w:r/>
      <w:bookmarkStart w:id="66" w:name="_Toc513029205"/>
      <w:r/>
      <w:bookmarkStart w:id="67" w:name="_Toc16938521"/>
      <w:r>
        <w:rPr>
          <w:rFonts w:hint="eastAsia" w:ascii="方正楷体_GBK" w:hAnsi="方正楷体_GBK" w:eastAsia="方正楷体_GBK" w:cs="方正楷体_GBK"/>
          <w:b/>
          <w:bCs/>
          <w:color w:val="000000"/>
        </w:rPr>
        <w:t xml:space="preserve">2.合格的投标人</w:t>
      </w:r>
      <w:bookmarkEnd w:id="65"/>
      <w:r/>
      <w:bookmarkEnd w:id="66"/>
      <w:r/>
      <w:bookmarkEnd w:id="67"/>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876"/>
        <w:ind w:firstLine="422"/>
        <w:rPr>
          <w:rFonts w:hint="eastAsia" w:ascii="方正楷体_GBK" w:hAnsi="方正楷体_GBK" w:eastAsia="方正楷体_GBK" w:cs="方正楷体_GBK"/>
          <w:b/>
          <w:bCs/>
          <w:color w:val="000000"/>
        </w:rPr>
      </w:pPr>
      <w:r/>
      <w:bookmarkStart w:id="68" w:name="_Toc16938522"/>
      <w:r/>
      <w:bookmarkStart w:id="69" w:name="_Toc513029206"/>
      <w:r/>
      <w:bookmarkStart w:id="70" w:name="_Toc20823278"/>
      <w:r>
        <w:rPr>
          <w:rFonts w:hint="eastAsia" w:ascii="方正楷体_GBK" w:hAnsi="方正楷体_GBK" w:eastAsia="方正楷体_GBK" w:cs="方正楷体_GBK"/>
          <w:b/>
          <w:bCs/>
          <w:color w:val="000000"/>
        </w:rPr>
        <w:t xml:space="preserve">3.适用法律</w:t>
      </w:r>
      <w:bookmarkEnd w:id="68"/>
      <w:r/>
      <w:bookmarkEnd w:id="69"/>
      <w:r/>
      <w:bookmarkEnd w:id="70"/>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876"/>
        <w:ind w:firstLine="422"/>
        <w:rPr>
          <w:rFonts w:hint="eastAsia" w:ascii="方正楷体_GBK" w:hAnsi="方正楷体_GBK" w:eastAsia="方正楷体_GBK" w:cs="方正楷体_GBK"/>
          <w:b/>
          <w:bCs/>
          <w:color w:val="000000"/>
        </w:rPr>
      </w:pPr>
      <w:r/>
      <w:bookmarkStart w:id="71" w:name="_Toc462564067"/>
      <w:r/>
      <w:bookmarkStart w:id="72" w:name="_Toc513029207"/>
      <w:r/>
      <w:bookmarkStart w:id="73" w:name="_Toc20823279"/>
      <w:r/>
      <w:bookmarkStart w:id="74" w:name="_Toc16938523"/>
      <w:r>
        <w:rPr>
          <w:rFonts w:hint="eastAsia" w:ascii="方正楷体_GBK" w:hAnsi="方正楷体_GBK" w:eastAsia="方正楷体_GBK" w:cs="方正楷体_GBK"/>
          <w:b/>
          <w:bCs/>
          <w:color w:val="000000"/>
        </w:rPr>
        <w:t xml:space="preserve">4.投标费用</w:t>
      </w:r>
      <w:bookmarkEnd w:id="71"/>
      <w:r/>
      <w:bookmarkEnd w:id="72"/>
      <w:r/>
      <w:bookmarkEnd w:id="73"/>
      <w:r/>
      <w:bookmarkEnd w:id="74"/>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876"/>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5.招标文件的约束力</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75" w:name="_Toc20823281"/>
      <w:r/>
      <w:bookmarkStart w:id="76" w:name="_Toc513029209"/>
      <w:r/>
      <w:bookmarkStart w:id="77" w:name="_Toc16938525"/>
      <w:r/>
      <w:bookmarkStart w:id="78" w:name="_Toc120614215"/>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876"/>
        <w:ind w:firstLine="422"/>
        <w:rPr>
          <w:rFonts w:hint="eastAsia" w:ascii="方正楷体_GBK" w:hAnsi="方正楷体_GBK" w:eastAsia="方正楷体_GBK" w:cs="方正楷体_GBK"/>
          <w:b/>
          <w:bCs/>
          <w:color w:val="000000"/>
        </w:rPr>
      </w:pPr>
      <w:r/>
      <w:bookmarkStart w:id="79" w:name="_Toc20823282"/>
      <w:r/>
      <w:bookmarkStart w:id="80" w:name="_Toc16938526"/>
      <w:r/>
      <w:bookmarkStart w:id="81" w:name="_Toc513029210"/>
      <w:r>
        <w:rPr>
          <w:rFonts w:hint="eastAsia" w:ascii="方正楷体_GBK" w:hAnsi="方正楷体_GBK" w:eastAsia="方正楷体_GBK" w:cs="方正楷体_GBK"/>
          <w:b/>
          <w:bCs/>
          <w:color w:val="000000"/>
        </w:rPr>
        <w:t xml:space="preserve">6.招标文件构成</w:t>
      </w:r>
      <w:bookmarkEnd w:id="79"/>
      <w:r/>
      <w:bookmarkEnd w:id="80"/>
      <w:r/>
      <w:bookmarkEnd w:id="81"/>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76"/>
        <w:ind w:firstLine="422"/>
        <w:rPr>
          <w:rFonts w:hint="eastAsia" w:ascii="方正楷体_GBK" w:hAnsi="方正楷体_GBK" w:eastAsia="方正楷体_GBK" w:cs="方正楷体_GBK"/>
          <w:b/>
          <w:bCs/>
          <w:color w:val="000000"/>
        </w:rPr>
      </w:pPr>
      <w:r/>
      <w:bookmarkStart w:id="82" w:name="_Toc513029211"/>
      <w:r/>
      <w:bookmarkStart w:id="83" w:name="_Toc20823283"/>
      <w:r/>
      <w:bookmarkStart w:id="84" w:name="_Toc462564070"/>
      <w:r/>
      <w:bookmarkStart w:id="85" w:name="_Toc16938527"/>
      <w:r>
        <w:rPr>
          <w:rFonts w:hint="eastAsia" w:ascii="方正楷体_GBK" w:hAnsi="方正楷体_GBK" w:eastAsia="方正楷体_GBK" w:cs="方正楷体_GBK"/>
          <w:b/>
          <w:bCs/>
          <w:color w:val="000000"/>
        </w:rPr>
        <w:t xml:space="preserve">7.招标文件的澄清</w:t>
      </w:r>
      <w:bookmarkEnd w:id="82"/>
      <w:r/>
      <w:bookmarkEnd w:id="83"/>
      <w:r/>
      <w:bookmarkEnd w:id="84"/>
      <w:r/>
      <w:bookmarkEnd w:id="85"/>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876"/>
        <w:ind w:firstLine="422"/>
        <w:rPr>
          <w:rFonts w:hint="eastAsia" w:ascii="方正楷体_GBK" w:hAnsi="方正楷体_GBK" w:eastAsia="方正楷体_GBK" w:cs="方正楷体_GBK"/>
          <w:b/>
          <w:bCs/>
          <w:color w:val="000000"/>
        </w:rPr>
      </w:pPr>
      <w:r/>
      <w:bookmarkStart w:id="86" w:name="_Toc462564071"/>
      <w:r/>
      <w:bookmarkStart w:id="87" w:name="_Toc513029212"/>
      <w:r/>
      <w:bookmarkStart w:id="88" w:name="_Toc20823284"/>
      <w:r/>
      <w:bookmarkStart w:id="89" w:name="_Toc16938528"/>
      <w:r>
        <w:rPr>
          <w:rFonts w:hint="eastAsia" w:ascii="方正楷体_GBK" w:hAnsi="方正楷体_GBK" w:eastAsia="方正楷体_GBK" w:cs="方正楷体_GBK"/>
          <w:b/>
          <w:bCs/>
          <w:color w:val="000000"/>
        </w:rPr>
        <w:t xml:space="preserve">8.招标文件的修改</w:t>
      </w:r>
      <w:bookmarkEnd w:id="86"/>
      <w:r/>
      <w:bookmarkEnd w:id="87"/>
      <w:r/>
      <w:bookmarkEnd w:id="88"/>
      <w:r/>
      <w:bookmarkEnd w:id="89"/>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bookmarkStart w:id="90" w:name="_Toc20823285"/>
      <w:r/>
      <w:bookmarkStart w:id="91" w:name="_Toc16938529"/>
      <w:r/>
      <w:bookmarkStart w:id="92" w:name="_Toc513029213"/>
      <w:r/>
      <w:bookmarkStart w:id="93" w:name="_Toc120614216"/>
      <w:r/>
      <w:bookmarkStart w:id="94" w:name="_Toc462564072"/>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876"/>
        <w:ind w:firstLine="422"/>
        <w:rPr>
          <w:rFonts w:hint="eastAsia" w:ascii="方正楷体_GBK" w:hAnsi="方正楷体_GBK" w:eastAsia="方正楷体_GBK" w:cs="方正楷体_GBK"/>
          <w:b/>
          <w:bCs/>
          <w:color w:val="000000"/>
        </w:rPr>
      </w:pPr>
      <w:r/>
      <w:bookmarkStart w:id="95" w:name="_Toc20823286"/>
      <w:r/>
      <w:bookmarkStart w:id="96" w:name="_Toc462564073"/>
      <w:r/>
      <w:bookmarkStart w:id="97" w:name="_Toc513029214"/>
      <w:r/>
      <w:bookmarkStart w:id="98" w:name="_Toc16938530"/>
      <w:r>
        <w:rPr>
          <w:rFonts w:hint="eastAsia" w:ascii="方正楷体_GBK" w:hAnsi="方正楷体_GBK" w:eastAsia="方正楷体_GBK" w:cs="方正楷体_GBK"/>
          <w:b/>
          <w:bCs/>
          <w:color w:val="000000"/>
        </w:rPr>
        <w:t xml:space="preserve">9.投标文件的语言及度量衡单位</w:t>
      </w:r>
      <w:bookmarkEnd w:id="95"/>
      <w:r/>
      <w:bookmarkEnd w:id="96"/>
      <w:r/>
      <w:bookmarkEnd w:id="97"/>
      <w:r/>
      <w:bookmarkEnd w:id="98"/>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871"/>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876"/>
        <w:ind w:firstLine="422"/>
        <w:rPr>
          <w:rFonts w:hint="eastAsia" w:ascii="方正楷体_GBK" w:hAnsi="方正楷体_GBK" w:eastAsia="方正楷体_GBK" w:cs="方正楷体_GBK"/>
          <w:b/>
          <w:bCs/>
          <w:color w:val="000000"/>
        </w:rPr>
      </w:pPr>
      <w:r/>
      <w:bookmarkStart w:id="99" w:name="_Toc20823287"/>
      <w:r/>
      <w:bookmarkStart w:id="100" w:name="_Toc16938531"/>
      <w:r/>
      <w:bookmarkStart w:id="101" w:name="_Toc513029215"/>
      <w:r/>
      <w:bookmarkStart w:id="102" w:name="_Toc462564074"/>
      <w:r>
        <w:rPr>
          <w:rFonts w:hint="eastAsia" w:ascii="方正楷体_GBK" w:hAnsi="方正楷体_GBK" w:eastAsia="方正楷体_GBK" w:cs="方正楷体_GBK"/>
          <w:b/>
          <w:bCs/>
          <w:color w:val="000000"/>
        </w:rPr>
        <w:t xml:space="preserve">10.投标文件构成</w:t>
      </w:r>
      <w:bookmarkEnd w:id="99"/>
      <w:r/>
      <w:bookmarkEnd w:id="100"/>
      <w:r/>
      <w:bookmarkEnd w:id="101"/>
      <w:r/>
      <w:bookmarkEnd w:id="102"/>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szCs w:val="22"/>
        </w:rPr>
      </w:pPr>
      <w:r>
        <w:rPr>
          <w:rFonts w:hint="eastAsia" w:ascii="宋体" w:hAnsi="宋体"/>
          <w:color w:val="000000"/>
          <w:sz w:val="24"/>
          <w:szCs w:val="22"/>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szCs w:val="22"/>
        </w:rPr>
      </w:r>
      <w:r/>
    </w:p>
    <w:p>
      <w:pPr>
        <w:pStyle w:val="871"/>
        <w:ind w:firstLine="420"/>
        <w:rPr>
          <w:rFonts w:hint="eastAsia" w:ascii="宋体" w:hAnsi="宋体"/>
          <w:color w:val="000000"/>
          <w:sz w:val="24"/>
          <w:szCs w:val="22"/>
        </w:rPr>
      </w:pPr>
      <w:r>
        <w:rPr>
          <w:rFonts w:hint="eastAsia" w:ascii="宋体" w:hAnsi="宋体"/>
          <w:color w:val="000000"/>
          <w:sz w:val="24"/>
          <w:szCs w:val="22"/>
        </w:rPr>
        <w:t xml:space="preserve">10.2 如标书制作工具中格式和内容与“江苏政府采购网”发布的招标文件不一致，以“江苏政府采购网”发布的招标文件为准。</w:t>
      </w:r>
      <w:r>
        <w:rPr>
          <w:rFonts w:hint="eastAsia" w:ascii="宋体" w:hAnsi="宋体"/>
          <w:color w:val="000000"/>
          <w:sz w:val="24"/>
          <w:szCs w:val="22"/>
        </w:rPr>
      </w:r>
      <w:r/>
    </w:p>
    <w:p>
      <w:pPr>
        <w:pStyle w:val="876"/>
        <w:ind w:firstLine="422"/>
        <w:rPr>
          <w:rFonts w:hint="eastAsia" w:ascii="方正楷体_GBK" w:hAnsi="方正楷体_GBK" w:eastAsia="方正楷体_GBK" w:cs="方正楷体_GBK"/>
          <w:b/>
          <w:bCs/>
          <w:color w:val="000000"/>
        </w:rPr>
      </w:pPr>
      <w:r/>
      <w:bookmarkStart w:id="103" w:name="_Hlt26668975"/>
      <w:r/>
      <w:bookmarkEnd w:id="103"/>
      <w:r/>
      <w:bookmarkStart w:id="104" w:name="_Toc49090509"/>
      <w:r/>
      <w:bookmarkStart w:id="105" w:name="_Toc14577357"/>
      <w:r/>
      <w:bookmarkStart w:id="106" w:name="_Toc513029219"/>
      <w:r/>
      <w:bookmarkStart w:id="107" w:name="_Toc49090507"/>
      <w:r/>
      <w:bookmarkStart w:id="108" w:name="_Toc513029216"/>
      <w:r/>
      <w:bookmarkStart w:id="109" w:name="_Toc14577354"/>
      <w:r/>
      <w:bookmarkStart w:id="110" w:name="_Hlt26954838"/>
      <w:r/>
      <w:bookmarkEnd w:id="110"/>
      <w:r/>
      <w:bookmarkStart w:id="111" w:name="_Hlt26670360"/>
      <w:r/>
      <w:bookmarkEnd w:id="111"/>
      <w:r>
        <w:rPr>
          <w:rFonts w:hint="eastAsia" w:ascii="方正楷体_GBK" w:hAnsi="方正楷体_GBK" w:eastAsia="方正楷体_GBK" w:cs="方正楷体_GBK"/>
          <w:b/>
          <w:bCs/>
          <w:color w:val="000000"/>
        </w:rPr>
        <w:t xml:space="preserve">11.证明投标人及投标标的符合招标文件规定的文件</w:t>
      </w:r>
      <w:bookmarkEnd w:id="104"/>
      <w:r/>
      <w:bookmarkEnd w:id="105"/>
      <w:r/>
      <w:bookmarkEnd w:id="106"/>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bookmarkEnd w:id="107"/>
      <w:r/>
      <w:bookmarkEnd w:id="108"/>
      <w:r/>
      <w:bookmarkEnd w:id="109"/>
      <w:r/>
      <w:bookmarkStart w:id="112" w:name="_Toc49090508"/>
      <w:r/>
      <w:bookmarkStart w:id="113" w:name="_Toc14577355"/>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876"/>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12</w:t>
      </w:r>
      <w:bookmarkEnd w:id="112"/>
      <w:r/>
      <w:bookmarkEnd w:id="113"/>
      <w:r>
        <w:rPr>
          <w:rFonts w:hint="eastAsia" w:ascii="方正楷体_GBK" w:hAnsi="方正楷体_GBK" w:eastAsia="方正楷体_GBK" w:cs="方正楷体_GBK"/>
          <w:b/>
          <w:bCs/>
          <w:color w:val="000000"/>
        </w:rPr>
        <w:t xml:space="preserve">.投标分项报价表（如有）</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rPr>
      </w:pPr>
      <w:r>
        <w:rPr>
          <w:rFonts w:hint="eastAsia" w:ascii="宋体" w:hAnsi="宋体"/>
          <w:color w:val="000000"/>
          <w:sz w:val="24"/>
        </w:rPr>
        <w:t xml:space="preserve">12.1 投</w:t>
      </w:r>
      <w:bookmarkStart w:id="114" w:name="_Hlt26954840"/>
      <w:r/>
      <w:bookmarkEnd w:id="114"/>
      <w:r>
        <w:rPr>
          <w:rFonts w:hint="eastAsia" w:ascii="宋体" w:hAnsi="宋体"/>
          <w:color w:val="000000"/>
          <w:sz w:val="24"/>
        </w:rPr>
        <w:t xml:space="preserve">标人应按照招标文件规定格式填报</w:t>
      </w:r>
      <w:bookmarkStart w:id="115" w:name="_Hlt26670399"/>
      <w:r/>
      <w:bookmarkEnd w:id="115"/>
      <w:r>
        <w:rPr>
          <w:rFonts w:hint="eastAsia" w:ascii="宋体" w:hAnsi="宋体"/>
          <w:color w:val="000000"/>
          <w:sz w:val="24"/>
        </w:rPr>
        <w:t xml:space="preserve">投标分项报价表。</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876"/>
        <w:ind w:firstLine="422"/>
        <w:rPr>
          <w:rFonts w:hint="eastAsia" w:ascii="方正楷体_GBK" w:hAnsi="方正楷体_GBK" w:eastAsia="方正楷体_GBK" w:cs="方正楷体_GBK"/>
          <w:b/>
          <w:bCs/>
          <w:color w:val="000000"/>
        </w:rPr>
      </w:pPr>
      <w:r/>
      <w:bookmarkStart w:id="116" w:name="_Hlt26954731"/>
      <w:r/>
      <w:bookmarkEnd w:id="116"/>
      <w:r/>
      <w:bookmarkStart w:id="117" w:name="_Hlt26668983"/>
      <w:r/>
      <w:bookmarkEnd w:id="117"/>
      <w:r/>
      <w:bookmarkStart w:id="118" w:name="_Hlt26954846"/>
      <w:r/>
      <w:bookmarkEnd w:id="118"/>
      <w:r/>
      <w:bookmarkStart w:id="119" w:name="_Hlt26670482"/>
      <w:r/>
      <w:bookmarkEnd w:id="119"/>
      <w:r/>
      <w:bookmarkStart w:id="120" w:name="_Hlt26670486"/>
      <w:r/>
      <w:bookmarkEnd w:id="120"/>
      <w:r/>
      <w:bookmarkStart w:id="121" w:name="_Hlt26954848"/>
      <w:r/>
      <w:bookmarkEnd w:id="121"/>
      <w:r/>
      <w:bookmarkStart w:id="122" w:name="_Hlt26954842"/>
      <w:r/>
      <w:bookmarkEnd w:id="122"/>
      <w:r/>
      <w:bookmarkStart w:id="123" w:name="_Hlt26954844"/>
      <w:r/>
      <w:bookmarkEnd w:id="123"/>
      <w:r/>
      <w:bookmarkStart w:id="124" w:name="_Hlt26670425"/>
      <w:r/>
      <w:bookmarkEnd w:id="124"/>
      <w:r/>
      <w:bookmarkStart w:id="125" w:name="_Hlt26670403"/>
      <w:r/>
      <w:bookmarkEnd w:id="125"/>
      <w:r>
        <w:rPr>
          <w:rFonts w:hint="eastAsia" w:ascii="方正楷体_GBK" w:hAnsi="方正楷体_GBK" w:eastAsia="方正楷体_GBK" w:cs="方正楷体_GBK"/>
          <w:b/>
          <w:bCs/>
          <w:color w:val="000000"/>
        </w:rPr>
        <w:t xml:space="preserve">13.响应及偏离表</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bookmarkStart w:id="126" w:name="_Toc14577359"/>
      <w:r/>
      <w:bookmarkStart w:id="127" w:name="_Toc49090510"/>
      <w:r>
        <w:rPr>
          <w:rFonts w:hint="eastAsia" w:ascii="方正楷体_GBK" w:hAnsi="方正楷体_GBK" w:eastAsia="方正楷体_GBK" w:cs="方正楷体_GBK"/>
          <w:b/>
          <w:bCs/>
          <w:color w:val="000000"/>
        </w:rPr>
        <w:t xml:space="preserve">14.投标函和开标一览表</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投标分项报价表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bookmarkEnd w:id="126"/>
      <w:r/>
      <w:bookmarkEnd w:id="127"/>
      <w:r/>
      <w:bookmarkStart w:id="128" w:name="_Hlt26670489"/>
      <w:r/>
      <w:bookmarkEnd w:id="128"/>
      <w:r/>
      <w:bookmarkStart w:id="129" w:name="_Hlt26954850"/>
      <w:r/>
      <w:bookmarkEnd w:id="129"/>
      <w:r/>
      <w:bookmarkStart w:id="130" w:name="_Toc49090511"/>
      <w:r/>
      <w:bookmarkStart w:id="131" w:name="_Toc14577360"/>
      <w:r/>
      <w:bookmarkStart w:id="132" w:name="_Hlt26954734"/>
      <w:r/>
      <w:bookmarkEnd w:id="132"/>
      <w:r>
        <w:rPr>
          <w:rFonts w:hint="eastAsia" w:ascii="方正楷体_GBK" w:hAnsi="方正楷体_GBK" w:eastAsia="方正楷体_GBK" w:cs="方正楷体_GBK"/>
          <w:b/>
          <w:bCs/>
          <w:color w:val="000000"/>
        </w:rPr>
        <w:t xml:space="preserve">15.投标有效期</w:t>
      </w:r>
      <w:bookmarkEnd w:id="130"/>
      <w:r/>
      <w:bookmarkEnd w:id="131"/>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16.投标有效期的延长</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33" w:name="_Hlt26954739"/>
      <w:r/>
      <w:bookmarkEnd w:id="133"/>
      <w:r/>
      <w:bookmarkStart w:id="134" w:name="_Hlt26954852"/>
      <w:r/>
      <w:bookmarkEnd w:id="134"/>
      <w:r/>
      <w:bookmarkStart w:id="135" w:name="_Toc120614217"/>
      <w:r/>
      <w:bookmarkStart w:id="136" w:name="_Toc513029224"/>
      <w:r/>
      <w:bookmarkStart w:id="137" w:name="_Toc16938540"/>
      <w:r/>
      <w:bookmarkStart w:id="138" w:name="_Toc20823296"/>
      <w:r/>
      <w:bookmarkStart w:id="139" w:name="_Toc16938553"/>
      <w:r/>
      <w:bookmarkStart w:id="140" w:name="_Toc513029237"/>
      <w:r/>
      <w:bookmarkStart w:id="141" w:name="_Toc20823309"/>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7"/>
      <w:r/>
      <w:bookmarkEnd w:id="138"/>
      <w:r>
        <w:rPr>
          <w:rFonts w:hint="eastAsia" w:ascii="方正黑体_GBK" w:hAnsi="方正黑体_GBK" w:eastAsia="方正黑体_GBK" w:cs="方正黑体_GBK"/>
          <w:b w:val="0"/>
          <w:bCs w:val="0"/>
          <w:color w:val="000000"/>
          <w:sz w:val="30"/>
          <w:szCs w:val="30"/>
        </w:rPr>
      </w:r>
      <w:r/>
    </w:p>
    <w:p>
      <w:pPr>
        <w:pStyle w:val="876"/>
        <w:ind w:firstLine="422"/>
        <w:rPr>
          <w:rFonts w:hint="eastAsia" w:ascii="方正楷体_GBK" w:hAnsi="方正楷体_GBK" w:eastAsia="方正楷体_GBK" w:cs="方正楷体_GBK"/>
          <w:b/>
          <w:bCs/>
          <w:color w:val="000000"/>
        </w:rPr>
      </w:pPr>
      <w:r/>
      <w:bookmarkStart w:id="142" w:name="_Toc20823297"/>
      <w:r/>
      <w:bookmarkStart w:id="143" w:name="_Toc16938541"/>
      <w:r/>
      <w:bookmarkStart w:id="144" w:name="_Toc513029225"/>
      <w:r/>
      <w:bookmarkStart w:id="145" w:name="_Toc462564084"/>
      <w:r>
        <w:rPr>
          <w:rFonts w:hint="eastAsia" w:ascii="方正楷体_GBK" w:hAnsi="方正楷体_GBK" w:eastAsia="方正楷体_GBK" w:cs="方正楷体_GBK"/>
          <w:b/>
          <w:bCs/>
          <w:color w:val="000000"/>
        </w:rPr>
        <w:t xml:space="preserve">17.投标文件</w:t>
      </w:r>
      <w:bookmarkEnd w:id="142"/>
      <w:r/>
      <w:bookmarkEnd w:id="143"/>
      <w:r/>
      <w:bookmarkEnd w:id="144"/>
      <w:r/>
      <w:bookmarkEnd w:id="145"/>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6" w:name="_Toc16938542"/>
      <w:r/>
      <w:bookmarkStart w:id="147" w:name="_Toc513029226"/>
      <w:r/>
      <w:bookmarkStart w:id="148" w:name="_Toc20823298"/>
      <w:r>
        <w:rPr>
          <w:rFonts w:hint="eastAsia" w:ascii="宋体" w:hAnsi="宋体"/>
          <w:color w:val="000000"/>
          <w:sz w:val="24"/>
          <w:lang w:val="zh-CN"/>
        </w:rPr>
      </w:r>
      <w:r/>
    </w:p>
    <w:p>
      <w:pPr>
        <w:pStyle w:val="871"/>
        <w:ind w:firstLine="420"/>
        <w:rPr>
          <w:rFonts w:hint="eastAsia" w:ascii="宋体" w:hAnsi="宋体"/>
          <w:color w:val="000000"/>
          <w:sz w:val="24"/>
          <w:lang w:val="zh-CN"/>
        </w:rPr>
      </w:pPr>
      <w:r/>
      <w:bookmarkEnd w:id="146"/>
      <w:r/>
      <w:bookmarkEnd w:id="147"/>
      <w:r/>
      <w:bookmarkEnd w:id="148"/>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bookmarkStart w:id="149" w:name="_Toc16938543"/>
      <w:r/>
      <w:bookmarkStart w:id="150" w:name="_Toc513029227"/>
      <w:r/>
      <w:bookmarkStart w:id="151" w:name="_Toc20823299"/>
      <w:r>
        <w:rPr>
          <w:rFonts w:hint="eastAsia" w:ascii="方正楷体_GBK" w:hAnsi="方正楷体_GBK" w:eastAsia="方正楷体_GBK" w:cs="方正楷体_GBK"/>
          <w:b/>
          <w:bCs/>
          <w:color w:val="000000"/>
        </w:rPr>
        <w:t xml:space="preserve">18.投标文件</w:t>
      </w:r>
      <w:bookmarkEnd w:id="149"/>
      <w:r/>
      <w:bookmarkEnd w:id="150"/>
      <w:r/>
      <w:bookmarkEnd w:id="151"/>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bookmarkStart w:id="152" w:name="_Toc20823300"/>
      <w:r/>
      <w:bookmarkStart w:id="153" w:name="_Toc513029228"/>
      <w:r/>
      <w:bookmarkStart w:id="154" w:name="_Toc16938544"/>
      <w:r>
        <w:rPr>
          <w:rFonts w:hint="eastAsia" w:ascii="方正楷体_GBK" w:hAnsi="方正楷体_GBK" w:eastAsia="方正楷体_GBK" w:cs="方正楷体_GBK"/>
          <w:b/>
          <w:bCs/>
          <w:color w:val="000000"/>
        </w:rPr>
        <w:t xml:space="preserve">19.投标文件的撤回和修改</w:t>
      </w:r>
      <w:bookmarkEnd w:id="152"/>
      <w:r/>
      <w:bookmarkEnd w:id="153"/>
      <w:r/>
      <w:bookmarkEnd w:id="154"/>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5" w:name="_Toc20823301"/>
      <w:r/>
      <w:bookmarkStart w:id="156" w:name="_Toc16938545"/>
      <w:r/>
      <w:bookmarkStart w:id="157" w:name="_Toc120614218"/>
      <w:r/>
      <w:bookmarkStart w:id="158" w:name="_Toc513029229"/>
      <w:r>
        <w:rPr>
          <w:rFonts w:hint="eastAsia" w:ascii="宋体" w:hAnsi="宋体"/>
          <w:color w:val="000000"/>
          <w:sz w:val="24"/>
          <w:lang w:val="zh-CN"/>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876"/>
        <w:ind w:firstLine="422"/>
        <w:rPr>
          <w:rFonts w:hint="eastAsia" w:ascii="方正楷体_GBK" w:hAnsi="方正楷体_GBK" w:eastAsia="方正楷体_GBK" w:cs="方正楷体_GBK"/>
          <w:b/>
          <w:bCs/>
          <w:color w:val="000000"/>
        </w:rPr>
      </w:pPr>
      <w:r/>
      <w:bookmarkStart w:id="159" w:name="_Toc513029230"/>
      <w:r/>
      <w:bookmarkStart w:id="160" w:name="_Toc20823302"/>
      <w:r/>
      <w:bookmarkStart w:id="161" w:name="_Toc16938546"/>
      <w:r>
        <w:rPr>
          <w:rFonts w:hint="eastAsia" w:ascii="方正楷体_GBK" w:hAnsi="方正楷体_GBK" w:eastAsia="方正楷体_GBK" w:cs="方正楷体_GBK"/>
          <w:b/>
          <w:bCs/>
          <w:color w:val="000000"/>
        </w:rPr>
        <w:t xml:space="preserve">20.开标</w:t>
      </w:r>
      <w:bookmarkEnd w:id="159"/>
      <w:r/>
      <w:bookmarkEnd w:id="160"/>
      <w:r/>
      <w:bookmarkEnd w:id="161"/>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bookmarkStart w:id="162" w:name="_Toc513029231"/>
      <w:r/>
      <w:bookmarkStart w:id="163" w:name="_Toc16938547"/>
      <w:r/>
      <w:bookmarkStart w:id="164" w:name="_Toc20823303"/>
      <w:r>
        <w:rPr>
          <w:rFonts w:hint="eastAsia" w:ascii="方正楷体_GBK" w:hAnsi="方正楷体_GBK" w:eastAsia="方正楷体_GBK" w:cs="方正楷体_GBK"/>
          <w:b/>
          <w:bCs/>
          <w:color w:val="000000"/>
        </w:rPr>
        <w:t xml:space="preserve">21.评标</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22.评标过程的保密与公正</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bookmarkEnd w:id="162"/>
      <w:r/>
      <w:bookmarkEnd w:id="163"/>
      <w:r/>
      <w:bookmarkEnd w:id="164"/>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bookmarkStart w:id="165" w:name="_Toc513029232"/>
      <w:r/>
      <w:bookmarkStart w:id="166" w:name="_Toc16938548"/>
      <w:r/>
      <w:bookmarkStart w:id="167" w:name="_Toc20823304"/>
      <w:r>
        <w:rPr>
          <w:rFonts w:hint="eastAsia" w:ascii="方正楷体_GBK" w:hAnsi="方正楷体_GBK" w:eastAsia="方正楷体_GBK" w:cs="方正楷体_GBK"/>
          <w:b/>
          <w:bCs/>
          <w:color w:val="000000"/>
        </w:rPr>
        <w:t xml:space="preserve">23.投标文件的澄清</w:t>
      </w:r>
      <w:bookmarkEnd w:id="165"/>
      <w:r/>
      <w:bookmarkEnd w:id="166"/>
      <w:r/>
      <w:bookmarkEnd w:id="167"/>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bookmarkStart w:id="168" w:name="_Toc20823305"/>
      <w:r/>
      <w:bookmarkStart w:id="169" w:name="_Toc513029233"/>
      <w:r/>
      <w:bookmarkStart w:id="170" w:name="_Toc16938549"/>
      <w:r>
        <w:rPr>
          <w:rFonts w:hint="eastAsia" w:ascii="方正楷体_GBK" w:hAnsi="方正楷体_GBK" w:eastAsia="方正楷体_GBK" w:cs="方正楷体_GBK"/>
          <w:b/>
          <w:bCs/>
          <w:color w:val="000000"/>
        </w:rPr>
        <w:t xml:space="preserve">24.投标文件的</w:t>
      </w:r>
      <w:bookmarkEnd w:id="168"/>
      <w:r/>
      <w:bookmarkEnd w:id="169"/>
      <w:r/>
      <w:bookmarkEnd w:id="170"/>
      <w:r>
        <w:rPr>
          <w:rFonts w:hint="eastAsia" w:ascii="方正楷体_GBK" w:hAnsi="方正楷体_GBK" w:eastAsia="方正楷体_GBK" w:cs="方正楷体_GBK"/>
          <w:b/>
          <w:bCs/>
          <w:color w:val="000000"/>
        </w:rPr>
        <w:t xml:space="preserve">审查</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871"/>
        <w:ind w:firstLine="420"/>
        <w:rPr>
          <w:rFonts w:hint="eastAsia" w:ascii="宋体" w:hAnsi="宋体"/>
          <w:color w:val="000000"/>
          <w:sz w:val="24"/>
          <w:lang w:val="zh-CN"/>
        </w:rPr>
      </w:pPr>
      <w:r/>
      <w:bookmarkStart w:id="171" w:name="_Toc513029234"/>
      <w:r/>
      <w:bookmarkStart w:id="172" w:name="_Toc20823306"/>
      <w:r/>
      <w:bookmarkStart w:id="173" w:name="_Toc16938550"/>
      <w:r>
        <w:rPr>
          <w:rFonts w:hint="eastAsia" w:ascii="宋体" w:hAnsi="宋体"/>
          <w:color w:val="000000"/>
          <w:sz w:val="24"/>
          <w:lang w:val="zh-CN"/>
        </w:rPr>
        <w:t xml:space="preserve">24.6 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24.7 异常低价审查</w:t>
      </w:r>
      <w:r>
        <w:rPr>
          <w:rFonts w:hint="eastAsia" w:ascii="宋体" w:hAnsi="宋体"/>
          <w:color w:val="000000"/>
          <w:sz w:val="24"/>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lang w:val="en-US" w:eastAsia="zh-CN"/>
        </w:rPr>
        <w:t xml:space="preserve">50</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lang w:val="en-US" w:eastAsia="zh-CN"/>
        </w:rPr>
        <w:t xml:space="preserve">50</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olor w:val="000000"/>
          <w:sz w:val="24"/>
          <w:szCs w:val="22"/>
          <w:lang w:val="zh-CN"/>
        </w:rPr>
      </w:r>
      <w:r/>
    </w:p>
    <w:p>
      <w:pPr>
        <w:pStyle w:val="871"/>
        <w:ind w:firstLine="420"/>
        <w:rPr>
          <w:rFonts w:hint="eastAsia"/>
          <w:color w:val="000000"/>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color w:val="000000"/>
          <w:lang w:val="zh-CN"/>
        </w:rPr>
      </w:r>
      <w:r/>
    </w:p>
    <w:p>
      <w:pPr>
        <w:pStyle w:val="876"/>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71"/>
      <w:r/>
      <w:bookmarkEnd w:id="172"/>
      <w:r/>
      <w:bookmarkEnd w:id="173"/>
      <w:r>
        <w:rPr>
          <w:rFonts w:hint="eastAsia" w:ascii="方正楷体_GBK" w:hAnsi="方正楷体_GBK" w:eastAsia="方正楷体_GBK" w:cs="方正楷体_GBK"/>
          <w:b/>
          <w:bCs/>
          <w:color w:val="000000"/>
        </w:rPr>
        <w:t xml:space="preserve">5.无效投标和废标</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bookmarkStart w:id="174" w:name="_Toc16938551"/>
      <w:r/>
      <w:bookmarkStart w:id="175" w:name="_Toc20823307"/>
      <w:r/>
      <w:bookmarkStart w:id="176" w:name="_Toc513029235"/>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不符合招标文件中实质性要求和条件的</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871"/>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b/>
          <w:bCs/>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lang w:val="zh-CN"/>
        </w:rPr>
      </w:r>
      <w:r/>
    </w:p>
    <w:p>
      <w:pPr>
        <w:pStyle w:val="871"/>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废标情形</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871"/>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r>
        <w:rPr>
          <w:rFonts w:ascii="宋体" w:hAnsi="宋体"/>
          <w:b/>
          <w:bCs/>
          <w:color w:val="000000"/>
          <w:sz w:val="24"/>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bookmarkEnd w:id="139"/>
      <w:r/>
      <w:bookmarkEnd w:id="140"/>
      <w:r/>
      <w:bookmarkEnd w:id="141"/>
      <w:r/>
      <w:bookmarkEnd w:id="174"/>
      <w:r/>
      <w:bookmarkEnd w:id="175"/>
      <w:r/>
      <w:bookmarkEnd w:id="176"/>
      <w:r/>
      <w:bookmarkStart w:id="177" w:name="_Toc120614219"/>
      <w:r>
        <w:rPr>
          <w:rFonts w:hint="eastAsia" w:ascii="方正黑体_GBK" w:hAnsi="方正黑体_GBK" w:eastAsia="方正黑体_GBK" w:cs="方正黑体_GBK"/>
          <w:b w:val="0"/>
          <w:bCs w:val="0"/>
          <w:color w:val="000000"/>
          <w:sz w:val="30"/>
          <w:szCs w:val="30"/>
        </w:rPr>
        <w:t xml:space="preserve">六、定标</w:t>
      </w:r>
      <w:bookmarkEnd w:id="177"/>
      <w:r>
        <w:rPr>
          <w:rFonts w:hint="eastAsia" w:ascii="方正黑体_GBK" w:hAnsi="方正黑体_GBK" w:eastAsia="方正黑体_GBK" w:cs="方正黑体_GBK"/>
          <w:b w:val="0"/>
          <w:bCs w:val="0"/>
          <w:color w:val="000000"/>
          <w:sz w:val="30"/>
          <w:szCs w:val="30"/>
        </w:rPr>
      </w:r>
      <w:r/>
    </w:p>
    <w:p>
      <w:pPr>
        <w:pStyle w:val="876"/>
        <w:ind w:firstLine="422"/>
        <w:rPr>
          <w:rFonts w:hint="eastAsia" w:ascii="方正楷体_GBK" w:hAnsi="方正楷体_GBK" w:eastAsia="方正楷体_GBK" w:cs="方正楷体_GBK"/>
          <w:b/>
          <w:bCs/>
          <w:color w:val="000000"/>
        </w:rPr>
      </w:pPr>
      <w:r/>
      <w:bookmarkStart w:id="178" w:name="_Toc513029238"/>
      <w:r/>
      <w:bookmarkStart w:id="179" w:name="_Toc16938554"/>
      <w:r/>
      <w:bookmarkStart w:id="180" w:name="_Toc20823310"/>
      <w:r>
        <w:rPr>
          <w:rFonts w:hint="eastAsia" w:ascii="方正楷体_GBK" w:hAnsi="方正楷体_GBK" w:eastAsia="方正楷体_GBK" w:cs="方正楷体_GBK"/>
          <w:b/>
          <w:bCs/>
          <w:color w:val="000000"/>
        </w:rPr>
        <w:t xml:space="preserve">2</w:t>
      </w:r>
      <w:bookmarkEnd w:id="178"/>
      <w:r>
        <w:rPr>
          <w:rFonts w:hint="eastAsia" w:ascii="方正楷体_GBK" w:hAnsi="方正楷体_GBK" w:eastAsia="方正楷体_GBK" w:cs="方正楷体_GBK"/>
          <w:b/>
          <w:bCs/>
          <w:color w:val="000000"/>
        </w:rPr>
        <w:t xml:space="preserve">6.确定</w:t>
      </w:r>
      <w:bookmarkEnd w:id="179"/>
      <w:r/>
      <w:bookmarkEnd w:id="180"/>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871"/>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26.4.1 提供虚假材料谋取中标。</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26.4.4 属于本文件规定的无效投标情形，但在评标过程中未被评委会发现。</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26.4.5 采取不正当手段诋毁、排挤其他供应商。</w:t>
      </w:r>
      <w:r>
        <w:rPr>
          <w:rFonts w:hint="eastAsia" w:ascii="宋体" w:hAnsi="宋体"/>
          <w:color w:val="000000"/>
          <w:sz w:val="24"/>
          <w:lang w:val="zh-CN"/>
        </w:rPr>
      </w:r>
      <w:r/>
    </w:p>
    <w:p>
      <w:pPr>
        <w:pStyle w:val="871"/>
        <w:ind w:firstLine="420"/>
        <w:rPr>
          <w:rFonts w:hint="eastAsia" w:ascii="宋体" w:hAnsi="宋体"/>
          <w:b/>
          <w:bCs/>
          <w:color w:val="000000"/>
          <w:sz w:val="24"/>
          <w:lang w:val="zh-CN"/>
        </w:rPr>
      </w:pPr>
      <w:r/>
      <w:bookmarkStart w:id="181"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bookmarkEnd w:id="181"/>
      <w:r>
        <w:rPr>
          <w:rFonts w:hint="eastAsia" w:ascii="方正楷体_GBK" w:hAnsi="方正楷体_GBK" w:eastAsia="方正楷体_GBK" w:cs="方正楷体_GBK"/>
          <w:b/>
          <w:bCs/>
          <w:color w:val="000000"/>
        </w:rPr>
        <w:t xml:space="preserve">27.中标通知书</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82" w:name="_Toc120614220"/>
      <w:r/>
      <w:bookmarkStart w:id="183" w:name="_Toc16938552"/>
      <w:r/>
      <w:bookmarkStart w:id="184" w:name="_Toc20823308"/>
      <w:r/>
      <w:bookmarkStart w:id="185" w:name="_Toc513029236"/>
      <w:r>
        <w:rPr>
          <w:rFonts w:hint="eastAsia" w:ascii="方正黑体_GBK" w:hAnsi="方正黑体_GBK" w:eastAsia="方正黑体_GBK" w:cs="方正黑体_GBK"/>
          <w:b w:val="0"/>
          <w:bCs w:val="0"/>
          <w:color w:val="000000"/>
          <w:sz w:val="30"/>
          <w:szCs w:val="30"/>
        </w:rPr>
        <w:t xml:space="preserve">七、授予合同</w:t>
      </w:r>
      <w:bookmarkEnd w:id="182"/>
      <w:r>
        <w:rPr>
          <w:rFonts w:hint="eastAsia" w:ascii="方正黑体_GBK" w:hAnsi="方正黑体_GBK" w:eastAsia="方正黑体_GBK" w:cs="方正黑体_GBK"/>
          <w:b w:val="0"/>
          <w:bCs w:val="0"/>
          <w:color w:val="000000"/>
          <w:sz w:val="30"/>
          <w:szCs w:val="30"/>
        </w:rPr>
      </w:r>
      <w:r/>
    </w:p>
    <w:p>
      <w:pPr>
        <w:pStyle w:val="876"/>
        <w:ind w:firstLine="422"/>
        <w:rPr>
          <w:rFonts w:hint="eastAsia" w:ascii="方正楷体_GBK" w:hAnsi="方正楷体_GBK" w:eastAsia="方正楷体_GBK" w:cs="方正楷体_GBK"/>
          <w:b/>
          <w:bCs/>
          <w:color w:val="000000"/>
        </w:rPr>
      </w:pPr>
      <w:r/>
      <w:bookmarkEnd w:id="183"/>
      <w:r/>
      <w:bookmarkEnd w:id="184"/>
      <w:r/>
      <w:bookmarkEnd w:id="185"/>
      <w:r>
        <w:rPr>
          <w:rFonts w:hint="eastAsia" w:ascii="方正楷体_GBK" w:hAnsi="方正楷体_GBK" w:eastAsia="方正楷体_GBK" w:cs="方正楷体_GBK"/>
          <w:b/>
          <w:bCs/>
          <w:color w:val="000000"/>
        </w:rPr>
        <w:t xml:space="preserve">28.签订合同</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28.2 招标文件、中标人的投标文件及招标过程中有关澄清、承诺文件均作为合同附件。</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29.标的物的追加</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rPr>
          <w:rFonts w:hint="eastAsia" w:ascii="宋体" w:hAnsi="宋体"/>
          <w:color w:val="000000"/>
          <w:sz w:val="24"/>
          <w:lang w:val="zh-CN"/>
        </w:rPr>
      </w:r>
      <w:r/>
    </w:p>
    <w:p>
      <w:pPr>
        <w:pStyle w:val="876"/>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30.政府采购履约资金扶持政策</w:t>
      </w:r>
      <w:r>
        <w:rPr>
          <w:rFonts w:hint="eastAsia"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南京市公共资源交易平台网站“小企业融资平台”，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871"/>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871"/>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授权代表负责质疑事宜的，《质疑函》附件中应提交由质疑供应商法定代表人或主要负责人签署的《授权委托书》。</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871"/>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由采购人负责答复的质疑，采购人将《质疑函》《质疑答复函》抄送交易中心。</w:t>
      </w:r>
      <w:r>
        <w:rPr>
          <w:rFonts w:hint="eastAsia" w:ascii="宋体" w:hAnsi="宋体"/>
          <w:b/>
          <w:bCs/>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875"/>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876"/>
        <w:ind w:firstLine="420"/>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38.1 </w:t>
      </w:r>
      <w:r>
        <w:rPr>
          <w:rFonts w:hint="eastAsia" w:ascii="宋体" w:hAnsi="宋体"/>
          <w:color w:val="000000"/>
          <w:sz w:val="24"/>
          <w:lang w:val="zh-CN"/>
        </w:rPr>
        <w:t xml:space="preserve">本项目服务由中小企业承接的，投标供应商享受中小企业扶持政策。</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876"/>
        <w:ind w:firstLine="420"/>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rPr>
          <w:rFonts w:ascii="方正楷体_GBK" w:hAnsi="方正楷体_GBK" w:eastAsia="方正楷体_GBK" w:cs="方正楷体_GBK"/>
          <w:color w:val="000000"/>
        </w:rPr>
      </w:r>
      <w:r/>
    </w:p>
    <w:p>
      <w:pPr>
        <w:pStyle w:val="871"/>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rFonts w:hint="eastAsia" w:ascii="宋体" w:hAnsi="宋体"/>
          <w:color w:val="000000"/>
          <w:sz w:val="24"/>
          <w:lang w:val="zh-CN"/>
        </w:rPr>
      </w:r>
      <w:r/>
    </w:p>
    <w:p>
      <w:pPr>
        <w:pStyle w:val="876"/>
        <w:ind w:firstLine="42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871"/>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szCs w:val="22"/>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871"/>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876"/>
        <w:ind w:firstLine="42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871"/>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876"/>
        <w:ind w:firstLine="422"/>
        <w:rPr>
          <w:rFonts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42.</w:t>
      </w:r>
      <w:r>
        <w:rPr>
          <w:rFonts w:hint="eastAsia" w:ascii="方正楷体_GBK" w:hAnsi="方正楷体_GBK" w:eastAsia="方正楷体_GBK" w:cs="方正楷体_GBK"/>
          <w:b/>
          <w:bCs/>
          <w:color w:val="000000"/>
          <w:lang w:val="zh-CN"/>
        </w:rPr>
        <w:t xml:space="preserve">网络产品、市场准入类产品采购</w:t>
      </w:r>
      <w:r>
        <w:rPr>
          <w:rFonts w:ascii="方正楷体_GBK" w:hAnsi="方正楷体_GBK" w:eastAsia="方正楷体_GBK" w:cs="方正楷体_GBK"/>
          <w:b/>
          <w:bCs/>
          <w:color w:val="000000"/>
        </w:rPr>
      </w:r>
      <w:r/>
    </w:p>
    <w:p>
      <w:pPr>
        <w:pStyle w:val="871"/>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lang w:val="zh-CN"/>
        </w:rPr>
      </w:r>
      <w:r/>
    </w:p>
    <w:p>
      <w:pPr>
        <w:pStyle w:val="875"/>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rPr>
          <w:rFonts w:hint="eastAsia" w:ascii="方正楷体_GBK" w:hAnsi="方正楷体_GBK" w:eastAsia="方正楷体_GBK" w:cs="方正楷体_GBK"/>
          <w:color w:val="000000"/>
          <w:lang w:val="zh-CN"/>
        </w:rPr>
      </w:r>
      <w:r/>
    </w:p>
    <w:p>
      <w:pPr>
        <w:pStyle w:val="871"/>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871"/>
        <w:ind w:firstLine="420"/>
        <w:rPr>
          <w:rFonts w:hint="eastAsia" w:ascii="宋体" w:hAnsi="宋体"/>
          <w:color w:val="000000"/>
          <w:sz w:val="24"/>
          <w:szCs w:val="22"/>
          <w:lang w:val="zh-CN"/>
        </w:rPr>
      </w:pPr>
      <w:r>
        <w:rPr>
          <w:rFonts w:hint="eastAsia" w:ascii="宋体" w:hAnsi="宋体"/>
          <w:color w:val="000000"/>
          <w:sz w:val="24"/>
          <w:lang w:val="zh-CN"/>
        </w:rPr>
        <w:t xml:space="preserve">43.2</w:t>
      </w:r>
      <w:r>
        <w:rPr>
          <w:rFonts w:hint="eastAsia" w:ascii="宋体" w:hAnsi="宋体"/>
          <w:color w:val="000000"/>
          <w:sz w:val="24"/>
          <w:szCs w:val="22"/>
          <w:lang w:val="zh-CN"/>
        </w:rPr>
        <w:t xml:space="preserve">本国产品应当符合以下条件：</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（1）在中国境内生产</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lang w:val="zh-CN"/>
        </w:rPr>
      </w:r>
      <w:r/>
    </w:p>
    <w:p>
      <w:pPr>
        <w:pStyle w:val="871"/>
        <w:ind w:firstLine="420"/>
        <w:rPr>
          <w:rFonts w:hint="eastAsia" w:ascii="宋体" w:hAnsi="宋体"/>
          <w:color w:val="000000"/>
          <w:sz w:val="24"/>
          <w:lang w:val="zh-CN"/>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871"/>
        <w:ind w:firstLine="420"/>
        <w:rPr>
          <w:rFonts w:hint="eastAsia" w:ascii="宋体" w:hAnsi="宋体"/>
          <w:color w:val="000000"/>
          <w:sz w:val="24"/>
          <w:szCs w:val="22"/>
          <w:lang w:val="zh-CN"/>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（3）特定产品的关键组件、关键工序符合相关要求</w:t>
      </w:r>
      <w:r>
        <w:rPr>
          <w:rFonts w:hint="eastAsia" w:ascii="宋体" w:hAnsi="宋体"/>
          <w:color w:val="000000"/>
          <w:sz w:val="24"/>
          <w:szCs w:val="22"/>
          <w:lang w:val="zh-CN"/>
        </w:rPr>
      </w:r>
      <w:r/>
    </w:p>
    <w:p>
      <w:pPr>
        <w:pStyle w:val="871"/>
        <w:ind w:firstLine="420"/>
        <w:rPr>
          <w:rFonts w:hint="eastAsia" w:ascii="宋体" w:hAnsi="宋体"/>
          <w:color w:val="000000"/>
          <w:sz w:val="24"/>
          <w:szCs w:val="22"/>
          <w:lang w:val="zh-CN"/>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871"/>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871"/>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871"/>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871"/>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871"/>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871"/>
        <w:ind w:firstLine="420"/>
        <w:rPr>
          <w:color w:val="000000"/>
        </w:rPr>
      </w:pPr>
      <w:r>
        <w:rPr>
          <w:rFonts w:hint="eastAsia" w:ascii="宋体" w:hAnsi="宋体"/>
          <w:color w:val="000000"/>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color w:val="000000"/>
        </w:rPr>
      </w:r>
      <w:r/>
    </w:p>
    <w:p>
      <w:pPr>
        <w:pStyle w:val="876"/>
        <w:ind w:firstLine="422"/>
        <w:rPr>
          <w:rFonts w:hint="eastAsia" w:ascii="方正楷体_GBK" w:hAnsi="方正楷体_GBK" w:eastAsia="方正楷体_GBK" w:cs="方正楷体_GBK"/>
          <w:b/>
          <w:bCs/>
          <w:color w:val="000000"/>
          <w:lang w:val="zh-CN"/>
        </w:rPr>
      </w:pPr>
      <w:r>
        <w:rPr>
          <w:rFonts w:hint="eastAsia" w:ascii="方正楷体_GBK" w:hAnsi="方正楷体_GBK" w:eastAsia="方正楷体_GBK" w:cs="方正楷体_GBK"/>
          <w:b/>
          <w:bCs/>
          <w:color w:val="000000"/>
          <w:lang w:val="zh-CN"/>
        </w:rPr>
        <w:t xml:space="preserve">4</w:t>
      </w:r>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zh-CN"/>
        </w:rPr>
        <w:t xml:space="preserve">.数据交易说明</w:t>
      </w:r>
      <w:r>
        <w:rPr>
          <w:rFonts w:hint="eastAsia" w:ascii="方正楷体_GBK" w:hAnsi="方正楷体_GBK" w:eastAsia="方正楷体_GBK" w:cs="方正楷体_GBK"/>
          <w:b/>
          <w:bCs/>
          <w:color w:val="000000"/>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 数据交易标的包括数据产品、数据服务、数据工具。</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数据产品是指用于交易的数据和数据衍生产品，包括但不限于数据集、数据分析报告、数据可视化产品、数据指数、API 数据、加密数据等。</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lang w:val="zh-CN"/>
        </w:rPr>
      </w:r>
      <w:r/>
    </w:p>
    <w:p>
      <w:pPr>
        <w:pStyle w:val="871"/>
        <w:ind w:firstLine="420"/>
        <w:rPr>
          <w:rFonts w:hint="eastAsia" w:ascii="宋体" w:hAnsi="宋体"/>
          <w:color w:val="000000"/>
          <w:sz w:val="24"/>
          <w:lang w:val="zh-CN"/>
        </w:rPr>
      </w:pPr>
      <w:r>
        <w:rPr>
          <w:rFonts w:hint="eastAsia" w:ascii="宋体" w:hAnsi="宋体"/>
          <w:color w:val="000000"/>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lang w:val="zh-CN"/>
        </w:rPr>
      </w:r>
      <w:r/>
    </w:p>
    <w:p>
      <w:pPr>
        <w:pStyle w:val="912"/>
        <w:ind w:firstLine="840"/>
        <w:jc w:val="left"/>
        <w:spacing w:before="120" w:after="120"/>
        <w:rPr>
          <w:rFonts w:hint="eastAsia" w:hAnsi="宋体"/>
          <w:color w:val="000000"/>
          <w:sz w:val="24"/>
          <w:szCs w:val="24"/>
        </w:rPr>
      </w:pPr>
      <w:r>
        <w:rPr>
          <w:rFonts w:hint="eastAsia"/>
          <w:color w:val="000000"/>
        </w:rPr>
        <w:br w:type="page" w:clear="all"/>
      </w:r>
      <w:bookmarkEnd w:id="54"/>
      <w:r/>
      <w:bookmarkEnd w:id="55"/>
      <w:r/>
      <w:bookmarkEnd w:id="57"/>
      <w:r/>
      <w:bookmarkEnd w:id="58"/>
      <w:r/>
      <w:bookmarkEnd w:id="59"/>
      <w:r>
        <w:rPr>
          <w:rFonts w:hint="eastAsia" w:hAnsi="宋体"/>
          <w:color w:val="000000"/>
          <w:sz w:val="24"/>
          <w:szCs w:val="24"/>
        </w:rPr>
      </w:r>
      <w:r/>
    </w:p>
    <w:p>
      <w:pPr>
        <w:pStyle w:val="949"/>
        <w:ind w:left="0" w:firstLine="0"/>
        <w:jc w:val="center"/>
        <w:rPr>
          <w:rFonts w:hint="eastAsia" w:ascii="黑体" w:hAnsi="Times New Roman" w:eastAsia="黑体" w:cs="Times New Roman"/>
          <w:color w:val="000000"/>
          <w:sz w:val="44"/>
          <w:szCs w:val="44"/>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rPr>
          <w:rFonts w:hint="eastAsia" w:ascii="黑体" w:hAnsi="Times New Roman" w:eastAsia="黑体" w:cs="Times New Roman"/>
          <w:color w:val="000000"/>
          <w:sz w:val="44"/>
          <w:szCs w:val="44"/>
        </w:rPr>
      </w:r>
      <w:r/>
    </w:p>
    <w:p>
      <w:pPr>
        <w:pStyle w:val="871"/>
        <w:ind w:firstLine="480"/>
        <w:keepLines w:val="0"/>
        <w:keepNext w:val="0"/>
        <w:pageBreakBefore w:val="0"/>
        <w:spacing w:line="264" w:lineRule="auto"/>
        <w:widowControl w:val="off"/>
        <w:rPr>
          <w:rFonts w:hint="eastAsia" w:ascii="宋体" w:hAnsi="宋体"/>
          <w:bCs/>
          <w:color w:val="000000"/>
          <w:sz w:val="24"/>
          <w:szCs w:val="21"/>
        </w:rPr>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w:t>
      </w:r>
      <w:r>
        <w:rPr>
          <w:rFonts w:hint="eastAsia" w:ascii="方正黑体_GBK" w:hAnsi="方正黑体_GBK" w:eastAsia="方正黑体_GBK" w:cs="方正黑体_GBK"/>
          <w:b w:val="0"/>
          <w:bCs/>
          <w:color w:val="000000"/>
          <w:sz w:val="24"/>
          <w:szCs w:val="24"/>
        </w:rPr>
        <w:t xml:space="preserve">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1"/>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sz w:val="24"/>
          <w:szCs w:val="24"/>
        </w:rPr>
        <w:t xml:space="preserve">8.</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2"/>
        <w:spacing w:line="264"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olor w:val="000000"/>
          <w:sz w:val="24"/>
          <w:szCs w:val="24"/>
        </w:rPr>
        <w:t xml:space="preserve">系统开发完成并验收合格后，甲方支付合同总价款的70%。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w:t>
      </w:r>
      <w:r>
        <w:rPr>
          <w:rFonts w:hint="eastAsia" w:ascii="宋体" w:hAnsi="宋体" w:eastAsia="宋体" w:cs="Courier New"/>
          <w:sz w:val="24"/>
          <w:szCs w:val="24"/>
          <w:lang w:val="en-US" w:eastAsia="zh-CN"/>
        </w:rPr>
        <w:t xml:space="preserve">，将资金支付到合同约定的乙方账户。 </w:t>
      </w:r>
      <w:r>
        <w:rPr>
          <w:rFonts w:hint="eastAsia" w:ascii="宋体" w:hAnsi="宋体" w:eastAsia="宋体" w:cs="Courier New"/>
          <w:sz w:val="24"/>
          <w:szCs w:val="24"/>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2"/>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cs="Courier New"/>
          <w:color w:val="000000"/>
          <w:sz w:val="24"/>
          <w:szCs w:val="24"/>
          <w:u w:val="single"/>
          <w:lang w:val="en-US" w:eastAsia="zh-CN"/>
        </w:rPr>
        <w:t xml:space="preserve">20%</w:t>
      </w:r>
      <w:r>
        <w:rPr>
          <w:rFonts w:hint="eastAsia" w:ascii="宋体" w:hAnsi="宋体" w:cs="Courier New"/>
          <w:color w:val="000000"/>
          <w:sz w:val="24"/>
          <w:szCs w:val="24"/>
          <w:u w:val="single"/>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0.05</w:t>
      </w:r>
      <w:r>
        <w:rPr>
          <w:rFonts w:hint="eastAsia" w:ascii="宋体" w:hAnsi="宋体" w:cs="Courier New"/>
          <w:color w:val="000000"/>
          <w:sz w:val="24"/>
          <w:szCs w:val="24"/>
          <w:u w:val="single"/>
          <w:lang w:val="en-US" w:eastAsia="zh-CN"/>
        </w:rPr>
        <w:t xml:space="preserve">%</w:t>
      </w:r>
      <w:r>
        <w:rPr>
          <w:rFonts w:hint="eastAsia" w:ascii="宋体" w:hAnsi="宋体" w:cs="Courier New"/>
          <w:color w:val="000000"/>
          <w:sz w:val="24"/>
          <w:szCs w:val="24"/>
          <w:u w:val="single"/>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0.05</w:t>
      </w:r>
      <w:r>
        <w:rPr>
          <w:rFonts w:hint="eastAsia" w:ascii="宋体" w:hAnsi="宋体" w:cs="Courier New"/>
          <w:color w:val="000000"/>
          <w:sz w:val="24"/>
          <w:szCs w:val="24"/>
          <w:u w:val="single"/>
          <w:lang w:val="en-US" w:eastAsia="zh-CN"/>
        </w:rPr>
        <w:t xml:space="preserve">%</w:t>
      </w:r>
      <w:r>
        <w:rPr>
          <w:rFonts w:hint="eastAsia" w:ascii="宋体" w:hAnsi="宋体" w:cs="Courier New"/>
          <w:color w:val="000000"/>
          <w:sz w:val="24"/>
          <w:szCs w:val="24"/>
          <w:u w:val="single"/>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w:t>
      </w:r>
      <w:r>
        <w:rPr>
          <w:rFonts w:hint="eastAsia" w:ascii="宋体" w:hAnsi="宋体" w:cs="Courier New"/>
          <w:color w:val="000000"/>
          <w:sz w:val="24"/>
          <w:szCs w:val="24"/>
          <w:u w:val="single"/>
          <w:lang w:val="en-US" w:eastAsia="zh-CN"/>
        </w:rPr>
        <w:t xml:space="preserve">%</w:t>
      </w:r>
      <w:r>
        <w:rPr>
          <w:rFonts w:hint="eastAsia" w:ascii="宋体" w:hAnsi="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bookmarkStart w:id="186" w:name="_Hlt16619369"/>
      <w:r/>
      <w:bookmarkEnd w:id="186"/>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left"/>
        <w:spacing w:line="360" w:lineRule="auto"/>
        <w:rPr>
          <w:rFonts w:hint="eastAsia" w:ascii="黑体" w:hAnsi="黑体" w:eastAsia="黑体"/>
          <w:color w:val="000000"/>
          <w:sz w:val="32"/>
          <w:szCs w:val="32"/>
        </w:rPr>
      </w:pPr>
      <w:r>
        <w:rPr>
          <w:rFonts w:ascii="黑体" w:hAnsi="Courier New" w:eastAsia="黑体" w:cs="Courier New"/>
          <w:bCs/>
          <w:color w:val="000000"/>
          <w:sz w:val="44"/>
          <w:szCs w:val="21"/>
        </w:rPr>
        <w:br w:type="page" w:clear="all"/>
      </w:r>
      <w:bookmarkEnd w:id="40"/>
      <w:r/>
      <w:bookmarkEnd w:id="41"/>
      <w:r/>
      <w:bookmarkEnd w:id="42"/>
      <w:r/>
      <w:bookmarkEnd w:id="43"/>
      <w:r/>
      <w:bookmarkEnd w:id="44"/>
      <w:r/>
      <w:bookmarkEnd w:id="45"/>
      <w:r>
        <w:rPr>
          <w:rFonts w:hint="eastAsia" w:ascii="黑体" w:hAnsi="黑体" w:eastAsia="黑体"/>
          <w:color w:val="000000"/>
          <w:sz w:val="32"/>
          <w:szCs w:val="32"/>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（一）项目背景</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采购单位</w:t>
      </w:r>
      <w:r>
        <w:rPr>
          <w:rFonts w:hint="eastAsia" w:ascii="宋体" w:hAnsi="宋体" w:cs="宋体"/>
          <w:color w:val="000000"/>
          <w:sz w:val="24"/>
          <w:szCs w:val="24"/>
        </w:rPr>
        <w:t xml:space="preserve">因科研需</w:t>
      </w:r>
      <w:r>
        <w:rPr>
          <w:rFonts w:hint="eastAsia" w:ascii="宋体" w:hAnsi="宋体" w:cs="宋体"/>
          <w:color w:val="000000"/>
          <w:sz w:val="24"/>
          <w:szCs w:val="24"/>
          <w:lang w:val="en-US" w:eastAsia="zh-CN"/>
        </w:rPr>
        <w:t xml:space="preserve">要</w:t>
      </w:r>
      <w:r>
        <w:rPr>
          <w:rFonts w:hint="eastAsia" w:ascii="宋体" w:hAnsi="宋体" w:cs="宋体"/>
          <w:color w:val="000000"/>
          <w:sz w:val="24"/>
          <w:szCs w:val="24"/>
        </w:rPr>
        <w:t xml:space="preserve">，计划采购DeepXDR计算平台一套，包括GPU计算节点2台</w:t>
      </w:r>
      <w:r>
        <w:rPr>
          <w:rFonts w:hint="eastAsia" w:ascii="宋体" w:hAnsi="宋体" w:cs="宋体"/>
          <w:color w:val="000000"/>
          <w:sz w:val="24"/>
          <w:szCs w:val="24"/>
          <w:lang w:val="en-US" w:eastAsia="zh-CN"/>
        </w:rPr>
        <w:t xml:space="preserve">和交换机1台</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组合搭建的</w:t>
      </w:r>
      <w:r>
        <w:rPr>
          <w:rFonts w:hint="eastAsia" w:ascii="宋体" w:hAnsi="宋体" w:cs="宋体"/>
          <w:color w:val="000000"/>
          <w:sz w:val="24"/>
          <w:szCs w:val="24"/>
        </w:rPr>
        <w:t xml:space="preserve">DeepXDR 计算平台须具备完善的远程运维与管理能力：应支持高性能计算节点互联以保障集群效率，并集成BMC（基板管理控制器）以支持带外管理，确保在隔离环境下仍能完成硬件监控与远程配置。</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（二）项目建设遵循标准</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遵循国家、行业及地方现行的规范和标准。</w:t>
      </w:r>
      <w:r>
        <w:rPr>
          <w:rFonts w:hint="eastAsia" w:ascii="宋体" w:hAnsi="宋体" w:cs="宋体"/>
          <w:color w:val="000000"/>
          <w:sz w:val="24"/>
          <w:szCs w:val="24"/>
        </w:rPr>
      </w:r>
      <w:r/>
    </w:p>
    <w:p>
      <w:pPr>
        <w:pStyle w:val="871"/>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color w:val="000000"/>
          <w:sz w:val="24"/>
          <w:szCs w:val="24"/>
        </w:rPr>
      </w:r>
      <w:r/>
    </w:p>
    <w:tbl>
      <w:tblPr>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4"/>
        <w:gridCol w:w="1942"/>
        <w:gridCol w:w="722"/>
        <w:gridCol w:w="726"/>
        <w:gridCol w:w="1052"/>
        <w:gridCol w:w="1191"/>
        <w:gridCol w:w="1027"/>
        <w:gridCol w:w="1195"/>
        <w:gridCol w:w="1271"/>
      </w:tblGrid>
      <w:tr>
        <w:trPr>
          <w:trHeight w:val="470"/>
        </w:trPr>
        <w:tc>
          <w:tcPr>
            <w:tcW w:w="332"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995"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rPr>
                <w:rFonts w:hint="eastAsia" w:ascii="宋体" w:hAnsi="宋体" w:cs="宋体"/>
                <w:bCs/>
                <w:color w:val="000000"/>
                <w:sz w:val="24"/>
                <w:szCs w:val="24"/>
              </w:rPr>
            </w:r>
            <w:r/>
          </w:p>
        </w:tc>
        <w:tc>
          <w:tcPr>
            <w:tcW w:w="37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c>
          <w:tcPr>
            <w:tcW w:w="355"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540"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rPr>
                <w:rFonts w:hint="eastAsia" w:ascii="宋体" w:hAnsi="宋体" w:cs="宋体"/>
                <w:bCs/>
                <w:color w:val="000000"/>
                <w:sz w:val="24"/>
                <w:szCs w:val="24"/>
              </w:rPr>
            </w:r>
            <w:r/>
          </w:p>
        </w:tc>
        <w:tc>
          <w:tcPr>
            <w:tcW w:w="61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rPr>
                <w:rFonts w:hint="eastAsia" w:ascii="宋体" w:hAnsi="宋体" w:cs="宋体"/>
                <w:bCs/>
                <w:color w:val="000000"/>
                <w:sz w:val="24"/>
                <w:szCs w:val="24"/>
              </w:rPr>
            </w:r>
            <w:r/>
          </w:p>
        </w:tc>
        <w:tc>
          <w:tcPr>
            <w:tcW w:w="527"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rPr>
                <w:rFonts w:hint="eastAsia" w:ascii="宋体" w:hAnsi="宋体" w:cs="宋体"/>
                <w:bCs/>
                <w:color w:val="000000"/>
                <w:sz w:val="24"/>
                <w:szCs w:val="24"/>
              </w:rPr>
            </w:r>
            <w:r/>
          </w:p>
        </w:tc>
        <w:tc>
          <w:tcPr>
            <w:tcW w:w="613"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属性</w:t>
            </w:r>
            <w:r>
              <w:rPr>
                <w:rFonts w:hint="eastAsia" w:ascii="宋体" w:hAnsi="宋体" w:cs="宋体"/>
                <w:bCs/>
                <w:color w:val="000000"/>
                <w:sz w:val="24"/>
                <w:szCs w:val="24"/>
              </w:rPr>
            </w:r>
            <w:r/>
          </w:p>
        </w:tc>
        <w:tc>
          <w:tcPr>
            <w:tcW w:w="652" w:type="dxa"/>
            <w:vAlign w:val="center"/>
            <w:textDirection w:val="lrTb"/>
            <w:noWrap w:val="false"/>
          </w:tcPr>
          <w:p>
            <w:pPr>
              <w:pStyle w:val="871"/>
              <w:jc w:val="center"/>
              <w:spacing w:line="288" w:lineRule="auto"/>
              <w:rPr>
                <w:rFonts w:hint="eastAsia" w:ascii="宋体" w:hAnsi="宋体"/>
                <w:bCs/>
                <w:color w:val="000000"/>
                <w:sz w:val="24"/>
                <w:szCs w:val="24"/>
              </w:rPr>
            </w:pPr>
            <w:r>
              <w:rPr>
                <w:rFonts w:hint="eastAsia" w:ascii="宋体" w:hAnsi="宋体"/>
                <w:bCs/>
                <w:color w:val="000000"/>
                <w:sz w:val="24"/>
                <w:szCs w:val="24"/>
              </w:rPr>
              <w:t xml:space="preserve">政府强制采购节能产品</w:t>
            </w:r>
            <w:r>
              <w:rPr>
                <w:rFonts w:hint="eastAsia" w:ascii="宋体" w:hAnsi="宋体"/>
                <w:bCs/>
                <w:color w:val="000000"/>
                <w:sz w:val="24"/>
                <w:szCs w:val="24"/>
              </w:rPr>
            </w:r>
            <w:r/>
          </w:p>
        </w:tc>
      </w:tr>
      <w:tr>
        <w:trPr>
          <w:trHeight w:val="414"/>
        </w:trPr>
        <w:tc>
          <w:tcPr>
            <w:tcW w:w="332"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942" w:type="dxa"/>
            <w:vAlign w:val="center"/>
            <w:textDirection w:val="lrTb"/>
            <w:noWrap w:val="false"/>
          </w:tcPr>
          <w:p>
            <w:pPr>
              <w:pStyle w:val="871"/>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含显卡的机架式服务器1</w:t>
            </w:r>
            <w:r>
              <w:rPr>
                <w:rFonts w:hint="eastAsia" w:ascii="宋体" w:hAnsi="宋体" w:cs="宋体"/>
                <w:bCs/>
                <w:color w:val="000000"/>
                <w:sz w:val="24"/>
                <w:szCs w:val="24"/>
              </w:rPr>
            </w:r>
            <w:r/>
          </w:p>
        </w:tc>
        <w:tc>
          <w:tcPr>
            <w:tcW w:w="724" w:type="dxa"/>
            <w:vAlign w:val="center"/>
            <w:textDirection w:val="lrTb"/>
            <w:noWrap w:val="false"/>
          </w:tcPr>
          <w:p>
            <w:pPr>
              <w:pStyle w:val="871"/>
              <w:ind w:firstLine="48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693" w:type="dxa"/>
            <w:vAlign w:val="center"/>
            <w:textDirection w:val="lrTb"/>
            <w:noWrap w:val="false"/>
          </w:tcPr>
          <w:p>
            <w:pPr>
              <w:pStyle w:val="871"/>
              <w:ind w:firstLine="48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件</w:t>
            </w:r>
            <w:r>
              <w:rPr>
                <w:rFonts w:hint="eastAsia" w:ascii="宋体" w:hAnsi="宋体" w:cs="宋体"/>
                <w:bCs/>
                <w:color w:val="000000"/>
                <w:sz w:val="24"/>
                <w:szCs w:val="24"/>
              </w:rPr>
            </w:r>
            <w:r/>
          </w:p>
        </w:tc>
        <w:tc>
          <w:tcPr>
            <w:tcW w:w="1054" w:type="dxa"/>
            <w:vAlign w:val="center"/>
            <w:textDirection w:val="lrTb"/>
            <w:noWrap w:val="false"/>
          </w:tcPr>
          <w:p>
            <w:pPr>
              <w:pStyle w:val="871"/>
              <w:ind w:firstLine="240"/>
              <w:jc w:val="both"/>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en-US" w:eastAsia="zh-CN"/>
              </w:rPr>
              <w:t xml:space="preserve">9</w:t>
            </w:r>
            <w:r>
              <w:rPr>
                <w:rFonts w:hint="eastAsia" w:ascii="宋体" w:hAnsi="宋体" w:cs="宋体"/>
                <w:bCs/>
                <w:color w:val="000000"/>
                <w:sz w:val="24"/>
                <w:szCs w:val="24"/>
              </w:rPr>
              <w:t xml:space="preserve">0000</w:t>
            </w:r>
            <w:r>
              <w:rPr>
                <w:rFonts w:hint="eastAsia" w:ascii="宋体" w:hAnsi="宋体" w:cs="宋体"/>
                <w:bCs/>
                <w:color w:val="000000"/>
                <w:sz w:val="24"/>
                <w:szCs w:val="24"/>
              </w:rPr>
            </w:r>
            <w:r/>
          </w:p>
        </w:tc>
        <w:tc>
          <w:tcPr>
            <w:tcW w:w="1193" w:type="dxa"/>
            <w:vAlign w:val="center"/>
            <w:textDirection w:val="lrTb"/>
            <w:noWrap w:val="false"/>
          </w:tcPr>
          <w:p>
            <w:pPr>
              <w:pStyle w:val="871"/>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rPr>
                <w:rFonts w:hint="eastAsia" w:ascii="宋体" w:hAnsi="宋体" w:cs="宋体"/>
                <w:bCs/>
                <w:color w:val="000000"/>
                <w:sz w:val="24"/>
                <w:szCs w:val="24"/>
              </w:rPr>
            </w:r>
            <w:r/>
          </w:p>
        </w:tc>
        <w:tc>
          <w:tcPr>
            <w:tcW w:w="1029"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7"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1273"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414"/>
        </w:trPr>
        <w:tc>
          <w:tcPr>
            <w:tcW w:w="332"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1942" w:type="dxa"/>
            <w:vAlign w:val="center"/>
            <w:textDirection w:val="lrTb"/>
            <w:noWrap w:val="false"/>
          </w:tcPr>
          <w:p>
            <w:pPr>
              <w:pStyle w:val="871"/>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含显卡的机架式服务器2</w:t>
            </w:r>
            <w:r>
              <w:rPr>
                <w:rFonts w:hint="eastAsia" w:ascii="宋体" w:hAnsi="宋体" w:cs="宋体"/>
                <w:bCs/>
                <w:color w:val="000000"/>
                <w:sz w:val="24"/>
                <w:szCs w:val="24"/>
              </w:rPr>
            </w:r>
            <w:r/>
          </w:p>
        </w:tc>
        <w:tc>
          <w:tcPr>
            <w:tcW w:w="724" w:type="dxa"/>
            <w:vAlign w:val="center"/>
            <w:textDirection w:val="lrTb"/>
            <w:noWrap w:val="false"/>
          </w:tcPr>
          <w:p>
            <w:pPr>
              <w:pStyle w:val="871"/>
              <w:ind w:firstLine="48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693" w:type="dxa"/>
            <w:vAlign w:val="center"/>
            <w:textDirection w:val="lrTb"/>
            <w:noWrap w:val="false"/>
          </w:tcPr>
          <w:p>
            <w:pPr>
              <w:pStyle w:val="871"/>
              <w:ind w:firstLine="48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件</w:t>
            </w:r>
            <w:r>
              <w:rPr>
                <w:rFonts w:hint="eastAsia" w:ascii="宋体" w:hAnsi="宋体" w:cs="宋体"/>
                <w:bCs/>
                <w:color w:val="000000"/>
                <w:sz w:val="24"/>
                <w:szCs w:val="24"/>
              </w:rPr>
            </w:r>
            <w:r/>
          </w:p>
        </w:tc>
        <w:tc>
          <w:tcPr>
            <w:tcW w:w="1054" w:type="dxa"/>
            <w:vAlign w:val="center"/>
            <w:textDirection w:val="lrTb"/>
            <w:noWrap w:val="false"/>
          </w:tcPr>
          <w:p>
            <w:pPr>
              <w:pStyle w:val="871"/>
              <w:ind w:firstLine="240"/>
              <w:jc w:val="both"/>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val="en-US" w:eastAsia="zh-CN"/>
              </w:rPr>
              <w:t xml:space="preserve">8</w:t>
            </w:r>
            <w:r>
              <w:rPr>
                <w:rFonts w:hint="eastAsia" w:ascii="宋体" w:hAnsi="宋体" w:cs="宋体"/>
                <w:bCs/>
                <w:color w:val="000000"/>
                <w:sz w:val="24"/>
                <w:szCs w:val="24"/>
              </w:rPr>
              <w:t xml:space="preserve">0000</w:t>
            </w:r>
            <w:r>
              <w:rPr>
                <w:rFonts w:hint="eastAsia" w:ascii="宋体" w:hAnsi="宋体" w:cs="宋体"/>
                <w:bCs/>
                <w:color w:val="000000"/>
                <w:sz w:val="24"/>
                <w:szCs w:val="24"/>
              </w:rPr>
            </w:r>
            <w:r/>
          </w:p>
        </w:tc>
        <w:tc>
          <w:tcPr>
            <w:tcW w:w="1193" w:type="dxa"/>
            <w:vAlign w:val="center"/>
            <w:textDirection w:val="lrTb"/>
            <w:noWrap w:val="false"/>
          </w:tcPr>
          <w:p>
            <w:pPr>
              <w:pStyle w:val="871"/>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rPr>
                <w:rFonts w:hint="eastAsia" w:ascii="宋体" w:hAnsi="宋体" w:cs="宋体"/>
                <w:bCs/>
                <w:color w:val="000000"/>
                <w:sz w:val="24"/>
                <w:szCs w:val="24"/>
              </w:rPr>
            </w:r>
            <w:r/>
          </w:p>
        </w:tc>
        <w:tc>
          <w:tcPr>
            <w:tcW w:w="1029"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7"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1273"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414"/>
        </w:trPr>
        <w:tc>
          <w:tcPr>
            <w:tcW w:w="332"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1942" w:type="dxa"/>
            <w:vAlign w:val="center"/>
            <w:textDirection w:val="lrTb"/>
            <w:noWrap w:val="false"/>
          </w:tcPr>
          <w:p>
            <w:pPr>
              <w:pStyle w:val="871"/>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交换机</w:t>
            </w:r>
            <w:r>
              <w:rPr>
                <w:rFonts w:hint="eastAsia" w:ascii="宋体" w:hAnsi="宋体" w:cs="宋体"/>
                <w:bCs/>
                <w:color w:val="000000"/>
                <w:sz w:val="24"/>
                <w:szCs w:val="24"/>
              </w:rPr>
            </w:r>
            <w:r/>
          </w:p>
        </w:tc>
        <w:tc>
          <w:tcPr>
            <w:tcW w:w="724" w:type="dxa"/>
            <w:vAlign w:val="center"/>
            <w:textDirection w:val="lrTb"/>
            <w:noWrap w:val="false"/>
          </w:tcPr>
          <w:p>
            <w:pPr>
              <w:pStyle w:val="871"/>
              <w:ind w:firstLine="48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693" w:type="dxa"/>
            <w:vAlign w:val="center"/>
            <w:textDirection w:val="lrTb"/>
            <w:noWrap w:val="false"/>
          </w:tcPr>
          <w:p>
            <w:pPr>
              <w:pStyle w:val="871"/>
              <w:ind w:firstLine="48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件</w:t>
            </w:r>
            <w:r>
              <w:rPr>
                <w:rFonts w:hint="eastAsia" w:ascii="宋体" w:hAnsi="宋体" w:cs="宋体"/>
                <w:bCs/>
                <w:color w:val="000000"/>
                <w:sz w:val="24"/>
                <w:szCs w:val="24"/>
              </w:rPr>
            </w:r>
            <w:r/>
          </w:p>
        </w:tc>
        <w:tc>
          <w:tcPr>
            <w:tcW w:w="1054" w:type="dxa"/>
            <w:vAlign w:val="center"/>
            <w:textDirection w:val="lrTb"/>
            <w:noWrap w:val="false"/>
          </w:tcPr>
          <w:p>
            <w:pPr>
              <w:pStyle w:val="871"/>
              <w:ind w:firstLine="240"/>
              <w:jc w:val="both"/>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10000</w:t>
            </w:r>
            <w:r>
              <w:rPr>
                <w:rFonts w:hint="eastAsia" w:ascii="宋体" w:hAnsi="宋体" w:cs="宋体"/>
                <w:bCs/>
                <w:color w:val="000000"/>
                <w:sz w:val="24"/>
                <w:szCs w:val="24"/>
              </w:rPr>
            </w:r>
            <w:r/>
          </w:p>
        </w:tc>
        <w:tc>
          <w:tcPr>
            <w:tcW w:w="1193" w:type="dxa"/>
            <w:vAlign w:val="center"/>
            <w:textDirection w:val="lrTb"/>
            <w:noWrap w:val="false"/>
          </w:tcPr>
          <w:p>
            <w:pPr>
              <w:pStyle w:val="871"/>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029"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1197"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1273" w:type="dxa"/>
            <w:vAlign w:val="center"/>
            <w:textDirection w:val="lrTb"/>
            <w:noWrap w:val="false"/>
          </w:tcPr>
          <w:p>
            <w:pPr>
              <w:pStyle w:val="871"/>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bl>
    <w:p>
      <w:pPr>
        <w:pStyle w:val="871"/>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871"/>
        <w:ind w:firstLine="480"/>
        <w:spacing w:line="264" w:lineRule="auto"/>
        <w:rPr>
          <w:rFonts w:hint="eastAsia" w:ascii="宋体" w:hAnsi="宋体" w:cs="宋体"/>
          <w:bCs w:val="0"/>
          <w:color w:val="000000"/>
          <w:sz w:val="24"/>
          <w:szCs w:val="24"/>
        </w:rPr>
        <w:outlineLvl w:val="9"/>
      </w:pPr>
      <w:r>
        <w:rPr>
          <w:rFonts w:hint="eastAsia" w:ascii="宋体" w:hAnsi="宋体" w:cs="宋体"/>
          <w:bCs w:val="0"/>
          <w:color w:val="000000"/>
          <w:sz w:val="24"/>
          <w:szCs w:val="24"/>
        </w:rPr>
        <w:t xml:space="preserve">（一）技术要求</w:t>
      </w:r>
      <w:r>
        <w:rPr>
          <w:rFonts w:hint="eastAsia" w:ascii="宋体" w:hAnsi="宋体" w:cs="宋体"/>
          <w:bCs w:val="0"/>
          <w:color w:val="000000"/>
          <w:sz w:val="24"/>
          <w:szCs w:val="24"/>
        </w:rPr>
      </w:r>
      <w:r/>
    </w:p>
    <w:p>
      <w:pPr>
        <w:ind w:firstLine="480"/>
        <w:spacing w:line="264" w:lineRule="auto"/>
        <w:rPr>
          <w:rFonts w:hint="eastAsia" w:ascii="宋体" w:hAnsi="宋体" w:cs="宋体"/>
          <w:color w:val="000000"/>
          <w:sz w:val="24"/>
          <w:szCs w:val="24"/>
          <w14:ligatures w14:val="none"/>
        </w:rPr>
      </w:pPr>
      <w:r>
        <w:rPr>
          <w:rFonts w:hint="eastAsia" w:ascii="宋体" w:hAnsi="宋体" w:cs="宋体"/>
          <w:color w:val="000000"/>
          <w:sz w:val="24"/>
          <w:szCs w:val="24"/>
        </w:rPr>
        <w:t xml:space="preserve">1.产品技术指标</w:t>
      </w:r>
      <w:r>
        <w:rPr>
          <w:rFonts w:hint="eastAsia" w:ascii="宋体" w:hAnsi="宋体" w:cs="宋体"/>
          <w:color w:val="000000"/>
          <w:sz w:val="24"/>
          <w:szCs w:val="24"/>
        </w:rPr>
      </w:r>
      <w:r/>
    </w:p>
    <w:p>
      <w:pPr>
        <w:ind w:firstLine="480"/>
        <w:spacing w:line="264" w:lineRule="auto"/>
        <w:rPr>
          <w:rFonts w:hint="eastAsia" w:ascii="宋体" w:hAnsi="宋体" w:cs="宋体"/>
          <w:color w:val="000000"/>
          <w:sz w:val="24"/>
          <w:szCs w:val="24"/>
          <w14:ligatures w14:val="none"/>
        </w:rPr>
      </w:pPr>
      <w:r>
        <w:rPr>
          <w:rFonts w:hint="eastAsia" w:ascii="宋体" w:hAnsi="宋体" w:cs="宋体"/>
          <w:color w:val="000000"/>
          <w:sz w:val="24"/>
          <w:szCs w:val="24"/>
        </w:rPr>
        <w:t xml:space="preserve">“★”号和“▲”为重要指标，签订合同前中标供应商需按照指标要求提供相应证明材料；如未明确证明材料类型，可提供包括但不限于（技术白皮书、产品彩页、产品手册、检测报告等证明材料）。</w:t>
      </w:r>
      <w:r>
        <w:rPr>
          <w:rFonts w:hint="eastAsia" w:ascii="宋体" w:hAnsi="宋体" w:cs="宋体"/>
          <w:color w:val="000000"/>
          <w:sz w:val="24"/>
          <w:szCs w:val="24"/>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1"/>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1354" w:type="dxa"/>
            <w:vAlign w:val="center"/>
            <w:textDirection w:val="lrTb"/>
            <w:noWrap w:val="false"/>
          </w:tcPr>
          <w:p>
            <w:pPr>
              <w:pStyle w:val="871"/>
              <w:ind w:firstLine="241"/>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产品名称</w:t>
            </w:r>
            <w:r>
              <w:rPr>
                <w:rFonts w:hint="eastAsia" w:ascii="宋体" w:hAnsi="宋体" w:cs="宋体"/>
                <w:b/>
                <w:color w:val="000000"/>
                <w:sz w:val="24"/>
                <w:szCs w:val="24"/>
              </w:rPr>
            </w:r>
            <w:r/>
          </w:p>
        </w:tc>
        <w:tc>
          <w:tcPr>
            <w:tcW w:w="7790" w:type="dxa"/>
            <w:vAlign w:val="center"/>
            <w:textDirection w:val="lrTb"/>
            <w:noWrap w:val="false"/>
          </w:tcPr>
          <w:p>
            <w:pPr>
              <w:pStyle w:val="871"/>
              <w:ind w:firstLine="482"/>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功能、性能、配置要求不低于以下要求</w:t>
            </w:r>
            <w:r>
              <w:rPr>
                <w:rFonts w:hint="eastAsia" w:ascii="宋体" w:hAnsi="宋体" w:cs="宋体"/>
                <w:b/>
                <w:color w:val="000000"/>
                <w:sz w:val="24"/>
                <w:szCs w:val="24"/>
              </w:rPr>
            </w:r>
            <w:r/>
          </w:p>
        </w:tc>
      </w:tr>
      <w:tr>
        <w:trPr>
          <w:trHeight w:val="90"/>
        </w:trPr>
        <w:tc>
          <w:tcPr>
            <w:tcW w:w="660" w:type="dxa"/>
            <w:vAlign w:val="center"/>
            <w:textDirection w:val="lrTb"/>
            <w:noWrap w:val="false"/>
          </w:tcPr>
          <w:p>
            <w:pPr>
              <w:pStyle w:val="871"/>
              <w:ind w:firstLine="48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354" w:type="dxa"/>
            <w:vAlign w:val="center"/>
            <w:textDirection w:val="lrTb"/>
            <w:noWrap w:val="false"/>
          </w:tcPr>
          <w:p>
            <w:pPr>
              <w:pStyle w:val="871"/>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含显卡的机架式服务器1</w:t>
            </w:r>
            <w:r>
              <w:rPr>
                <w:rFonts w:hint="eastAsia" w:ascii="宋体" w:hAnsi="宋体" w:cs="宋体"/>
                <w:bCs/>
                <w:color w:val="000000"/>
                <w:sz w:val="24"/>
                <w:szCs w:val="24"/>
              </w:rPr>
            </w:r>
            <w:r/>
          </w:p>
        </w:tc>
        <w:tc>
          <w:tcPr>
            <w:tcW w:w="7790" w:type="dxa"/>
            <w:vAlign w:val="center"/>
            <w:textDirection w:val="lrTb"/>
            <w:noWrap w:val="false"/>
          </w:tcPr>
          <w:p>
            <w:pPr>
              <w:pStyle w:val="871"/>
              <w:jc w:val="left"/>
              <w:spacing w:line="264"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硬件配置要求：</w:t>
            </w:r>
            <w:r>
              <w:rPr>
                <w:rFonts w:hint="eastAsia" w:ascii="宋体" w:hAnsi="宋体" w:cs="宋体"/>
                <w:b/>
                <w:color w:val="000000"/>
                <w:sz w:val="24"/>
                <w:szCs w:val="24"/>
              </w:rPr>
            </w:r>
            <w:r/>
          </w:p>
          <w:p>
            <w:pPr>
              <w:pStyle w:val="871"/>
              <w:numPr>
                <w:ilvl w:val="0"/>
                <w:numId w:val="5"/>
              </w:numPr>
              <w:jc w:val="left"/>
              <w:spacing w:line="264"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机架式双路服务器，高度≤4U；国产品牌，非OEM产品</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★2.</w:t>
            </w:r>
            <w:r>
              <w:rPr>
                <w:rFonts w:hint="eastAsia" w:ascii="宋体" w:hAnsi="宋体" w:cs="宋体"/>
                <w:bCs/>
                <w:color w:val="000000"/>
                <w:sz w:val="24"/>
                <w:szCs w:val="24"/>
              </w:rPr>
              <w:t xml:space="preserve">CPU：配置2颗X86处理器，单颗处理器主频≥2.1GHz、核心数≥32，支持AVX512指令集</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szCs w:val="24"/>
              </w:rPr>
              <w:t xml:space="preserve">内存：配置总容量不低于128G内存，插槽不少于32个，单根内存条不少于5600MHZ</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4.</w:t>
            </w:r>
            <w:r>
              <w:rPr>
                <w:rFonts w:hint="eastAsia" w:ascii="宋体" w:hAnsi="宋体" w:cs="宋体"/>
                <w:bCs/>
                <w:color w:val="000000"/>
                <w:sz w:val="24"/>
                <w:szCs w:val="24"/>
              </w:rPr>
              <w:t xml:space="preserve">硬盘：配置≥2块960G SATA SSD，≥1块4T SATA</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★5.</w:t>
            </w:r>
            <w:r>
              <w:rPr>
                <w:rFonts w:hint="eastAsia" w:ascii="宋体" w:hAnsi="宋体" w:cs="宋体"/>
                <w:bCs/>
                <w:color w:val="000000"/>
                <w:sz w:val="24"/>
                <w:szCs w:val="24"/>
              </w:rPr>
              <w:t xml:space="preserve">显卡共</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rPr>
              <w:t xml:space="preserve">张，每张卡的参数需满足：双宽PCIe 5.0</w:t>
            </w:r>
            <w:r>
              <w:rPr>
                <w:rFonts w:hint="eastAsia" w:ascii="宋体" w:hAnsi="宋体" w:cs="宋体"/>
                <w:bCs/>
                <w:color w:val="000000"/>
                <w:sz w:val="24"/>
                <w:szCs w:val="24"/>
                <w:lang w:val="en-US" w:eastAsia="zh-CN"/>
              </w:rPr>
              <w:t xml:space="preserve">×16</w:t>
            </w:r>
            <w:r>
              <w:rPr>
                <w:rFonts w:hint="eastAsia" w:ascii="宋体" w:hAnsi="宋体" w:cs="宋体"/>
                <w:bCs/>
                <w:color w:val="000000"/>
                <w:sz w:val="24"/>
                <w:szCs w:val="24"/>
              </w:rPr>
              <w:t xml:space="preserve">标卡，显存容量≥</w:t>
            </w:r>
            <w:r>
              <w:rPr>
                <w:rFonts w:ascii="宋体" w:hAnsi="宋体" w:cs="宋体"/>
                <w:bCs/>
                <w:color w:val="000000"/>
                <w:sz w:val="24"/>
                <w:szCs w:val="24"/>
              </w:rPr>
              <w:t xml:space="preserve">80</w:t>
            </w:r>
            <w:r>
              <w:rPr>
                <w:rFonts w:hint="eastAsia" w:ascii="宋体" w:hAnsi="宋体" w:cs="宋体"/>
                <w:bCs/>
                <w:color w:val="000000"/>
                <w:sz w:val="24"/>
                <w:szCs w:val="24"/>
              </w:rPr>
              <w:t xml:space="preserve">G GDDR7，显存带宽≥1</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00GB/s，兼容主流GPU计算框架,FP16算力≥</w:t>
            </w:r>
            <w:r>
              <w:rPr>
                <w:rFonts w:ascii="宋体" w:hAnsi="宋体" w:cs="宋体"/>
                <w:bCs/>
                <w:color w:val="000000"/>
                <w:sz w:val="24"/>
                <w:szCs w:val="24"/>
              </w:rPr>
              <w:t xml:space="preserve">95T</w:t>
            </w:r>
            <w:r>
              <w:rPr>
                <w:rFonts w:hint="eastAsia" w:ascii="宋体" w:hAnsi="宋体" w:cs="宋体"/>
                <w:bCs/>
                <w:color w:val="000000"/>
                <w:sz w:val="24"/>
                <w:szCs w:val="24"/>
              </w:rPr>
              <w:t xml:space="preserve">Flops，FP8算力≥1</w:t>
            </w:r>
            <w:r>
              <w:rPr>
                <w:rFonts w:ascii="宋体" w:hAnsi="宋体" w:cs="宋体"/>
                <w:bCs/>
                <w:color w:val="000000"/>
                <w:sz w:val="24"/>
                <w:szCs w:val="24"/>
              </w:rPr>
              <w:t xml:space="preserve">90T</w:t>
            </w:r>
            <w:r>
              <w:rPr>
                <w:rFonts w:hint="eastAsia" w:ascii="宋体" w:hAnsi="宋体" w:cs="宋体"/>
                <w:bCs/>
                <w:color w:val="000000"/>
                <w:sz w:val="24"/>
                <w:szCs w:val="24"/>
              </w:rPr>
              <w:t xml:space="preserve">Flops，FP4算力≥</w:t>
            </w:r>
            <w:r>
              <w:rPr>
                <w:rFonts w:ascii="宋体" w:hAnsi="宋体" w:cs="宋体"/>
                <w:bCs/>
                <w:color w:val="000000"/>
                <w:sz w:val="24"/>
                <w:szCs w:val="24"/>
              </w:rPr>
              <w:t xml:space="preserve">380T</w:t>
            </w:r>
            <w:r>
              <w:rPr>
                <w:rFonts w:hint="eastAsia" w:ascii="宋体" w:hAnsi="宋体" w:cs="宋体"/>
                <w:bCs/>
                <w:color w:val="000000"/>
                <w:sz w:val="24"/>
                <w:szCs w:val="24"/>
              </w:rPr>
              <w:t xml:space="preserve">PFlops。</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6.管理网络：提供≥1个独立的100/1000Mbps RJ45网络接口，用于带外BMC管理，业务网络：配置≥2个10Gb SFP+光口（随箱提供对应光模块）</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7.</w:t>
            </w:r>
            <w:r>
              <w:rPr>
                <w:rFonts w:hint="eastAsia" w:ascii="宋体" w:hAnsi="宋体" w:cs="宋体"/>
                <w:bCs/>
                <w:color w:val="000000"/>
                <w:sz w:val="24"/>
                <w:szCs w:val="24"/>
              </w:rPr>
              <w:t xml:space="preserve">电源：配置2+2冗余热插拔电源模块,单电源功率≥2000W，电源能效达到80 PLUS铂金或以上标准，国标插头</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配置≥1张独立Raid卡，提供Raid 0/1/10；配置≥1张FEC加速卡，支持3GPP LDPC和Turbo硬件编解码。支持8个PCIe 5.0可扩展卡槽</w:t>
            </w:r>
            <w:r>
              <w:rPr>
                <w:rFonts w:hint="eastAsia" w:ascii="宋体" w:hAnsi="宋体" w:cs="宋体"/>
                <w:bCs/>
                <w:color w:val="000000"/>
                <w:sz w:val="24"/>
                <w:szCs w:val="24"/>
              </w:rPr>
            </w:r>
            <w:r/>
          </w:p>
          <w:p>
            <w:pPr>
              <w:pStyle w:val="871"/>
              <w:jc w:val="left"/>
              <w:spacing w:line="264"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管理平台要求：</w:t>
            </w:r>
            <w:r>
              <w:rPr>
                <w:rFonts w:hint="eastAsia" w:ascii="宋体" w:hAnsi="宋体" w:cs="宋体"/>
                <w:b/>
                <w:bCs/>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1. 平台应支持主流服务器虚拟化技术（如KVM、VMware、Hyper-V等），可实现CPU、内存、存储、网络等资源的池化管理。</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具体要求：</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1）支持虚拟机的基本生命周期管理（创建、删除、启动、关闭、暂停、恢复），支持虚拟机热迁移（即在业务不中断的情况下将虚拟机迁移至另一台物理服务器）。</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2）支持高可用（HA）功能：当物理服务器故障时，虚拟机能够自动在集群内其他服务器上重启。</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3）支持虚拟交换机及VLAN配置，支持网卡绑定（NIC Teaming）。提供统一的Web管理控制台，支持基于角色的权限管理。</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▲4）支持GPU直通与虚拟化：可将物理GPU分配给单个虚拟机（直通），或将单块物理GPU划分为多个虚拟GPU（GPU虚拟化”或“GPU切片技术）供多个虚拟机共享。</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2.</w:t>
            </w:r>
            <w:r>
              <w:rPr>
                <w:rFonts w:hint="eastAsia" w:ascii="宋体" w:hAnsi="宋体" w:cs="宋体"/>
                <w:color w:val="000000"/>
                <w:sz w:val="24"/>
                <w:szCs w:val="24"/>
              </w:rPr>
              <w:t xml:space="preserve">平台可通过Web管理界面进行BIOS性能配置，利用预置配置文件，自动调优内部服务器节点资源，匹配不同的应用负载，系统内置10种以上应用场景模板，如低时延、节能、通用效能、高可靠性等模式</w:t>
            </w:r>
            <w:r>
              <w:rPr>
                <w:rFonts w:hint="eastAsia" w:ascii="宋体" w:hAnsi="宋体" w:cs="宋体"/>
                <w:color w:val="000000"/>
                <w:sz w:val="24"/>
                <w:szCs w:val="24"/>
              </w:rPr>
            </w:r>
            <w:r/>
          </w:p>
          <w:p>
            <w:pPr>
              <w:pStyle w:val="871"/>
              <w:jc w:val="left"/>
              <w:spacing w:line="264" w:lineRule="auto"/>
              <w:widowControl/>
              <w:rPr>
                <w:rFonts w:hint="eastAsia" w:ascii="宋体" w:hAnsi="宋体" w:cs="宋体"/>
                <w:strike/>
                <w:color w:val="000000"/>
                <w:sz w:val="24"/>
                <w:szCs w:val="24"/>
              </w:rPr>
            </w:pPr>
            <w:r>
              <w:rPr>
                <w:rFonts w:hint="eastAsia" w:ascii="宋体" w:hAnsi="宋体" w:cs="宋体"/>
                <w:color w:val="000000"/>
                <w:sz w:val="24"/>
                <w:szCs w:val="24"/>
              </w:rPr>
              <w:t xml:space="preserve">▲3.平台支持对设备状态监控及故障告警，支持多种告警方式，包括但不限于邮箱、短信、语音、企业微信、钉钉等方式的通知功能</w:t>
            </w:r>
            <w:r>
              <w:rPr>
                <w:rFonts w:hint="eastAsia" w:ascii="宋体" w:hAnsi="宋体" w:cs="宋体"/>
                <w:strike/>
                <w:color w:val="000000"/>
                <w:sz w:val="24"/>
                <w:szCs w:val="24"/>
              </w:rPr>
            </w:r>
            <w:r/>
          </w:p>
          <w:p>
            <w:pPr>
              <w:pStyle w:val="871"/>
              <w:jc w:val="left"/>
              <w:spacing w:line="264" w:lineRule="auto"/>
              <w:widowControl/>
              <w:rPr>
                <w:rFonts w:hint="eastAsia" w:ascii="宋体" w:hAnsi="宋体" w:cs="宋体"/>
                <w:strike/>
                <w:color w:val="000000"/>
                <w:sz w:val="24"/>
                <w:szCs w:val="24"/>
              </w:rPr>
            </w:pPr>
            <w:r>
              <w:rPr>
                <w:rFonts w:hint="eastAsia" w:ascii="宋体" w:hAnsi="宋体" w:cs="宋体"/>
                <w:color w:val="000000"/>
                <w:sz w:val="24"/>
                <w:szCs w:val="24"/>
              </w:rPr>
              <w:t xml:space="preserve">▲4.平台支持应急诊断功能，硬件服务器节点因可更换硬件故障导致启动进程挂死时，BIOS可将该故障硬件隔离，不影响设备正常使用。</w:t>
            </w:r>
            <w:r>
              <w:rPr>
                <w:rFonts w:hint="eastAsia" w:ascii="宋体" w:hAnsi="宋体" w:cs="宋体"/>
                <w:strike/>
                <w:color w:val="000000"/>
                <w:sz w:val="24"/>
                <w:szCs w:val="24"/>
              </w:rPr>
            </w:r>
            <w:r/>
          </w:p>
          <w:p>
            <w:pPr>
              <w:pStyle w:val="871"/>
              <w:jc w:val="left"/>
              <w:spacing w:line="264" w:lineRule="auto"/>
              <w:widowControl/>
              <w:rPr>
                <w:rFonts w:hint="eastAsia" w:ascii="宋体" w:hAnsi="宋体" w:cs="宋体"/>
                <w:strike/>
                <w:color w:val="000000"/>
                <w:sz w:val="24"/>
                <w:szCs w:val="24"/>
              </w:rPr>
            </w:pPr>
            <w:r>
              <w:rPr>
                <w:rFonts w:hint="eastAsia" w:ascii="宋体" w:hAnsi="宋体" w:cs="宋体"/>
                <w:color w:val="000000"/>
                <w:sz w:val="24"/>
                <w:szCs w:val="24"/>
              </w:rPr>
              <w:t xml:space="preserve">▲5.平台支持多节点的BMC管理功能；支持检测BMC存在的安全隐患，可通过Web界面集中展示设备帐号认证和应用服务安全配置状态，识别BMC安全配置的风险，提供风险影响和相应处理建议。</w:t>
            </w:r>
            <w:r>
              <w:rPr>
                <w:rFonts w:hint="eastAsia" w:ascii="宋体" w:hAnsi="宋体" w:cs="宋体"/>
                <w:strike/>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6.平台支持硬盘寿命监控，可通过Web管理界面自定义告警阈值，实现分级预警。</w:t>
            </w:r>
            <w:r>
              <w:rPr>
                <w:rFonts w:hint="eastAsia" w:ascii="宋体" w:hAnsi="宋体" w:cs="宋体"/>
                <w:color w:val="000000"/>
                <w:sz w:val="24"/>
                <w:szCs w:val="24"/>
              </w:rPr>
            </w:r>
            <w:r/>
          </w:p>
        </w:tc>
      </w:tr>
      <w:tr>
        <w:trPr>
          <w:trHeight w:val="349"/>
        </w:trPr>
        <w:tc>
          <w:tcPr>
            <w:tcW w:w="660" w:type="dxa"/>
            <w:vAlign w:val="center"/>
            <w:textDirection w:val="lrTb"/>
            <w:noWrap w:val="false"/>
          </w:tcPr>
          <w:p>
            <w:pPr>
              <w:pStyle w:val="871"/>
              <w:ind w:firstLine="480"/>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1354" w:type="dxa"/>
            <w:vAlign w:val="center"/>
            <w:textDirection w:val="lrTb"/>
            <w:noWrap w:val="false"/>
          </w:tcPr>
          <w:p>
            <w:pPr>
              <w:pStyle w:val="871"/>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含显卡的机架式服务器2</w:t>
            </w:r>
            <w:r>
              <w:rPr>
                <w:rFonts w:hint="eastAsia" w:ascii="宋体" w:hAnsi="宋体" w:cs="宋体"/>
                <w:bCs/>
                <w:color w:val="000000"/>
                <w:sz w:val="24"/>
                <w:szCs w:val="24"/>
              </w:rPr>
            </w:r>
            <w:r/>
          </w:p>
        </w:tc>
        <w:tc>
          <w:tcPr>
            <w:tcW w:w="7790" w:type="dxa"/>
            <w:vAlign w:val="center"/>
            <w:textDirection w:val="lrTb"/>
            <w:noWrap w:val="false"/>
          </w:tcPr>
          <w:p>
            <w:pPr>
              <w:pStyle w:val="871"/>
              <w:jc w:val="left"/>
              <w:spacing w:line="264"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硬件配置要求：</w:t>
            </w:r>
            <w:r>
              <w:rPr>
                <w:rFonts w:hint="eastAsia" w:ascii="宋体" w:hAnsi="宋体" w:cs="宋体"/>
                <w:b/>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1.机架式双路服务器，高度≤4U；国产品牌，非OEM产品</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★2.</w:t>
            </w:r>
            <w:r>
              <w:rPr>
                <w:rFonts w:hint="eastAsia" w:ascii="宋体" w:hAnsi="宋体" w:cs="宋体"/>
                <w:bCs/>
                <w:color w:val="000000"/>
                <w:sz w:val="24"/>
                <w:szCs w:val="24"/>
              </w:rPr>
              <w:t xml:space="preserve">CPU：配置2颗X86处理器，单颗处理器主频≥2.1GHz、核心数≥32，支持AVX512指令集</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szCs w:val="24"/>
              </w:rPr>
              <w:t xml:space="preserve">内存：配置总容量不低于128G内存，插槽不少于32个，单根内存条不少于5600MHZ</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4.硬盘：配置≥2块960G SATA SSD，≥1块4T SATA</w:t>
            </w:r>
            <w:r>
              <w:rPr>
                <w:rFonts w:hint="eastAsia" w:ascii="宋体" w:hAnsi="宋体" w:cs="宋体"/>
                <w:bCs/>
                <w:color w:val="000000"/>
                <w:sz w:val="24"/>
                <w:szCs w:val="24"/>
              </w:rPr>
            </w:r>
            <w:r/>
          </w:p>
          <w:p>
            <w:pPr>
              <w:pStyle w:val="871"/>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★5.</w:t>
            </w:r>
            <w:r>
              <w:rPr>
                <w:rFonts w:hint="eastAsia" w:ascii="宋体" w:hAnsi="宋体" w:cs="宋体"/>
                <w:bCs/>
                <w:color w:val="000000"/>
                <w:sz w:val="24"/>
                <w:szCs w:val="24"/>
              </w:rPr>
              <w:t xml:space="preserve">显卡共</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张，每张卡的参数需满足：每张卡的参数需满足：双宽PCIe 5.0标卡，显存容量≥</w:t>
            </w:r>
            <w:r>
              <w:rPr>
                <w:rFonts w:ascii="宋体" w:hAnsi="宋体" w:cs="宋体"/>
                <w:bCs/>
                <w:color w:val="000000"/>
                <w:sz w:val="24"/>
                <w:szCs w:val="24"/>
              </w:rPr>
              <w:t xml:space="preserve">80</w:t>
            </w:r>
            <w:r>
              <w:rPr>
                <w:rFonts w:hint="eastAsia" w:ascii="宋体" w:hAnsi="宋体" w:cs="宋体"/>
                <w:bCs/>
                <w:color w:val="000000"/>
                <w:sz w:val="24"/>
                <w:szCs w:val="24"/>
              </w:rPr>
              <w:t xml:space="preserve">G GDDR7，显存带宽≥1</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00GB/s，兼容主流GPU计算框架,FP16算力≥</w:t>
            </w:r>
            <w:r>
              <w:rPr>
                <w:rFonts w:ascii="宋体" w:hAnsi="宋体" w:cs="宋体"/>
                <w:bCs/>
                <w:color w:val="000000"/>
                <w:sz w:val="24"/>
                <w:szCs w:val="24"/>
              </w:rPr>
              <w:t xml:space="preserve">95T</w:t>
            </w:r>
            <w:r>
              <w:rPr>
                <w:rFonts w:hint="eastAsia" w:ascii="宋体" w:hAnsi="宋体" w:cs="宋体"/>
                <w:bCs/>
                <w:color w:val="000000"/>
                <w:sz w:val="24"/>
                <w:szCs w:val="24"/>
              </w:rPr>
              <w:t xml:space="preserve">Flops，FP8算力≥1</w:t>
            </w:r>
            <w:r>
              <w:rPr>
                <w:rFonts w:ascii="宋体" w:hAnsi="宋体" w:cs="宋体"/>
                <w:bCs/>
                <w:color w:val="000000"/>
                <w:sz w:val="24"/>
                <w:szCs w:val="24"/>
              </w:rPr>
              <w:t xml:space="preserve">90T</w:t>
            </w:r>
            <w:r>
              <w:rPr>
                <w:rFonts w:hint="eastAsia" w:ascii="宋体" w:hAnsi="宋体" w:cs="宋体"/>
                <w:bCs/>
                <w:color w:val="000000"/>
                <w:sz w:val="24"/>
                <w:szCs w:val="24"/>
              </w:rPr>
              <w:t xml:space="preserve">Flops，FP4算力≥</w:t>
            </w:r>
            <w:r>
              <w:rPr>
                <w:rFonts w:ascii="宋体" w:hAnsi="宋体" w:cs="宋体"/>
                <w:bCs/>
                <w:color w:val="000000"/>
                <w:sz w:val="24"/>
                <w:szCs w:val="24"/>
              </w:rPr>
              <w:t xml:space="preserve">380T</w:t>
            </w:r>
            <w:r>
              <w:rPr>
                <w:rFonts w:hint="eastAsia" w:ascii="宋体" w:hAnsi="宋体" w:cs="宋体"/>
                <w:bCs/>
                <w:color w:val="000000"/>
                <w:sz w:val="24"/>
                <w:szCs w:val="24"/>
              </w:rPr>
              <w:t xml:space="preserve">Flops。</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6.管理网络：提供≥1个独立的100/1000Mbps RJ45网络接口，用于带外BMC管理，业务网络：配置≥2个10Gb SFP+光口（随箱提供对应光模块）</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★7.</w:t>
            </w:r>
            <w:r>
              <w:rPr>
                <w:rFonts w:hint="eastAsia" w:ascii="宋体" w:hAnsi="宋体" w:cs="宋体"/>
                <w:bCs/>
                <w:color w:val="000000"/>
                <w:sz w:val="24"/>
                <w:szCs w:val="24"/>
              </w:rPr>
              <w:t xml:space="preserve">电源：配置2+2冗余热插拔电源模块,单电源功率≥2000W，电源能效达到80 PLUS铂金或以上标准，国标插头</w:t>
            </w:r>
            <w:r>
              <w:rPr>
                <w:rFonts w:hint="eastAsia" w:ascii="宋体" w:hAnsi="宋体" w:cs="宋体"/>
                <w:bCs/>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配置≥1张独立Raid卡，提供Raid 0/1/10；配置≥1张FEC加速卡，支持3GPP LDPC和Turbo硬件编解码。支持8个PCIe 5.0可扩展卡槽</w:t>
            </w:r>
            <w:r>
              <w:rPr>
                <w:rFonts w:hint="eastAsia" w:ascii="宋体" w:hAnsi="宋体" w:cs="宋体"/>
                <w:bCs/>
                <w:color w:val="000000"/>
                <w:sz w:val="24"/>
                <w:szCs w:val="24"/>
              </w:rPr>
            </w:r>
            <w:r/>
          </w:p>
          <w:p>
            <w:pPr>
              <w:pStyle w:val="871"/>
              <w:jc w:val="left"/>
              <w:spacing w:line="264"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管理平台要求：</w:t>
            </w:r>
            <w:r>
              <w:rPr>
                <w:rFonts w:hint="eastAsia" w:ascii="宋体" w:hAnsi="宋体" w:cs="宋体"/>
                <w:b/>
                <w:bCs/>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9.平台应支持主流服务器虚拟化技术（如KVM、VMware、Hyper-V等），可实现CPU、内存、存储、网络等资源的池化管理。</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具体要求：</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1）支持虚拟机的基本生命周期管理（创建、删除、启动、关闭、暂停、恢复），支持虚拟机热迁移（即在业务不中断的情况下将虚拟机迁移至另一台物理服务器）。</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2）支持高可用（HA）功能：当物理服务器故障时，虚拟机能够自动在集群内其他服务器上重启，支持虚拟交换机及VLAN配置，支持网卡绑定（NIC Teaming）。</w:t>
            </w:r>
            <w:r>
              <w:rPr>
                <w:rFonts w:hint="eastAsia" w:ascii="宋体" w:hAnsi="宋体" w:cs="宋体"/>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▲3）支持GPU直通与虚拟化：可将物理GPU分配给单个虚拟机（直通），或将单块物理GPU划分为多个虚拟GPU（GPU虚拟化”或“GPU切片技术）供多个虚拟机共享。</w:t>
            </w:r>
            <w:r>
              <w:rPr>
                <w:rFonts w:hint="eastAsia" w:ascii="宋体" w:hAnsi="宋体" w:cs="宋体"/>
                <w:color w:val="000000"/>
                <w:sz w:val="24"/>
                <w:szCs w:val="24"/>
              </w:rPr>
            </w:r>
            <w:r/>
          </w:p>
          <w:p>
            <w:pPr>
              <w:pStyle w:val="871"/>
              <w:jc w:val="left"/>
              <w:spacing w:line="264" w:lineRule="auto"/>
              <w:widowControl/>
              <w:rPr>
                <w:rFonts w:hint="eastAsia" w:ascii="宋体" w:hAnsi="宋体" w:cs="宋体"/>
                <w:b/>
                <w:bCs/>
                <w:color w:val="000000"/>
                <w:sz w:val="24"/>
                <w:szCs w:val="24"/>
              </w:rPr>
            </w:pPr>
            <w:r>
              <w:rPr>
                <w:rFonts w:hint="eastAsia" w:ascii="宋体" w:hAnsi="宋体" w:cs="宋体"/>
                <w:color w:val="000000"/>
                <w:sz w:val="24"/>
                <w:szCs w:val="24"/>
              </w:rPr>
              <w:t xml:space="preserve">4）提供统一的Web管理控制台，支持基于角色的权限管理。</w:t>
            </w:r>
            <w:r>
              <w:rPr>
                <w:rFonts w:hint="eastAsia" w:ascii="宋体" w:hAnsi="宋体" w:cs="宋体"/>
                <w:b/>
                <w:bCs/>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10.</w:t>
            </w:r>
            <w:r>
              <w:rPr>
                <w:rFonts w:hint="eastAsia" w:ascii="宋体" w:hAnsi="宋体" w:cs="宋体"/>
                <w:color w:val="000000"/>
                <w:sz w:val="24"/>
                <w:szCs w:val="24"/>
              </w:rPr>
              <w:t xml:space="preserve">平台可通过Web管理界面进行BIOS性能配置，利用预置配置文件，自动调优内部服务器节点资源，匹配不同的应用负载，系统内置10种以上应用场景模板，如低时延、节能、通用效能、高可靠性等模式</w:t>
            </w:r>
            <w:r>
              <w:rPr>
                <w:rFonts w:hint="eastAsia" w:ascii="宋体" w:hAnsi="宋体" w:cs="宋体"/>
                <w:color w:val="000000"/>
                <w:sz w:val="24"/>
                <w:szCs w:val="24"/>
              </w:rPr>
            </w:r>
            <w:r/>
          </w:p>
          <w:p>
            <w:pPr>
              <w:pStyle w:val="871"/>
              <w:jc w:val="left"/>
              <w:spacing w:line="264" w:lineRule="auto"/>
              <w:widowControl/>
              <w:rPr>
                <w:rFonts w:hint="eastAsia" w:ascii="宋体" w:hAnsi="宋体" w:cs="宋体"/>
                <w:strike/>
                <w:color w:val="000000"/>
                <w:sz w:val="24"/>
                <w:szCs w:val="24"/>
              </w:rPr>
            </w:pPr>
            <w:r>
              <w:rPr>
                <w:rFonts w:hint="eastAsia" w:ascii="宋体" w:hAnsi="宋体" w:cs="宋体"/>
                <w:color w:val="000000"/>
                <w:sz w:val="24"/>
                <w:szCs w:val="24"/>
              </w:rPr>
              <w:t xml:space="preserve">▲11.平台支持对设备状态监控及故障告警，支持多种告警方式，包括但不限于邮箱、短信、语音、企业微信、钉钉等方式的通知功能</w:t>
            </w:r>
            <w:r>
              <w:rPr>
                <w:rFonts w:hint="eastAsia" w:ascii="宋体" w:hAnsi="宋体" w:cs="宋体"/>
                <w:strike/>
                <w:color w:val="000000"/>
                <w:sz w:val="24"/>
                <w:szCs w:val="24"/>
              </w:rPr>
            </w:r>
            <w:r/>
          </w:p>
          <w:p>
            <w:pPr>
              <w:pStyle w:val="871"/>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▲12.平台支持应急诊断功能，硬件服务器节点因可更换硬件故障导致启动进程挂死时，BIOS可将该故障硬件隔离，不影响设备正常使用</w:t>
            </w:r>
            <w:r>
              <w:rPr>
                <w:rFonts w:hint="eastAsia" w:ascii="宋体" w:hAnsi="宋体" w:cs="宋体"/>
                <w:color w:val="000000"/>
                <w:sz w:val="24"/>
                <w:szCs w:val="24"/>
              </w:rPr>
            </w:r>
            <w:r/>
          </w:p>
          <w:p>
            <w:pPr>
              <w:pStyle w:val="871"/>
              <w:jc w:val="left"/>
              <w:spacing w:line="264" w:lineRule="auto"/>
              <w:widowControl/>
              <w:rPr>
                <w:rFonts w:hint="eastAsia" w:ascii="宋体" w:hAnsi="宋体" w:cs="宋体"/>
                <w:strike/>
                <w:color w:val="000000"/>
                <w:sz w:val="24"/>
                <w:szCs w:val="24"/>
              </w:rPr>
            </w:pPr>
            <w:r>
              <w:rPr>
                <w:rFonts w:hint="eastAsia" w:ascii="宋体" w:hAnsi="宋体" w:cs="宋体"/>
                <w:color w:val="000000"/>
                <w:sz w:val="24"/>
                <w:szCs w:val="24"/>
              </w:rPr>
              <w:t xml:space="preserve">▲13.平台支持多节点的BMC管理功能；支持检测BMC存在的安全隐患，可通过Web界面集中展示设备帐号认证和应用服务安全配置状态，识别BMC安全配置的风险，提供风险影响和相应处理建议。</w:t>
            </w:r>
            <w:r>
              <w:rPr>
                <w:rFonts w:hint="eastAsia" w:ascii="宋体" w:hAnsi="宋体" w:cs="宋体"/>
                <w:strike/>
                <w:color w:val="000000"/>
                <w:sz w:val="24"/>
                <w:szCs w:val="24"/>
              </w:rPr>
            </w:r>
            <w:r/>
          </w:p>
          <w:p>
            <w:pPr>
              <w:pStyle w:val="871"/>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14.平台支持硬盘寿命监控，可通过Web管理界面自定义告警阈值，实现分级预警。</w:t>
            </w:r>
            <w:r>
              <w:rPr>
                <w:rFonts w:hint="eastAsia" w:ascii="宋体" w:hAnsi="宋体" w:cs="宋体"/>
                <w:bCs/>
                <w:color w:val="000000"/>
                <w:sz w:val="24"/>
                <w:szCs w:val="24"/>
              </w:rPr>
            </w:r>
            <w:r/>
          </w:p>
        </w:tc>
      </w:tr>
      <w:tr>
        <w:trPr>
          <w:trHeight w:val="976"/>
        </w:trPr>
        <w:tc>
          <w:tcPr>
            <w:tcW w:w="660" w:type="dxa"/>
            <w:vAlign w:val="center"/>
            <w:textDirection w:val="lrTb"/>
            <w:noWrap w:val="false"/>
          </w:tcPr>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354" w:type="dxa"/>
            <w:vAlign w:val="center"/>
            <w:textDirection w:val="lrTb"/>
            <w:noWrap w:val="false"/>
          </w:tcPr>
          <w:p>
            <w:pPr>
              <w:pStyle w:val="871"/>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交换机</w:t>
            </w:r>
            <w:r>
              <w:rPr>
                <w:rFonts w:hint="eastAsia" w:ascii="宋体" w:hAnsi="宋体" w:cs="宋体"/>
                <w:color w:val="000000"/>
                <w:sz w:val="24"/>
                <w:szCs w:val="24"/>
              </w:rPr>
            </w:r>
            <w:r/>
          </w:p>
        </w:tc>
        <w:tc>
          <w:tcPr>
            <w:tcW w:w="7790" w:type="dxa"/>
            <w:vAlign w:val="center"/>
            <w:textDirection w:val="lrTb"/>
            <w:noWrap w:val="false"/>
          </w:tcPr>
          <w:p>
            <w:pPr>
              <w:pStyle w:val="871"/>
              <w:jc w:val="left"/>
              <w:spacing w:line="264"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配置要求：</w:t>
            </w:r>
            <w:r>
              <w:rPr>
                <w:rFonts w:hint="eastAsia" w:ascii="宋体" w:hAnsi="宋体" w:cs="宋体"/>
                <w:b/>
                <w:bCs/>
                <w:color w:val="000000"/>
                <w:sz w:val="24"/>
                <w:szCs w:val="24"/>
              </w:rPr>
            </w:r>
            <w:r/>
          </w:p>
          <w:p>
            <w:pPr>
              <w:pStyle w:val="871"/>
              <w:numPr>
                <w:ilvl w:val="0"/>
                <w:numId w:val="0"/>
              </w:numPr>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★1.平台交换节点≥1台，交换容量≥2.56Tbps，包转发率360Mpps</w:t>
            </w:r>
            <w:r>
              <w:rPr>
                <w:rFonts w:hint="eastAsia" w:ascii="宋体" w:hAnsi="宋体" w:cs="宋体"/>
                <w:color w:val="000000"/>
                <w:sz w:val="24"/>
                <w:szCs w:val="24"/>
              </w:rPr>
            </w:r>
            <w:r/>
          </w:p>
          <w:p>
            <w:pPr>
              <w:pStyle w:val="871"/>
              <w:numPr>
                <w:ilvl w:val="0"/>
                <w:numId w:val="0"/>
              </w:numPr>
              <w:jc w:val="left"/>
              <w:spacing w:line="264" w:lineRule="auto"/>
              <w:widowControl/>
              <w:rPr>
                <w:rFonts w:hint="eastAsia" w:ascii="宋体" w:hAnsi="宋体" w:cs="宋体"/>
                <w:color w:val="000000"/>
                <w:sz w:val="24"/>
                <w:szCs w:val="24"/>
              </w:rPr>
            </w:pPr>
            <w:r>
              <w:rPr>
                <w:rFonts w:hint="eastAsia" w:ascii="宋体" w:hAnsi="宋体" w:cs="宋体"/>
                <w:color w:val="000000"/>
                <w:sz w:val="24"/>
                <w:szCs w:val="24"/>
              </w:rPr>
              <w:t xml:space="preserve">2.提供24个1/10GE SFP Plus端口+1个Console口+1个USB口，固化电源</w:t>
            </w:r>
            <w:r>
              <w:rPr>
                <w:rFonts w:hint="eastAsia" w:ascii="宋体" w:hAnsi="宋体" w:cs="宋体"/>
                <w:color w:val="000000"/>
                <w:sz w:val="24"/>
                <w:szCs w:val="24"/>
              </w:rPr>
            </w:r>
            <w:r/>
          </w:p>
          <w:p>
            <w:pPr>
              <w:pStyle w:val="871"/>
              <w:numPr>
                <w:ilvl w:val="0"/>
                <w:numId w:val="0"/>
              </w:numPr>
              <w:jc w:val="left"/>
              <w:spacing w:line="264"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3.交换节点支持虚拟化，将一台设备虚拟化为多台逻辑设备</w:t>
            </w:r>
            <w:r>
              <w:rPr>
                <w:rFonts w:hint="eastAsia" w:ascii="宋体" w:hAnsi="宋体" w:cs="宋体"/>
                <w:bCs/>
                <w:color w:val="000000"/>
                <w:sz w:val="24"/>
                <w:szCs w:val="24"/>
              </w:rPr>
            </w:r>
            <w:r/>
          </w:p>
        </w:tc>
      </w:tr>
    </w:tbl>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71"/>
        <w:ind w:firstLine="480"/>
        <w:spacing w:line="264" w:lineRule="auto"/>
        <w:rPr>
          <w:rFonts w:hint="eastAsia" w:ascii="宋体" w:hAnsi="宋体" w:cs="宋体"/>
          <w:bCs w:val="0"/>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bCs w:val="0"/>
          <w:color w:val="000000"/>
          <w:sz w:val="24"/>
          <w:szCs w:val="24"/>
        </w:rPr>
        <w:t xml:space="preserve">其他技术要求 </w:t>
      </w:r>
      <w:r>
        <w:rPr>
          <w:rFonts w:hint="eastAsia" w:ascii="宋体" w:hAnsi="宋体" w:cs="宋体"/>
          <w:bCs w:val="0"/>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其他未列参数：除上述产品技术参数外，未列的《通用服务器政府采购需求标准（2023 版）》（财库〔2023〕33号）中加“*”指标，应满足需求标准中最低要求。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注：除上述产品技术参数外，未列的《通用服务器政府采购需求标准（2023版）》（财库〔2023〕33号）中非加“*”指标，供应商可根据实际情况自行阐述说明。</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871"/>
        <w:ind w:firstLine="480"/>
        <w:spacing w:line="264" w:lineRule="auto"/>
        <w:rPr>
          <w:rFonts w:hint="eastAsia" w:ascii="宋体" w:hAnsi="宋体" w:cs="宋体"/>
          <w:bCs/>
          <w:color w:val="000000"/>
          <w:sz w:val="24"/>
          <w:szCs w:val="24"/>
        </w:rPr>
        <w:outlineLvl w:val="2"/>
      </w:pPr>
      <w:r>
        <w:rPr>
          <w:rFonts w:hint="eastAsia" w:ascii="宋体" w:hAnsi="宋体" w:cs="宋体"/>
          <w:color w:val="000000"/>
          <w:sz w:val="24"/>
          <w:szCs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2.实施要求</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（1）总体要求</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①产品品质要求：供应商需向采购人提供未曾使用过的全新产品，该产品应严格符合国家法律规定、技术规格以及质量标准，为出厂原装合格产品。</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②技术支持要求：供应商应及时为合同货物软件提供升级服务，同时提供合同货物新功能和应用的相关资料，且相关费用已包含在投标总价之内。</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③技术文件提供要求：供应商在供货时，需提供与货物相关的全套技术文件。</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安装调试要求：采购人负责指定合同货物的安装地点，供应商需提供安装服务。供应商在接到采购人通知后，应在规定时间内完成安装与调试工作。若供应商委托代理（或其他机构）负责安装或配合安装，应在签订合同时明确说明，但供应商仍需对合同货物及其安装质量承担全部责任。</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（2）验收要求</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①验收主体：验收工作由采购人负责具体实施，以确保验收过程的专业性与公正性。</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验收依据：验收依据涵盖多方面内容，包括合同、招标文件、投标文件；供应商提供的技术规格；经采购人认可的合同货物的有效检验文件；供应商投标文件中提供的、经采购人认可的合同货物的验收标准（需符合中国相关的国家、地方、行业标准）和检测办法，以及相应的检测手段。这些依据将为验收工作提供全面、准确的评判标准。</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验收流程与合格条件：供应商需派员在所供货物送达采购人处时开展到货验收，若有需要，应能够联系产品制造商到场共同参与验收。若在验收过程中发现任何损坏及质量问题，供应商需负责妥善处理，直至采购人满意为止，由此产生的所有费用均由供应商承担。验收合格需满足以下条件：所供货物符合产品标准和合同要求；在进行测试和验收过程中发现的问题均已解决并得到采购人认可；合同中规定的所有货物和材料均已交付；所供货物已通过使用单位组织的验收。</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（3）质保及售后要求</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①质保期：服务器</w:t>
      </w:r>
      <w:r>
        <w:rPr>
          <w:rFonts w:hint="eastAsia" w:ascii="宋体" w:hAnsi="宋体" w:eastAsia="宋体" w:cs="宋体"/>
          <w:color w:val="000000"/>
          <w:sz w:val="24"/>
          <w:szCs w:val="24"/>
          <w:lang w:val="en-US" w:eastAsia="zh-CN"/>
        </w:rPr>
        <w:t xml:space="preserve">和交换机</w:t>
      </w:r>
      <w:r>
        <w:rPr>
          <w:rFonts w:hint="eastAsia" w:ascii="宋体" w:hAnsi="宋体" w:eastAsia="宋体" w:cs="宋体"/>
          <w:color w:val="000000"/>
          <w:sz w:val="24"/>
          <w:szCs w:val="24"/>
        </w:rPr>
        <w:t xml:space="preserve">3年原厂质保服务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中标供应商签订合同时</w:t>
      </w:r>
      <w:r>
        <w:rPr>
          <w:rFonts w:hint="eastAsia" w:ascii="宋体" w:hAnsi="宋体" w:eastAsia="宋体" w:cs="宋体"/>
          <w:color w:val="000000"/>
          <w:sz w:val="24"/>
          <w:szCs w:val="24"/>
        </w:rPr>
        <w:t xml:space="preserve">提供原厂质保服务函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;GPU卡3年供应商质保服务;软件需要1年免费升级，提供原厂技术支持服务（自验收合格之日起）。质保期内，每年维护保养1次，维护保养及更换损坏件的费用包含在投标总价中。</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③质保期内维修（人为因素除外）费用包含在投标总价中，质保期外提供不高于市场价格的终身维护。中标后签订合同前提供质保期外配件价格明细表。</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（4）培训要求</w:t>
      </w:r>
      <w:r>
        <w:rPr>
          <w:rFonts w:hint="eastAsia" w:ascii="宋体" w:hAnsi="宋体" w:eastAsia="宋体" w:cs="宋体"/>
          <w:color w:val="000000"/>
          <w:sz w:val="24"/>
          <w:szCs w:val="24"/>
        </w:rPr>
      </w:r>
      <w:r/>
    </w:p>
    <w:p>
      <w:pPr>
        <w:pStyle w:val="871"/>
        <w:numPr>
          <w:ilvl w:val="0"/>
          <w:numId w:val="0"/>
        </w:num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培训对象：采购人指派至少2名技术人员参训。</w:t>
      </w:r>
      <w:r>
        <w:rPr>
          <w:rFonts w:hint="eastAsia" w:ascii="宋体" w:hAnsi="宋体" w:eastAsia="宋体" w:cs="宋体"/>
          <w:color w:val="000000"/>
          <w:sz w:val="24"/>
          <w:szCs w:val="24"/>
        </w:rPr>
      </w:r>
      <w:r/>
    </w:p>
    <w:p>
      <w:pPr>
        <w:pStyle w:val="871"/>
        <w:numPr>
          <w:ilvl w:val="0"/>
          <w:numId w:val="0"/>
        </w:num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培训内容：涵盖服务器硬件、系统安装、GPU驱动、管理平台、故障诊断、集群互联。</w:t>
      </w:r>
      <w:r>
        <w:rPr>
          <w:rFonts w:hint="eastAsia" w:ascii="宋体" w:hAnsi="宋体" w:eastAsia="宋体" w:cs="宋体"/>
          <w:color w:val="000000"/>
          <w:sz w:val="24"/>
          <w:szCs w:val="24"/>
        </w:rPr>
      </w:r>
      <w:r/>
    </w:p>
    <w:p>
      <w:pPr>
        <w:pStyle w:val="871"/>
        <w:numPr>
          <w:ilvl w:val="0"/>
          <w:numId w:val="0"/>
        </w:num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培训时长：不少于2天（16学时），其中实操≥12学时。</w:t>
      </w:r>
      <w:r>
        <w:rPr>
          <w:rFonts w:hint="eastAsia" w:ascii="宋体" w:hAnsi="宋体" w:eastAsia="宋体" w:cs="宋体"/>
          <w:color w:val="000000"/>
          <w:sz w:val="24"/>
          <w:szCs w:val="24"/>
        </w:rPr>
      </w:r>
      <w:r/>
    </w:p>
    <w:p>
      <w:pPr>
        <w:pStyle w:val="871"/>
        <w:numPr>
          <w:ilvl w:val="0"/>
          <w:numId w:val="0"/>
        </w:num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培训教材：提供纸质+电子版教材各2套。</w:t>
      </w:r>
      <w:r>
        <w:rPr>
          <w:rFonts w:hint="eastAsia" w:ascii="宋体" w:hAnsi="宋体" w:eastAsia="宋体" w:cs="宋体"/>
          <w:color w:val="000000"/>
          <w:sz w:val="24"/>
          <w:szCs w:val="24"/>
        </w:rPr>
      </w:r>
      <w:r/>
    </w:p>
    <w:p>
      <w:pPr>
        <w:pStyle w:val="871"/>
        <w:numPr>
          <w:ilvl w:val="0"/>
          <w:numId w:val="0"/>
        </w:num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培训讲师：1名以上，具有3年以上同类经验。</w:t>
      </w:r>
      <w:r>
        <w:rPr>
          <w:rFonts w:hint="eastAsia" w:ascii="宋体" w:hAnsi="宋体" w:eastAsia="宋体" w:cs="宋体"/>
          <w:color w:val="000000"/>
          <w:sz w:val="24"/>
          <w:szCs w:val="24"/>
        </w:rPr>
      </w:r>
      <w:r/>
    </w:p>
    <w:p>
      <w:pPr>
        <w:pStyle w:val="871"/>
        <w:numPr>
          <w:ilvl w:val="0"/>
          <w:numId w:val="0"/>
        </w:num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培训方式：现场面授+实操，每人独立完成部署及故障模拟。</w:t>
      </w:r>
      <w:r>
        <w:rPr>
          <w:rFonts w:hint="eastAsia" w:ascii="宋体" w:hAnsi="宋体" w:eastAsia="宋体" w:cs="宋体"/>
          <w:color w:val="000000"/>
          <w:sz w:val="24"/>
          <w:szCs w:val="24"/>
        </w:rPr>
      </w:r>
      <w:r/>
    </w:p>
    <w:p>
      <w:pPr>
        <w:pStyle w:val="87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3.付款条件</w:t>
      </w:r>
      <w:r>
        <w:rPr>
          <w:rFonts w:hint="eastAsia" w:ascii="宋体" w:hAnsi="宋体" w:eastAsia="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4.交付时间及地点</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（1）交付时间：合同签订后30天内交付并完成安装调试及验收等相关工作。</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（2）交付地点：采购人指定地点。</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bookmarkStart w:id="190" w:name="OLE_LINK1"/>
      <w:r>
        <w:rPr>
          <w:rFonts w:hint="eastAsia" w:ascii="宋体" w:hAnsi="宋体" w:cs="宋体"/>
          <w:color w:val="000000"/>
          <w:sz w:val="24"/>
          <w:szCs w:val="24"/>
        </w:rPr>
        <w:t xml:space="preserve">6.其他要求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bookmarkEnd w:id="190"/>
      <w:r>
        <w:rPr>
          <w:rFonts w:hint="eastAsia" w:ascii="宋体" w:hAnsi="宋体" w:cs="宋体"/>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color w:val="000000"/>
          <w:sz w:val="24"/>
          <w:szCs w:val="24"/>
        </w:rPr>
      </w:r>
      <w:r/>
    </w:p>
    <w:p>
      <w:pPr>
        <w:pStyle w:val="871"/>
        <w:ind w:firstLine="720"/>
        <w:jc w:val="center"/>
        <w:rPr>
          <w:rFonts w:hint="eastAsia" w:ascii="宋体" w:hAnsi="宋体" w:cs="宋体"/>
          <w:color w:val="000000"/>
          <w:sz w:val="24"/>
          <w:szCs w:val="24"/>
        </w:rPr>
      </w:pPr>
      <w:r>
        <w:rPr>
          <w:rFonts w:hint="eastAsia" w:ascii="宋体" w:hAnsi="宋体" w:cs="宋体"/>
          <w:color w:val="000000"/>
          <w:sz w:val="24"/>
          <w:szCs w:val="24"/>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技术项”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71"/>
        <w:ind w:firstLine="48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1.本</w:t>
      </w:r>
      <w:r>
        <w:rPr>
          <w:rFonts w:hint="eastAsia" w:ascii="宋体" w:hAnsi="宋体" w:cs="宋体"/>
          <w:color w:val="000000"/>
          <w:sz w:val="24"/>
          <w:szCs w:val="24"/>
        </w:rPr>
        <w:t xml:space="preserve">项目如</w:t>
      </w:r>
      <w:r>
        <w:rPr>
          <w:rFonts w:hint="eastAsia" w:ascii="宋体" w:hAnsi="宋体" w:cs="宋体"/>
          <w:color w:val="000000"/>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s="宋体"/>
          <w:color w:val="000000"/>
          <w:sz w:val="24"/>
          <w:szCs w:val="24"/>
          <w:lang w:val="zh-CN"/>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2.如本</w:t>
      </w:r>
      <w:r>
        <w:rPr>
          <w:rFonts w:hint="eastAsia" w:ascii="宋体" w:hAnsi="宋体" w:cs="宋体"/>
          <w:color w:val="000000"/>
          <w:sz w:val="24"/>
          <w:szCs w:val="24"/>
          <w:lang w:val="zh-CN"/>
        </w:rPr>
        <w:t xml:space="preserve">项目或者</w:t>
      </w:r>
      <w:r>
        <w:rPr>
          <w:rFonts w:hint="eastAsia" w:ascii="宋体" w:hAnsi="宋体" w:cs="宋体"/>
          <w:color w:val="000000"/>
          <w:sz w:val="24"/>
          <w:szCs w:val="24"/>
        </w:rPr>
        <w:t xml:space="preserve">其中</w:t>
      </w:r>
      <w:r>
        <w:rPr>
          <w:rFonts w:hint="eastAsia" w:ascii="宋体" w:hAnsi="宋体" w:cs="宋体"/>
          <w:color w:val="000000"/>
          <w:sz w:val="24"/>
          <w:szCs w:val="24"/>
          <w:lang w:val="zh-CN"/>
        </w:rPr>
        <w:t xml:space="preserve">采购包中含有多种产品，供应商为</w:t>
      </w:r>
      <w:r>
        <w:rPr>
          <w:rFonts w:hint="eastAsia" w:ascii="宋体" w:hAnsi="宋体" w:cs="宋体"/>
          <w:color w:val="000000"/>
          <w:sz w:val="24"/>
          <w:szCs w:val="24"/>
        </w:rPr>
        <w:t xml:space="preserve">本</w:t>
      </w:r>
      <w:r>
        <w:rPr>
          <w:rFonts w:hint="eastAsia" w:ascii="宋体" w:hAnsi="宋体" w:cs="宋体"/>
          <w:color w:val="000000"/>
          <w:sz w:val="24"/>
          <w:szCs w:val="24"/>
          <w:lang w:val="zh-CN"/>
        </w:rPr>
        <w:t xml:space="preserve">项目或者</w:t>
      </w:r>
      <w:r>
        <w:rPr>
          <w:rFonts w:hint="eastAsia" w:ascii="宋体" w:hAnsi="宋体" w:cs="宋体"/>
          <w:color w:val="000000"/>
          <w:sz w:val="24"/>
          <w:szCs w:val="24"/>
        </w:rPr>
        <w:t xml:space="preserve">其中</w:t>
      </w:r>
      <w:r>
        <w:rPr>
          <w:rFonts w:hint="eastAsia" w:ascii="宋体" w:hAnsi="宋体" w:cs="宋体"/>
          <w:color w:val="000000"/>
          <w:sz w:val="24"/>
          <w:szCs w:val="24"/>
          <w:lang w:val="zh-CN"/>
        </w:rPr>
        <w:t xml:space="preserve">采购包提供的符合本国产品标准的产品成本之和占该供应商提供的全部产品成本之和的比例达到80%以上时，依法</w:t>
      </w:r>
      <w:r>
        <w:rPr>
          <w:rFonts w:hint="eastAsia" w:ascii="宋体" w:hAnsi="宋体" w:cs="宋体"/>
          <w:color w:val="000000"/>
          <w:sz w:val="24"/>
          <w:szCs w:val="24"/>
        </w:rPr>
        <w:t xml:space="preserve">对该供应商提供的全部产品给予价格评审优惠，即对该供应商提供的全部产品的总报价给予20%的价格扣除，用扣除后的价格参与评审。</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s="宋体"/>
          <w:color w:val="000000"/>
          <w:sz w:val="24"/>
          <w:szCs w:val="24"/>
        </w:rPr>
      </w:r>
      <w:r/>
    </w:p>
    <w:p>
      <w:pPr>
        <w:pStyle w:val="871"/>
        <w:ind w:firstLine="422"/>
        <w:widowControl/>
        <w:rPr>
          <w:rFonts w:hint="eastAsia" w:ascii="宋体" w:hAnsi="宋体" w:cs="宋体"/>
          <w:b/>
          <w:bCs/>
          <w:color w:val="000000"/>
          <w:sz w:val="24"/>
          <w:szCs w:val="24"/>
        </w:rPr>
      </w:pPr>
      <w:r>
        <w:rPr>
          <w:rFonts w:hint="eastAsia" w:ascii="宋体" w:hAnsi="宋体"/>
          <w:b/>
          <w:bCs/>
          <w:color w:val="000000"/>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71"/>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871"/>
        <w:ind w:firstLine="480"/>
        <w:spacing w:line="264" w:lineRule="auto"/>
        <w:rPr>
          <w:rFonts w:hint="eastAsia"/>
          <w:color w:val="000000"/>
          <w:sz w:val="24"/>
          <w:szCs w:val="24"/>
        </w:rPr>
      </w:pPr>
      <w:r>
        <w:rPr>
          <w:rFonts w:hint="eastAsia" w:ascii="黑体" w:hAnsi="黑体" w:eastAsia="黑体" w:cs="黑体"/>
          <w:color w:val="000000"/>
          <w:sz w:val="24"/>
          <w:szCs w:val="24"/>
        </w:rPr>
        <w:t xml:space="preserve">四、评标标准</w:t>
      </w:r>
      <w:r>
        <w:rPr>
          <w:rFonts w:hint="eastAsia"/>
          <w:color w:val="000000"/>
          <w:sz w:val="24"/>
          <w:szCs w:val="24"/>
        </w:rPr>
      </w:r>
      <w:r/>
    </w:p>
    <w:tbl>
      <w:tblPr>
        <w:tblW w:w="9754"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5"/>
        <w:gridCol w:w="992"/>
        <w:gridCol w:w="6185"/>
        <w:gridCol w:w="822"/>
        <w:gridCol w:w="900"/>
      </w:tblGrid>
      <w:tr>
        <w:trPr>
          <w:trHeight w:val="483"/>
          <w:tblHeader/>
        </w:trPr>
        <w:tc>
          <w:tcPr>
            <w:tcW w:w="855" w:type="dxa"/>
            <w:vAlign w:val="top"/>
            <w:textDirection w:val="lrTb"/>
            <w:noWrap w:val="false"/>
          </w:tcPr>
          <w:p>
            <w:pPr>
              <w:pStyle w:val="871"/>
              <w:ind w:firstLine="410"/>
              <w:jc w:val="center"/>
              <w:spacing w:before="122" w:line="288" w:lineRule="auto"/>
              <w:rPr>
                <w:rFonts w:hint="eastAsia" w:ascii="宋体" w:hAnsi="宋体" w:cs="宋体"/>
                <w:b/>
                <w:bCs/>
                <w:color w:val="000000"/>
                <w:spacing w:val="-3"/>
              </w:rPr>
            </w:pPr>
            <w:r>
              <w:rPr>
                <w:rFonts w:hint="eastAsia" w:ascii="宋体" w:hAnsi="宋体" w:cs="宋体"/>
                <w:b/>
                <w:bCs/>
                <w:color w:val="000000"/>
                <w:spacing w:val="-3"/>
              </w:rPr>
              <w:t xml:space="preserve">序号</w:t>
            </w:r>
            <w:r>
              <w:rPr>
                <w:rFonts w:hint="eastAsia" w:ascii="宋体" w:hAnsi="宋体" w:cs="宋体"/>
                <w:b/>
                <w:bCs/>
                <w:color w:val="000000"/>
                <w:spacing w:val="-3"/>
              </w:rPr>
            </w:r>
            <w:r/>
          </w:p>
        </w:tc>
        <w:tc>
          <w:tcPr>
            <w:tcW w:w="992" w:type="dxa"/>
            <w:vAlign w:val="top"/>
            <w:textDirection w:val="lrTb"/>
            <w:noWrap w:val="false"/>
          </w:tcPr>
          <w:p>
            <w:pPr>
              <w:pStyle w:val="871"/>
              <w:ind w:firstLine="0"/>
              <w:jc w:val="both"/>
              <w:spacing w:before="122" w:line="288" w:lineRule="auto"/>
              <w:rPr>
                <w:rFonts w:hint="eastAsia" w:ascii="宋体" w:hAnsi="宋体" w:cs="宋体"/>
                <w:b/>
                <w:bCs/>
                <w:color w:val="000000"/>
                <w:spacing w:val="-3"/>
              </w:rPr>
            </w:pPr>
            <w:r>
              <w:rPr>
                <w:rFonts w:hint="eastAsia" w:ascii="宋体" w:hAnsi="宋体" w:cs="宋体"/>
                <w:b/>
                <w:bCs/>
                <w:color w:val="000000"/>
                <w:spacing w:val="-3"/>
              </w:rPr>
              <w:t xml:space="preserve">评审因素</w:t>
            </w:r>
            <w:r>
              <w:rPr>
                <w:rFonts w:hint="eastAsia" w:ascii="宋体" w:hAnsi="宋体" w:cs="宋体"/>
                <w:b/>
                <w:bCs/>
                <w:color w:val="000000"/>
                <w:spacing w:val="-3"/>
              </w:rPr>
            </w:r>
            <w:r/>
          </w:p>
        </w:tc>
        <w:tc>
          <w:tcPr>
            <w:tcW w:w="6185" w:type="dxa"/>
            <w:vAlign w:val="top"/>
            <w:textDirection w:val="lrTb"/>
            <w:noWrap w:val="false"/>
          </w:tcPr>
          <w:p>
            <w:pPr>
              <w:pStyle w:val="871"/>
              <w:ind w:firstLine="410"/>
              <w:jc w:val="center"/>
              <w:spacing w:before="122" w:line="288" w:lineRule="auto"/>
              <w:rPr>
                <w:rFonts w:hint="eastAsia" w:ascii="宋体" w:hAnsi="宋体" w:cs="宋体"/>
                <w:b/>
                <w:bCs/>
                <w:color w:val="000000"/>
                <w:spacing w:val="-3"/>
              </w:rPr>
            </w:pPr>
            <w:r>
              <w:rPr>
                <w:rFonts w:hint="eastAsia" w:ascii="宋体" w:hAnsi="宋体" w:cs="宋体"/>
                <w:b/>
                <w:bCs/>
                <w:color w:val="000000"/>
                <w:spacing w:val="-3"/>
              </w:rPr>
              <w:t xml:space="preserve">评审细则</w:t>
            </w:r>
            <w:r>
              <w:rPr>
                <w:rFonts w:hint="eastAsia" w:ascii="宋体" w:hAnsi="宋体" w:cs="宋体"/>
                <w:b/>
                <w:bCs/>
                <w:color w:val="000000"/>
                <w:spacing w:val="-3"/>
              </w:rPr>
            </w:r>
            <w:r/>
          </w:p>
        </w:tc>
        <w:tc>
          <w:tcPr>
            <w:tcW w:w="822" w:type="dxa"/>
            <w:vAlign w:val="top"/>
            <w:textDirection w:val="lrTb"/>
            <w:noWrap w:val="false"/>
          </w:tcPr>
          <w:p>
            <w:pPr>
              <w:pStyle w:val="871"/>
              <w:ind w:firstLine="0"/>
              <w:jc w:val="both"/>
              <w:spacing w:before="122" w:line="288" w:lineRule="auto"/>
              <w:rPr>
                <w:rFonts w:hint="eastAsia" w:ascii="宋体" w:hAnsi="宋体" w:cs="宋体"/>
                <w:b/>
                <w:bCs/>
                <w:color w:val="000000"/>
                <w:spacing w:val="-3"/>
              </w:rPr>
            </w:pPr>
            <w:r>
              <w:rPr>
                <w:rFonts w:hint="eastAsia" w:ascii="宋体" w:hAnsi="宋体" w:cs="宋体"/>
                <w:b/>
                <w:bCs/>
                <w:color w:val="000000"/>
                <w:spacing w:val="-3"/>
              </w:rPr>
              <w:t xml:space="preserve">分值</w:t>
            </w:r>
            <w:r>
              <w:rPr>
                <w:rFonts w:hint="eastAsia" w:ascii="宋体" w:hAnsi="宋体" w:cs="宋体"/>
                <w:b/>
                <w:bCs/>
                <w:color w:val="000000"/>
                <w:spacing w:val="-3"/>
              </w:rPr>
            </w:r>
            <w:r/>
          </w:p>
        </w:tc>
        <w:tc>
          <w:tcPr>
            <w:tcW w:w="900" w:type="dxa"/>
            <w:vAlign w:val="top"/>
            <w:textDirection w:val="lrTb"/>
            <w:noWrap w:val="false"/>
          </w:tcPr>
          <w:p>
            <w:pPr>
              <w:pStyle w:val="871"/>
              <w:ind w:firstLine="410"/>
              <w:jc w:val="both"/>
              <w:spacing w:before="122" w:line="288" w:lineRule="auto"/>
              <w:rPr>
                <w:rFonts w:hint="eastAsia" w:ascii="宋体" w:hAnsi="宋体" w:cs="宋体"/>
                <w:b/>
                <w:bCs/>
                <w:color w:val="000000"/>
                <w:spacing w:val="-3"/>
              </w:rPr>
            </w:pPr>
            <w:r>
              <w:rPr>
                <w:rFonts w:hint="eastAsia" w:ascii="宋体" w:hAnsi="宋体" w:cs="宋体"/>
                <w:b/>
                <w:bCs/>
                <w:color w:val="000000"/>
                <w:spacing w:val="-3"/>
              </w:rPr>
              <w:t xml:space="preserve">类型</w:t>
            </w:r>
            <w:r>
              <w:rPr>
                <w:rFonts w:hint="eastAsia" w:ascii="宋体" w:hAnsi="宋体" w:cs="宋体"/>
                <w:b/>
                <w:bCs/>
                <w:color w:val="000000"/>
                <w:spacing w:val="-3"/>
              </w:rPr>
            </w:r>
            <w:r/>
          </w:p>
        </w:tc>
      </w:tr>
      <w:tr>
        <w:trPr>
          <w:trHeight w:val="468"/>
        </w:trPr>
        <w:tc>
          <w:tcPr>
            <w:gridSpan w:val="5"/>
            <w:tcW w:w="9754" w:type="dxa"/>
            <w:vAlign w:val="top"/>
            <w:textDirection w:val="lrTb"/>
            <w:noWrap w:val="false"/>
          </w:tcPr>
          <w:p>
            <w:pPr>
              <w:pStyle w:val="871"/>
              <w:ind w:left="114" w:firstLine="410"/>
              <w:spacing w:before="122" w:line="264" w:lineRule="auto"/>
              <w:rPr>
                <w:rFonts w:hint="eastAsia" w:ascii="宋体" w:hAnsi="宋体" w:cs="宋体"/>
                <w:color w:val="000000"/>
              </w:rPr>
            </w:pPr>
            <w:r>
              <w:rPr>
                <w:rFonts w:hint="eastAsia" w:ascii="宋体" w:hAnsi="宋体" w:cs="宋体"/>
                <w:b/>
                <w:bCs/>
                <w:color w:val="000000"/>
                <w:spacing w:val="-3"/>
              </w:rPr>
              <w:t xml:space="preserve">1.价</w:t>
            </w:r>
            <w:r>
              <w:rPr>
                <w:rFonts w:hint="eastAsia" w:ascii="宋体" w:hAnsi="宋体" w:cs="宋体"/>
                <w:b/>
                <w:bCs/>
                <w:color w:val="000000"/>
                <w:spacing w:val="-2"/>
              </w:rPr>
              <w:t xml:space="preserve">格</w:t>
            </w:r>
            <w:r>
              <w:rPr>
                <w:rFonts w:hint="eastAsia" w:ascii="宋体" w:hAnsi="宋体" w:cs="宋体"/>
                <w:color w:val="000000"/>
              </w:rPr>
            </w:r>
            <w:r/>
          </w:p>
        </w:tc>
      </w:tr>
      <w:tr>
        <w:trPr>
          <w:trHeight w:val="1203"/>
        </w:trPr>
        <w:tc>
          <w:tcPr>
            <w:tcW w:w="855" w:type="dxa"/>
            <w:vAlign w:val="center"/>
            <w:textDirection w:val="lrTb"/>
            <w:noWrap w:val="false"/>
          </w:tcPr>
          <w:p>
            <w:pPr>
              <w:pStyle w:val="871"/>
              <w:ind w:firstLine="396"/>
              <w:jc w:val="center"/>
              <w:spacing w:before="68" w:line="264" w:lineRule="auto"/>
              <w:rPr>
                <w:rFonts w:hint="eastAsia" w:ascii="宋体" w:hAnsi="宋体" w:cs="宋体"/>
                <w:color w:val="000000"/>
              </w:rPr>
            </w:pPr>
            <w:r>
              <w:rPr>
                <w:rFonts w:hint="eastAsia" w:ascii="宋体" w:hAnsi="宋体" w:cs="宋体"/>
                <w:color w:val="000000"/>
                <w:spacing w:val="-6"/>
              </w:rPr>
              <w:t xml:space="preserve">1</w:t>
            </w:r>
            <w:r>
              <w:rPr>
                <w:rFonts w:hint="eastAsia" w:ascii="宋体" w:hAnsi="宋体" w:cs="宋体"/>
                <w:color w:val="000000"/>
                <w:spacing w:val="-5"/>
              </w:rPr>
              <w:t xml:space="preserve">.1</w:t>
            </w:r>
            <w:r>
              <w:rPr>
                <w:rFonts w:hint="eastAsia" w:ascii="宋体" w:hAnsi="宋体" w:cs="宋体"/>
                <w:color w:val="000000"/>
              </w:rPr>
            </w:r>
            <w:r/>
          </w:p>
        </w:tc>
        <w:tc>
          <w:tcPr>
            <w:tcW w:w="992" w:type="dxa"/>
            <w:vAlign w:val="center"/>
            <w:textDirection w:val="lrTb"/>
            <w:noWrap w:val="false"/>
          </w:tcPr>
          <w:p>
            <w:pPr>
              <w:pStyle w:val="871"/>
              <w:ind w:firstLine="0"/>
              <w:jc w:val="left"/>
              <w:spacing w:before="68" w:line="264" w:lineRule="auto"/>
              <w:rPr>
                <w:rFonts w:hint="eastAsia" w:ascii="宋体" w:hAnsi="宋体" w:cs="宋体"/>
                <w:color w:val="000000"/>
              </w:rPr>
            </w:pPr>
            <w:r>
              <w:rPr>
                <w:rFonts w:hint="eastAsia" w:ascii="宋体" w:hAnsi="宋体" w:cs="宋体"/>
                <w:color w:val="000000"/>
                <w:spacing w:val="-2"/>
              </w:rPr>
              <w:t xml:space="preserve">价格分</w:t>
            </w:r>
            <w:r>
              <w:rPr>
                <w:rFonts w:hint="eastAsia" w:ascii="宋体" w:hAnsi="宋体" w:cs="宋体"/>
                <w:color w:val="000000"/>
              </w:rPr>
            </w:r>
            <w:r/>
          </w:p>
        </w:tc>
        <w:tc>
          <w:tcPr>
            <w:tcW w:w="6185" w:type="dxa"/>
            <w:vAlign w:val="center"/>
            <w:textDirection w:val="lrTb"/>
            <w:noWrap w:val="false"/>
          </w:tcPr>
          <w:p>
            <w:pPr>
              <w:pStyle w:val="871"/>
              <w:jc w:val="left"/>
              <w:spacing w:line="264" w:lineRule="auto"/>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cs="宋体"/>
                <w:color w:val="000000"/>
              </w:rPr>
            </w:r>
            <w:r/>
          </w:p>
        </w:tc>
        <w:tc>
          <w:tcPr>
            <w:tcW w:w="822" w:type="dxa"/>
            <w:vAlign w:val="center"/>
            <w:textDirection w:val="lrTb"/>
            <w:noWrap w:val="false"/>
          </w:tcPr>
          <w:p>
            <w:pPr>
              <w:pStyle w:val="871"/>
              <w:ind w:firstLine="210"/>
              <w:spacing w:line="264" w:lineRule="auto"/>
              <w:rPr>
                <w:rFonts w:ascii="宋体" w:hAnsi="宋体" w:cs="宋体"/>
                <w:color w:val="000000"/>
              </w:rPr>
            </w:pPr>
            <w:r>
              <w:rPr>
                <w:rFonts w:hint="eastAsia" w:ascii="宋体" w:hAnsi="宋体" w:cs="宋体"/>
                <w:color w:val="000000"/>
              </w:rPr>
              <w:t xml:space="preserve">40</w:t>
            </w:r>
            <w:r>
              <w:rPr>
                <w:rFonts w:ascii="宋体" w:hAnsi="宋体" w:cs="宋体"/>
                <w:color w:val="000000"/>
              </w:rPr>
            </w:r>
            <w:r/>
          </w:p>
        </w:tc>
        <w:tc>
          <w:tcPr>
            <w:tcW w:w="900" w:type="dxa"/>
            <w:vAlign w:val="center"/>
            <w:textDirection w:val="lrTb"/>
            <w:noWrap w:val="false"/>
          </w:tcPr>
          <w:p>
            <w:pPr>
              <w:pStyle w:val="871"/>
              <w:ind w:firstLine="0"/>
              <w:jc w:val="both"/>
              <w:spacing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8"/>
        </w:trPr>
        <w:tc>
          <w:tcPr>
            <w:gridSpan w:val="5"/>
            <w:tcW w:w="9754" w:type="dxa"/>
            <w:vAlign w:val="top"/>
            <w:textDirection w:val="lrTb"/>
            <w:noWrap w:val="false"/>
          </w:tcPr>
          <w:p>
            <w:pPr>
              <w:pStyle w:val="871"/>
              <w:ind w:left="114" w:firstLine="410"/>
              <w:spacing w:before="123" w:line="264" w:lineRule="auto"/>
              <w:rPr>
                <w:rFonts w:hint="eastAsia" w:ascii="宋体" w:hAnsi="宋体" w:cs="宋体"/>
                <w:color w:val="000000"/>
              </w:rPr>
            </w:pPr>
            <w:r>
              <w:rPr>
                <w:rFonts w:hint="eastAsia" w:ascii="宋体" w:hAnsi="宋体" w:cs="宋体"/>
                <w:b/>
                <w:bCs/>
                <w:color w:val="000000"/>
                <w:spacing w:val="-3"/>
              </w:rPr>
              <w:t xml:space="preserve">2.技术</w:t>
            </w:r>
            <w:r>
              <w:rPr>
                <w:rFonts w:hint="eastAsia" w:ascii="宋体" w:hAnsi="宋体" w:cs="宋体"/>
                <w:color w:val="000000"/>
              </w:rPr>
            </w:r>
            <w:r/>
          </w:p>
        </w:tc>
      </w:tr>
      <w:tr>
        <w:trPr>
          <w:trHeight w:val="0"/>
        </w:trPr>
        <w:tc>
          <w:tcPr>
            <w:tcW w:w="855" w:type="dxa"/>
            <w:vAlign w:val="center"/>
            <w:textDirection w:val="lrTb"/>
            <w:noWrap w:val="false"/>
          </w:tcPr>
          <w:p>
            <w:pPr>
              <w:pStyle w:val="871"/>
              <w:ind w:firstLine="41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2.1</w:t>
            </w:r>
            <w:r>
              <w:rPr>
                <w:rFonts w:hint="eastAsia" w:ascii="宋体" w:hAnsi="宋体" w:cs="宋体"/>
                <w:color w:val="000000"/>
                <w:spacing w:val="-2"/>
              </w:rPr>
            </w:r>
            <w:r/>
          </w:p>
        </w:tc>
        <w:tc>
          <w:tcPr>
            <w:tcW w:w="992" w:type="dxa"/>
            <w:vAlign w:val="center"/>
            <w:textDirection w:val="lrTb"/>
            <w:noWrap w:val="false"/>
          </w:tcPr>
          <w:p>
            <w:pPr>
              <w:pStyle w:val="871"/>
              <w:ind w:firstLine="0"/>
              <w:jc w:val="left"/>
              <w:spacing w:before="68" w:line="264" w:lineRule="auto"/>
              <w:rPr>
                <w:rFonts w:hint="eastAsia" w:ascii="宋体" w:hAnsi="宋体" w:cs="宋体"/>
                <w:color w:val="000000"/>
                <w:spacing w:val="-2"/>
              </w:rPr>
            </w:pPr>
            <w:r>
              <w:rPr>
                <w:rFonts w:hint="eastAsia" w:ascii="宋体" w:hAnsi="宋体" w:cs="宋体"/>
                <w:color w:val="000000"/>
                <w:spacing w:val="-2"/>
              </w:rPr>
              <w:t xml:space="preserve">产品技术参数</w:t>
            </w:r>
            <w:r>
              <w:rPr>
                <w:rFonts w:hint="eastAsia" w:ascii="宋体" w:hAnsi="宋体" w:cs="宋体"/>
                <w:color w:val="000000"/>
                <w:spacing w:val="-2"/>
              </w:rPr>
            </w:r>
            <w:r/>
          </w:p>
        </w:tc>
        <w:tc>
          <w:tcPr>
            <w:tcW w:w="6185" w:type="dxa"/>
            <w:vAlign w:val="center"/>
            <w:textDirection w:val="lrTb"/>
            <w:noWrap w:val="false"/>
          </w:tcPr>
          <w:p>
            <w:pPr>
              <w:pStyle w:val="871"/>
              <w:ind w:firstLine="0"/>
              <w:jc w:val="left"/>
              <w:spacing w:line="264" w:lineRule="auto"/>
              <w:rPr>
                <w:rFonts w:ascii="宋体" w:hAnsi="宋体" w:cs="宋体"/>
                <w:color w:val="000000"/>
              </w:rPr>
            </w:pPr>
            <w:r>
              <w:rPr>
                <w:rFonts w:hint="eastAsia" w:ascii="宋体" w:hAnsi="宋体" w:cs="宋体"/>
                <w:color w:val="000000"/>
              </w:rPr>
              <w:t xml:space="preserve">产品技术参数全部满足招标要求的得满分，打★指标为必须满足项，如有负偏离将作为无效投标，打▲指标为重要指标</w:t>
            </w:r>
            <w:r>
              <w:rPr>
                <w:rFonts w:hint="eastAsia" w:ascii="宋体" w:hAnsi="宋体" w:cs="宋体"/>
                <w:color w:val="000000"/>
                <w:lang w:eastAsia="zh-CN"/>
              </w:rPr>
              <w:t xml:space="preserve">（</w:t>
            </w:r>
            <w:r>
              <w:rPr>
                <w:rFonts w:hint="eastAsia" w:ascii="宋体" w:hAnsi="宋体" w:cs="宋体"/>
                <w:color w:val="000000"/>
                <w:lang w:val="en-US" w:eastAsia="zh-CN"/>
              </w:rPr>
              <w:t xml:space="preserve">共10项</w:t>
            </w:r>
            <w:r>
              <w:rPr>
                <w:rFonts w:hint="eastAsia" w:ascii="宋体" w:hAnsi="宋体" w:cs="宋体"/>
                <w:color w:val="000000"/>
                <w:lang w:eastAsia="zh-CN"/>
              </w:rPr>
              <w:t xml:space="preserve">）</w:t>
            </w:r>
            <w:r>
              <w:rPr>
                <w:rFonts w:hint="eastAsia" w:ascii="宋体" w:hAnsi="宋体" w:cs="宋体"/>
                <w:color w:val="000000"/>
              </w:rPr>
              <w:t xml:space="preserve">，有1项负偏离扣3分，其余指标</w:t>
            </w:r>
            <w:r>
              <w:rPr>
                <w:rFonts w:hint="eastAsia" w:ascii="宋体" w:hAnsi="宋体" w:cs="宋体"/>
                <w:color w:val="000000"/>
                <w:lang w:eastAsia="zh-CN"/>
              </w:rPr>
              <w:t xml:space="preserve">（</w:t>
            </w:r>
            <w:r>
              <w:rPr>
                <w:rFonts w:hint="eastAsia" w:ascii="宋体" w:hAnsi="宋体" w:cs="宋体"/>
                <w:color w:val="000000"/>
                <w:lang w:val="en-US" w:eastAsia="zh-CN"/>
              </w:rPr>
              <w:t xml:space="preserve">共18项</w:t>
            </w:r>
            <w:r>
              <w:rPr>
                <w:rFonts w:hint="eastAsia" w:ascii="宋体" w:hAnsi="宋体" w:cs="宋体"/>
                <w:color w:val="000000"/>
                <w:lang w:eastAsia="zh-CN"/>
              </w:rPr>
              <w:t xml:space="preserve">）</w:t>
            </w:r>
            <w:r>
              <w:rPr>
                <w:rFonts w:hint="eastAsia" w:ascii="宋体" w:hAnsi="宋体" w:cs="宋体"/>
                <w:color w:val="000000"/>
              </w:rPr>
              <w:t xml:space="preserve">有1项负偏离扣</w:t>
            </w:r>
            <w:r>
              <w:rPr>
                <w:rFonts w:hint="eastAsia" w:ascii="宋体" w:hAnsi="宋体" w:cs="宋体"/>
                <w:color w:val="000000"/>
                <w:lang w:val="en-US" w:eastAsia="zh-CN"/>
              </w:rPr>
              <w:t xml:space="preserve">0.8</w:t>
            </w:r>
            <w:r>
              <w:rPr>
                <w:rFonts w:hint="eastAsia" w:ascii="宋体" w:hAnsi="宋体" w:cs="宋体"/>
                <w:color w:val="000000"/>
              </w:rPr>
              <w:t xml:space="preserve">分。</w:t>
            </w:r>
            <w:r>
              <w:rPr>
                <w:rFonts w:ascii="宋体" w:hAnsi="宋体" w:cs="宋体"/>
                <w:color w:val="000000"/>
              </w:rPr>
            </w:r>
            <w:r/>
          </w:p>
        </w:tc>
        <w:tc>
          <w:tcPr>
            <w:tcW w:w="822" w:type="dxa"/>
            <w:vAlign w:val="center"/>
            <w:textDirection w:val="lrTb"/>
            <w:noWrap w:val="false"/>
          </w:tcPr>
          <w:p>
            <w:pPr>
              <w:pStyle w:val="871"/>
              <w:ind w:firstLine="210"/>
              <w:jc w:val="both"/>
              <w:spacing w:before="68" w:line="264" w:lineRule="auto"/>
              <w:rPr>
                <w:rFonts w:ascii="宋体" w:hAnsi="宋体" w:cs="宋体"/>
                <w:color w:val="000000"/>
              </w:rPr>
            </w:pPr>
            <w:r>
              <w:rPr>
                <w:rFonts w:hint="eastAsia" w:ascii="宋体" w:hAnsi="宋体" w:cs="宋体"/>
                <w:color w:val="000000"/>
              </w:rPr>
              <w:t xml:space="preserve">45</w:t>
            </w:r>
            <w:r>
              <w:rPr>
                <w:rFonts w:ascii="宋体" w:hAnsi="宋体" w:cs="宋体"/>
                <w:color w:val="000000"/>
              </w:rPr>
            </w:r>
            <w:r/>
          </w:p>
        </w:tc>
        <w:tc>
          <w:tcPr>
            <w:tcW w:w="900" w:type="dxa"/>
            <w:vAlign w:val="center"/>
            <w:textDirection w:val="lrTb"/>
            <w:noWrap w:val="false"/>
          </w:tcPr>
          <w:p>
            <w:pPr>
              <w:pStyle w:val="871"/>
              <w:ind w:firstLine="0"/>
              <w:jc w:val="both"/>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hint="eastAsia" w:ascii="宋体" w:hAnsi="宋体" w:cs="宋体"/>
                <w:color w:val="000000"/>
              </w:rPr>
            </w:r>
            <w:r/>
          </w:p>
        </w:tc>
      </w:tr>
      <w:tr>
        <w:trPr>
          <w:trHeight w:val="480"/>
        </w:trPr>
        <w:tc>
          <w:tcPr>
            <w:gridSpan w:val="5"/>
            <w:tcW w:w="9754" w:type="dxa"/>
            <w:vAlign w:val="center"/>
            <w:textDirection w:val="lrTb"/>
            <w:noWrap w:val="false"/>
          </w:tcPr>
          <w:p>
            <w:pPr>
              <w:pStyle w:val="871"/>
              <w:ind w:firstLine="410"/>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904"/>
        </w:trPr>
        <w:tc>
          <w:tcPr>
            <w:tcW w:w="855" w:type="dxa"/>
            <w:vAlign w:val="center"/>
            <w:textDirection w:val="lrTb"/>
            <w:noWrap w:val="false"/>
          </w:tcPr>
          <w:p>
            <w:pPr>
              <w:pStyle w:val="871"/>
              <w:ind w:firstLine="41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3.1</w:t>
            </w:r>
            <w:r>
              <w:rPr>
                <w:rFonts w:hint="eastAsia" w:ascii="宋体" w:hAnsi="宋体" w:cs="宋体"/>
                <w:color w:val="000000"/>
                <w:spacing w:val="-2"/>
              </w:rPr>
            </w:r>
            <w:r/>
          </w:p>
        </w:tc>
        <w:tc>
          <w:tcPr>
            <w:tcW w:w="992" w:type="dxa"/>
            <w:vAlign w:val="center"/>
            <w:textDirection w:val="lrTb"/>
            <w:noWrap w:val="false"/>
          </w:tcPr>
          <w:p>
            <w:pPr>
              <w:pStyle w:val="871"/>
              <w:jc w:val="left"/>
              <w:spacing w:before="68" w:line="264" w:lineRule="auto"/>
              <w:rPr>
                <w:rFonts w:hint="eastAsia" w:ascii="宋体" w:hAnsi="宋体" w:cs="宋体"/>
                <w:color w:val="000000"/>
              </w:rPr>
            </w:pPr>
            <w:r>
              <w:rPr>
                <w:rFonts w:hint="eastAsia" w:ascii="宋体" w:hAnsi="宋体" w:cs="宋体"/>
                <w:color w:val="000000"/>
              </w:rPr>
              <w:t xml:space="preserve">培训方案</w:t>
            </w:r>
            <w:r>
              <w:rPr>
                <w:rFonts w:hint="eastAsia" w:ascii="宋体" w:hAnsi="宋体" w:cs="宋体"/>
                <w:color w:val="000000"/>
              </w:rPr>
            </w:r>
            <w:r/>
          </w:p>
        </w:tc>
        <w:tc>
          <w:tcPr>
            <w:tcW w:w="6185" w:type="dxa"/>
            <w:vAlign w:val="center"/>
            <w:textDirection w:val="lrTb"/>
            <w:noWrap w:val="false"/>
          </w:tcPr>
          <w:p>
            <w:pPr>
              <w:pStyle w:val="1001"/>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color w:val="000000"/>
                <w:szCs w:val="21"/>
              </w:rPr>
              <w:t xml:space="preserve">1.</w:t>
            </w:r>
            <w:r>
              <w:rPr>
                <w:color w:val="000000"/>
                <w:szCs w:val="21"/>
              </w:rPr>
              <w:t xml:space="preserve">培训计划</w:t>
            </w:r>
            <w:r>
              <w:rPr>
                <w:rFonts w:hint="eastAsia"/>
                <w:color w:val="000000"/>
                <w:szCs w:val="21"/>
              </w:rPr>
              <w:t xml:space="preserve">；2.</w:t>
            </w:r>
            <w:r>
              <w:rPr>
                <w:color w:val="000000"/>
                <w:szCs w:val="21"/>
              </w:rPr>
              <w:t xml:space="preserve">培训内容</w:t>
            </w:r>
            <w:r>
              <w:rPr>
                <w:rFonts w:hint="eastAsia"/>
                <w:color w:val="000000"/>
                <w:szCs w:val="21"/>
              </w:rPr>
              <w:t xml:space="preserve">；3.培训方式；4</w:t>
            </w:r>
            <w:r>
              <w:rPr>
                <w:color w:val="000000"/>
                <w:szCs w:val="21"/>
              </w:rPr>
              <w:t xml:space="preserve">.</w:t>
            </w:r>
            <w:r>
              <w:rPr>
                <w:rFonts w:hint="eastAsia"/>
                <w:color w:val="000000"/>
                <w:szCs w:val="21"/>
              </w:rPr>
              <w:t xml:space="preserve">培训效果</w:t>
            </w:r>
            <w:r>
              <w:rPr>
                <w:rFonts w:hint="eastAsia"/>
                <w:color w:val="000000"/>
                <w:sz w:val="21"/>
                <w:szCs w:val="21"/>
                <w:lang w:val="en-US" w:bidi="ar-SA"/>
              </w:rPr>
              <w:t xml:space="preserve">；5.</w:t>
            </w:r>
            <w:r>
              <w:rPr>
                <w:rFonts w:hint="eastAsia"/>
                <w:color w:val="000000"/>
                <w:sz w:val="21"/>
                <w:szCs w:val="21"/>
                <w:lang w:val="en-US"/>
              </w:rPr>
              <w:t xml:space="preserve">人员资质</w:t>
            </w:r>
            <w:r>
              <w:rPr>
                <w:rFonts w:hint="eastAsia"/>
                <w:color w:val="000000"/>
                <w:sz w:val="21"/>
                <w:szCs w:val="21"/>
                <w:lang w:val="en-US" w:bidi="ar-SA"/>
              </w:rPr>
              <w:t xml:space="preserve">。以上每项内容逐项评分：</w:t>
            </w:r>
            <w:r>
              <w:rPr>
                <w:color w:val="000000"/>
                <w:sz w:val="21"/>
                <w:szCs w:val="21"/>
                <w:lang w:val="en-US" w:bidi="ar-SA"/>
              </w:rPr>
            </w:r>
            <w:r/>
          </w:p>
          <w:p>
            <w:pPr>
              <w:pStyle w:val="1001"/>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w:t>
            </w:r>
            <w:r>
              <w:rPr>
                <w:rFonts w:hint="eastAsia"/>
                <w:color w:val="000000"/>
                <w:lang w:val="en-US"/>
              </w:rPr>
              <w:t xml:space="preserve">完全套用</w:t>
            </w:r>
            <w:r>
              <w:rPr>
                <w:color w:val="000000"/>
                <w:lang w:val="en-US"/>
              </w:rPr>
              <w:t xml:space="preserve">采购需求，非专门针对本项目，不符合实际情况或未提供视为不符合。</w:t>
            </w:r>
            <w:r>
              <w:rPr>
                <w:color w:val="000000"/>
                <w:lang w:val="en-US"/>
              </w:rPr>
            </w:r>
            <w:r/>
          </w:p>
          <w:p>
            <w:pPr>
              <w:pStyle w:val="871"/>
              <w:jc w:val="left"/>
              <w:spacing w:line="264" w:lineRule="auto"/>
              <w:rPr>
                <w:rFonts w:hint="eastAsia" w:ascii="宋体" w:hAnsi="宋体" w:cs="宋体"/>
                <w:color w:val="000000"/>
              </w:rPr>
            </w:pPr>
            <w:r>
              <w:rPr>
                <w:rFonts w:hint="eastAsia"/>
                <w:color w:val="000000"/>
              </w:rPr>
              <w:t xml:space="preserve">上述每项内容</w:t>
            </w:r>
            <w:r>
              <w:rPr>
                <w:color w:val="000000"/>
              </w:rPr>
              <w:t xml:space="preserve">符合得</w:t>
            </w:r>
            <w:r>
              <w:rPr>
                <w:rFonts w:hint="eastAsia"/>
                <w:color w:val="000000"/>
              </w:rPr>
              <w:t xml:space="preserve">1</w:t>
            </w:r>
            <w:r>
              <w:rPr>
                <w:color w:val="000000"/>
              </w:rPr>
              <w:t xml:space="preserve">分；部分符合得</w:t>
            </w:r>
            <w:r>
              <w:rPr>
                <w:rFonts w:hint="eastAsia"/>
                <w:color w:val="000000"/>
              </w:rPr>
              <w:t xml:space="preserve">0.5</w:t>
            </w:r>
            <w:r>
              <w:rPr>
                <w:color w:val="000000"/>
              </w:rPr>
              <w:t xml:space="preserve">分；不符合或不提供不得分。</w:t>
            </w:r>
            <w:r>
              <w:rPr>
                <w:rFonts w:hint="eastAsia" w:ascii="宋体" w:hAnsi="宋体" w:cs="宋体"/>
                <w:color w:val="000000"/>
              </w:rPr>
            </w:r>
            <w:r/>
          </w:p>
        </w:tc>
        <w:tc>
          <w:tcPr>
            <w:tcW w:w="822" w:type="dxa"/>
            <w:vAlign w:val="center"/>
            <w:textDirection w:val="lrTb"/>
            <w:noWrap w:val="false"/>
          </w:tcPr>
          <w:p>
            <w:pPr>
              <w:pStyle w:val="871"/>
              <w:ind w:firstLine="420"/>
              <w:jc w:val="both"/>
              <w:spacing w:before="68" w:line="264" w:lineRule="auto"/>
              <w:rPr>
                <w:rFonts w:hint="eastAsia" w:ascii="宋体" w:hAnsi="宋体" w:cs="宋体"/>
                <w:color w:val="000000"/>
              </w:rPr>
            </w:pPr>
            <w:r>
              <w:rPr>
                <w:rFonts w:ascii="宋体" w:hAnsi="宋体" w:cs="宋体"/>
                <w:color w:val="000000"/>
              </w:rPr>
              <w:t xml:space="preserve">5</w:t>
            </w:r>
            <w:r>
              <w:rPr>
                <w:rFonts w:hint="eastAsia" w:ascii="宋体" w:hAnsi="宋体" w:cs="宋体"/>
                <w:color w:val="000000"/>
              </w:rPr>
            </w:r>
            <w:r/>
          </w:p>
        </w:tc>
        <w:tc>
          <w:tcPr>
            <w:tcW w:w="900" w:type="dxa"/>
            <w:vAlign w:val="center"/>
            <w:textDirection w:val="lrTb"/>
            <w:noWrap w:val="false"/>
          </w:tcPr>
          <w:p>
            <w:pPr>
              <w:pStyle w:val="871"/>
              <w:ind w:firstLine="0"/>
              <w:jc w:val="both"/>
              <w:spacing w:before="68" w:line="264" w:lineRule="auto"/>
              <w:rPr>
                <w:rFonts w:hint="eastAsia" w:ascii="宋体" w:hAnsi="宋体" w:cs="宋体"/>
                <w:color w:val="000000"/>
              </w:rPr>
            </w:pPr>
            <w:r>
              <w:rPr>
                <w:rFonts w:hint="eastAsia" w:ascii="宋体" w:hAnsi="宋体" w:cs="宋体"/>
                <w:color w:val="000000"/>
              </w:rPr>
              <w:t xml:space="preserve">主观分</w:t>
            </w:r>
            <w:r>
              <w:rPr>
                <w:rFonts w:hint="eastAsia" w:ascii="宋体" w:hAnsi="宋体" w:cs="宋体"/>
                <w:color w:val="000000"/>
              </w:rPr>
            </w:r>
            <w:r/>
          </w:p>
        </w:tc>
      </w:tr>
      <w:tr>
        <w:trPr>
          <w:trHeight w:val="904"/>
        </w:trPr>
        <w:tc>
          <w:tcPr>
            <w:tcW w:w="855" w:type="dxa"/>
            <w:vAlign w:val="center"/>
            <w:textDirection w:val="lrTb"/>
            <w:noWrap w:val="false"/>
          </w:tcPr>
          <w:p>
            <w:pPr>
              <w:pStyle w:val="871"/>
              <w:ind w:firstLine="41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3.2</w:t>
            </w:r>
            <w:r>
              <w:rPr>
                <w:rFonts w:hint="eastAsia" w:ascii="宋体" w:hAnsi="宋体" w:cs="宋体"/>
                <w:color w:val="000000"/>
                <w:spacing w:val="-2"/>
              </w:rPr>
            </w:r>
            <w:r/>
          </w:p>
        </w:tc>
        <w:tc>
          <w:tcPr>
            <w:tcW w:w="992" w:type="dxa"/>
            <w:vAlign w:val="center"/>
            <w:textDirection w:val="lrTb"/>
            <w:noWrap w:val="false"/>
          </w:tcPr>
          <w:p>
            <w:pPr>
              <w:pStyle w:val="871"/>
              <w:jc w:val="left"/>
              <w:spacing w:before="68" w:line="264" w:lineRule="auto"/>
              <w:rPr>
                <w:rFonts w:hint="eastAsia" w:ascii="宋体" w:hAnsi="宋体" w:cs="宋体"/>
                <w:color w:val="000000"/>
              </w:rPr>
            </w:pPr>
            <w:r>
              <w:rPr>
                <w:rFonts w:hint="eastAsia" w:ascii="宋体" w:hAnsi="宋体" w:cs="宋体"/>
                <w:color w:val="000000"/>
              </w:rPr>
              <w:t xml:space="preserve">售后服务方案</w:t>
            </w:r>
            <w:r>
              <w:rPr>
                <w:rFonts w:hint="eastAsia" w:ascii="宋体" w:hAnsi="宋体" w:cs="宋体"/>
                <w:color w:val="000000"/>
              </w:rPr>
            </w:r>
            <w:r/>
          </w:p>
        </w:tc>
        <w:tc>
          <w:tcPr>
            <w:tcW w:w="6185" w:type="dxa"/>
            <w:vAlign w:val="center"/>
            <w:textDirection w:val="lrTb"/>
            <w:noWrap w:val="false"/>
          </w:tcPr>
          <w:p>
            <w:pPr>
              <w:pStyle w:val="1001"/>
              <w:rPr>
                <w:color w:val="000000"/>
                <w:sz w:val="21"/>
                <w:szCs w:val="21"/>
                <w:lang w:val="en-US" w:bidi="ar-SA"/>
              </w:rPr>
            </w:pPr>
            <w:r>
              <w:rPr>
                <w:rFonts w:hint="eastAsia"/>
                <w:color w:val="000000"/>
                <w:sz w:val="21"/>
                <w:szCs w:val="21"/>
                <w:lang w:val="en-US" w:bidi="ar-SA"/>
              </w:rPr>
              <w:t xml:space="preserve">根据</w:t>
            </w:r>
            <w:r>
              <w:rPr>
                <w:rFonts w:hint="eastAsia" w:ascii="宋体" w:hAnsi="宋体" w:eastAsia="宋体" w:cs="宋体"/>
                <w:color w:val="000000"/>
                <w:sz w:val="21"/>
                <w:szCs w:val="21"/>
                <w:lang w:val="en-US" w:bidi="ar-SA"/>
              </w:rPr>
              <w:t xml:space="preserve">本项目采购需求编制方案，内容包含：1.售后服务内容；2.售后服务计划及保障体系；3.售后服务</w:t>
            </w:r>
            <w:r>
              <w:rPr>
                <w:rFonts w:hint="eastAsia" w:ascii="宋体" w:hAnsi="宋体" w:eastAsia="宋体" w:cs="宋体"/>
                <w:color w:val="000000"/>
                <w:sz w:val="21"/>
                <w:szCs w:val="21"/>
                <w:lang w:val="en-US" w:eastAsia="zh-CN" w:bidi="ar-SA"/>
              </w:rPr>
              <w:t xml:space="preserve">响应</w:t>
            </w:r>
            <w:r>
              <w:rPr>
                <w:rFonts w:hint="eastAsia" w:ascii="宋体" w:hAnsi="宋体" w:eastAsia="宋体" w:cs="宋体"/>
                <w:color w:val="000000"/>
                <w:sz w:val="21"/>
                <w:szCs w:val="21"/>
                <w:lang w:val="en-US" w:bidi="ar-SA"/>
              </w:rPr>
              <w:t xml:space="preserve">时间；4.售后问题解决能力；5.售后处理进度管控。以上每项内容逐项评分</w:t>
            </w:r>
            <w:r>
              <w:rPr>
                <w:rFonts w:hint="eastAsia"/>
                <w:color w:val="000000"/>
                <w:sz w:val="21"/>
                <w:szCs w:val="21"/>
                <w:lang w:val="en-US" w:bidi="ar-SA"/>
              </w:rPr>
              <w:t xml:space="preserve">：</w:t>
            </w:r>
            <w:r>
              <w:rPr>
                <w:color w:val="000000"/>
                <w:sz w:val="21"/>
                <w:szCs w:val="21"/>
                <w:lang w:val="en-US" w:bidi="ar-SA"/>
              </w:rPr>
            </w:r>
            <w:r/>
          </w:p>
          <w:p>
            <w:pPr>
              <w:pStyle w:val="1001"/>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w:t>
            </w:r>
            <w:r>
              <w:rPr>
                <w:rFonts w:hint="eastAsia"/>
                <w:color w:val="000000"/>
                <w:lang w:val="en-US"/>
              </w:rPr>
              <w:t xml:space="preserve">完全套用</w:t>
            </w:r>
            <w:r>
              <w:rPr>
                <w:color w:val="000000"/>
                <w:lang w:val="en-US"/>
              </w:rPr>
              <w:t xml:space="preserve">采购需求，非专门针对本项目，不符合实际情况或未提供视为不符合。</w:t>
            </w:r>
            <w:r>
              <w:rPr>
                <w:color w:val="000000"/>
                <w:lang w:val="en-US"/>
              </w:rPr>
            </w:r>
            <w:r/>
          </w:p>
          <w:p>
            <w:pPr>
              <w:pStyle w:val="1001"/>
              <w:spacing w:line="264" w:lineRule="auto"/>
              <w:rPr>
                <w:rFonts w:hint="eastAsia"/>
                <w:color w:val="000000"/>
                <w:sz w:val="21"/>
                <w:szCs w:val="21"/>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1</w:t>
            </w:r>
            <w:r>
              <w:rPr>
                <w:color w:val="000000"/>
                <w:lang w:val="en-US"/>
              </w:rPr>
              <w:t xml:space="preserve">分；部分符合得</w:t>
            </w:r>
            <w:r>
              <w:rPr>
                <w:rFonts w:hint="eastAsia"/>
                <w:color w:val="000000"/>
                <w:lang w:val="en-US"/>
              </w:rPr>
              <w:t xml:space="preserve">0.5</w:t>
            </w:r>
            <w:r>
              <w:rPr>
                <w:color w:val="000000"/>
                <w:lang w:val="en-US"/>
              </w:rPr>
              <w:t xml:space="preserve">分；不符合或不提供不得分。</w:t>
            </w:r>
            <w:r>
              <w:rPr>
                <w:rFonts w:hint="eastAsia"/>
                <w:color w:val="000000"/>
                <w:sz w:val="21"/>
                <w:szCs w:val="21"/>
                <w:lang w:val="en-US"/>
              </w:rPr>
            </w:r>
            <w:r/>
          </w:p>
        </w:tc>
        <w:tc>
          <w:tcPr>
            <w:tcW w:w="822" w:type="dxa"/>
            <w:vAlign w:val="center"/>
            <w:textDirection w:val="lrTb"/>
            <w:noWrap w:val="false"/>
          </w:tcPr>
          <w:p>
            <w:pPr>
              <w:pStyle w:val="871"/>
              <w:ind w:firstLine="420"/>
              <w:jc w:val="both"/>
              <w:spacing w:before="68" w:line="264" w:lineRule="auto"/>
              <w:rPr>
                <w:rFonts w:ascii="宋体" w:hAnsi="宋体" w:cs="宋体"/>
                <w:color w:val="000000"/>
              </w:rPr>
            </w:pPr>
            <w:r>
              <w:rPr>
                <w:rFonts w:ascii="宋体" w:hAnsi="宋体" w:cs="宋体"/>
                <w:color w:val="000000"/>
              </w:rPr>
              <w:t xml:space="preserve">5</w:t>
            </w:r>
            <w:r>
              <w:rPr>
                <w:rFonts w:ascii="宋体" w:hAnsi="宋体" w:cs="宋体"/>
                <w:color w:val="000000"/>
              </w:rPr>
            </w:r>
            <w:r/>
          </w:p>
        </w:tc>
        <w:tc>
          <w:tcPr>
            <w:tcW w:w="900" w:type="dxa"/>
            <w:vAlign w:val="center"/>
            <w:textDirection w:val="lrTb"/>
            <w:noWrap w:val="false"/>
          </w:tcPr>
          <w:p>
            <w:pPr>
              <w:pStyle w:val="871"/>
              <w:ind w:firstLine="0"/>
              <w:jc w:val="both"/>
              <w:spacing w:before="68" w:line="264" w:lineRule="auto"/>
              <w:rPr>
                <w:rFonts w:hint="eastAsia" w:ascii="宋体" w:hAnsi="宋体" w:cs="宋体"/>
                <w:color w:val="000000"/>
              </w:rPr>
            </w:pPr>
            <w:r>
              <w:rPr>
                <w:rFonts w:hint="eastAsia" w:ascii="宋体" w:hAnsi="宋体" w:cs="宋体"/>
                <w:color w:val="000000"/>
              </w:rPr>
              <w:t xml:space="preserve">主观分</w:t>
            </w:r>
            <w:r>
              <w:rPr>
                <w:rFonts w:hint="eastAsia" w:ascii="宋体" w:hAnsi="宋体" w:cs="宋体"/>
                <w:color w:val="000000"/>
              </w:rPr>
            </w:r>
            <w:r/>
          </w:p>
        </w:tc>
      </w:tr>
      <w:tr>
        <w:trPr>
          <w:trHeight w:val="463"/>
        </w:trPr>
        <w:tc>
          <w:tcPr>
            <w:gridSpan w:val="5"/>
            <w:tcW w:w="9754" w:type="dxa"/>
            <w:vAlign w:val="center"/>
            <w:textDirection w:val="lrTb"/>
            <w:noWrap w:val="false"/>
          </w:tcPr>
          <w:p>
            <w:pPr>
              <w:pStyle w:val="871"/>
              <w:ind w:firstLine="410"/>
              <w:spacing w:line="264" w:lineRule="auto"/>
              <w:rPr>
                <w:rFonts w:hint="eastAsia" w:ascii="宋体" w:hAnsi="宋体" w:cs="宋体"/>
                <w:color w:val="000000"/>
              </w:rPr>
            </w:pPr>
            <w:r>
              <w:rPr>
                <w:rFonts w:hint="eastAsia" w:ascii="宋体" w:hAnsi="宋体" w:cs="宋体"/>
                <w:b/>
                <w:bCs/>
                <w:color w:val="000000"/>
                <w:spacing w:val="-3"/>
              </w:rPr>
              <w:t xml:space="preserve">4.业绩</w:t>
            </w:r>
            <w:r>
              <w:rPr>
                <w:rFonts w:hint="eastAsia" w:ascii="宋体" w:hAnsi="宋体" w:cs="宋体"/>
                <w:color w:val="000000"/>
              </w:rPr>
            </w:r>
            <w:r/>
          </w:p>
        </w:tc>
      </w:tr>
      <w:tr>
        <w:trPr>
          <w:trHeight w:val="1499"/>
        </w:trPr>
        <w:tc>
          <w:tcPr>
            <w:tcW w:w="855" w:type="dxa"/>
            <w:vAlign w:val="center"/>
            <w:textDirection w:val="lrTb"/>
            <w:noWrap w:val="false"/>
          </w:tcPr>
          <w:p>
            <w:pPr>
              <w:pStyle w:val="871"/>
              <w:ind w:firstLine="41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4.1</w:t>
            </w:r>
            <w:r>
              <w:rPr>
                <w:rFonts w:hint="eastAsia" w:ascii="宋体" w:hAnsi="宋体" w:cs="宋体"/>
                <w:color w:val="000000"/>
                <w:spacing w:val="-2"/>
              </w:rPr>
            </w:r>
            <w:r/>
          </w:p>
        </w:tc>
        <w:tc>
          <w:tcPr>
            <w:tcW w:w="992" w:type="dxa"/>
            <w:vAlign w:val="center"/>
            <w:textDirection w:val="lrTb"/>
            <w:noWrap w:val="false"/>
          </w:tcPr>
          <w:p>
            <w:pPr>
              <w:pStyle w:val="871"/>
              <w:spacing w:before="69" w:line="264" w:lineRule="auto"/>
              <w:rPr>
                <w:rFonts w:hint="eastAsia" w:ascii="宋体" w:hAnsi="宋体" w:cs="宋体"/>
                <w:color w:val="000000"/>
                <w:spacing w:val="-2"/>
              </w:rPr>
            </w:pPr>
            <w:r>
              <w:rPr>
                <w:rFonts w:hint="eastAsia" w:ascii="宋体" w:hAnsi="宋体"/>
                <w:color w:val="000000"/>
              </w:rPr>
              <w:t xml:space="preserve"> 业绩</w:t>
            </w:r>
            <w:r>
              <w:rPr>
                <w:rFonts w:hint="eastAsia" w:ascii="宋体" w:hAnsi="宋体" w:cs="宋体"/>
                <w:color w:val="000000"/>
                <w:spacing w:val="-2"/>
              </w:rPr>
            </w:r>
            <w:r/>
          </w:p>
        </w:tc>
        <w:tc>
          <w:tcPr>
            <w:tcW w:w="6185" w:type="dxa"/>
            <w:vAlign w:val="center"/>
            <w:textDirection w:val="lrTb"/>
            <w:noWrap w:val="false"/>
          </w:tcPr>
          <w:p>
            <w:pPr>
              <w:pStyle w:val="871"/>
              <w:spacing w:line="264" w:lineRule="auto"/>
              <w:rPr>
                <w:rFonts w:hint="eastAsia" w:ascii="宋体" w:hAnsi="宋体" w:cs="宋体"/>
                <w:color w:val="000000"/>
              </w:rPr>
            </w:pPr>
            <w:r>
              <w:rPr>
                <w:rFonts w:hint="eastAsia" w:ascii="宋体" w:hAnsi="宋体" w:cs="宋体"/>
                <w:color w:val="000000"/>
              </w:rPr>
              <w:t xml:space="preserve">投标人提供</w:t>
            </w:r>
            <w:r>
              <w:rPr>
                <w:rFonts w:hint="eastAsia" w:ascii="宋体" w:hAnsi="宋体" w:cs="宋体"/>
                <w:color w:val="000000"/>
                <w:lang w:val="en-US" w:eastAsia="zh-CN"/>
              </w:rPr>
              <w:t xml:space="preserve">自</w:t>
            </w:r>
            <w:r>
              <w:rPr>
                <w:rFonts w:hint="eastAsia" w:ascii="宋体" w:hAnsi="宋体" w:cs="宋体"/>
                <w:color w:val="000000"/>
              </w:rPr>
              <w:t xml:space="preserve">2023年1月1日（含）以来类似项目业绩</w:t>
            </w:r>
            <w:r>
              <w:rPr>
                <w:rFonts w:hint="eastAsia" w:ascii="宋体" w:hAnsi="宋体" w:cs="宋体"/>
                <w:color w:val="000000"/>
              </w:rPr>
              <w:t xml:space="preserve">，每提供1个得1分，最多得3分。</w:t>
            </w:r>
            <w:r>
              <w:rPr>
                <w:rFonts w:hint="eastAsia" w:ascii="宋体" w:hAnsi="宋体" w:cs="宋体"/>
                <w:color w:val="000000"/>
              </w:rPr>
            </w:r>
            <w:r/>
          </w:p>
          <w:p>
            <w:pPr>
              <w:spacing w:line="264" w:lineRule="auto"/>
              <w:rPr>
                <w:rFonts w:hint="eastAsia" w:ascii="宋体" w:hAnsi="宋体" w:cs="宋体"/>
                <w:color w:val="000000"/>
              </w:rPr>
            </w:pPr>
            <w:r>
              <w:rPr>
                <w:rFonts w:hint="eastAsia" w:ascii="宋体" w:hAnsi="宋体" w:cs="宋体"/>
                <w:color w:val="000000"/>
              </w:rPr>
              <w:t xml:space="preserve">（时间以合同签订时间为准，提供有效合同，合同页须清晰可见相应内容，未提供或模糊不清无法辨认均不</w:t>
            </w:r>
            <w:r>
              <w:rPr>
                <w:rFonts w:hAnsi="宋体" w:cs="宋体"/>
                <w:color w:val="000000"/>
              </w:rPr>
              <w:t xml:space="preserve">得</w:t>
            </w:r>
            <w:r>
              <w:rPr>
                <w:rFonts w:hint="eastAsia" w:ascii="宋体" w:hAnsi="宋体" w:cs="宋体"/>
                <w:color w:val="000000"/>
              </w:rPr>
              <w:t xml:space="preserve">分</w:t>
            </w:r>
            <w:r>
              <w:rPr>
                <w:rFonts w:hint="eastAsia" w:ascii="宋体" w:hAnsi="宋体" w:cs="宋体"/>
                <w:color w:val="000000"/>
                <w:lang w:eastAsia="zh-CN"/>
              </w:rPr>
              <w:t xml:space="preserve">。</w:t>
            </w:r>
            <w:r>
              <w:rPr>
                <w:rFonts w:hint="eastAsia" w:ascii="宋体" w:hAnsi="宋体" w:cs="宋体"/>
                <w:color w:val="000000"/>
              </w:rPr>
              <w:t xml:space="preserve">）</w:t>
            </w:r>
            <w:r/>
          </w:p>
        </w:tc>
        <w:tc>
          <w:tcPr>
            <w:tcW w:w="822" w:type="dxa"/>
            <w:vAlign w:val="center"/>
            <w:textDirection w:val="lrTb"/>
            <w:noWrap w:val="false"/>
          </w:tcPr>
          <w:p>
            <w:pPr>
              <w:pStyle w:val="871"/>
              <w:ind w:firstLine="420"/>
              <w:jc w:val="both"/>
              <w:spacing w:line="264"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900" w:type="dxa"/>
            <w:vAlign w:val="center"/>
            <w:textDirection w:val="lrTb"/>
            <w:noWrap w:val="false"/>
          </w:tcPr>
          <w:p>
            <w:pPr>
              <w:pStyle w:val="871"/>
              <w:ind w:firstLine="0"/>
              <w:jc w:val="both"/>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hint="eastAsia" w:ascii="宋体" w:hAnsi="宋体" w:cs="宋体"/>
                <w:color w:val="000000"/>
              </w:rPr>
            </w:r>
            <w:r/>
          </w:p>
        </w:tc>
      </w:tr>
      <w:tr>
        <w:trPr>
          <w:trHeight w:val="439"/>
        </w:trPr>
        <w:tc>
          <w:tcPr>
            <w:gridSpan w:val="5"/>
            <w:tcW w:w="9754" w:type="dxa"/>
            <w:vAlign w:val="center"/>
            <w:textDirection w:val="lrTb"/>
            <w:noWrap w:val="false"/>
          </w:tcPr>
          <w:p>
            <w:pPr>
              <w:pStyle w:val="871"/>
              <w:ind w:firstLine="410"/>
              <w:spacing w:before="68" w:line="264" w:lineRule="auto"/>
              <w:rPr>
                <w:rFonts w:ascii="宋体" w:hAnsi="宋体" w:cs="宋体"/>
                <w:color w:val="000000"/>
                <w:spacing w:val="-6"/>
              </w:rPr>
            </w:pPr>
            <w:r>
              <w:rPr>
                <w:rFonts w:hint="eastAsia" w:ascii="宋体" w:hAnsi="宋体" w:cs="宋体"/>
                <w:b/>
                <w:bCs/>
                <w:color w:val="000000"/>
                <w:spacing w:val="-3"/>
              </w:rPr>
              <w:t xml:space="preserve">5.履约能力</w:t>
            </w:r>
            <w:r>
              <w:rPr>
                <w:rFonts w:ascii="宋体" w:hAnsi="宋体" w:cs="宋体"/>
                <w:color w:val="000000"/>
                <w:spacing w:val="-6"/>
              </w:rPr>
            </w:r>
            <w:r/>
          </w:p>
        </w:tc>
      </w:tr>
      <w:tr>
        <w:trPr>
          <w:trHeight w:val="1240"/>
        </w:trPr>
        <w:tc>
          <w:tcPr>
            <w:tcW w:w="855" w:type="dxa"/>
            <w:vAlign w:val="center"/>
            <w:textDirection w:val="lrTb"/>
            <w:noWrap w:val="false"/>
          </w:tcPr>
          <w:p>
            <w:pPr>
              <w:pStyle w:val="871"/>
              <w:ind w:firstLine="41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5.1</w:t>
            </w:r>
            <w:r>
              <w:rPr>
                <w:rFonts w:hint="eastAsia" w:ascii="宋体" w:hAnsi="宋体" w:cs="宋体"/>
                <w:color w:val="000000"/>
                <w:spacing w:val="-2"/>
              </w:rPr>
            </w:r>
            <w:r/>
          </w:p>
        </w:tc>
        <w:tc>
          <w:tcPr>
            <w:tcW w:w="992" w:type="dxa"/>
            <w:vAlign w:val="center"/>
            <w:textDirection w:val="lrTb"/>
            <w:noWrap w:val="false"/>
          </w:tcPr>
          <w:p>
            <w:pPr>
              <w:pStyle w:val="871"/>
              <w:ind w:firstLine="0"/>
              <w:spacing w:before="69" w:line="264" w:lineRule="auto"/>
              <w:rPr>
                <w:rFonts w:ascii="宋体" w:hAnsi="宋体" w:cs="宋体"/>
                <w:color w:val="000000"/>
                <w:spacing w:val="-1"/>
              </w:rPr>
            </w:pPr>
            <w:r>
              <w:rPr>
                <w:rFonts w:hint="eastAsia" w:ascii="宋体" w:hAnsi="宋体" w:cs="宋体"/>
                <w:color w:val="000000"/>
                <w:spacing w:val="-1"/>
              </w:rPr>
              <w:t xml:space="preserve">履约能力1</w:t>
            </w:r>
            <w:r>
              <w:rPr>
                <w:rFonts w:ascii="宋体" w:hAnsi="宋体" w:cs="宋体"/>
                <w:color w:val="000000"/>
                <w:spacing w:val="-1"/>
              </w:rPr>
            </w:r>
            <w:r/>
          </w:p>
        </w:tc>
        <w:tc>
          <w:tcPr>
            <w:tcW w:w="6185" w:type="dxa"/>
            <w:vAlign w:val="center"/>
            <w:textDirection w:val="lrTb"/>
            <w:noWrap w:val="false"/>
          </w:tcPr>
          <w:p>
            <w:pPr>
              <w:spacing w:line="264" w:lineRule="auto"/>
              <w:rPr>
                <w:rFonts w:hint="eastAsia" w:ascii="宋体" w:hAnsi="宋体" w:cs="宋体"/>
                <w:color w:val="000000"/>
                <w14:ligatures w14:val="none"/>
              </w:rPr>
            </w:pPr>
            <w:r>
              <w:rPr>
                <w:rFonts w:hint="eastAsia" w:ascii="宋体" w:hAnsi="宋体" w:cs="宋体"/>
                <w:color w:val="000000"/>
              </w:rPr>
              <w:t xml:space="preserve">1.项目经理：具有工业和信息化部教育与考试中心颁发的智能化系统集成项目经理认证证书、ITSS服务项目经理认证证书，每具备一类证书得0.5分，最多得1分；</w:t>
            </w:r>
            <w:r>
              <w:rPr>
                <w:rFonts w:hint="eastAsia" w:ascii="宋体" w:hAnsi="宋体" w:cs="宋体"/>
                <w:color w:val="000000"/>
              </w:rPr>
            </w:r>
            <w:r/>
          </w:p>
          <w:p>
            <w:pPr>
              <w:spacing w:line="264" w:lineRule="auto"/>
              <w:rPr>
                <w:rFonts w:hint="eastAsia" w:ascii="宋体" w:hAnsi="宋体" w:cs="宋体"/>
                <w:color w:val="000000"/>
                <w14:ligatures w14:val="none"/>
              </w:rPr>
            </w:pPr>
            <w:r>
              <w:rPr>
                <w:rFonts w:hint="eastAsia" w:ascii="宋体" w:hAnsi="宋体" w:cs="宋体"/>
                <w:color w:val="000000"/>
              </w:rPr>
              <w:t xml:space="preserve">2.其他服务人员：具有工业和信息化部教育与考试中心颁发的IT运维工程师认证证书、中国网络安全审查技术与认证中心颁发的信息安全保障人员认证证书（CISAW），每具备一类证书得0.5分，最多得1分。</w:t>
            </w:r>
            <w:r>
              <w:rPr>
                <w:rFonts w:hint="eastAsia" w:ascii="宋体" w:hAnsi="宋体" w:cs="宋体"/>
                <w:color w:val="000000"/>
              </w:rPr>
            </w:r>
            <w:r/>
          </w:p>
          <w:p>
            <w:pPr>
              <w:spacing w:line="264" w:lineRule="auto"/>
              <w:rPr>
                <w:rFonts w:hint="eastAsia" w:ascii="宋体" w:hAnsi="宋体" w:cs="宋体"/>
                <w:color w:val="000000"/>
                <w14:ligatures w14:val="none"/>
              </w:rPr>
            </w:pPr>
            <w:r>
              <w:rPr>
                <w:rFonts w:hint="eastAsia" w:ascii="宋体" w:hAnsi="宋体" w:cs="宋体"/>
                <w:color w:val="000000"/>
              </w:rPr>
              <w:t xml:space="preserve">（</w:t>
            </w:r>
            <w:r>
              <w:rPr>
                <w:rFonts w:hint="eastAsia" w:ascii="宋体" w:hAnsi="宋体" w:cs="宋体"/>
                <w:color w:val="000000"/>
              </w:rPr>
              <w:t xml:space="preserve">提供上述</w:t>
            </w:r>
            <w:r>
              <w:rPr>
                <w:rFonts w:hint="eastAsia" w:ascii="宋体" w:hAnsi="宋体" w:cs="宋体"/>
                <w:color w:val="000000"/>
              </w:rPr>
              <w:t xml:space="preserve">人员</w:t>
            </w:r>
            <w:r>
              <w:rPr>
                <w:rFonts w:hint="eastAsia" w:ascii="宋体" w:hAnsi="宋体" w:cs="宋体"/>
                <w:color w:val="000000"/>
              </w:rPr>
              <w:t xml:space="preserve">证书</w:t>
            </w:r>
            <w:r>
              <w:rPr>
                <w:rFonts w:hint="eastAsia" w:ascii="宋体" w:hAnsi="宋体" w:cs="宋体"/>
                <w:color w:val="000000"/>
              </w:rPr>
              <w:t xml:space="preserve">及投标人为其缴纳的2026年以来内任意1个月的社保缴纳证明材料，证明材料缺项或未提供的不得分</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822" w:type="dxa"/>
            <w:vAlign w:val="center"/>
            <w:textDirection w:val="lrTb"/>
            <w:noWrap w:val="false"/>
          </w:tcPr>
          <w:p>
            <w:pPr>
              <w:pStyle w:val="871"/>
              <w:ind w:firstLine="420"/>
              <w:jc w:val="both"/>
              <w:spacing w:line="264"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900" w:type="dxa"/>
            <w:vAlign w:val="center"/>
            <w:textDirection w:val="lrTb"/>
            <w:noWrap w:val="false"/>
          </w:tcPr>
          <w:p>
            <w:pPr>
              <w:pStyle w:val="871"/>
              <w:ind w:firstLine="0"/>
              <w:jc w:val="both"/>
              <w:spacing w:before="68" w:line="264" w:lineRule="auto"/>
              <w:rPr>
                <w:rFonts w:hint="eastAsia" w:ascii="宋体" w:hAnsi="宋体" w:cs="宋体"/>
                <w:color w:val="000000"/>
                <w:spacing w:val="-6"/>
              </w:rPr>
            </w:pPr>
            <w:r>
              <w:rPr>
                <w:rFonts w:hint="eastAsia" w:ascii="宋体" w:hAnsi="宋体" w:cs="宋体"/>
                <w:color w:val="000000"/>
                <w:spacing w:val="-6"/>
              </w:rPr>
              <w:t xml:space="preserve">客观分</w:t>
            </w:r>
            <w:r>
              <w:rPr>
                <w:rFonts w:hint="eastAsia" w:ascii="宋体" w:hAnsi="宋体" w:cs="宋体"/>
                <w:color w:val="000000"/>
                <w:spacing w:val="-6"/>
              </w:rPr>
            </w:r>
            <w:r/>
          </w:p>
        </w:tc>
      </w:tr>
      <w:tr>
        <w:trPr>
          <w:trHeight w:val="482"/>
        </w:trPr>
        <w:tc>
          <w:tcPr>
            <w:tcW w:w="855" w:type="dxa"/>
            <w:vAlign w:val="center"/>
            <w:textDirection w:val="lrTb"/>
            <w:noWrap w:val="false"/>
          </w:tcPr>
          <w:p>
            <w:pPr>
              <w:pStyle w:val="871"/>
              <w:ind w:firstLine="408"/>
              <w:jc w:val="center"/>
              <w:spacing w:line="264" w:lineRule="auto"/>
              <w:rPr>
                <w:rFonts w:hint="eastAsia" w:ascii="宋体" w:hAnsi="宋体" w:cs="宋体"/>
                <w:color w:val="000000"/>
              </w:rPr>
            </w:pPr>
            <w:r>
              <w:rPr>
                <w:rFonts w:hint="eastAsia" w:ascii="宋体" w:hAnsi="宋体" w:cs="宋体"/>
                <w:color w:val="000000"/>
                <w:spacing w:val="-3"/>
              </w:rPr>
              <w:t xml:space="preserve">合</w:t>
            </w:r>
            <w:r>
              <w:rPr>
                <w:rFonts w:hint="eastAsia" w:ascii="宋体" w:hAnsi="宋体" w:cs="宋体"/>
                <w:color w:val="000000"/>
                <w:spacing w:val="-2"/>
              </w:rPr>
              <w:t xml:space="preserve">计</w:t>
            </w:r>
            <w:r>
              <w:rPr>
                <w:rFonts w:hint="eastAsia" w:ascii="宋体" w:hAnsi="宋体" w:cs="宋体"/>
                <w:color w:val="000000"/>
              </w:rPr>
            </w:r>
            <w:r/>
          </w:p>
        </w:tc>
        <w:tc>
          <w:tcPr>
            <w:gridSpan w:val="2"/>
            <w:tcW w:w="7177" w:type="dxa"/>
            <w:vAlign w:val="center"/>
            <w:textDirection w:val="lrTb"/>
            <w:noWrap w:val="false"/>
          </w:tcPr>
          <w:p>
            <w:pPr>
              <w:pStyle w:val="871"/>
              <w:ind w:left="172" w:firstLine="412"/>
              <w:jc w:val="center"/>
              <w:spacing w:before="123" w:line="264" w:lineRule="auto"/>
              <w:rPr>
                <w:rFonts w:hint="eastAsia" w:ascii="宋体" w:hAnsi="宋体" w:cs="宋体"/>
                <w:color w:val="000000"/>
                <w:spacing w:val="-2"/>
              </w:rPr>
            </w:pPr>
            <w:r>
              <w:rPr>
                <w:rFonts w:hint="eastAsia" w:ascii="宋体" w:hAnsi="宋体" w:cs="宋体"/>
                <w:color w:val="000000"/>
                <w:spacing w:val="-2"/>
              </w:rPr>
            </w:r>
            <w:r/>
          </w:p>
        </w:tc>
        <w:tc>
          <w:tcPr>
            <w:gridSpan w:val="2"/>
            <w:tcW w:w="1722" w:type="dxa"/>
            <w:vAlign w:val="center"/>
            <w:textDirection w:val="lrTb"/>
            <w:noWrap w:val="false"/>
          </w:tcPr>
          <w:p>
            <w:pPr>
              <w:pStyle w:val="871"/>
              <w:ind w:firstLine="376"/>
              <w:jc w:val="center"/>
              <w:spacing w:line="264" w:lineRule="auto"/>
              <w:rPr>
                <w:rFonts w:hint="eastAsia" w:ascii="宋体" w:hAnsi="宋体" w:cs="宋体"/>
                <w:color w:val="000000"/>
              </w:rPr>
            </w:pPr>
            <w:r>
              <w:rPr>
                <w:rFonts w:hint="eastAsia" w:ascii="宋体" w:hAnsi="宋体" w:cs="宋体"/>
                <w:color w:val="000000"/>
                <w:spacing w:val="-11"/>
              </w:rPr>
              <w:t xml:space="preserve">100分</w:t>
            </w:r>
            <w:r>
              <w:rPr>
                <w:rFonts w:hint="eastAsia" w:ascii="宋体" w:hAnsi="宋体" w:cs="宋体"/>
                <w:color w:val="000000"/>
              </w:rPr>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rPr>
          <w:rFonts w:hint="eastAsia" w:ascii="宋体" w:hAnsi="宋体" w:cs="宋体"/>
          <w:b/>
          <w:bCs/>
          <w:color w:val="000000"/>
          <w:sz w:val="24"/>
          <w:szCs w:val="24"/>
          <w:highlight w:val="yellow"/>
        </w:rPr>
      </w:r>
      <w:r/>
    </w:p>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rPr>
          <w:rFonts w:hint="eastAsia" w:ascii="宋体" w:hAnsi="宋体" w:cs="宋体"/>
          <w:b/>
          <w:bCs/>
          <w:color w:val="000000"/>
          <w:sz w:val="24"/>
          <w:szCs w:val="24"/>
          <w:highlight w:val="yellow"/>
        </w:rPr>
      </w:r>
      <w:r/>
    </w:p>
    <w:p>
      <w:pPr>
        <w:pStyle w:val="871"/>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rPr>
          <w:rFonts w:hint="eastAsia" w:ascii="方正小标宋简体" w:hAnsi="方正小标宋简体" w:eastAsia="方正小标宋简体" w:cs="方正小标宋简体"/>
          <w:color w:val="000000"/>
          <w:sz w:val="36"/>
          <w:szCs w:val="36"/>
        </w:rPr>
      </w:r>
      <w:r/>
    </w:p>
    <w:p>
      <w:pPr>
        <w:pStyle w:val="871"/>
        <w:jc w:val="center"/>
        <w:rPr>
          <w:rFonts w:hint="eastAsia" w:ascii="宋体" w:hAnsi="宋体"/>
          <w:b/>
          <w:color w:val="000000"/>
          <w:sz w:val="72"/>
          <w:szCs w:val="21"/>
        </w:rPr>
      </w:pPr>
      <w:r/>
      <w:bookmarkStart w:id="191" w:name="_Hlt26955039"/>
      <w:r/>
      <w:bookmarkEnd w:id="191"/>
      <w:r/>
      <w:bookmarkStart w:id="192" w:name="_Toc26554094"/>
      <w:r/>
      <w:bookmarkStart w:id="193" w:name="_Toc120614282"/>
      <w:r/>
      <w:bookmarkStart w:id="194" w:name="_Toc49090576"/>
      <w:r/>
      <w:bookmarkStart w:id="195" w:name="_Hlt26671244"/>
      <w:r/>
      <w:bookmarkEnd w:id="195"/>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1"/>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pStyle w:val="87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194"/>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196"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1"/>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71"/>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56"/>
        <w:rPr>
          <w:rFonts w:ascii="宋体" w:hAnsi="宋体"/>
          <w:sz w:val="24"/>
        </w:rPr>
      </w:pPr>
      <w:r>
        <w:rPr>
          <w:rFonts w:ascii="宋体" w:hAnsi="宋体"/>
          <w:sz w:val="24"/>
        </w:rPr>
      </w:r>
      <w:r/>
    </w:p>
    <w:p>
      <w:pPr>
        <w:pStyle w:val="956"/>
        <w:rPr>
          <w:rFonts w:ascii="宋体" w:hAnsi="宋体"/>
          <w:sz w:val="24"/>
        </w:rPr>
      </w:pPr>
      <w:r>
        <w:rPr>
          <w:rFonts w:ascii="宋体" w:hAnsi="宋体"/>
          <w:sz w:val="24"/>
        </w:rPr>
      </w:r>
      <w:r/>
    </w:p>
    <w:p>
      <w:pPr>
        <w:pStyle w:val="956"/>
        <w:rPr>
          <w:rFonts w:ascii="宋体" w:hAnsi="宋体"/>
          <w:sz w:val="24"/>
        </w:rPr>
      </w:pPr>
      <w:r>
        <w:rPr>
          <w:rFonts w:ascii="宋体" w:hAnsi="宋体"/>
          <w:sz w:val="24"/>
        </w:rPr>
      </w:r>
      <w:r/>
    </w:p>
    <w:p>
      <w:pPr>
        <w:pStyle w:val="956"/>
        <w:rPr>
          <w:rFonts w:ascii="宋体" w:hAnsi="宋体"/>
          <w:sz w:val="24"/>
        </w:rPr>
      </w:pPr>
      <w:r>
        <w:rPr>
          <w:rFonts w:ascii="宋体" w:hAnsi="宋体"/>
          <w:sz w:val="24"/>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5"/>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5"/>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5"/>
        <w:ind w:firstLine="480"/>
        <w:spacing w:line="420" w:lineRule="exact"/>
        <w:tabs>
          <w:tab w:val="left" w:pos="360" w:leader="none"/>
        </w:tabs>
        <w:rPr>
          <w:rFonts w:hint="eastAsia"/>
          <w:sz w:val="24"/>
          <w:szCs w:val="24"/>
        </w:rPr>
      </w:pP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5"/>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5"/>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5"/>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97" w:name="_Hlt26671380"/>
      <w:r/>
      <w:bookmarkEnd w:id="197"/>
      <w:r/>
      <w:bookmarkStart w:id="198" w:name="_格式3__银行出具的资信证明"/>
      <w:r/>
      <w:bookmarkEnd w:id="198"/>
      <w:r/>
      <w:bookmarkStart w:id="199" w:name="_Hlt26955070"/>
      <w:r/>
      <w:bookmarkEnd w:id="199"/>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7"/>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7"/>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7"/>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7"/>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rPr>
          <w:sz w:val="24"/>
          <w:szCs w:val="24"/>
        </w:rPr>
      </w:pPr>
      <w:r>
        <w:rPr>
          <w:rFonts w:hint="eastAsia" w:ascii="宋体" w:hAnsi="宋体"/>
          <w:sz w:val="24"/>
          <w:szCs w:val="24"/>
        </w:rPr>
        <w:t xml:space="preserve">项目名称：</w:t>
      </w:r>
      <w:r>
        <w:rPr>
          <w:sz w:val="24"/>
          <w:szCs w:val="24"/>
        </w:rPr>
      </w:r>
      <w:r/>
    </w:p>
    <w:p>
      <w:pPr>
        <w:pStyle w:val="871"/>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7"/>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1"/>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1"/>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1"/>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1"/>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1"/>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1"/>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1"/>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1"/>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sz w:val="24"/>
          <w:szCs w:val="24"/>
        </w:rPr>
      </w:pPr>
      <w:r>
        <w:rPr>
          <w:rFonts w:hint="eastAsia" w:ascii="宋体" w:hAnsi="宋体"/>
          <w:sz w:val="24"/>
          <w:szCs w:val="24"/>
        </w:rPr>
        <w:t xml:space="preserve">项目名称：</w:t>
      </w:r>
      <w:r>
        <w:rPr>
          <w:sz w:val="24"/>
          <w:szCs w:val="24"/>
        </w:rPr>
      </w:r>
      <w:r/>
    </w:p>
    <w:p>
      <w:pPr>
        <w:pStyle w:val="871"/>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1"/>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1"/>
        <w:ind w:firstLine="0"/>
        <w:rPr>
          <w:rFonts w:hint="eastAsia" w:ascii="宋体" w:hAnsi="宋体"/>
          <w:sz w:val="24"/>
          <w:szCs w:val="24"/>
        </w:rPr>
      </w:pP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1"/>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spacing w:line="480" w:lineRule="auto"/>
        <w:rPr>
          <w:rFonts w:hint="eastAsia" w:ascii="宋体" w:hAnsi="宋体"/>
          <w:color w:val="000000"/>
          <w:sz w:val="24"/>
          <w:szCs w:val="21"/>
        </w:rPr>
      </w:pPr>
      <w:r>
        <w:rPr>
          <w:rFonts w:hint="eastAsia" w:ascii="宋体" w:hAnsi="宋体"/>
          <w:color w:val="000000"/>
          <w:sz w:val="24"/>
          <w:szCs w:val="21"/>
        </w:rPr>
      </w:r>
      <w:r/>
    </w:p>
    <w:p>
      <w:pPr>
        <w:pStyle w:val="871"/>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9"/>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1"/>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9"/>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36"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1"/>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1"/>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49"/>
        <w:rPr>
          <w:rFonts w:hint="eastAsia" w:ascii="宋体" w:hAnsi="宋体"/>
          <w:sz w:val="24"/>
          <w:szCs w:val="24"/>
          <w:lang w:eastAsia="zh-CN"/>
        </w:rPr>
      </w:pPr>
      <w:r>
        <w:rPr>
          <w:rFonts w:hint="eastAsia" w:ascii="宋体" w:hAnsi="宋体"/>
          <w:sz w:val="24"/>
          <w:szCs w:val="24"/>
          <w:lang w:eastAsia="zh-CN"/>
        </w:rPr>
      </w:r>
      <w:r/>
    </w:p>
    <w:p>
      <w:pPr>
        <w:pStyle w:val="871"/>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spacing w:line="588" w:lineRule="exact"/>
        <w:rPr>
          <w:rFonts w:hint="eastAsia" w:ascii="宋体" w:hAnsi="宋体"/>
          <w:sz w:val="24"/>
        </w:rPr>
      </w:pP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1"/>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56"/>
      </w:pPr>
      <w:r/>
      <w:r/>
    </w:p>
    <w:p>
      <w:pPr>
        <w:pStyle w:val="871"/>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1"/>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87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1"/>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1"/>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1"/>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1"/>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1"/>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1"/>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6"/>
          <w:rFonts w:hint="eastAsia"/>
          <w:i w:val="0"/>
          <w:u w:val="single"/>
          <w:shd w:val="clear" w:color="auto" w:fill="ffffff"/>
        </w:rPr>
        <w:t xml:space="preserve">（产品名称1）</w:t>
      </w:r>
      <w:r>
        <w:rPr>
          <w:rStyle w:val="9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6"/>
          <w:rFonts w:hint="eastAsia"/>
          <w:i w:val="0"/>
          <w:u w:val="single"/>
          <w:shd w:val="clear" w:color="auto" w:fill="ffffff"/>
        </w:rPr>
        <w:t xml:space="preserve">（厂名）</w:t>
      </w:r>
      <w:r>
        <w:rPr>
          <w:rStyle w:val="946"/>
          <w:rFonts w:hint="eastAsia"/>
          <w:i w:val="0"/>
          <w:shd w:val="clear" w:color="auto" w:fill="ffffff"/>
          <w:vertAlign w:val="superscript"/>
        </w:rPr>
        <w:t xml:space="preserve">2</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6"/>
          <w:rFonts w:hint="eastAsia"/>
          <w:i/>
          <w:strike w:val="0"/>
          <w:u w:val="single"/>
          <w:shd w:val="clear" w:color="auto" w:fill="ffffff"/>
        </w:rPr>
        <w:t xml:space="preserve">（规定比例）</w:t>
      </w:r>
      <w:r>
        <w:rPr>
          <w:rStyle w:val="946"/>
          <w:rFonts w:hint="eastAsia"/>
          <w:i w:val="0"/>
          <w:shd w:val="clear" w:color="auto" w:fill="ffffff"/>
          <w:vertAlign w:val="superscript"/>
        </w:rPr>
        <w:t xml:space="preserve">3</w:t>
      </w:r>
      <w:r>
        <w:rPr>
          <w:rFonts w:hint="eastAsia"/>
          <w:strike w:val="0"/>
          <w:shd w:val="clear" w:color="auto" w:fill="ffffff"/>
        </w:rPr>
        <w:t xml:space="preserve">。</w:t>
      </w:r>
      <w:r>
        <w:rPr>
          <w:rStyle w:val="946"/>
          <w:rFonts w:hint="eastAsia"/>
          <w:i/>
          <w:strike w:val="0"/>
          <w:u w:val="single"/>
          <w:shd w:val="clear" w:color="auto" w:fill="ffffff"/>
        </w:rPr>
        <w:t xml:space="preserve">（产品名称1）</w:t>
      </w:r>
      <w:r>
        <w:rPr>
          <w:rFonts w:hint="eastAsia"/>
          <w:strike w:val="0"/>
          <w:shd w:val="clear" w:color="auto" w:fill="ffffff"/>
        </w:rPr>
        <w:t xml:space="preserve">的</w:t>
      </w:r>
      <w:r>
        <w:rPr>
          <w:rStyle w:val="946"/>
          <w:rFonts w:hint="eastAsia"/>
          <w:i/>
          <w:strike w:val="0"/>
          <w:u w:val="single"/>
          <w:shd w:val="clear" w:color="auto" w:fill="ffffff"/>
        </w:rPr>
        <w:t xml:space="preserve">（关键组件）</w:t>
      </w:r>
      <w:r>
        <w:rPr>
          <w:rStyle w:val="946"/>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6"/>
          <w:rFonts w:hint="eastAsia"/>
          <w:i/>
          <w:strike w:val="0"/>
          <w:u w:val="single"/>
          <w:shd w:val="clear" w:color="auto" w:fill="ffffff"/>
        </w:rPr>
        <w:t xml:space="preserve">（产品名称1）</w:t>
      </w:r>
      <w:r>
        <w:rPr>
          <w:rFonts w:hint="eastAsia"/>
          <w:strike w:val="0"/>
          <w:shd w:val="clear" w:color="auto" w:fill="ffffff"/>
        </w:rPr>
        <w:t xml:space="preserve">的</w:t>
      </w:r>
      <w:r>
        <w:rPr>
          <w:rStyle w:val="946"/>
          <w:rFonts w:hint="eastAsia"/>
          <w:i/>
          <w:strike w:val="0"/>
          <w:u w:val="single"/>
          <w:shd w:val="clear" w:color="auto" w:fill="ffffff"/>
        </w:rPr>
        <w:t xml:space="preserve">（关键工序）</w:t>
      </w:r>
      <w:r>
        <w:rPr>
          <w:rStyle w:val="946"/>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6"/>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6"/>
          <w:rFonts w:hint="eastAsia"/>
          <w:i w:val="0"/>
          <w:u w:val="single"/>
          <w:shd w:val="clear" w:color="auto" w:fill="ffffff"/>
        </w:rPr>
        <w:t xml:space="preserve">（产品名称2）</w:t>
      </w:r>
      <w:r>
        <w:rPr>
          <w:rFonts w:hint="eastAsia"/>
          <w:shd w:val="clear" w:color="auto" w:fill="ffffff"/>
        </w:rPr>
        <w:t xml:space="preserve">，生产厂为</w:t>
      </w:r>
      <w:r>
        <w:rPr>
          <w:rStyle w:val="946"/>
          <w:rFonts w:hint="eastAsia"/>
          <w:i w:val="0"/>
          <w:u w:val="single"/>
          <w:shd w:val="clear" w:color="auto" w:fill="ffffff"/>
        </w:rPr>
        <w:t xml:space="preserve">（厂名）</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6"/>
          <w:rFonts w:hint="eastAsia"/>
          <w:i/>
          <w:strike w:val="0"/>
          <w:u w:val="single"/>
          <w:shd w:val="clear" w:color="auto" w:fill="ffffff"/>
        </w:rPr>
        <w:t xml:space="preserve">（规定比例）</w:t>
      </w:r>
      <w:r>
        <w:rPr>
          <w:rFonts w:hint="eastAsia"/>
          <w:strike w:val="0"/>
          <w:shd w:val="clear" w:color="auto" w:fill="ffffff"/>
        </w:rPr>
        <w:t xml:space="preserve">。</w:t>
      </w:r>
      <w:r>
        <w:rPr>
          <w:rStyle w:val="946"/>
          <w:rFonts w:hint="eastAsia"/>
          <w:i/>
          <w:strike w:val="0"/>
          <w:u w:val="single"/>
          <w:shd w:val="clear" w:color="auto" w:fill="ffffff"/>
        </w:rPr>
        <w:t xml:space="preserve">（产品名称2）</w:t>
      </w:r>
      <w:r>
        <w:rPr>
          <w:rFonts w:hint="eastAsia"/>
          <w:strike w:val="0"/>
          <w:shd w:val="clear" w:color="auto" w:fill="ffffff"/>
        </w:rPr>
        <w:t xml:space="preserve">的</w:t>
      </w:r>
      <w:r>
        <w:rPr>
          <w:rStyle w:val="946"/>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6"/>
          <w:rFonts w:hint="eastAsia"/>
          <w:i/>
          <w:strike w:val="0"/>
          <w:u w:val="single"/>
          <w:shd w:val="clear" w:color="auto" w:fill="ffffff"/>
        </w:rPr>
        <w:t xml:space="preserve">（产品名称2）</w:t>
      </w:r>
      <w:r>
        <w:rPr>
          <w:rFonts w:hint="eastAsia"/>
          <w:strike w:val="0"/>
          <w:shd w:val="clear" w:color="auto" w:fill="ffffff"/>
        </w:rPr>
        <w:t xml:space="preserve">的</w:t>
      </w:r>
      <w:r>
        <w:rPr>
          <w:rStyle w:val="946"/>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6"/>
        <w:ind w:firstLine="420"/>
        <w:spacing w:before="24" w:beforeAutospacing="0" w:after="24" w:afterAutospacing="0" w:line="360" w:lineRule="auto"/>
        <w:shd w:val="clear" w:color="auto" w:fill="ffffff"/>
        <w:rPr>
          <w:rFonts w:hint="eastAsia"/>
        </w:rPr>
      </w:pPr>
      <w:r/>
      <w:bookmarkStart w:id="200" w:name="OLE_LINK6"/>
      <w:r>
        <w:rPr>
          <w:rFonts w:hint="eastAsia"/>
          <w:shd w:val="clear" w:color="auto" w:fill="ffffff"/>
        </w:rPr>
        <w:t xml:space="preserve">本公司（单位）</w:t>
      </w:r>
      <w:bookmarkEnd w:id="200"/>
      <w:r>
        <w:rPr>
          <w:rFonts w:hint="eastAsia"/>
          <w:shd w:val="clear" w:color="auto" w:fill="ffffff"/>
        </w:rPr>
        <w:t xml:space="preserve">对上述声明内容的真实性负责。如有虚假，愿承担相应法律责任。</w:t>
      </w:r>
      <w:r>
        <w:rPr>
          <w:rFonts w:hint="eastAsia"/>
        </w:rPr>
      </w:r>
      <w:r/>
    </w:p>
    <w:p>
      <w:pPr>
        <w:pStyle w:val="93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6"/>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6"/>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1"/>
        <w:jc w:val="center"/>
        <w:rPr>
          <w:rFonts w:hint="eastAsia" w:ascii="方正小标宋简体" w:hAnsi="方正小标宋简体" w:eastAsia="方正小标宋简体" w:cs="方正小标宋简体"/>
          <w:b w:val="0"/>
          <w:bCs w:val="0"/>
          <w:sz w:val="32"/>
          <w:szCs w:val="32"/>
        </w:rPr>
      </w:pPr>
      <w:r>
        <w:br w:type="page" w:clear="all"/>
      </w:r>
      <w:bookmarkEnd w:id="196"/>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spacing w:line="480" w:lineRule="exact"/>
        <w:rPr>
          <w:rFonts w:hint="eastAsia" w:ascii="宋体" w:hAnsi="宋体"/>
          <w:b w:val="0"/>
          <w:bCs/>
          <w:sz w:val="24"/>
          <w:szCs w:val="24"/>
        </w:rPr>
      </w:pPr>
      <w:r>
        <w:rPr>
          <w:rFonts w:hint="eastAsia" w:ascii="宋体" w:hAnsi="宋体"/>
          <w:b w:val="0"/>
          <w:bCs/>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pStyle w:val="871"/>
        <w:rPr>
          <w:color w:val="000000"/>
        </w:rPr>
      </w:pPr>
      <w:r>
        <w:rPr>
          <w:color w:val="000000"/>
        </w:rPr>
      </w:r>
      <w:r/>
    </w:p>
    <w:p>
      <w:pPr>
        <w:pStyle w:val="871"/>
        <w:ind w:firstLine="482"/>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883"/>
        <w:rPr>
          <w:rFonts w:hint="eastAsia"/>
          <w:color w:val="000000"/>
        </w:rPr>
      </w:pPr>
      <w:r>
        <w:rPr>
          <w:rFonts w:hint="eastAsia"/>
          <w:color w:val="000000"/>
        </w:rPr>
      </w:r>
      <w:r/>
    </w:p>
    <w:p>
      <w:pPr>
        <w:pStyle w:val="871"/>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２０</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decimal"/>
      <w:isLgl w:val="false"/>
      <w:suff w:val="tab"/>
      <w:lvlText w:val="%1."/>
      <w:lvlJc w:val="left"/>
      <w:pPr>
        <w:pStyle w:val="8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
    <w:basedOn w:val="871"/>
    <w:next w:val="952"/>
    <w:link w:val="871"/>
    <w:unhideWhenUsed/>
    <w:qFormat/>
    <w:pPr>
      <w:ind w:left="420"/>
      <w:spacing w:after="120"/>
    </w:pPr>
  </w:style>
  <w:style w:type="paragraph" w:styleId="952">
    <w:name w:val="寄信人地址1"/>
    <w:basedOn w:val="871"/>
    <w:next w:val="952"/>
    <w:link w:val="871"/>
    <w:qFormat/>
    <w:rPr>
      <w:rFonts w:ascii="Arial" w:hAnsi="Arial" w:eastAsia="宋体" w:cs="宋体"/>
    </w:rPr>
  </w:style>
  <w:style w:type="paragraph" w:styleId="953">
    <w:name w:val="正文文本缩进11"/>
    <w:basedOn w:val="871"/>
    <w:next w:val="952"/>
    <w:link w:val="871"/>
    <w:qFormat/>
    <w:pPr>
      <w:ind w:firstLine="645"/>
    </w:pPr>
    <w:rPr>
      <w:rFonts w:ascii="楷体_GB2312" w:eastAsia="楷体_GB2312"/>
      <w:sz w:val="32"/>
      <w:szCs w:val="32"/>
    </w:rPr>
  </w:style>
  <w:style w:type="paragraph" w:styleId="954">
    <w:name w:val="标题 41"/>
    <w:basedOn w:val="871"/>
    <w:next w:val="955"/>
    <w:link w:val="871"/>
    <w:qFormat/>
    <w:pPr>
      <w:keepLines/>
      <w:keepNext/>
      <w:spacing w:before="280" w:after="290" w:line="376" w:lineRule="auto"/>
      <w:outlineLvl w:val="3"/>
    </w:pPr>
    <w:rPr>
      <w:rFonts w:ascii="Arial" w:hAnsi="Arial" w:eastAsia="黑体" w:cs="Arial"/>
      <w:b/>
      <w:bCs/>
      <w:sz w:val="28"/>
      <w:szCs w:val="28"/>
    </w:rPr>
  </w:style>
  <w:style w:type="paragraph" w:styleId="955">
    <w:name w:val="正文缩进1"/>
    <w:basedOn w:val="871"/>
    <w:next w:val="955"/>
    <w:link w:val="871"/>
    <w:qFormat/>
    <w:pPr>
      <w:ind w:firstLine="420"/>
    </w:pPr>
  </w:style>
  <w:style w:type="paragraph" w:styleId="956">
    <w:name w:val="正文文本12"/>
    <w:basedOn w:val="871"/>
    <w:next w:val="956"/>
    <w:link w:val="871"/>
    <w:uiPriority w:val="1"/>
    <w:qFormat/>
    <w:pPr>
      <w:ind w:left="120"/>
    </w:pPr>
    <w:rPr>
      <w:rFonts w:ascii="宋体" w:hAnsi="宋体" w:eastAsia="宋体" w:cs="宋体"/>
      <w:sz w:val="21"/>
      <w:szCs w:val="21"/>
      <w:lang w:val="zh-CN" w:eastAsia="zh-CN" w:bidi="zh-CN"/>
    </w:rPr>
  </w:style>
  <w:style w:type="character" w:styleId="957">
    <w:name w:val="font5 Char"/>
    <w:next w:val="957"/>
    <w:link w:val="871"/>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1"/>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1"/>
    <w:next w:val="961"/>
    <w:link w:val="960"/>
    <w:qFormat/>
    <w:pPr>
      <w:contextualSpacing/>
      <w:ind w:left="720"/>
      <w:jc w:val="left"/>
      <w:widowControl/>
    </w:pPr>
    <w:rPr>
      <w:rFonts w:ascii="Calibri" w:hAnsi="Calibri" w:eastAsia="宋体" w:cs="Times New Roman"/>
      <w:sz w:val="24"/>
      <w:szCs w:val="24"/>
      <w:lang w:eastAsia="en-US" w:bidi="en-US"/>
    </w:rPr>
  </w:style>
  <w:style w:type="paragraph" w:styleId="962">
    <w:name w:val="Body Text(ch)"/>
    <w:basedOn w:val="871"/>
    <w:next w:val="907"/>
    <w:link w:val="871"/>
    <w:pPr>
      <w:spacing w:after="120"/>
    </w:pPr>
    <w:rPr>
      <w:rFonts w:ascii="宋体" w:hAnsi="Arial"/>
      <w:bCs/>
      <w:iCs/>
      <w:szCs w:val="24"/>
    </w:rPr>
  </w:style>
  <w:style w:type="paragraph" w:styleId="963">
    <w:name w:val="xl27"/>
    <w:basedOn w:val="871"/>
    <w:next w:val="96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name w:val="xl26"/>
    <w:basedOn w:val="871"/>
    <w:next w:val="96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5">
    <w:name w:val="Char"/>
    <w:basedOn w:val="871"/>
    <w:next w:val="965"/>
    <w:link w:val="871"/>
    <w:pPr>
      <w:ind w:firstLine="200"/>
      <w:tabs>
        <w:tab w:val="left" w:pos="360" w:leader="none"/>
      </w:tabs>
    </w:pPr>
    <w:rPr>
      <w:sz w:val="28"/>
      <w:szCs w:val="30"/>
    </w:rPr>
  </w:style>
  <w:style w:type="paragraph" w:styleId="966">
    <w:name w:val=" Char"/>
    <w:basedOn w:val="901"/>
    <w:next w:val="966"/>
    <w:link w:val="871"/>
    <w:rPr>
      <w:rFonts w:ascii="Tahoma" w:hAnsi="Tahoma"/>
      <w:sz w:val="24"/>
      <w:szCs w:val="24"/>
    </w:rPr>
  </w:style>
  <w:style w:type="paragraph" w:styleId="967">
    <w:name w:val="普通正文"/>
    <w:basedOn w:val="871"/>
    <w:next w:val="967"/>
    <w:link w:val="871"/>
    <w:pPr>
      <w:ind w:firstLine="480"/>
      <w:jc w:val="left"/>
      <w:spacing w:before="120" w:after="120" w:line="360" w:lineRule="auto"/>
    </w:pPr>
    <w:rPr>
      <w:rFonts w:ascii="Arial" w:hAnsi="Arial"/>
      <w:sz w:val="24"/>
      <w:szCs w:val="24"/>
    </w:rPr>
  </w:style>
  <w:style w:type="paragraph" w:styleId="968">
    <w:name w:val="table_lines"/>
    <w:basedOn w:val="871"/>
    <w:next w:val="968"/>
    <w:link w:val="871"/>
    <w:pPr>
      <w:jc w:val="left"/>
      <w:widowControl/>
    </w:pPr>
    <w:rPr>
      <w:sz w:val="20"/>
      <w:szCs w:val="20"/>
      <w:lang w:val="de-DE" w:eastAsia="de-DE"/>
    </w:rPr>
  </w:style>
  <w:style w:type="paragraph" w:styleId="969">
    <w:name w:val="附录1"/>
    <w:next w:val="969"/>
    <w:link w:val="871"/>
    <w:pPr>
      <w:numPr>
        <w:ilvl w:val="0"/>
        <w:numId w:val="2"/>
      </w:numPr>
      <w:spacing w:before="240" w:line="600" w:lineRule="atLeast"/>
      <w:tabs>
        <w:tab w:val="left" w:pos="907" w:leader="none"/>
      </w:tabs>
    </w:pPr>
    <w:rPr>
      <w:b/>
      <w:i/>
      <w:sz w:val="28"/>
      <w:lang w:val="en-US" w:eastAsia="zh-CN" w:bidi="ar-SA"/>
    </w:rPr>
  </w:style>
  <w:style w:type="paragraph" w:styleId="970">
    <w:name w:val="font7"/>
    <w:basedOn w:val="871"/>
    <w:next w:val="970"/>
    <w:link w:val="871"/>
    <w:pPr>
      <w:jc w:val="left"/>
      <w:spacing w:before="100" w:beforeAutospacing="1" w:after="100" w:afterAutospacing="1"/>
      <w:widowControl/>
    </w:pPr>
    <w:rPr>
      <w:rFonts w:hint="eastAsia" w:ascii="宋体" w:hAnsi="宋体"/>
      <w:sz w:val="18"/>
      <w:szCs w:val="18"/>
    </w:rPr>
  </w:style>
  <w:style w:type="paragraph" w:styleId="971">
    <w:name w:val=" Char Char Char Char"/>
    <w:basedOn w:val="901"/>
    <w:next w:val="971"/>
    <w:link w:val="871"/>
    <w:pPr>
      <w:spacing w:line="360" w:lineRule="auto"/>
    </w:pPr>
    <w:rPr>
      <w:rFonts w:ascii="Tahoma" w:hAnsi="Tahoma"/>
      <w:sz w:val="24"/>
      <w:szCs w:val="24"/>
    </w:rPr>
  </w:style>
  <w:style w:type="paragraph" w:styleId="972">
    <w:name w:val="列出段落"/>
    <w:basedOn w:val="871"/>
    <w:next w:val="972"/>
    <w:link w:val="871"/>
    <w:qFormat/>
    <w:pPr>
      <w:contextualSpacing/>
      <w:ind w:left="720"/>
      <w:jc w:val="left"/>
      <w:widowControl/>
    </w:pPr>
    <w:rPr>
      <w:rFonts w:ascii="Calibri" w:hAnsi="Calibri"/>
      <w:sz w:val="24"/>
      <w:szCs w:val="24"/>
      <w:lang w:eastAsia="en-US" w:bidi="en-US"/>
    </w:rPr>
  </w:style>
  <w:style w:type="paragraph" w:styleId="973">
    <w:name w:val="4"/>
    <w:basedOn w:val="871"/>
    <w:next w:val="929"/>
    <w:link w:val="871"/>
    <w:pPr>
      <w:ind w:firstLine="420"/>
      <w:spacing w:line="360" w:lineRule="auto"/>
    </w:pPr>
    <w:rPr>
      <w:color w:val="ff0000"/>
      <w:sz w:val="24"/>
      <w:szCs w:val="24"/>
    </w:rPr>
  </w:style>
  <w:style w:type="paragraph" w:styleId="974">
    <w:name w:val="普通 (Web)"/>
    <w:basedOn w:val="871"/>
    <w:next w:val="974"/>
    <w:link w:val="871"/>
    <w:pPr>
      <w:jc w:val="left"/>
      <w:spacing w:before="100" w:beforeAutospacing="1" w:after="100" w:afterAutospacing="1"/>
      <w:widowControl/>
    </w:pPr>
    <w:rPr>
      <w:rFonts w:ascii="宋体" w:hAnsi="宋体"/>
      <w:sz w:val="24"/>
      <w:szCs w:val="24"/>
    </w:rPr>
  </w:style>
  <w:style w:type="paragraph" w:styleId="975">
    <w:name w:val=" Char Char Char Char Char Char Char Char Char Char"/>
    <w:basedOn w:val="871"/>
    <w:next w:val="975"/>
    <w:link w:val="871"/>
    <w:pPr>
      <w:spacing w:line="360" w:lineRule="auto"/>
    </w:pPr>
    <w:rPr>
      <w:sz w:val="24"/>
      <w:szCs w:val="20"/>
    </w:rPr>
  </w:style>
  <w:style w:type="paragraph" w:styleId="976">
    <w:name w:val="样式1"/>
    <w:basedOn w:val="871"/>
    <w:next w:val="976"/>
    <w:link w:val="871"/>
    <w:pPr>
      <w:numPr>
        <w:ilvl w:val="0"/>
        <w:numId w:val="3"/>
      </w:numPr>
      <w:tabs>
        <w:tab w:val="left" w:pos="709" w:leader="none"/>
      </w:tabs>
    </w:pPr>
    <w:rPr>
      <w:rFonts w:ascii="宋体" w:hAnsi="宋体"/>
    </w:rPr>
  </w:style>
  <w:style w:type="paragraph" w:styleId="977">
    <w:name w:val="font6"/>
    <w:basedOn w:val="871"/>
    <w:next w:val="977"/>
    <w:link w:val="871"/>
    <w:pPr>
      <w:jc w:val="left"/>
      <w:spacing w:before="100" w:beforeAutospacing="1" w:after="100" w:afterAutospacing="1"/>
      <w:widowControl/>
    </w:pPr>
    <w:rPr>
      <w:rFonts w:hint="eastAsia" w:ascii="宋体" w:hAnsi="宋体"/>
      <w:sz w:val="28"/>
      <w:szCs w:val="28"/>
      <w:u w:val="single"/>
    </w:rPr>
  </w:style>
  <w:style w:type="paragraph" w:styleId="978">
    <w:name w:val="xl25"/>
    <w:basedOn w:val="871"/>
    <w:next w:val="97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name w:val="标题3"/>
    <w:basedOn w:val="871"/>
    <w:next w:val="871"/>
    <w:link w:val="871"/>
    <w:pPr>
      <w:ind w:firstLine="624"/>
      <w:spacing w:line="590" w:lineRule="atLeast"/>
    </w:pPr>
    <w:rPr>
      <w:rFonts w:ascii="方正黑体_GBK" w:eastAsia="方正黑体_GBK"/>
      <w:sz w:val="32"/>
      <w:szCs w:val="32"/>
    </w:rPr>
  </w:style>
  <w:style w:type="paragraph" w:styleId="981">
    <w:name w:val="xl24"/>
    <w:basedOn w:val="871"/>
    <w:next w:val="98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name w:val="xl29"/>
    <w:basedOn w:val="871"/>
    <w:next w:val="982"/>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name w:val="Char Char Char Char Char Char Char Char"/>
    <w:basedOn w:val="871"/>
    <w:next w:val="983"/>
    <w:link w:val="871"/>
    <w:pPr>
      <w:jc w:val="left"/>
      <w:spacing w:after="160" w:line="240" w:lineRule="exact"/>
      <w:widowControl/>
    </w:pPr>
    <w:rPr>
      <w:rFonts w:ascii="Verdana" w:hAnsi="Verdana"/>
      <w:sz w:val="20"/>
      <w:szCs w:val="20"/>
      <w:lang w:eastAsia="en-US"/>
    </w:rPr>
  </w:style>
  <w:style w:type="paragraph" w:styleId="984">
    <w:name w:val="xl28"/>
    <w:basedOn w:val="871"/>
    <w:next w:val="98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name w:val=" Char Char Char Char Char Char Char Char"/>
    <w:basedOn w:val="871"/>
    <w:next w:val="985"/>
    <w:link w:val="871"/>
    <w:pPr>
      <w:jc w:val="left"/>
      <w:spacing w:after="160" w:line="240" w:lineRule="exact"/>
      <w:widowControl/>
    </w:pPr>
    <w:rPr>
      <w:rFonts w:ascii="Verdana" w:hAnsi="Verdana"/>
      <w:sz w:val="20"/>
      <w:szCs w:val="20"/>
      <w:lang w:eastAsia="en-US"/>
    </w:rPr>
  </w:style>
  <w:style w:type="paragraph" w:styleId="986">
    <w:name w:val="xl30"/>
    <w:basedOn w:val="871"/>
    <w:next w:val="986"/>
    <w:link w:val="871"/>
    <w:pPr>
      <w:jc w:val="center"/>
      <w:spacing w:before="100" w:beforeAutospacing="1" w:after="100" w:afterAutospacing="1"/>
      <w:widowControl/>
    </w:pPr>
    <w:rPr>
      <w:rFonts w:ascii="宋体" w:hAnsi="宋体"/>
      <w:b/>
      <w:bCs/>
      <w:sz w:val="36"/>
      <w:szCs w:val="36"/>
    </w:rPr>
  </w:style>
  <w:style w:type="paragraph" w:styleId="987">
    <w:name w:val="Char Char Char Char"/>
    <w:basedOn w:val="901"/>
    <w:next w:val="987"/>
    <w:link w:val="871"/>
    <w:pPr>
      <w:spacing w:line="360" w:lineRule="auto"/>
    </w:pPr>
    <w:rPr>
      <w:rFonts w:ascii="Tahoma" w:hAnsi="Tahoma"/>
      <w:sz w:val="24"/>
      <w:szCs w:val="24"/>
    </w:rPr>
  </w:style>
  <w:style w:type="paragraph" w:styleId="988">
    <w:name w:val="table_1stline"/>
    <w:basedOn w:val="871"/>
    <w:next w:val="988"/>
    <w:link w:val="871"/>
    <w:pPr>
      <w:jc w:val="left"/>
      <w:spacing w:before="120"/>
      <w:widowControl/>
    </w:pPr>
    <w:rPr>
      <w:bCs/>
      <w:sz w:val="20"/>
      <w:szCs w:val="20"/>
      <w:lang w:val="de-DE" w:eastAsia="de-DE"/>
    </w:rPr>
  </w:style>
  <w:style w:type="paragraph" w:styleId="989">
    <w:name w:val="font5"/>
    <w:basedOn w:val="871"/>
    <w:next w:val="989"/>
    <w:link w:val="871"/>
    <w:pPr>
      <w:jc w:val="left"/>
      <w:spacing w:before="100" w:beforeAutospacing="1" w:after="100" w:afterAutospacing="1"/>
      <w:widowControl/>
    </w:pPr>
    <w:rPr>
      <w:rFonts w:hint="eastAsia" w:ascii="宋体" w:hAnsi="宋体"/>
      <w:sz w:val="28"/>
      <w:szCs w:val="28"/>
    </w:rPr>
  </w:style>
  <w:style w:type="paragraph" w:styleId="990">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name w:val="修订"/>
    <w:next w:val="991"/>
    <w:link w:val="871"/>
    <w:uiPriority w:val="99"/>
    <w:semiHidden/>
    <w:rPr>
      <w:sz w:val="21"/>
      <w:szCs w:val="21"/>
      <w:lang w:val="en-US" w:eastAsia="zh-CN" w:bidi="ar-SA"/>
    </w:rPr>
  </w:style>
  <w:style w:type="paragraph" w:styleId="992">
    <w:name w:val="无间隔"/>
    <w:next w:val="992"/>
    <w:link w:val="871"/>
    <w:uiPriority w:val="99"/>
    <w:qFormat/>
    <w:pPr>
      <w:jc w:val="both"/>
      <w:widowControl w:val="off"/>
    </w:pPr>
    <w:rPr>
      <w:sz w:val="21"/>
      <w:szCs w:val="21"/>
      <w:lang w:val="en-US" w:eastAsia="zh-CN" w:bidi="ar-SA"/>
    </w:rPr>
  </w:style>
  <w:style w:type="paragraph" w:styleId="993">
    <w:name w:val="正文文本 211"/>
    <w:basedOn w:val="871"/>
    <w:next w:val="993"/>
    <w:link w:val="871"/>
    <w:uiPriority w:val="99"/>
    <w:qFormat/>
    <w:pPr>
      <w:jc w:val="center"/>
    </w:pPr>
    <w:rPr>
      <w:b/>
      <w:bCs/>
      <w:sz w:val="20"/>
      <w:szCs w:val="20"/>
    </w:rPr>
  </w:style>
  <w:style w:type="table" w:styleId="994">
    <w:name w:val="Table Normal"/>
    <w:next w:val="994"/>
    <w:link w:val="871"/>
    <w:qFormat/>
    <w:rPr>
      <w:lang w:val="en-US" w:eastAsia="zh-CN" w:bidi="ar-SA"/>
    </w:rPr>
    <w:tblPr/>
  </w:style>
  <w:style w:type="paragraph" w:styleId="995">
    <w:name w:val="正文文本1"/>
    <w:basedOn w:val="871"/>
    <w:next w:val="871"/>
    <w:link w:val="871"/>
    <w:semiHidden/>
    <w:qFormat/>
    <w:rPr>
      <w:rFonts w:ascii="Arial" w:hAnsi="Arial" w:eastAsia="Arial" w:cs="Arial"/>
      <w:sz w:val="21"/>
      <w:szCs w:val="21"/>
      <w:lang w:val="en-US" w:eastAsia="en-US" w:bidi="ar-SA"/>
    </w:rPr>
  </w:style>
  <w:style w:type="paragraph" w:styleId="996">
    <w:name w:val="纯文本1"/>
    <w:basedOn w:val="871"/>
    <w:next w:val="996"/>
    <w:link w:val="871"/>
    <w:qFormat/>
    <w:rPr>
      <w:rFonts w:ascii="宋体" w:hAnsi="Courier New" w:cs="Courier New"/>
    </w:rPr>
  </w:style>
  <w:style w:type="table" w:styleId="997">
    <w:name w:val="网格型1"/>
    <w:basedOn w:val="998"/>
    <w:next w:val="997"/>
    <w:link w:val="871"/>
    <w:qFormat/>
    <w:pPr>
      <w:jc w:val="both"/>
      <w:widowControl w:val="off"/>
    </w:pPr>
    <w:tblPr/>
  </w:style>
  <w:style w:type="table" w:styleId="998">
    <w:name w:val="普通表格1"/>
    <w:next w:val="998"/>
    <w:link w:val="871"/>
    <w:uiPriority w:val="99"/>
    <w:unhideWhenUsed/>
    <w:qFormat/>
    <w:rPr>
      <w:lang w:val="en-US" w:eastAsia="zh-CN" w:bidi="ar-SA"/>
    </w:rPr>
    <w:tblPr/>
  </w:style>
  <w:style w:type="character" w:styleId="999">
    <w:name w:val="15"/>
    <w:next w:val="999"/>
    <w:link w:val="871"/>
    <w:rPr>
      <w:rFonts w:ascii="Times New Roman" w:hAnsi="Times New Roman" w:cs="Times New Roman"/>
    </w:rPr>
  </w:style>
  <w:style w:type="paragraph" w:styleId="1000">
    <w:name w:val="正文首行缩进 211"/>
    <w:basedOn w:val="953"/>
    <w:next w:val="871"/>
    <w:link w:val="871"/>
    <w:qFormat/>
    <w:pPr>
      <w:ind w:left="0" w:firstLine="420"/>
      <w:spacing w:after="0" w:line="360" w:lineRule="auto"/>
    </w:pPr>
    <w:rPr>
      <w:rFonts w:ascii="宋体" w:hAnsi="宋体" w:eastAsia="宋体" w:cs="Times New Roman"/>
      <w:szCs w:val="20"/>
    </w:rPr>
  </w:style>
  <w:style w:type="paragraph" w:styleId="1001">
    <w:name w:val="Table Paragraph"/>
    <w:basedOn w:val="871"/>
    <w:next w:val="1001"/>
    <w:link w:val="871"/>
    <w:uiPriority w:val="1"/>
    <w:qFormat/>
    <w:pPr>
      <w:jc w:val="left"/>
    </w:pPr>
    <w:rPr>
      <w:rFonts w:ascii="宋体" w:hAnsi="宋体" w:eastAsia="宋体" w:cs="宋体"/>
      <w:sz w:val="22"/>
      <w:szCs w:val="22"/>
      <w:lang w:val="zh-CN" w:bidi="zh-CN"/>
    </w:rPr>
  </w:style>
  <w:style w:type="paragraph" w:styleId="1002">
    <w:name w:val="正文首行缩进 212"/>
    <w:basedOn w:val="1003"/>
    <w:next w:val="871"/>
    <w:link w:val="871"/>
    <w:qFormat/>
    <w:pPr>
      <w:ind w:left="0" w:firstLine="420"/>
      <w:spacing w:after="0" w:line="360" w:lineRule="auto"/>
    </w:pPr>
    <w:rPr>
      <w:rFonts w:ascii="宋体" w:hAnsi="宋体" w:eastAsia="宋体" w:cs="Times New Roman"/>
      <w:szCs w:val="20"/>
    </w:rPr>
  </w:style>
  <w:style w:type="paragraph" w:styleId="1003">
    <w:name w:val="正文文本缩进111"/>
    <w:basedOn w:val="871"/>
    <w:next w:val="1004"/>
    <w:link w:val="871"/>
    <w:unhideWhenUsed/>
    <w:qFormat/>
    <w:pPr>
      <w:ind w:left="420"/>
      <w:spacing w:after="120"/>
    </w:pPr>
  </w:style>
  <w:style w:type="paragraph" w:styleId="1004">
    <w:name w:val="寄信人地址111"/>
    <w:basedOn w:val="871"/>
    <w:next w:val="1004"/>
    <w:link w:val="871"/>
    <w:qFormat/>
    <w:rPr>
      <w:rFonts w:ascii="Arial" w:hAnsi="Arial" w:eastAsia="宋体" w:cs="宋体"/>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6</cp:revision>
  <dcterms:created xsi:type="dcterms:W3CDTF">2023-03-16T02:16:00Z</dcterms:created>
  <dcterms:modified xsi:type="dcterms:W3CDTF">2026-07-01T08:20:39Z</dcterms:modified>
</cp:coreProperties>
</file>