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南京市妇幼保健院</w:t>
      </w:r>
      <w:r/>
    </w:p>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u w:val="single"/>
        </w:rPr>
        <w:t xml:space="preserve">MR3.0T维保服务采购项目</w:t>
      </w:r>
      <w:r/>
    </w:p>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96"/>
        </w:rPr>
        <w:t xml:space="preserve">招标文件</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ff"/>
          <w:sz w:val="36"/>
        </w:rPr>
        <w:t xml:space="preserve">项目编号：JSZC-320100-SHGK-G2026-0011</w:t>
      </w:r>
      <w:r/>
    </w:p>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ff"/>
          <w:sz w:val="36"/>
        </w:rPr>
        <w:t xml:space="preserve"> </w:t>
      </w:r>
      <w:r/>
    </w:p>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ff"/>
          <w:sz w:val="36"/>
        </w:rPr>
        <w:t xml:space="preserve"> </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江苏苏豪创新科技集团高科有限公司</w:t>
      </w:r>
      <w:r/>
    </w:p>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40"/>
          <w:sz w:val="36"/>
        </w:rPr>
        <w:t xml:space="preserve">二○二六年一月</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40"/>
          <w:sz w:val="36"/>
        </w:rPr>
        <w:t xml:space="preserve"> </w:t>
      </w:r>
      <w:r/>
    </w:p>
    <w:p>
      <w:pPr>
        <w:ind w:left="0" w:right="0" w:firstLine="56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sdt>
      <w:sdtPr>
        <w15:appearance w15:val="boundingBox"/>
        <w:rPr/>
      </w:sdtPr>
      <w:sdtContent>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目  录</w:t>
          </w:r>
          <w:r/>
        </w:p>
        <w:p>
          <w:pPr>
            <w:ind w:left="0" w:right="0" w:firstLine="0"/>
            <w:jc w:val="both"/>
            <w:spacing w:before="0" w:after="0"/>
            <w:tabs>
              <w:tab w:val="left" w:pos="9062" w:leader="none"/>
            </w:tabs>
            <w:pBdr>
              <w:top w:val="none" w:color="000000" w:sz="4" w:space="0"/>
              <w:left w:val="none" w:color="000000" w:sz="4" w:space="0"/>
              <w:bottom w:val="none" w:color="000000" w:sz="4" w:space="0"/>
              <w:right w:val="none" w:color="000000" w:sz="4" w:space="0"/>
            </w:pBdr>
          </w:pPr>
          <w:r/>
          <w:hyperlink r:id="rId12" w:tooltip="http://jszfcg.jsczt.cn/jszc/onlyoffice/7.2.1-34/web-apps/apps/documenteditor/main/index_loader.html?_dc=7.2.1-34&amp;lang=zh&amp;customer=%20&amp;logo=%20&amp;headerlogo=%2Ffavicon.ico&amp;frameEditorId=iframePage&amp;compact=true&amp;parentOrigin=http://jszfcg.jsczt.cn#_Toc184129760" w:history="1">
            <w:r>
              <w:rPr>
                <w:rStyle w:val="878"/>
                <w:rFonts w:ascii="SimSun" w:hAnsi="SimSun" w:eastAsia="SimSun" w:cs="SimSun"/>
                <w:color w:val="0000ff"/>
                <w:sz w:val="24"/>
                <w:u w:val="single"/>
              </w:rPr>
              <w:t xml:space="preserve">第一章  投标邀请</w:t>
            </w:r>
          </w:hyperlink>
          <w:r/>
          <w:r/>
        </w:p>
        <w:p>
          <w:pPr>
            <w:ind w:left="0" w:right="0" w:firstLine="0"/>
            <w:jc w:val="both"/>
            <w:spacing w:before="0" w:after="0"/>
            <w:tabs>
              <w:tab w:val="left" w:pos="9062" w:leader="none"/>
            </w:tabs>
            <w:pBdr>
              <w:top w:val="none" w:color="000000" w:sz="4" w:space="0"/>
              <w:left w:val="none" w:color="000000" w:sz="4" w:space="0"/>
              <w:bottom w:val="none" w:color="000000" w:sz="4" w:space="0"/>
              <w:right w:val="none" w:color="000000" w:sz="4" w:space="0"/>
            </w:pBdr>
          </w:pPr>
          <w:r/>
          <w:hyperlink r:id="rId13" w:tooltip="http://jszfcg.jsczt.cn/jszc/onlyoffice/7.2.1-34/web-apps/apps/documenteditor/main/index_loader.html?_dc=7.2.1-34&amp;lang=zh&amp;customer=%20&amp;logo=%20&amp;headerlogo=%2Ffavicon.ico&amp;frameEditorId=iframePage&amp;compact=true&amp;parentOrigin=http://jszfcg.jsczt.cn#_Toc184129769" w:history="1">
            <w:r>
              <w:rPr>
                <w:rStyle w:val="878"/>
                <w:rFonts w:ascii="SimSun" w:hAnsi="SimSun" w:eastAsia="SimSun" w:cs="SimSun"/>
                <w:color w:val="0000ff"/>
                <w:sz w:val="24"/>
                <w:u w:val="single"/>
              </w:rPr>
              <w:t xml:space="preserve">第二章  投标人须知</w:t>
            </w:r>
          </w:hyperlink>
          <w:r/>
          <w:r/>
        </w:p>
        <w:p>
          <w:pPr>
            <w:ind w:left="0" w:right="0" w:firstLine="0"/>
            <w:jc w:val="both"/>
            <w:spacing w:before="0" w:after="0"/>
            <w:tabs>
              <w:tab w:val="left" w:pos="9062" w:leader="none"/>
            </w:tabs>
            <w:pBdr>
              <w:top w:val="none" w:color="000000" w:sz="4" w:space="0"/>
              <w:left w:val="none" w:color="000000" w:sz="4" w:space="0"/>
              <w:bottom w:val="none" w:color="000000" w:sz="4" w:space="0"/>
              <w:right w:val="none" w:color="000000" w:sz="4" w:space="0"/>
            </w:pBdr>
          </w:pPr>
          <w:r/>
          <w:hyperlink r:id="rId14" w:tooltip="http://jszfcg.jsczt.cn/jszc/onlyoffice/7.2.1-34/web-apps/apps/documenteditor/main/index_loader.html?_dc=7.2.1-34&amp;lang=zh&amp;customer=%20&amp;logo=%20&amp;headerlogo=%2Ffavicon.ico&amp;frameEditorId=iframePage&amp;compact=true&amp;parentOrigin=http://jszfcg.jsczt.cn#_Toc184129777" w:history="1">
            <w:r>
              <w:rPr>
                <w:rStyle w:val="878"/>
                <w:rFonts w:ascii="SimSun" w:hAnsi="SimSun" w:eastAsia="SimSun" w:cs="SimSun"/>
                <w:color w:val="0000ff"/>
                <w:sz w:val="24"/>
                <w:u w:val="single"/>
              </w:rPr>
              <w:t xml:space="preserve">第三章  合同文本</w:t>
            </w:r>
          </w:hyperlink>
          <w:r/>
          <w:r/>
        </w:p>
        <w:p>
          <w:pPr>
            <w:ind w:left="0" w:right="0" w:firstLine="0"/>
            <w:jc w:val="both"/>
            <w:spacing w:before="0" w:after="0"/>
            <w:tabs>
              <w:tab w:val="left" w:pos="9062" w:leader="none"/>
            </w:tabs>
            <w:pBdr>
              <w:top w:val="none" w:color="000000" w:sz="4" w:space="0"/>
              <w:left w:val="none" w:color="000000" w:sz="4" w:space="0"/>
              <w:bottom w:val="none" w:color="000000" w:sz="4" w:space="0"/>
              <w:right w:val="none" w:color="000000" w:sz="4" w:space="0"/>
            </w:pBdr>
          </w:pPr>
          <w:r/>
          <w:hyperlink r:id="rId15" w:tooltip="http://jszfcg.jsczt.cn/jszc/onlyoffice/7.2.1-34/web-apps/apps/documenteditor/main/index_loader.html?_dc=7.2.1-34&amp;lang=zh&amp;customer=%20&amp;logo=%20&amp;headerlogo=%2Ffavicon.ico&amp;frameEditorId=iframePage&amp;compact=true&amp;parentOrigin=http://jszfcg.jsczt.cn#_Toc184129778" w:history="1">
            <w:r>
              <w:rPr>
                <w:rStyle w:val="878"/>
                <w:rFonts w:ascii="SimSun" w:hAnsi="SimSun" w:eastAsia="SimSun" w:cs="SimSun"/>
                <w:color w:val="0000ff"/>
                <w:sz w:val="24"/>
                <w:u w:val="single"/>
              </w:rPr>
              <w:t xml:space="preserve">第四章  采购需求</w:t>
            </w:r>
          </w:hyperlink>
          <w:r/>
          <w:r/>
        </w:p>
        <w:p>
          <w:pPr>
            <w:ind w:left="0" w:right="0" w:firstLine="0"/>
            <w:jc w:val="both"/>
            <w:spacing w:before="0" w:after="0"/>
            <w:tabs>
              <w:tab w:val="left" w:pos="9062" w:leader="none"/>
            </w:tabs>
            <w:pBdr>
              <w:top w:val="none" w:color="000000" w:sz="4" w:space="0"/>
              <w:left w:val="none" w:color="000000" w:sz="4" w:space="0"/>
              <w:bottom w:val="none" w:color="000000" w:sz="4" w:space="0"/>
              <w:right w:val="none" w:color="000000" w:sz="4" w:space="0"/>
            </w:pBdr>
          </w:pPr>
          <w:r/>
          <w:hyperlink r:id="rId16" w:tooltip="http://jszfcg.jsczt.cn/jszc/onlyoffice/7.2.1-34/web-apps/apps/documenteditor/main/index_loader.html?_dc=7.2.1-34&amp;lang=zh&amp;customer=%20&amp;logo=%20&amp;headerlogo=%2Ffavicon.ico&amp;frameEditorId=iframePage&amp;compact=true&amp;parentOrigin=http://jszfcg.jsczt.cn#_Toc184129783" w:history="1">
            <w:r>
              <w:rPr>
                <w:rStyle w:val="878"/>
                <w:rFonts w:ascii="SimSun" w:hAnsi="SimSun" w:eastAsia="SimSun" w:cs="SimSun"/>
                <w:color w:val="0000ff"/>
                <w:sz w:val="24"/>
                <w:u w:val="single"/>
              </w:rPr>
              <w:t xml:space="preserve">第五章  评标方法与评标标准</w:t>
            </w:r>
          </w:hyperlink>
          <w:r/>
          <w:r/>
        </w:p>
        <w:p>
          <w:pPr>
            <w:ind w:left="0" w:right="0" w:firstLine="0"/>
            <w:jc w:val="both"/>
            <w:spacing w:before="0" w:after="0"/>
            <w:tabs>
              <w:tab w:val="left" w:pos="9062" w:leader="none"/>
            </w:tabs>
            <w:pBdr>
              <w:top w:val="none" w:color="000000" w:sz="4" w:space="0"/>
              <w:left w:val="none" w:color="000000" w:sz="4" w:space="0"/>
              <w:bottom w:val="none" w:color="000000" w:sz="4" w:space="0"/>
              <w:right w:val="none" w:color="000000" w:sz="4" w:space="0"/>
            </w:pBdr>
          </w:pPr>
          <w:r/>
          <w:hyperlink r:id="rId17" w:tooltip="http://jszfcg.jsczt.cn/jszc/onlyoffice/7.2.1-34/web-apps/apps/documenteditor/main/index_loader.html?_dc=7.2.1-34&amp;lang=zh&amp;customer=%20&amp;logo=%20&amp;headerlogo=%2Ffavicon.ico&amp;frameEditorId=iframePage&amp;compact=true&amp;parentOrigin=http://jszfcg.jsczt.cn#_Toc184129783" w:history="1">
            <w:r>
              <w:rPr>
                <w:rStyle w:val="878"/>
                <w:rFonts w:ascii="SimSun" w:hAnsi="SimSun" w:eastAsia="SimSun" w:cs="SimSun"/>
                <w:color w:val="0000ff"/>
                <w:sz w:val="24"/>
                <w:u w:val="single"/>
              </w:rPr>
              <w:t xml:space="preserve">第六章  投标文件格式</w:t>
            </w:r>
          </w:hyperlink>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sdtContent>
    </w:sdt>
    <w:p>
      <w:pPr>
        <w:ind w:left="0" w:right="0" w:firstLine="42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65" w:lineRule="atLeast"/>
        <w:tabs>
          <w:tab w:val="left" w:pos="1180" w:leader="none"/>
          <w:tab w:val="left" w:pos="453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ab/>
        <w:tab/>
        <w:t xml:space="preserve">第一章  投标邀请</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w:t>
      </w:r>
      <w:r>
        <w:rPr>
          <w:rFonts w:ascii="SimSun" w:hAnsi="SimSun" w:eastAsia="SimSun" w:cs="SimSun"/>
          <w:b/>
          <w:color w:val="000000"/>
          <w:sz w:val="24"/>
        </w:rPr>
        <w:t xml:space="preserve">南京市妇幼保健院</w:t>
      </w:r>
      <w:r>
        <w:rPr>
          <w:rFonts w:ascii="SimSun" w:hAnsi="SimSun" w:eastAsia="SimSun" w:cs="SimSun"/>
          <w:color w:val="000000"/>
          <w:sz w:val="24"/>
        </w:rPr>
        <w:t xml:space="preserve">]的委托，江苏苏豪创新科技集团高科有限公司就[</w:t>
      </w:r>
      <w:r>
        <w:rPr>
          <w:rFonts w:ascii="SimSun" w:hAnsi="SimSun" w:eastAsia="SimSun" w:cs="SimSun"/>
          <w:b/>
          <w:color w:val="000000"/>
          <w:sz w:val="24"/>
        </w:rPr>
        <w:t xml:space="preserve">MR3.0T维保服务采购项目</w:t>
      </w:r>
      <w:r>
        <w:rPr>
          <w:rFonts w:ascii="SimSun" w:hAnsi="SimSun" w:eastAsia="SimSun" w:cs="SimSun"/>
          <w:color w:val="000000"/>
          <w:sz w:val="24"/>
        </w:rPr>
        <w:t xml:space="preserve">][</w:t>
      </w:r>
      <w:r>
        <w:rPr>
          <w:rFonts w:ascii="SimSun" w:hAnsi="SimSun" w:eastAsia="SimSun" w:cs="SimSun"/>
          <w:b/>
          <w:color w:val="000000"/>
          <w:sz w:val="24"/>
        </w:rPr>
        <w:t xml:space="preserve">项目编号：JSZC-320100-SHGK-G2026-0011</w:t>
      </w:r>
      <w:r>
        <w:rPr>
          <w:rFonts w:ascii="SimSun" w:hAnsi="SimSun" w:eastAsia="SimSun" w:cs="SimSun"/>
          <w:color w:val="000000"/>
          <w:sz w:val="24"/>
        </w:rPr>
        <w:t xml:space="preserve">]采购项目进行公开招标采购，欢迎符合条件的供应商投标。</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65"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rPr>
          <w:rFonts w:ascii="SimSun" w:hAnsi="SimSun" w:eastAsia="SimSun" w:cs="SimSun"/>
          <w:b/>
          <w:color w:val="000000"/>
          <w:sz w:val="24"/>
          <w:u w:val="single"/>
        </w:rPr>
        <w:t xml:space="preserve">南京市妇幼保健院MR3.0T维保服务</w:t>
      </w:r>
      <w:r>
        <w:rPr>
          <w:rFonts w:ascii="SimSun" w:hAnsi="SimSun" w:eastAsia="SimSun" w:cs="SimSun"/>
          <w:color w:val="000000"/>
          <w:sz w:val="24"/>
        </w:rPr>
        <w:t xml:space="preserve">招标项目的潜在投标人应在</w:t>
      </w:r>
      <w:r>
        <w:rPr>
          <w:rFonts w:ascii="SimSun" w:hAnsi="SimSun" w:eastAsia="SimSun" w:cs="SimSun"/>
          <w:color w:val="000000"/>
          <w:sz w:val="24"/>
          <w:u w:val="single"/>
        </w:rPr>
        <w:t xml:space="preserve">“江苏政府采购网”自行免费下载</w:t>
      </w:r>
      <w:r>
        <w:rPr>
          <w:rFonts w:ascii="SimSun" w:hAnsi="SimSun" w:eastAsia="SimSun" w:cs="SimSun"/>
          <w:color w:val="000000"/>
          <w:sz w:val="24"/>
        </w:rPr>
        <w:t xml:space="preserve">招标文件获取招标文件，并于</w:t>
      </w:r>
      <w:r>
        <w:rPr>
          <w:rFonts w:ascii="SimSun" w:hAnsi="SimSun" w:eastAsia="SimSun" w:cs="SimSun"/>
          <w:b/>
          <w:color w:val="000000"/>
          <w:sz w:val="24"/>
          <w:u w:val="single"/>
        </w:rPr>
        <w:t xml:space="preserve">2026年2月13日9时30分</w:t>
      </w:r>
      <w:r>
        <w:rPr>
          <w:rFonts w:ascii="SimSun" w:hAnsi="SimSun" w:eastAsia="SimSun" w:cs="SimSun"/>
          <w:b/>
          <w:color w:val="000000"/>
          <w:sz w:val="24"/>
        </w:rPr>
        <w:t xml:space="preserve">（北京时间）</w:t>
      </w:r>
      <w:r>
        <w:rPr>
          <w:rFonts w:ascii="SimSun" w:hAnsi="SimSun" w:eastAsia="SimSun" w:cs="SimSun"/>
          <w:color w:val="000000"/>
          <w:sz w:val="24"/>
        </w:rPr>
        <w:t xml:space="preserve">前递交投标文件。</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一、项目基本情况</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1、项目编号：JSZC-320100-SHGK-G2026-0011</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2、项目名称：南京市妇幼保健院MR3.0T维保服务采购项目</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3、预算金额：420万元人民币</w:t>
      </w:r>
      <w:r/>
    </w:p>
    <w:p>
      <w:pPr>
        <w:ind w:left="0" w:right="0" w:firstLine="480"/>
        <w:jc w:val="both"/>
        <w:spacing w:before="0" w:after="0" w:line="65" w:lineRule="atLeast"/>
        <w:tabs>
          <w:tab w:val="left" w:pos="436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4、最高限价：420万元人民币</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5、采购需求：MR3.0T维保服务，详见《第四章 采购需求》。</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6、合同履行期限：三年。</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7、本项目不接受联合体参与投标</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二、申请人的资格要求</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（一）通用资格要求</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1.满足《中华人民共和国政府采购法》第二十二条规定，并提供下列材料：</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1.1法人或者其他组织的营业执照等证明文件，自然人的身份证明；</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1.2上一年度的财务状况报告（成立不满一年无需提供）；</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1.4具备履行合同所必需的设备和专业技术能力的书面声明；</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1.5参加政府采购活动前3年内在经营活动中没有重大违法记录的书面声明。</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1.6法律、行政法规规定的其他条件。</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落实政府采购政策需满足的资格要求：本项目非预留份额的采购项目或采购包，执行价格扣除优惠政策，给予小微型企业、监狱企业或残疾人福利性单位报价10%的扣除，用扣除后的价格参加评审。价格扣除比例对小型企业和微型企业同等对待，不作区分。监狱企业、残疾人福利单位属于小型、微型企业的，不重复享受政策。 </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（二）本项目的特定资格要求：</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（1）投标人须提供《医疗器械经营许可证》；</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（2）提供投标人代表在投标文件接收截止时间前半年内任一月份投标单位为其缴纳社会保障资金的凭据（复印件加盖公章）；</w:t>
      </w:r>
      <w:r/>
    </w:p>
    <w:p>
      <w:pPr>
        <w:ind w:left="0" w:right="0" w:firstLine="482"/>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三、获取招标文件</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1、时间：自招标文件公告发布之日起5个工作日</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2、地点：“苏采云”政府采购交易系统 </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3、方式：在“江苏政府采购网”自行免费下载招标文件。</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四、提交投标文件截止时间、开标时间和地点</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1.投标文件接收截止时间（北京时间）：</w:t>
      </w:r>
      <w:r>
        <w:rPr>
          <w:rFonts w:ascii="SimSun" w:hAnsi="SimSun" w:eastAsia="SimSun" w:cs="SimSun"/>
          <w:color w:val="ff0000"/>
          <w:sz w:val="24"/>
          <w:u w:val="single"/>
        </w:rPr>
        <w:t xml:space="preserve">2026年2月13日9时30分（北京时间）</w:t>
      </w:r>
      <w:r>
        <w:rPr>
          <w:rFonts w:ascii="SimSun" w:hAnsi="SimSun" w:eastAsia="SimSun" w:cs="SimSun"/>
          <w:color w:val="000000"/>
          <w:sz w:val="24"/>
        </w:rPr>
        <w:t xml:space="preserve">。</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2.地点：“苏采云”政府采购交易系统网上开标大厅。</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五、公告期限</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招标公告及招标文件公告期限为自本公告发布之日起5个工作日。</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六、其他补充事宜</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供应商通过苏采云系统参与政府采购项目，需要办理江苏省政府采购数字证书及电子公章，具体详见苏采云系统登录页“新CA办理指南”。《苏采云系统供应商操作手册》（以下简称《操作手册》）可至江苏省政府采购网―办事指南-资料下载中心下载，供应商按《操作手册》进行注册、制作、上传电子投标文件。</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2.潜在供应商访问政府采购管理交易系统（苏采云）的网络地址和方法：</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（2）“CA数字证书”的获取：供应商需办理CA锁，“苏采云”系统目前仅支持“苏采云”系统下的政务CA，省内各地区办理的“苏采云”系统下的政务CA全省通用。</w:t>
      </w:r>
      <w:r/>
    </w:p>
    <w:p>
      <w:pPr>
        <w:ind w:left="0" w:right="0" w:firstLine="48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（3）“CA数字证书”的办理材料以及供应商操作手册详见：http://jsxcmm.com/help/gys.html。</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（4）潜在供应商访问“苏采云”系统的网络地址和方法：“苏采云”系统的网址：http://jszfcg.jsczt.cn/jszc/login。</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（5）采购文件（后缀名为“.kedt”）、供应商操作手册及政府采购客户端工具也可通过“苏采云”系统--已报名项目--报名详情页面内相应链接进行下载。</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（6）招标代理机构（采购代理机构）将数据电文形式的采购文件加载至“苏采云”系统，供潜在供应商下载或者查阅。</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（7）苏采云系统使用谷歌浏览器参与不见面开标。</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（8）“苏采云”南京地区客服热线025-83633744、025-83633743。</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3.投标文件的解密：</w:t>
      </w:r>
      <w:r>
        <w:rPr>
          <w:rFonts w:ascii="SimSun" w:hAnsi="SimSun" w:eastAsia="SimSun" w:cs="SimSun"/>
          <w:color w:val="000000"/>
          <w:sz w:val="24"/>
        </w:rPr>
        <w:t xml:space="preserve">开标当天各供应商及时登录不见面开标大厅，投标文件递交截止时间后，采购人将在系统内公布供应商名单，然后通过开标会议区发出投标文件解密的指令，投标供应商在开标室按规定时间自行实施远程解密，</w:t>
      </w:r>
      <w:r>
        <w:rPr>
          <w:rFonts w:ascii="SimSun" w:hAnsi="SimSun" w:eastAsia="SimSun" w:cs="SimSun"/>
          <w:b/>
          <w:color w:val="000000"/>
          <w:sz w:val="24"/>
        </w:rPr>
        <w:t xml:space="preserve">投标供应商解密限定在开标后30分钟之内完成</w:t>
      </w:r>
      <w:r>
        <w:rPr>
          <w:rFonts w:ascii="SimSun" w:hAnsi="SimSun" w:eastAsia="SimSun" w:cs="SimSun"/>
          <w:color w:val="000000"/>
          <w:sz w:val="24"/>
        </w:rPr>
        <w:t xml:space="preserve">。因投标供应商网络与电源不稳定、未按操作手册要求配置软硬件、解密锁发生故障或用错、故意不在要求时限内完成解密等自身原因，导致投标文件在规定时间内未能解密、解密失败或解密超时，视为投标供应商撤销其投标文件，系统内投标文件将被退回；因采购人（或采购代理机构）原因或网上招投标平台发生故障，导致无法按时完成投标文件解密或开、评标工作无法进行的，可根据实际情况相应延迟解密时间或调整开、评标时间。</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4.政府采购信用承诺：</w:t>
      </w:r>
      <w:r>
        <w:rPr>
          <w:rFonts w:ascii="SimSun" w:hAnsi="SimSun" w:eastAsia="SimSun" w:cs="SimSun"/>
          <w:color w:val="000000"/>
          <w:sz w:val="24"/>
        </w:rPr>
        <w:t xml:space="preserve">根据《关于在政府采购活动中推行信用承诺制的通知》宁财购通〔2021〕5号规定，参加南京地区政府采购活动的供应商，应以书面形式向采购人或政府采购代理机构作出信用承诺。信用承诺以《南京市政府采购供应商信用记录表暨信用承诺书》体现。供应商应尽早做好承诺书工作，点击‘南京公共采购信息网’首页（https://njgc.jfh.com/）‘南京市政府采购供应商诚信档案’系统链接打开系统页面（http://180.101.238.212:8280/hodeframe2018_cxda/index.action;jses</w:t>
      </w:r>
      <w:r>
        <w:rPr>
          <w:rFonts w:ascii="SimSun" w:hAnsi="SimSun" w:eastAsia="SimSun" w:cs="SimSun"/>
          <w:color w:val="000000"/>
          <w:sz w:val="24"/>
        </w:rPr>
        <w:t xml:space="preserve">sionid=769BA9C8E1729422E7173B991C8EC1E5）登录（未注册的供应商应先点击‘供应商注册点这里’并按要求完成注册），然后在“信用记录”模块页面点击“信用记录打印”下载本单位信用记录表，由法人签字并盖单位公章。</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在政府采购资格审查环节，供应商只需提供书面《南京市政府采购供应商信用记录表暨信用承诺书》，即可替代以下证明材料：</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（1）符合国家相关规定的财务状况报告；</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（2）依法缴纳税收的证明材料；</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（3）依法缴纳社会保障资金的证明材料；</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（4）具备履行政府采购合同所必需的设备和专业技术能力的证明材料；</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（5）参加政府采购活动前三年内在经营活动中没有重大违法记录的证明材料；</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（6）未被列入失信被执行人、重大税收违法失信主体、政府采购严重违法失信行为记录名单的证明材料。</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供应商在中标（成交）后，应上述由信用承诺书替代的证明材料，加盖公章提交采购人或采购代理机构核验。经核验无误后，由采购人或采购代理机构发出中标（成交）通知书。</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供应商涉及以下情形的，不适用信用承诺，仍须提供上述证明材料：</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（1）供应商被列入严重失信主体名单；</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（2）被相关监管部门作出行政处罚且尚在处罚有效期内；</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（3）其他法律、行政法规规定的不适用信用承诺的情形。</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供应商对信用承诺内容的真实性、合法性、有效性负责。如作出虚假信用承诺，视同为“提供虚假材料谋取中标、成交”的违法行为。</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七、对本次招标提出询问，请按以下方式联系</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 购 人：南京市妇幼保健院</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联系地址：南京市栖霞区燕新路1号</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 系 人：谭老师</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联系电话：025-69929277</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采购代理机构：江苏苏豪创新科技集团高科有限公司</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联系地址：南京市雨花台区软件大道21号C座110室</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 系 人：吴岢非</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联系电话：025-52875983</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    箱：wkf@sumex.com.cn</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3、项目联系方式（业务）</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项目联系人：吴志叶（项目负责人）</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联系电话：025-52875936</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八、其他</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w:t>
      </w:r>
      <w:r>
        <w:rPr>
          <w:rFonts w:ascii="SimSun" w:hAnsi="SimSun" w:eastAsia="SimSun" w:cs="SimSun"/>
          <w:color w:val="000000"/>
          <w:sz w:val="21"/>
        </w:rPr>
        <w:t xml:space="preserve">http://www.ccgp-jiangsu.gov.cn/jiangsu/zlxz/ee/ee3a4bc5a3454aa2b0d9312230633ce9.html。</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有关本次招标的事项若存在变动或修改，敬请及时关注江苏苏豪创新科技集团高科有限公司在“江苏政府采购网”发布的更正公告。</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本次招标不收取投标保证金。</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第二章  投标人须知</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一、总则</w:t>
      </w:r>
      <w:r/>
    </w:p>
    <w:p>
      <w:pPr>
        <w:ind w:left="0" w:right="0" w:firstLine="482"/>
        <w:jc w:val="both"/>
        <w:spacing w:before="161"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1、招标方式</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本次招标采取公开招标方式，本招标文件仅适用于招标公告中所述项目。</w:t>
      </w:r>
      <w:r/>
    </w:p>
    <w:p>
      <w:pPr>
        <w:ind w:left="0" w:right="0" w:firstLine="482"/>
        <w:jc w:val="both"/>
        <w:spacing w:before="161"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2、合格的投标人</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满足招标公告中供应商的资格要求的规定。</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满足本文件实质性要求和条件的规定。</w:t>
      </w:r>
      <w:r/>
    </w:p>
    <w:p>
      <w:pPr>
        <w:ind w:left="0" w:right="0" w:firstLine="482"/>
        <w:jc w:val="both"/>
        <w:spacing w:before="161"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3、适用法律</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本次招标及由此产生的合同受中华人民共和国有关的法律法规制约和保护。</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本招标项目执行《中华人民共和国政府采购法》《中华人民共和国政府采购法实施条例》《中华人民共和国财政部令第87号》《财库（2017）141号》《财库（2014）68号》《财库（2020）46号》《苏财购〔2020〕52号》《财库（2004）185号》（节能环保）、《苏财购〔2022〕45号》</w:t>
      </w:r>
      <w:r/>
    </w:p>
    <w:p>
      <w:pPr>
        <w:ind w:left="0" w:right="0" w:firstLine="482"/>
        <w:jc w:val="both"/>
        <w:spacing w:before="161"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4、投标费用</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投标人应自行承担所有与参加投标有关的费用，无论投标过程中的做法和结果如何，</w:t>
      </w:r>
      <w:r>
        <w:rPr>
          <w:rFonts w:ascii="SimSun" w:hAnsi="SimSun" w:eastAsia="SimSun" w:cs="SimSun"/>
          <w:b/>
          <w:color w:val="000000"/>
          <w:sz w:val="24"/>
        </w:rPr>
        <w:t xml:space="preserve">江苏苏豪创新科技集团高科有限公司（以下简称采购代理机构）</w:t>
      </w:r>
      <w:r>
        <w:rPr>
          <w:rFonts w:ascii="SimSun" w:hAnsi="SimSun" w:eastAsia="SimSun" w:cs="SimSun"/>
          <w:color w:val="000000"/>
          <w:sz w:val="24"/>
        </w:rPr>
        <w:t xml:space="preserve">在任何情况下均无义务和责任承担这些费用。</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 本次招标</w:t>
      </w:r>
      <w:r>
        <w:rPr>
          <w:rFonts w:ascii="SimSun" w:hAnsi="SimSun" w:eastAsia="SimSun" w:cs="SimSun"/>
          <w:b/>
          <w:color w:val="000000"/>
          <w:sz w:val="24"/>
        </w:rPr>
        <w:t xml:space="preserve">采购代理机构</w:t>
      </w:r>
      <w:r>
        <w:rPr>
          <w:rFonts w:ascii="SimSun" w:hAnsi="SimSun" w:eastAsia="SimSun" w:cs="SimSun"/>
          <w:color w:val="000000"/>
          <w:sz w:val="24"/>
        </w:rPr>
        <w:t xml:space="preserve">不收取标书工本费。</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 招标服务费收费标准：</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4.3.1中标人向采购代理机构支付招标服务费，中标人领取中标通知书前向采购代理机构支付中标服务费，服务费参照国家发展计划委员会计价格（2002）1980号文件招标收费标准的80%计取，应在领取中标通知书前缴纳。</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4.3.2服务费汇款地址：</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开户名：江苏苏豪创新科技集团高科有限公司</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开户行：工行南京市白下支行</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 号：4301013119100888895</w:t>
      </w:r>
      <w:r/>
    </w:p>
    <w:p>
      <w:pPr>
        <w:ind w:left="0" w:right="0" w:firstLine="482"/>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5、招标文件的约束力</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投标人一旦参加本项目采购活动，即被认为接受了本招标文件的规定和约束。</w:t>
      </w:r>
      <w:r/>
    </w:p>
    <w:p>
      <w:pPr>
        <w:ind w:left="0" w:right="0" w:firstLine="482"/>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二、招标文件</w:t>
      </w:r>
      <w:r/>
    </w:p>
    <w:p>
      <w:pPr>
        <w:ind w:left="0" w:right="0" w:firstLine="482"/>
        <w:jc w:val="both"/>
        <w:spacing w:before="161"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6、招标文件构成</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招标文件由以下部分组成：</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（1）投标邀请</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（2）投标人须知</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（3）合同文本</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（5）评标方法与评标标准</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（6）投标文件格式</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请仔细检查招标文件是否齐全，如有缺漏请立即与</w:t>
      </w:r>
      <w:r>
        <w:rPr>
          <w:rFonts w:ascii="SimSun" w:hAnsi="SimSun" w:eastAsia="SimSun" w:cs="SimSun"/>
          <w:color w:val="000000"/>
          <w:sz w:val="24"/>
          <w:u w:val="single"/>
        </w:rPr>
        <w:t xml:space="preserve">采购代理机构</w:t>
      </w:r>
      <w:r>
        <w:rPr>
          <w:rFonts w:ascii="SimSun" w:hAnsi="SimSun" w:eastAsia="SimSun" w:cs="SimSun"/>
          <w:color w:val="000000"/>
          <w:sz w:val="24"/>
        </w:rPr>
        <w:t xml:space="preserve">联系解决。</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482"/>
        <w:jc w:val="both"/>
        <w:spacing w:before="161"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7、招标文件的澄清</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任何要求对招标文件进行澄清的投标人，应在投标截止期15日前按招标公告中的通讯地址，以书面形式通知</w:t>
      </w:r>
      <w:r>
        <w:rPr>
          <w:rFonts w:ascii="SimSun" w:hAnsi="SimSun" w:eastAsia="SimSun" w:cs="SimSun"/>
          <w:color w:val="000000"/>
          <w:sz w:val="24"/>
          <w:u w:val="single"/>
        </w:rPr>
        <w:t xml:space="preserve">采购代理机构</w:t>
      </w:r>
      <w:r>
        <w:rPr>
          <w:rFonts w:ascii="SimSun" w:hAnsi="SimSun" w:eastAsia="SimSun" w:cs="SimSun"/>
          <w:color w:val="000000"/>
          <w:sz w:val="24"/>
        </w:rPr>
        <w:t xml:space="preserve">。</w:t>
      </w:r>
      <w:r/>
    </w:p>
    <w:p>
      <w:pPr>
        <w:ind w:left="0" w:right="0" w:firstLine="482"/>
        <w:jc w:val="both"/>
        <w:spacing w:before="161"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8、招标文件的修改</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在投标截止时间前，</w:t>
      </w:r>
      <w:r>
        <w:rPr>
          <w:rFonts w:ascii="SimSun" w:hAnsi="SimSun" w:eastAsia="SimSun" w:cs="SimSun"/>
          <w:color w:val="000000"/>
          <w:sz w:val="24"/>
          <w:u w:val="single"/>
        </w:rPr>
        <w:t xml:space="preserve">采购代理机构</w:t>
      </w:r>
      <w:r>
        <w:rPr>
          <w:rFonts w:ascii="SimSun" w:hAnsi="SimSun" w:eastAsia="SimSun" w:cs="SimSun"/>
          <w:color w:val="000000"/>
          <w:sz w:val="24"/>
        </w:rPr>
        <w:t xml:space="preserve">可以对招标文件进行修改。</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w:t>
      </w:r>
      <w:r>
        <w:rPr>
          <w:rFonts w:ascii="SimSun" w:hAnsi="SimSun" w:eastAsia="SimSun" w:cs="SimSun"/>
          <w:color w:val="000000"/>
          <w:sz w:val="24"/>
          <w:u w:val="single"/>
        </w:rPr>
        <w:t xml:space="preserve">采购代理机构</w:t>
      </w:r>
      <w:r>
        <w:rPr>
          <w:rFonts w:ascii="SimSun" w:hAnsi="SimSun" w:eastAsia="SimSun" w:cs="SimSun"/>
          <w:color w:val="000000"/>
          <w:sz w:val="24"/>
        </w:rPr>
        <w:t xml:space="preserve">有权按照法定的要求推迟投标截止日期和开标日期。</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 招标文件的修改将在江苏政府采购网公布，补充文件将作为招标文件的组成部分，并对投标人具有约束力。</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三、投标文件的编制</w:t>
      </w:r>
      <w:r/>
    </w:p>
    <w:p>
      <w:pPr>
        <w:ind w:left="0" w:right="0" w:firstLine="482"/>
        <w:jc w:val="both"/>
        <w:spacing w:before="161"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9、投标文件的语言及度量衡单位</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投标人提交的投标文件以及投标人与</w:t>
      </w:r>
      <w:r>
        <w:rPr>
          <w:rFonts w:ascii="SimSun" w:hAnsi="SimSun" w:eastAsia="SimSun" w:cs="SimSun"/>
          <w:color w:val="000000"/>
          <w:sz w:val="24"/>
          <w:u w:val="single"/>
        </w:rPr>
        <w:t xml:space="preserve">采购代理机构</w:t>
      </w:r>
      <w:r>
        <w:rPr>
          <w:rFonts w:ascii="SimSun" w:hAnsi="SimSun" w:eastAsia="SimSun" w:cs="SimSun"/>
          <w:color w:val="000000"/>
          <w:sz w:val="24"/>
        </w:rPr>
        <w:t xml:space="preserve">就有关投标的所有来往通知、函件和文件均应使用</w:t>
      </w:r>
      <w:r>
        <w:rPr>
          <w:rFonts w:ascii="SimSun" w:hAnsi="SimSun" w:eastAsia="SimSun" w:cs="SimSun"/>
          <w:b/>
          <w:color w:val="000000"/>
          <w:sz w:val="24"/>
        </w:rPr>
        <w:t xml:space="preserve">简体中文</w:t>
      </w:r>
      <w:r>
        <w:rPr>
          <w:rFonts w:ascii="SimSun" w:hAnsi="SimSun" w:eastAsia="SimSun" w:cs="SimSun"/>
          <w:color w:val="000000"/>
          <w:sz w:val="24"/>
        </w:rPr>
        <w:t xml:space="preserve">。</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除技术性能另有规定外，投标文件所使用的度量衡单位，均须采用国家法定计量单位。</w:t>
      </w:r>
      <w:r/>
    </w:p>
    <w:p>
      <w:pPr>
        <w:ind w:left="0" w:right="0" w:firstLine="482"/>
        <w:jc w:val="both"/>
        <w:spacing w:before="161"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10、投标文件构成</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投标人编写的投标文件应包括资格证明文件、符合性证明文件、投标分项报价表、技术要求响应及偏离表、商务要求响应及偏离表、其他证明文件、投标函、开标一览表等部分。</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如标书制作工具中格式和内容与“江苏政府采购网”发布的招标文件不一致，请以“江苏政府采购网”发布的招标文件为准。</w:t>
      </w:r>
      <w:r/>
    </w:p>
    <w:p>
      <w:pPr>
        <w:ind w:left="0" w:right="0" w:firstLine="482"/>
        <w:jc w:val="both"/>
        <w:spacing w:before="161"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11、证明投标人及投标标的符合招标文件规定的文件</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投标人应按照招标文件要求提交证明文件，证明其及投标标的符合招标文件规定。</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11.2招标文件对证明文件无明确形式要求的，证明文件可以以文字资料、图纸和数据等形式提交。</w:t>
      </w:r>
      <w:r/>
    </w:p>
    <w:p>
      <w:pPr>
        <w:ind w:left="0" w:right="0" w:firstLine="482"/>
        <w:jc w:val="both"/>
        <w:spacing w:before="161"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12、投标分项报价表</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投标人应按照招标文件规定格式填报投标分项报价表。</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12.2投标货币。投标文件中的单价和总价无特殊规定的采用人民币报价，以元为单位标注。招标文件中另有规定的按规定执行。</w:t>
      </w:r>
      <w:r/>
    </w:p>
    <w:p>
      <w:pPr>
        <w:ind w:left="0" w:right="0" w:firstLine="482"/>
        <w:jc w:val="both"/>
        <w:spacing w:before="161"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13、技术要求响应及偏离表、商务要求响应及偏离表</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投标人需对招标文件中的技术要求与商务要求逐项作出响应或偏离，并说明原因。</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投标人可在投标文件中提供认为需要的其他技术文件或说明。</w:t>
      </w:r>
      <w:r/>
    </w:p>
    <w:p>
      <w:pPr>
        <w:ind w:left="0" w:right="0" w:firstLine="482"/>
        <w:jc w:val="both"/>
        <w:spacing w:before="161"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14、服务承诺、培训计划、人员安排及其他</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投标人需根据招标文件要求提供有关售后服务的管理制度，售后服务机构的分布情况，售后服务人员的数量、素质、技术水平及售后服务的反应能力等。</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投标人需根据招标文件要求提供培训计划。</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 投标人需根据招标文件要求提供所投标的的主要组成部分、功能设计、实现思路及关键技术等。</w:t>
      </w:r>
      <w:r/>
    </w:p>
    <w:p>
      <w:pPr>
        <w:ind w:left="0" w:right="0" w:firstLine="482"/>
        <w:jc w:val="both"/>
        <w:spacing w:before="161"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15、投标函和开标一览表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15.1投标人应按照招标文件中提供的格式完整、正确填写投标函、开标一览表。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15.2对于采用货币报价的项目，开标一览表中的投标总报价应与投标分项报价表中的投标总报价一致，如不一致，不作为无效投标处理，但评标时按开标一览表中价格为准。</w:t>
      </w:r>
      <w:r/>
    </w:p>
    <w:p>
      <w:pPr>
        <w:numPr>
          <w:ilvl w:val="0"/>
          <w:numId w:val="9"/>
        </w:numPr>
        <w:jc w:val="both"/>
        <w:spacing w:before="161"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16.1投标有效期为采购代理机构规定的开标之日后</w:t>
      </w:r>
      <w:r>
        <w:rPr>
          <w:rFonts w:ascii="SimSun" w:hAnsi="SimSun" w:eastAsia="SimSun" w:cs="SimSun"/>
          <w:b/>
          <w:color w:val="000000"/>
          <w:sz w:val="24"/>
          <w:u w:val="single"/>
        </w:rPr>
        <w:t xml:space="preserve">六十（</w:t>
      </w:r>
      <w:r>
        <w:rPr>
          <w:rFonts w:ascii="FangSong" w:hAnsi="FangSong" w:eastAsia="FangSong" w:cs="FangSong"/>
          <w:b/>
          <w:color w:val="000000"/>
          <w:sz w:val="24"/>
          <w:u w:val="single"/>
        </w:rPr>
        <w:t xml:space="preserve">60</w:t>
      </w:r>
      <w:r>
        <w:rPr>
          <w:rFonts w:ascii="SimSun" w:hAnsi="SimSun" w:eastAsia="SimSun" w:cs="SimSun"/>
          <w:b/>
          <w:color w:val="000000"/>
          <w:sz w:val="24"/>
          <w:u w:val="single"/>
        </w:rPr>
        <w:t xml:space="preserve">）天</w:t>
      </w:r>
      <w:r>
        <w:rPr>
          <w:rFonts w:ascii="SimSun" w:hAnsi="SimSun" w:eastAsia="SimSun" w:cs="SimSun"/>
          <w:color w:val="000000"/>
          <w:sz w:val="24"/>
        </w:rPr>
        <w:t xml:space="preserve">。投标有效期比规定短的将被视为未实质性响应招标文件而予以拒绝。</w:t>
      </w:r>
      <w:r/>
    </w:p>
    <w:p>
      <w:pPr>
        <w:ind w:left="0" w:right="0" w:firstLine="482"/>
        <w:jc w:val="both"/>
        <w:spacing w:before="161"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17、投标有效期的延长</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四、投标文件的递交</w:t>
      </w:r>
      <w:r/>
    </w:p>
    <w:p>
      <w:pPr>
        <w:ind w:left="0" w:right="0" w:firstLine="482"/>
        <w:jc w:val="both"/>
        <w:spacing w:before="161"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18、电子投标文件的递交</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18.1投标人应当按照《操作手册》规定，在投标截止时间前制作并上传电子投标文件。</w:t>
      </w:r>
      <w:r/>
    </w:p>
    <w:p>
      <w:pPr>
        <w:ind w:left="0" w:right="0" w:firstLine="482"/>
        <w:jc w:val="both"/>
        <w:spacing w:before="161"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19、投标截止日期</w:t>
      </w:r>
      <w:r/>
    </w:p>
    <w:p>
      <w:pPr>
        <w:ind w:left="0" w:right="0" w:firstLine="482"/>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19.1 投标人上传电子投标文件的时间不得迟于招标公告中规定的投标截止时间。</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投标人应充分考虑到网络环境、网络带宽等风险因素，如因投标人自身原因造成的电子投标文件上传不成功的按照本招标文件第二章第</w:t>
      </w:r>
      <w:r>
        <w:rPr>
          <w:rFonts w:ascii="SimSun" w:hAnsi="SimSun" w:eastAsia="SimSun" w:cs="SimSun"/>
          <w:b/>
          <w:color w:val="000000"/>
          <w:sz w:val="24"/>
        </w:rPr>
        <w:t xml:space="preserve">27.1.2条规定做无效投标处理</w:t>
      </w:r>
      <w:r>
        <w:rPr>
          <w:rFonts w:ascii="SimSun" w:hAnsi="SimSun" w:eastAsia="SimSun" w:cs="SimSun"/>
          <w:color w:val="000000"/>
          <w:sz w:val="24"/>
        </w:rPr>
        <w:t xml:space="preserve">。</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w:t>
      </w:r>
      <w:r>
        <w:rPr>
          <w:rFonts w:ascii="SimSun" w:hAnsi="SimSun" w:eastAsia="SimSun" w:cs="SimSun"/>
          <w:color w:val="000000"/>
          <w:sz w:val="24"/>
          <w:u w:val="single"/>
        </w:rPr>
        <w:t xml:space="preserve">采购代理机构</w:t>
      </w:r>
      <w:r>
        <w:rPr>
          <w:rFonts w:ascii="SimSun" w:hAnsi="SimSun" w:eastAsia="SimSun" w:cs="SimSun"/>
          <w:color w:val="000000"/>
          <w:sz w:val="24"/>
        </w:rPr>
        <w:t xml:space="preserve">可以按照规定，通过修改招标文件酌情延长投标截止日期，在此情况下，投标人的所有权利和义务以及投标人受制的截止日期均应以延长后新的截止日期为准。</w:t>
      </w:r>
      <w:r/>
    </w:p>
    <w:p>
      <w:pPr>
        <w:ind w:left="0" w:right="0" w:firstLine="482"/>
        <w:jc w:val="both"/>
        <w:spacing w:before="161"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20、投标文件的拒收</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20.1采购代理机构拒绝接收在其规定的投标截止时间后上传的任何投标文件。</w:t>
      </w:r>
      <w:r/>
    </w:p>
    <w:p>
      <w:pPr>
        <w:ind w:left="0" w:right="0" w:firstLine="482"/>
        <w:jc w:val="both"/>
        <w:spacing w:before="161"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21、投标文件的撤回和修改</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21.1投标文件的撤回</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21.1.1电子投标文件的撤回</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投标人可在投标截止时间前，撤回其电子投标文件，具体操作方法见《操作手册》。</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21.1.2投标人撤回电子投标文件，则认为其不再参与本项目投标活动。</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21.2投标文件的修改</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21.2.1投标人可在投标截止时间前，对其电子投标文件进行修改，具体操作方法见《操作手册》。</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21.2.2在投标截止时间之后，投标人不得对其电子投标文件作任何修改。</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21.3在投标截止时间至招标文件中规定的投标有效期满之间的这段时间内，投标人不得撤回其投标。</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五、开标与评标</w:t>
      </w:r>
      <w:r/>
    </w:p>
    <w:p>
      <w:pPr>
        <w:ind w:left="0" w:right="0" w:firstLine="482"/>
        <w:jc w:val="both"/>
        <w:spacing w:before="161"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22、开标</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 采购代理机构将在招标公告中规定的时间和地点组织公开开标。投标人应当按照《操作手册》规定，参加开标活动和在苏采云系统规定的时间内对投标文件进行解密。</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22.2开标仪式由采购代理机构组织。苏采云系统将自动对项目进行开标，并宣布各投标人名称和投标价格。</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22.3投标人在开标过程中涉及到的投标文件解密、开标结果确认等工作，应按照《操作手册》规定执行。</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22.4 投标人如果对开标过程和开标记录有疑义，应当根据《操作手册》规定提出，如 苏采云系统中《开标记录表》宣布后5分钟内未提出的，视同认可开标结果。</w:t>
      </w:r>
      <w:r/>
    </w:p>
    <w:p>
      <w:pPr>
        <w:ind w:left="0" w:right="0" w:firstLine="482"/>
        <w:jc w:val="both"/>
        <w:spacing w:before="161"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23、评标委员会</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23.1开标后，采购代理机构将立即组织评标委员会（以下简称评委会）进行评标。</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23.2评委会由采购人代表和有关技术、经济等方面的专家组成，且人员构成符合政府采购有关规定。</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23.3评委会独立工作，负责评审所有投标文件并确定中标候选人。</w:t>
      </w:r>
      <w:r/>
    </w:p>
    <w:p>
      <w:pPr>
        <w:ind w:left="0" w:right="0" w:firstLine="482"/>
        <w:jc w:val="both"/>
        <w:spacing w:before="161"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24．评标过程的保密与公正</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 凡是与审查、澄清、评价和比较投标的有关资料以及授标建议等，采购人、评委、采购代理机构均不得向投标人或与评标无关的其他人员透露。</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 在评标过程中，投标人不得以任何行为影响评标过程，否则其投标文件将被作为无效投标文件。</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 采购代理机构和评标委员会不向未中标的投标人解释未中标原因，也不公布评标过程中的相关细节。</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 采用综合评分法的项目，未中标的投标人可于中标结果公告期限届满之日起通过</w:t>
      </w:r>
      <w:r>
        <w:rPr>
          <w:rFonts w:ascii="SimSun" w:hAnsi="SimSun" w:eastAsia="SimSun" w:cs="SimSun"/>
          <w:color w:val="ff0000"/>
          <w:sz w:val="24"/>
        </w:rPr>
        <w:t xml:space="preserve">苏采云系统</w:t>
      </w:r>
      <w:r>
        <w:rPr>
          <w:rFonts w:ascii="SimSun" w:hAnsi="SimSun" w:eastAsia="SimSun" w:cs="SimSun"/>
          <w:color w:val="000000"/>
          <w:sz w:val="24"/>
        </w:rPr>
        <w:t xml:space="preserve">查看自己的评审得分及排序情况。</w:t>
      </w:r>
      <w:r/>
    </w:p>
    <w:p>
      <w:pPr>
        <w:ind w:left="0" w:right="0" w:firstLine="482"/>
        <w:jc w:val="both"/>
        <w:spacing w:before="161"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25．投标文件的澄清</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25.1评标期间，评委会对投标文件中含义不明确、同类问题表述不一致或者有明显文字和计算错误的内容 ，有权要求投标人作出必要的澄清、说明或者补正。</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投标人的澄清、说明或者补正不得超出投标文件的范围或者改变投标文件的实质性内容。</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评标委员会并非对每个投标人都做澄清要求。</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25.2需要供应商进行澄清、说明和补正的，评委会将通过</w:t>
      </w:r>
      <w:r>
        <w:rPr>
          <w:rFonts w:ascii="SimSun" w:hAnsi="SimSun" w:eastAsia="SimSun" w:cs="SimSun"/>
          <w:color w:val="ff0000"/>
          <w:sz w:val="24"/>
        </w:rPr>
        <w:t xml:space="preserve">苏采云系统</w:t>
      </w:r>
      <w:r>
        <w:rPr>
          <w:rFonts w:ascii="SimSun" w:hAnsi="SimSun" w:eastAsia="SimSun" w:cs="SimSun"/>
          <w:color w:val="000000"/>
          <w:sz w:val="24"/>
        </w:rPr>
        <w:t xml:space="preserve">向供应商发出“澄清要求函”，接到“澄清要求函”的投标人应当按照要求在</w:t>
      </w:r>
      <w:r>
        <w:rPr>
          <w:rFonts w:ascii="SimSun" w:hAnsi="SimSun" w:eastAsia="SimSun" w:cs="SimSun"/>
          <w:color w:val="ff0000"/>
          <w:sz w:val="24"/>
        </w:rPr>
        <w:t xml:space="preserve">苏采云系统</w:t>
      </w:r>
      <w:r>
        <w:rPr>
          <w:rFonts w:ascii="SimSun" w:hAnsi="SimSun" w:eastAsia="SimSun" w:cs="SimSun"/>
          <w:color w:val="000000"/>
          <w:sz w:val="24"/>
        </w:rPr>
        <w:t xml:space="preserve">中提交“澄清响应函”并加盖CA电子公章。澄清、说明和补正的内容作为投标文件的补充部分，具体操作方式见《操作手册》。</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25.3接到评委会澄清、说明和补正要求的投标人如未按规定做出澄清、说明和补正，其风险由投标人自行承担。</w:t>
      </w:r>
      <w:r/>
    </w:p>
    <w:p>
      <w:pPr>
        <w:ind w:left="0" w:right="0" w:firstLine="482"/>
        <w:jc w:val="both"/>
        <w:spacing w:before="161"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26、对投标文件的初审</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 投标文件初审分为资格审查和符合性审查。</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26.1.1资格审查：依据法律法规和招标文件的规定，由采购人对投标文件中的资格证明文件进行审查。资格审查的结论，采购人以书面形式向评委会进行反馈。</w:t>
      </w:r>
      <w:r/>
    </w:p>
    <w:p>
      <w:pPr>
        <w:ind w:left="0" w:right="0" w:firstLine="482"/>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采购人在进行资格性审查的同时，将在“信用中国”网站（www.creditchina.gov.cn）查询投标人的信用记录，以确定投标人是否具备投标资格。</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26.1.2符合性审查：依据招标文件的规定，由评委会从投标文件的有效性、完整性和对招标文件的响应程度进行审查，以确定是否对招标文件的实质性要求作出响应。</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26.1.3未通过资格审查或符合性审查的投标人，采购代理机构将在</w:t>
      </w:r>
      <w:r>
        <w:rPr>
          <w:rFonts w:ascii="SimSun" w:hAnsi="SimSun" w:eastAsia="SimSun" w:cs="SimSun"/>
          <w:color w:val="ff0000"/>
          <w:sz w:val="24"/>
        </w:rPr>
        <w:t xml:space="preserve">苏采云系统</w:t>
      </w:r>
      <w:r>
        <w:rPr>
          <w:rFonts w:ascii="SimSun" w:hAnsi="SimSun" w:eastAsia="SimSun" w:cs="SimSun"/>
          <w:color w:val="000000"/>
          <w:sz w:val="24"/>
        </w:rPr>
        <w:t xml:space="preserve">中告知未通过资格审查或符合性审查的原因，评审结束后，采购代理机构将不再告知未通过资格审查或符合性审查的原因。</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26.3如果投标文件实质上没有响应招标文件的要求，评委会将予以拒绝，投标人不得通过修改或撤销不合要求的偏离或保留而使其投标成为实质性响应的投标。</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26.4评委会将对确定为实质性响应的投标进行进一步审核，看其是否有计算上或累加上的算术错误，修正错误的原则如下：</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（1）投标文件中开标一览表内容与投标文件中相应内容不一致的，以开标一览表为准。</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单价金额小数点或者百分比有明显错位的，以开标一览表的总价为准，并修改单价。</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（4）总价金额与按单价汇总金额不一致的，以单价金额计算结果为准。</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非单一产品采购项目，招标文件中将载明其中的核心产品。多家投标人提供的核心产品品牌相同的，按前两款规定处理。</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26.7投标人在开、评标全过程中应保持通讯畅通，及时登录苏采云系统查阅、答复相关信息，并安排专人与采购代理机构及评标委员会联系。</w:t>
      </w:r>
      <w:r/>
    </w:p>
    <w:p>
      <w:pPr>
        <w:ind w:left="0" w:right="0" w:firstLine="482"/>
        <w:jc w:val="both"/>
        <w:spacing w:before="161"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27、无效投标条款和废标条款</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 无效投标条款</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 投标人在苏采云系统规定的时间内未成功解密电子投标文件的。</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27.1.2 投标人未按照招标文件要求上传电子投标文件的。</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27.1.3 同一投标人提交两个（含两个）以上不同的投标报价的。</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27.1.4 投标人不具备招标文件中规定资格要求的。</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27.1.5 投标人的报价超过了采购预算或最高限价的。</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27.1.6 未通过符合性审查的。</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27.1.7不符合招标文件中规定的实质性要求和条件的。</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27.1.9 投标文件含有采购人不能接受的附加条件的。</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27.1.10 </w:t>
      </w:r>
      <w:r>
        <w:rPr>
          <w:rFonts w:ascii="SimSun" w:hAnsi="SimSun" w:eastAsia="SimSun" w:cs="SimSun"/>
          <w:color w:val="ff0000"/>
          <w:sz w:val="24"/>
        </w:rPr>
        <w:t xml:space="preserve">评审过程中出现下列情形之一的，评审委员会应当启动异常低价投标（响应）审查程序：（1）投标（响应）报价低于采购项目预算50% 的，即投标（响应）报价＜采购项目预算×50% ；（2）投标（响应）报价低于采购项目最高限价45% 的，即投标（响应）报价＜采购项目最高限价×45% ；（3）评审委员会认定的供应商报价过低、有可能影响产品质量或者不能诚信履约的其他情形。</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启动异常低价投标（响应）审查后，评审委员会应当通过苏采云系统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27.1.12 投标文件未按照招标文件要求加盖CA电子公章的。</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27.1.13 其他法律、法规及本招标文件规定的属无效投标的情形。</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 废标条款</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27.2.1 符合专业条件的供应商或者对招标文件作实质响应的供应商不足三家的。</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27.2.2出现影响采购公正的违法、违规行为的。</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27.2.3因重大变故，采购任务取消的。</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27.2.4评标委员会认定招标文件存在歧义、重大缺陷导致评审工作无法进行。</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27.2.5因苏采云系统系统故障原因造成开标不成功的。</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27.3投标截止时间结束后参加投标的供应商不足三家的处理：</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27.3.1如出现投标截止时间结束后参加投标的供应商或者在评标期间对招标文件做出实质响应的供应商不足三家情况，按政府采购相关规定执行。</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六、定标</w:t>
      </w:r>
      <w:r/>
    </w:p>
    <w:p>
      <w:pPr>
        <w:ind w:left="0" w:right="0" w:firstLine="482"/>
        <w:jc w:val="both"/>
        <w:spacing w:before="161"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28、确定中标单位</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28.1中标候选人的选取原则和数量见招标文件第五章规定。 </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28.2采购人应根据评委会推荐的中标候选人确定中标人。</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 采购代理机构将在“江苏政府采购网”发布中标公告，公告期限为1个工作日。</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 若有充分证据证明，中标人出现下列情况之一的，一经查实，将被取消中标资格：</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28.4.1 提供虚假材料谋取中标的。</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28.4.2 向采购人、采购代理机构行贿或者提供其他不正当利益的。</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28.4.3 属于本文件规定的无效条件，但在评标过程中又未被评委会发现的。</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28.4.4 与采购人或者其他供应商恶意串通的。</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28.4.5 采取不正当手段诋毁、排挤其他供应商的。</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28.5</w:t>
      </w:r>
      <w:r>
        <w:rPr>
          <w:rFonts w:ascii="Times New Roman" w:hAnsi="Times New Roman" w:eastAsia="Times New Roman" w:cs="Times New Roman"/>
          <w:color w:val="000000"/>
          <w:sz w:val="21"/>
        </w:rPr>
        <w:t xml:space="preserve"> </w:t>
      </w:r>
      <w:r>
        <w:rPr>
          <w:rFonts w:ascii="SimSun" w:hAnsi="SimSun" w:eastAsia="SimSun" w:cs="SimSun"/>
          <w:color w:val="000000"/>
          <w:sz w:val="24"/>
        </w:rPr>
        <w:t xml:space="preserve">有下列情形之一的，视为投标人串通投标，投标无效：</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28.5.1 不同投标人的投标文件由同一单位或者个人编制（</w:t>
      </w:r>
      <w:r>
        <w:rPr>
          <w:rFonts w:ascii="SimSun" w:hAnsi="SimSun" w:eastAsia="SimSun" w:cs="SimSun"/>
          <w:color w:val="ff0000"/>
          <w:sz w:val="24"/>
        </w:rPr>
        <w:t xml:space="preserve">包含使用同一MAC 地址的计算机制作电子投标文件的情形</w:t>
      </w:r>
      <w:r>
        <w:rPr>
          <w:rFonts w:ascii="SimSun" w:hAnsi="SimSun" w:eastAsia="SimSun" w:cs="SimSun"/>
          <w:color w:val="000000"/>
          <w:sz w:val="24"/>
        </w:rPr>
        <w:t xml:space="preserve">）；</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28.5.2 不同投标人委托同一单位或者个人办理投标事宜（</w:t>
      </w:r>
      <w:r>
        <w:rPr>
          <w:rFonts w:ascii="SimSun" w:hAnsi="SimSun" w:eastAsia="SimSun" w:cs="SimSun"/>
          <w:color w:val="ff0000"/>
          <w:sz w:val="24"/>
        </w:rPr>
        <w:t xml:space="preserve">包含使用同一MAC 地址的计算机制作电子投标文件的情形</w:t>
      </w:r>
      <w:r>
        <w:rPr>
          <w:rFonts w:ascii="SimSun" w:hAnsi="SimSun" w:eastAsia="SimSun" w:cs="SimSun"/>
          <w:color w:val="000000"/>
          <w:sz w:val="24"/>
        </w:rPr>
        <w:t xml:space="preserve">）；</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28.5.3 不同投标人的投标文件载明的项目管理成员或者联系人员为同一人；</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28.5.4 不同投标人的投标文件异常一致或者投标报价呈规律性差异；</w:t>
      </w:r>
      <w:r/>
    </w:p>
    <w:p>
      <w:pPr>
        <w:ind w:left="0" w:right="0" w:firstLine="482"/>
        <w:jc w:val="both"/>
        <w:spacing w:before="161"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29、质疑处理</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 提出质疑的供应商应当是参与所质疑项目采购活动的供应商。潜在供应商依法获取其可质疑的采购文件的，可以对采购文件提出质疑。</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 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29.2.1对可以质疑的采购文件提出质疑的，为收到采购文件之日或者采购文件公告期限届满之日；</w:t>
        <w:br/>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29.2.2对采购过程提出质疑的，为各采购程序环节结束之日；</w:t>
        <w:br/>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29.2.3对中标或者成交结果提出质疑的，为中标或者成交结果公告期限届满之日。</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29.3 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29.4 供应商（含潜在供应商）对与本项目有关的所有询问、质疑均请向采购人提出，由采购人负责答复。</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采购人及采购代理机构只接收以纸质原件形式送达的质疑,建议供应商尽量通过邮寄方式提交质疑（采购人和采购代理机构不接受未填写快递运单的快件）。</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采购代理机构质疑接收及联系方式见招标文件第一章</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采购人质疑接收人及联系方式见招标文件第一章。</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 以下情形的质疑不予受理</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29.5.1 内容不符合《政府采购质疑和投诉办法》第十二条规定的质疑。</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29.5.2 超出政府采购法定期限的质疑。</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29.5.3 以传真、电子邮件等方式递交的非原件形式的质疑。</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29.5.4 未参加投标活动的供应商或在投标活动中自身权益未受到损害的供应商所提出的质疑。</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29.5.5供应商组成联合体参加投标，联合体中任何一方或多方未按要求签字、盖章、加盖公章的质疑。</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left="0" w:right="0" w:firstLine="482"/>
        <w:jc w:val="both"/>
        <w:spacing w:before="161"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30、中标通知书</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l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30.2中标通知书将是合同的一个组成部分。对采购人和中标供应商均具有法律效力。中标通知书发出后，采购人改变中标结果的，或者中标供应商放弃中标项目的，应当依法承担法律责任。</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七、授予合同</w:t>
      </w:r>
      <w:r/>
    </w:p>
    <w:p>
      <w:pPr>
        <w:ind w:left="0" w:right="0" w:firstLine="482"/>
        <w:jc w:val="both"/>
        <w:spacing w:before="161"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31. 签订合同</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31.l中标人应当在中标通知书发出之日起三十日内，按照招标文件确定的事项与采购人签订政府采购合同。</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31.2招标文件、中标人的投标文件及招标过程中有关澄清、承诺文件均应作为合同附件。</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31.3签订合同后，</w:t>
      </w:r>
      <w:r>
        <w:rPr>
          <w:rFonts w:ascii="SimSun" w:hAnsi="SimSun" w:eastAsia="SimSun" w:cs="SimSun"/>
          <w:b/>
          <w:i/>
          <w:color w:val="000000"/>
          <w:sz w:val="24"/>
          <w:u w:val="single"/>
        </w:rPr>
        <w:t xml:space="preserve">中标人不得将合同标的进行转包</w:t>
      </w:r>
      <w:r>
        <w:rPr>
          <w:rFonts w:ascii="SimSun" w:hAnsi="SimSun" w:eastAsia="SimSun" w:cs="SimSun"/>
          <w:color w:val="000000"/>
          <w:sz w:val="24"/>
        </w:rPr>
        <w:t xml:space="preserve">。未经采购人同意，中标人也不得采用分包的形式履行合同，否则采购人有权终止合同。转包或分包造成采购人损失的，中标人应承担相应赔偿责任。</w:t>
      </w:r>
      <w:r/>
    </w:p>
    <w:p>
      <w:pPr>
        <w:ind w:left="0" w:right="0" w:firstLine="482"/>
        <w:jc w:val="both"/>
        <w:spacing w:before="161"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32、货物（包含与货物相关的服务）的追加</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left="0" w:right="0" w:firstLine="482"/>
        <w:jc w:val="both"/>
        <w:spacing w:before="161"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33、政府采购履约资金扶持政策</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中标供应商可凭政府采购合同办理融资贷款，详情请见江苏政府采购网“政采贷”专栏。</w:t>
      </w:r>
      <w:r/>
    </w:p>
    <w:p>
      <w:pPr>
        <w:ind w:left="0" w:right="0" w:firstLine="42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第三章  合同文本</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（注：本合同仅为框架性条款，中标后需按招标文件及投标文件情况进行细化，招标文件、投标文件及本条款均作为合同的重要组成部分）</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南京市妇幼保健院维保合同</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p>
      <w:pPr>
        <w:ind w:left="0" w:right="0" w:firstLine="526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合同编号：</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60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甲方</w:t>
      </w:r>
      <w:r>
        <w:rPr>
          <w:rFonts w:ascii="SimSun" w:hAnsi="SimSun" w:eastAsia="SimSun" w:cs="SimSun"/>
          <w:color w:val="000000"/>
          <w:sz w:val="24"/>
        </w:rPr>
        <w:t xml:space="preserve">：</w:t>
      </w:r>
      <w:r>
        <w:rPr>
          <w:rFonts w:ascii="SimSun" w:hAnsi="SimSun" w:eastAsia="SimSun" w:cs="SimSun"/>
          <w:b/>
          <w:color w:val="000000"/>
          <w:sz w:val="24"/>
        </w:rPr>
        <w:t xml:space="preserve">南京市妇幼保健院</w:t>
      </w:r>
      <w:r>
        <w:rPr>
          <w:rFonts w:ascii="Times New Roman" w:hAnsi="Times New Roman" w:eastAsia="Times New Roman" w:cs="Times New Roman"/>
          <w:b/>
          <w:color w:val="000000"/>
          <w:sz w:val="24"/>
        </w:rPr>
        <w:t xml:space="preserve">              </w:t>
      </w:r>
      <w:r>
        <w:rPr>
          <w:rFonts w:ascii="Times New Roman" w:hAnsi="Times New Roman" w:eastAsia="Times New Roman" w:cs="Times New Roman"/>
          <w:color w:val="000000"/>
          <w:sz w:val="24"/>
        </w:rPr>
        <w:t xml:space="preserve">   </w:t>
      </w:r>
      <w:r>
        <w:rPr>
          <w:rFonts w:ascii="SimSun" w:hAnsi="SimSun" w:eastAsia="SimSun" w:cs="SimSun"/>
          <w:b/>
          <w:color w:val="000000"/>
          <w:sz w:val="24"/>
        </w:rPr>
        <w:t xml:space="preserve">乙方：</w:t>
      </w:r>
      <w:r>
        <w:rPr>
          <w:rFonts w:ascii="Times New Roman" w:hAnsi="Times New Roman" w:eastAsia="Times New Roman" w:cs="Times New Roma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根据《中华人民共和国民法典》等法律法规的规定，甲乙双方按照谈判结果签订本合同。</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第一条：合同标的   </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乙方根据甲方需求提供下列货物维保：</w:t>
      </w:r>
      <w:r>
        <w:rPr>
          <w:rFonts w:ascii="SimSun" w:hAnsi="SimSun" w:eastAsia="SimSun" w:cs="SimSun"/>
          <w:b/>
          <w:color w:val="000000"/>
          <w:sz w:val="24"/>
          <w:u w:val="single"/>
        </w:rPr>
        <w:t xml:space="preserve">            </w:t>
      </w:r>
      <w:r>
        <w:rPr>
          <w:rFonts w:ascii="SimSun" w:hAnsi="SimSun" w:eastAsia="SimSun" w:cs="SimSun"/>
          <w:b/>
          <w:color w:val="000000"/>
          <w:sz w:val="24"/>
        </w:rPr>
        <w:t xml:space="preserve"> ，</w:t>
      </w:r>
      <w:r>
        <w:rPr>
          <w:rFonts w:ascii="SimSun" w:hAnsi="SimSun" w:eastAsia="SimSun" w:cs="SimSun"/>
          <w:color w:val="000000"/>
          <w:sz w:val="24"/>
        </w:rPr>
        <w:t xml:space="preserve">为期 </w:t>
      </w:r>
      <w:r>
        <w:rPr>
          <w:rFonts w:ascii="SimSun" w:hAnsi="SimSun" w:eastAsia="SimSun" w:cs="SimSun"/>
          <w:b/>
          <w:color w:val="000000"/>
          <w:sz w:val="24"/>
          <w:u w:val="single"/>
        </w:rPr>
        <w:t xml:space="preserve">                </w:t>
      </w:r>
      <w:r>
        <w:rPr>
          <w:rFonts w:ascii="SimSun" w:hAnsi="SimSun" w:eastAsia="SimSun" w:cs="SimSun"/>
          <w:color w:val="000000"/>
          <w:sz w:val="24"/>
        </w:rPr>
        <w:t xml:space="preserve"> 。 </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8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58"/>
        <w:gridCol w:w="756"/>
        <w:gridCol w:w="856"/>
        <w:gridCol w:w="856"/>
        <w:gridCol w:w="856"/>
        <w:gridCol w:w="956"/>
        <w:gridCol w:w="957"/>
        <w:gridCol w:w="146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5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品牌</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型号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机器号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5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开始时间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5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结束时间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6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维保金额（元）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26"/>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6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合计（大写）：</w:t>
            </w:r>
            <w:r/>
          </w:p>
        </w:tc>
      </w:tr>
    </w:tbl>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第二条   组成本合同的有关文件       </w:t>
      </w:r>
      <w:r/>
    </w:p>
    <w:p>
      <w:pPr>
        <w:ind w:left="0" w:right="0" w:firstLine="7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□服务承诺；</w:t>
      </w:r>
      <w:r/>
    </w:p>
    <w:p>
      <w:pPr>
        <w:ind w:left="0" w:right="0" w:firstLine="7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□甲乙双方商定的其他文件。</w:t>
      </w:r>
      <w:r/>
    </w:p>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第三条  维保条款</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1、货物维保期内的维修、保养由乙方负责，所产生的一切费用由乙方承担。</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2、使用过程中出现设备故障，接到报修电话后即时响应，工作期间（星期一至星期五8：00-18：00），4小时到达现场，非工作期间，6小时内到达现场，予以排除故障、修复或更换零部件。</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3、若货物故障在乙方接保修电话8个工作小时后仍无法排除，乙方应在48小时内免费提供不低于故障货物规格型号档次的备用货物供甲方使用，直至故障货物修复。</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所有货物维修服务方式均为乙方上门维修，即由乙方派员到货物使用现场维修，由此产生的一切费用均由乙方承担。</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5、每年度乙方向甲方提交全年维保记录（不少于4次）附维保合同复印件，并装订成册。</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6、维保期后的货物维护由双方协商再定。</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7、维保期外，技术人员上门不收取任何费用，只收取材料同期成本费。</w:t>
      </w:r>
      <w:r/>
    </w:p>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第四条</w:t>
      </w:r>
      <w:r>
        <w:rPr>
          <w:rFonts w:ascii="Times New Roman" w:hAnsi="Times New Roman" w:eastAsia="Times New Roman" w:cs="Times New Roman"/>
          <w:b/>
          <w:color w:val="000000"/>
          <w:sz w:val="24"/>
        </w:rPr>
        <w:t xml:space="preserve">   </w:t>
      </w:r>
      <w:r>
        <w:rPr>
          <w:rFonts w:ascii="SimSun" w:hAnsi="SimSun" w:eastAsia="SimSun" w:cs="SimSun"/>
          <w:b/>
          <w:color w:val="000000"/>
          <w:sz w:val="24"/>
        </w:rPr>
        <w:t xml:space="preserve">维保款支付</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、本合同项下所有款项均以人民币支付。</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、如本合同项下的采购资金系甲方自行支付，乙方向甲方开具发票。</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、款项的支付进度应符合如下约定：</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维保单位在合同签订后，每年维保周期开始当月向医院开具发票，院方自收到发票起一个月内支付年度维保金额的50%。当年维保周期结束，维保单位向医院提供装订成册的维保记录后，院方在一个月内支付剩余50%年度维保款。</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ff0000"/>
          <w:sz w:val="24"/>
        </w:rPr>
        <w:t xml:space="preserve"> </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第五条　合同的变更和终止</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1、本合同一经签订，甲乙双方不得擅自变更、中止或终止合同。</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2、如机器在维保期内损坏，无法修复，合同自动终止，当年维保费用不予支付。</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3、合同期内，根据设备使用状态，由甲方决定次年是否续保，如需终止维保服务，须提前1个月通知乙方。</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第六条  违约责任</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1、乙方未能够响应承诺的接报修电话后</w:t>
      </w:r>
      <w:r>
        <w:rPr>
          <w:rFonts w:ascii="SimSun" w:hAnsi="SimSun" w:eastAsia="SimSun" w:cs="SimSun"/>
          <w:color w:val="000000"/>
          <w:sz w:val="24"/>
          <w:u w:val="single"/>
        </w:rPr>
        <w:t xml:space="preserve">    4    </w:t>
      </w:r>
      <w:r>
        <w:rPr>
          <w:rFonts w:ascii="SimSun" w:hAnsi="SimSun" w:eastAsia="SimSun" w:cs="SimSun"/>
          <w:color w:val="000000"/>
          <w:sz w:val="24"/>
        </w:rPr>
        <w:t xml:space="preserve">小时到现场，（自然灾害或不可抗力因素除外）每延迟15分钟，应当向甲方支付150元赔偿金。若累计超过 5  次未按约定的时间响应上门服务的，则甲方可按合同违约责任条款下第5项执行。</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在履行合同过程中对获悉的甲方核心数据及其他商业秘密或国家秘密，负有保密义务，并应与派驻人员签定保密协议，制定相应处罚措施。若因乙方原因造成泄密的，则甲方可按合同违约责任条款下第5项执行。</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3、甲方未按合同约定日期支付给乙方技术服务费用，每逾期一日，按合同总金额5</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计算违约金，但该项违约金的最高限额不超过本合同总价款的10％。</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4、甲方设备故障，乙方承诺在接到保修电话后</w:t>
      </w:r>
      <w:r>
        <w:rPr>
          <w:rFonts w:ascii="SimSun" w:hAnsi="SimSun" w:eastAsia="SimSun" w:cs="SimSun"/>
          <w:color w:val="000000"/>
          <w:sz w:val="24"/>
          <w:u w:val="single"/>
        </w:rPr>
        <w:t xml:space="preserve">   48   </w:t>
      </w:r>
      <w:r>
        <w:rPr>
          <w:rFonts w:ascii="SimSun" w:hAnsi="SimSun" w:eastAsia="SimSun" w:cs="SimSun"/>
          <w:color w:val="000000"/>
          <w:sz w:val="24"/>
        </w:rPr>
        <w:t xml:space="preserve">小时内恢复设备正常运行。每逾期1小时，乙方按合同总金额5</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向甲方支付违约金，但该项违约金的最高限额不超过合同总价款的20%。若甲方设备无法正常使用超过7日，乙方仍然无法使设备恢复正常的，则甲方可按合同违约责任条款下第5项执行。</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5、违约方的违约行为构成根本性违约的，守约方有权单方解除合同，并要求违约方支付合同约定的违约金1万元，并赔偿损失（损失包括但不限于律师费、差旅费、诉讼费、执行费、保全费等）。</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第七条　合同的转让</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乙方不得擅自部分或全部转让其应履行的合同义务。</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第八条  争议的解决</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1、因履行本合同引起的或与本合同有关的争议，甲、乙双方应首先通过友好协商解决，如果协商不能解决争议，则可以向被维护设备所在地有管辖权的法院起诉。</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0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第九条  合同生效及其他</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1、本合同自商定维保期限之日起生效。</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2、本合同一式</w:t>
      </w:r>
      <w:r>
        <w:rPr>
          <w:rFonts w:ascii="SimSun" w:hAnsi="SimSun" w:eastAsia="SimSun" w:cs="SimSun"/>
          <w:color w:val="000000"/>
          <w:sz w:val="24"/>
          <w:u w:val="single"/>
        </w:rPr>
        <w:t xml:space="preserve">        </w:t>
      </w:r>
      <w:r>
        <w:rPr>
          <w:rFonts w:ascii="SimSun" w:hAnsi="SimSun" w:eastAsia="SimSun" w:cs="SimSun"/>
          <w:color w:val="000000"/>
          <w:sz w:val="24"/>
        </w:rPr>
        <w:t xml:space="preserve">份，甲方</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贰</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份，乙方</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份。</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3、本合同应按照中华人民共和国的现行法律进行解释。</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甲方（采购人）：   （盖章）        乙方（供应商）：    （盖章）</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                      法定代表人： </w:t>
      </w:r>
      <w:r/>
    </w:p>
    <w:p>
      <w:pPr>
        <w:ind w:left="0" w:right="0" w:firstLine="560"/>
        <w:spacing w:before="0" w:after="0"/>
        <w:tabs>
          <w:tab w:val="left" w:pos="63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委托代理人：                      委托代理人：</w:t>
        <w:tab/>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                            电话：</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纳税人识别号：123201004258009430  纳税人识别号：                     </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开户银行：交通银行新街口支行      开户银行： </w:t>
      </w:r>
      <w:r/>
    </w:p>
    <w:p>
      <w:pPr>
        <w:ind w:left="0" w:right="0" w:firstLine="6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帐号：320006607018170018560       帐号：</w:t>
      </w:r>
      <w:r/>
    </w:p>
    <w:p>
      <w:pPr>
        <w:ind w:left="0" w:right="0" w:firstLine="5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单位地址：南京市秦淮区天妃巷123号单位地址： </w:t>
      </w:r>
      <w:r/>
    </w:p>
    <w:p>
      <w:pPr>
        <w:ind w:left="0" w:right="0" w:firstLine="5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联行号（用于银企直联系统）：</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签订日期：   年    月    日      </w:t>
      </w:r>
      <w:r>
        <w:rPr>
          <w:rFonts w:ascii="Times New Roman" w:hAnsi="Times New Roman" w:eastAsia="Times New Roman" w:cs="Times New Roman"/>
          <w:color w:val="000000"/>
          <w:sz w:val="24"/>
        </w:rPr>
        <w:t xml:space="preserve"> </w:t>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b/>
          <w:color w:val="000000"/>
          <w:sz w:val="32"/>
        </w:rPr>
        <w:t xml:space="preserve">医疗卫生机构医药产品廉洁购销合同</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甲方</w:t>
      </w:r>
      <w:r>
        <w:rPr>
          <w:rFonts w:ascii="SimSun" w:hAnsi="SimSun" w:eastAsia="SimSun" w:cs="SimSun"/>
          <w:color w:val="000000"/>
          <w:sz w:val="24"/>
        </w:rPr>
        <w:t xml:space="preserve">（医疗卫生机构）：南京市妇幼保健院</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乙方</w:t>
      </w:r>
      <w:r>
        <w:rPr>
          <w:rFonts w:ascii="SimSun" w:hAnsi="SimSun" w:eastAsia="SimSun" w:cs="SimSun"/>
          <w:color w:val="000000"/>
          <w:sz w:val="24"/>
        </w:rPr>
        <w:t xml:space="preserve">（医药生产经营企业及其代理人）：</w:t>
      </w:r>
      <w:r>
        <w:rPr>
          <w:rFonts w:ascii="Times New Roman" w:hAnsi="Times New Roman" w:eastAsia="Times New Roman" w:cs="Times New Roman"/>
          <w:color w:val="000000"/>
          <w:sz w:val="24"/>
        </w:rPr>
        <w:t xml:space="preserve"> </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为进一步加强医疗卫生行风建设，规范医疗卫生机构医药购销行为，有效防范商业贿赂行为，营造公平交易、诚实守信的购销环境，经甲、乙双方协商，同意签订本合同，并共同遵守：</w:t>
      </w:r>
      <w:r/>
    </w:p>
    <w:p>
      <w:pPr>
        <w:numPr>
          <w:ilvl w:val="0"/>
          <w:numId w:val="10"/>
        </w:numPr>
        <w:jc w:val="both"/>
        <w:spacing w:before="0" w:after="0" w:line="340"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甲乙双方按照《民法典》及医药产品购销合同约定购销药品、医用设备、医用耗材等医药产品。</w:t>
      </w:r>
      <w:r/>
    </w:p>
    <w:p>
      <w:pPr>
        <w:numPr>
          <w:ilvl w:val="0"/>
          <w:numId w:val="10"/>
        </w:numPr>
        <w:jc w:val="both"/>
        <w:spacing w:before="0" w:after="0" w:line="340"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甲方应当严格执行医药产品购销合同验收、入库制度，对采购医药产品及发票进行查验，不得违反有关规定合同外采购、违价采购或从非规定渠道采购。</w:t>
      </w:r>
      <w:r/>
    </w:p>
    <w:p>
      <w:pPr>
        <w:numPr>
          <w:ilvl w:val="0"/>
          <w:numId w:val="10"/>
        </w:numPr>
        <w:jc w:val="both"/>
        <w:spacing w:before="0" w:after="0" w:line="340"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有关纪检监察部门反映情况。</w:t>
      </w:r>
      <w:r/>
    </w:p>
    <w:p>
      <w:pPr>
        <w:numPr>
          <w:ilvl w:val="0"/>
          <w:numId w:val="10"/>
        </w:numPr>
        <w:jc w:val="both"/>
        <w:spacing w:before="0" w:after="0" w:line="340"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严禁甲方工作人员利用任何途径和方式，为乙方统计医师个人及临床科室有关医药产品用量信息，或为乙方统计提供便利。</w:t>
      </w:r>
      <w:r/>
    </w:p>
    <w:p>
      <w:pPr>
        <w:numPr>
          <w:ilvl w:val="0"/>
          <w:numId w:val="10"/>
        </w:numPr>
        <w:jc w:val="both"/>
        <w:spacing w:before="0" w:after="0" w:line="340"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乙方不得以回扣、宴请等方式影响甲方工作人员采购或使用医用产品的选择权，不得在学术活动中提供旅游、超标准支付食宿费用。</w:t>
      </w:r>
      <w:r/>
    </w:p>
    <w:p>
      <w:pPr>
        <w:numPr>
          <w:ilvl w:val="0"/>
          <w:numId w:val="10"/>
        </w:numPr>
        <w:jc w:val="both"/>
        <w:spacing w:before="0" w:after="0" w:line="340"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乙方指定</w:t>
      </w:r>
      <w:r>
        <w:rPr>
          <w:rFonts w:ascii="Times New Roman" w:hAnsi="Times New Roman" w:eastAsia="Times New Roman" w:cs="Times New Roman"/>
          <w:color w:val="000000"/>
          <w:sz w:val="24"/>
        </w:rPr>
        <w:t xml:space="preserve">___</w:t>
      </w:r>
      <w:r>
        <w:rPr>
          <w:rFonts w:ascii="Times New Roman" w:hAnsi="Times New Roman" w:eastAsia="Times New Roman" w:cs="Times New Roman"/>
          <w:color w:val="000000"/>
          <w:sz w:val="24"/>
          <w:u w:val="single"/>
        </w:rPr>
        <w:t xml:space="preserve">    _</w:t>
      </w:r>
      <w:r>
        <w:rPr>
          <w:rFonts w:ascii="Times New Roman" w:hAnsi="Times New Roman" w:eastAsia="Times New Roman" w:cs="Times New Roman"/>
          <w:color w:val="000000"/>
          <w:sz w:val="24"/>
        </w:rPr>
        <w:t xml:space="preserve">___</w:t>
      </w:r>
      <w:r>
        <w:rPr>
          <w:rFonts w:ascii="SimSun" w:hAnsi="SimSun" w:eastAsia="SimSun" w:cs="SimSun"/>
          <w:color w:val="000000"/>
          <w:sz w:val="24"/>
        </w:rPr>
        <w:t xml:space="preserve">作为销售代表洽谈业务。销售代表必须在工作时间到甲方指定地点联系商谈，不得到住院部、门诊部、医技科室等推销医药产品，不得借故到甲方相关领导、部门负责人及相关工作人员家中访谈并提供任何好处费。</w:t>
      </w:r>
      <w:r/>
    </w:p>
    <w:p>
      <w:pPr>
        <w:numPr>
          <w:ilvl w:val="0"/>
          <w:numId w:val="10"/>
        </w:numPr>
        <w:jc w:val="both"/>
        <w:spacing w:before="0" w:after="0" w:line="340"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如违反本合同，一经发现，甲方有权终止购销合同，并向有关卫生计生行政部门报告。如乙方被列入商业贿赂不良记录，则严格按照《国家卫生计生委建立医药购销领域商业贿赂不良记录的规定》（国卫法制发〔</w:t>
      </w:r>
      <w:r>
        <w:rPr>
          <w:rFonts w:ascii="Times New Roman" w:hAnsi="Times New Roman" w:eastAsia="Times New Roman" w:cs="Times New Roman"/>
          <w:color w:val="000000"/>
          <w:sz w:val="24"/>
        </w:rPr>
        <w:t xml:space="preserve">2013</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号）相关规定处理。</w:t>
      </w:r>
      <w:r/>
    </w:p>
    <w:p>
      <w:pPr>
        <w:numPr>
          <w:ilvl w:val="0"/>
          <w:numId w:val="10"/>
        </w:numPr>
        <w:jc w:val="both"/>
        <w:spacing w:before="0" w:after="0" w:line="340"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本合同作为医药产品购销合同的重要组成部分，与购销合同一并执行，具有同等的法律效力。</w:t>
      </w:r>
      <w:r/>
    </w:p>
    <w:p>
      <w:pPr>
        <w:numPr>
          <w:ilvl w:val="0"/>
          <w:numId w:val="10"/>
        </w:numPr>
        <w:jc w:val="both"/>
        <w:spacing w:before="0" w:after="0" w:line="340"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本合同一式三份，甲、乙双方各执一份，甲方纪检监察部门（基层医疗卫生机构上报上级卫生计生行政部门）执一份，并从签订之日起生效。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甲方（盖章）：</w:t>
      </w:r>
      <w:r>
        <w:rPr>
          <w:rFonts w:ascii="Times New Roman" w:hAnsi="Times New Roman" w:eastAsia="Times New Roman" w:cs="Times New Roman"/>
          <w:b/>
          <w:color w:val="000000"/>
          <w:sz w:val="24"/>
        </w:rPr>
        <w:t xml:space="preserve">                        </w:t>
      </w:r>
      <w:r>
        <w:rPr>
          <w:rFonts w:ascii="SimSun" w:hAnsi="SimSun" w:eastAsia="SimSun" w:cs="SimSun"/>
          <w:b/>
          <w:color w:val="000000"/>
          <w:sz w:val="24"/>
        </w:rPr>
        <w:t xml:space="preserve">乙方（盖章）：</w:t>
      </w:r>
      <w:r>
        <w:rPr>
          <w:rFonts w:ascii="Times New Roman" w:hAnsi="Times New Roman" w:eastAsia="Times New Roman" w:cs="Times New Roman"/>
          <w:b/>
          <w:color w:val="000000"/>
          <w:sz w:val="24"/>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法定代表人（负责人）：</w:t>
      </w:r>
      <w:r>
        <w:rPr>
          <w:rFonts w:ascii="Times New Roman" w:hAnsi="Times New Roman" w:eastAsia="Times New Roman" w:cs="Times New Roman"/>
          <w:b/>
          <w:color w:val="000000"/>
          <w:sz w:val="24"/>
        </w:rPr>
        <w:t xml:space="preserve">                </w:t>
      </w:r>
      <w:r>
        <w:rPr>
          <w:rFonts w:ascii="SimSun" w:hAnsi="SimSun" w:eastAsia="SimSun" w:cs="SimSun"/>
          <w:b/>
          <w:color w:val="000000"/>
          <w:sz w:val="24"/>
        </w:rPr>
        <w:t xml:space="preserve">法定代表人（负责人）：</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经办人签名：</w:t>
      </w:r>
      <w:r>
        <w:rPr>
          <w:rFonts w:ascii="Times New Roman" w:hAnsi="Times New Roman" w:eastAsia="Times New Roman" w:cs="Times New Roman"/>
          <w:b/>
          <w:color w:val="000000"/>
          <w:sz w:val="24"/>
        </w:rPr>
        <w:t xml:space="preserve">                         </w:t>
      </w:r>
      <w:r>
        <w:rPr>
          <w:rFonts w:ascii="SimSun" w:hAnsi="SimSun" w:eastAsia="SimSun" w:cs="SimSun"/>
          <w:b/>
          <w:color w:val="000000"/>
          <w:sz w:val="24"/>
        </w:rPr>
        <w:t xml:space="preserve">经办人签名：</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日</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日</w:t>
      </w:r>
      <w:r/>
    </w:p>
    <w:p>
      <w:pPr>
        <w:ind w:left="0" w:right="0" w:firstLine="54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第四章  采购需求</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项目属性：服务类项目。</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一、维保设备清单</w:t>
      </w:r>
      <w:r/>
    </w:p>
    <w:tbl>
      <w:tblPr>
        <w:tblStyle w:val="8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89"/>
        <w:gridCol w:w="3344"/>
        <w:gridCol w:w="1880"/>
        <w:gridCol w:w="1327"/>
        <w:gridCol w:w="1122"/>
      </w:tblGrid>
      <w:tr>
        <w:trPr>
          <w:trHeight w:val="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3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设备信息</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品牌</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服务期限</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3.0T Sig</w:t>
            </w:r>
            <w:r>
              <w:rPr>
                <w:rFonts w:ascii="SimSun" w:hAnsi="SimSun" w:eastAsia="SimSun" w:cs="SimSun"/>
                <w:color w:val="000000"/>
                <w:sz w:val="24"/>
              </w:rPr>
              <w:t xml:space="preserve">na Premier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GE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3年</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二、维保服务要求</w:t>
      </w:r>
      <w:r/>
    </w:p>
    <w:p>
      <w:pPr>
        <w:ind w:left="0" w:right="0" w:firstLine="0"/>
        <w:jc w:val="both"/>
        <w:spacing w:before="0" w:after="0" w:line="85" w:lineRule="atLeast"/>
        <w:tabs>
          <w:tab w:val="left" w:pos="12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（一）维保范围：</w:t>
      </w:r>
      <w:r/>
    </w:p>
    <w:p>
      <w:pPr>
        <w:ind w:left="0" w:right="0" w:firstLine="0"/>
        <w:jc w:val="both"/>
        <w:spacing w:before="0" w:after="0" w:line="85" w:lineRule="atLeast"/>
        <w:tabs>
          <w:tab w:val="left" w:pos="12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★1。维保范围包括：提供整机保修服务，包括人工服务费、保养服务，所有备件、制冷系统、液氦、线圈、扫描床、磁体、工作站、精密空调等。</w:t>
      </w:r>
      <w:r/>
    </w:p>
    <w:p>
      <w:pPr>
        <w:ind w:left="0" w:right="0" w:firstLine="0"/>
        <w:jc w:val="both"/>
        <w:spacing w:before="0" w:after="0" w:line="85" w:lineRule="atLeast"/>
        <w:tabs>
          <w:tab w:val="left" w:pos="12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（二）维保服务要求</w:t>
      </w:r>
      <w:r/>
    </w:p>
    <w:p>
      <w:pPr>
        <w:ind w:left="0" w:right="0" w:firstLine="0"/>
        <w:jc w:val="both"/>
        <w:spacing w:before="0" w:after="0" w:line="85" w:lineRule="atLeast"/>
        <w:tabs>
          <w:tab w:val="left" w:pos="12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定期维护保养服务，保证院方设备处于良好的运行状态，每年提供至少4次设备标准的维护服务检测，包括机器清洁、性能测试及校准、必要的机械和电气的检查，以及非紧急性质的预防性维护，并确保系统能按照标准运行的其他维护，随时响应院方的维护、维修需求，提交全年维保记录（不少于4次）附维保合同复印件，并装订成册。（提供承诺书，格式自定）</w:t>
      </w:r>
      <w:r/>
    </w:p>
    <w:p>
      <w:pPr>
        <w:ind w:left="0" w:right="0" w:firstLine="0"/>
        <w:jc w:val="both"/>
        <w:spacing w:before="0" w:after="0" w:line="85" w:lineRule="atLeast"/>
        <w:tabs>
          <w:tab w:val="left" w:pos="12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2.2定期对设备进行安全检查、影像质量检查、设备除尘保养、运行状态检查。</w:t>
      </w:r>
      <w:r/>
    </w:p>
    <w:p>
      <w:pPr>
        <w:ind w:left="0" w:right="0" w:firstLine="0"/>
        <w:jc w:val="both"/>
        <w:spacing w:before="0" w:after="0" w:line="85" w:lineRule="atLeast"/>
        <w:tabs>
          <w:tab w:val="left" w:pos="12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2.3保证备件的存储并优先提供备件的发货，确保紧急零备件供应。</w:t>
      </w:r>
      <w:r/>
    </w:p>
    <w:p>
      <w:pPr>
        <w:ind w:left="0" w:right="0" w:firstLine="0"/>
        <w:jc w:val="both"/>
        <w:spacing w:before="0" w:after="0" w:line="85" w:lineRule="atLeast"/>
        <w:tabs>
          <w:tab w:val="left" w:pos="12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★2.4每年保证开机率≥95％(即正常开机达到347天，停机不超过18天)；及时保证紧急配备件供应。如果开机率达不到95%时，停机时间超过一天则顺延一天维保期。（提供承诺书，格式自定）</w:t>
      </w:r>
      <w:r/>
    </w:p>
    <w:p>
      <w:pPr>
        <w:ind w:left="0" w:right="0" w:firstLine="0"/>
        <w:jc w:val="both"/>
        <w:spacing w:before="0" w:after="0" w:line="85" w:lineRule="atLeast"/>
        <w:tabs>
          <w:tab w:val="left" w:pos="12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2.5用户报修响应时间：1个小时内电话响应，24小时内现场响应。</w:t>
      </w:r>
      <w:r/>
    </w:p>
    <w:p>
      <w:pPr>
        <w:ind w:left="0" w:right="0" w:firstLine="0"/>
        <w:jc w:val="both"/>
        <w:spacing w:before="0" w:after="0" w:line="85" w:lineRule="atLeast"/>
        <w:tabs>
          <w:tab w:val="left" w:pos="12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2.6每年不少于4次不定期全面保养，调试、参数校正,并提供相关的保养报告,不限次数的电话指导及现场维护服务。</w:t>
      </w:r>
      <w:r/>
    </w:p>
    <w:p>
      <w:pPr>
        <w:ind w:left="0" w:right="0" w:firstLine="0"/>
        <w:jc w:val="both"/>
        <w:spacing w:before="0" w:after="0" w:line="85" w:lineRule="atLeast"/>
        <w:tabs>
          <w:tab w:val="left" w:pos="12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2.7维保流程</w:t>
      </w:r>
      <w:r/>
    </w:p>
    <w:p>
      <w:pPr>
        <w:ind w:left="0" w:right="0" w:firstLine="0"/>
        <w:jc w:val="both"/>
        <w:spacing w:before="0" w:after="0" w:line="85" w:lineRule="atLeast"/>
        <w:tabs>
          <w:tab w:val="left" w:pos="12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2.7.1保养需提前一周左右通知医院保养所需的时间，为了避免保养对临床检查病人造成影响，须在设备不使用时进行。</w:t>
      </w:r>
      <w:r/>
    </w:p>
    <w:p>
      <w:pPr>
        <w:ind w:left="0" w:right="0" w:firstLine="0"/>
        <w:jc w:val="both"/>
        <w:spacing w:before="0" w:after="0" w:line="85" w:lineRule="atLeast"/>
        <w:tabs>
          <w:tab w:val="left" w:pos="12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2.7.2保养前需对电源、电压、电流的标准进行检测，若不达标，及时通知院方进行整改。</w:t>
      </w:r>
      <w:r/>
    </w:p>
    <w:p>
      <w:pPr>
        <w:ind w:left="0" w:right="0" w:firstLine="0"/>
        <w:jc w:val="both"/>
        <w:spacing w:before="0" w:after="0" w:line="85" w:lineRule="atLeast"/>
        <w:tabs>
          <w:tab w:val="left" w:pos="12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2.7.3须按保养标准化流程，进行逐项检测，包括设备安全检查、影像质量检查、中心位的校准、除尘保养、运行状态等。</w:t>
      </w:r>
      <w:r/>
    </w:p>
    <w:p>
      <w:pPr>
        <w:ind w:left="0" w:right="0" w:firstLine="0"/>
        <w:jc w:val="both"/>
        <w:spacing w:before="0" w:after="0" w:line="85" w:lineRule="atLeast"/>
        <w:tabs>
          <w:tab w:val="left" w:pos="12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2.7.4保养和维修过程中如需要更换部件需要及时更换，并在更换前告知临床使用科室和医疗设备处对接工程师。</w:t>
      </w:r>
      <w:r/>
    </w:p>
    <w:p>
      <w:pPr>
        <w:ind w:left="0" w:right="0" w:firstLine="0"/>
        <w:jc w:val="both"/>
        <w:spacing w:before="0" w:after="0" w:line="85" w:lineRule="atLeast"/>
        <w:tabs>
          <w:tab w:val="left" w:pos="12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2.8其它服务要求</w:t>
      </w:r>
      <w:r/>
    </w:p>
    <w:p>
      <w:pPr>
        <w:ind w:left="0" w:right="0" w:firstLine="0"/>
        <w:jc w:val="both"/>
        <w:spacing w:before="0" w:after="0" w:line="85" w:lineRule="atLeast"/>
        <w:tabs>
          <w:tab w:val="left" w:pos="12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2.8.1必须具备客户服务专线电话，每年365天开通，需提供24小时专属客服人员服务，能够及提供报修、技术支持、临床使用等相关问题处置。</w:t>
      </w:r>
      <w:r/>
    </w:p>
    <w:p>
      <w:pPr>
        <w:ind w:left="0" w:right="0" w:firstLine="0"/>
        <w:jc w:val="both"/>
        <w:spacing w:before="0" w:after="0" w:line="85" w:lineRule="atLeast"/>
        <w:tabs>
          <w:tab w:val="left" w:pos="12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所有更换的零部件必须确保是全新且必须与所维修保养设备型号一致的全新合格备件，安装完毕后达到设备正常运行，保证图像质量。（提供承诺书，格式自定，在中标后合同签订前须提供原厂授权书或与原厂采购备件合同)。</w:t>
      </w:r>
      <w:r/>
    </w:p>
    <w:p>
      <w:pPr>
        <w:ind w:left="0" w:right="0" w:firstLine="0"/>
        <w:jc w:val="both"/>
        <w:spacing w:before="0" w:after="0" w:line="85" w:lineRule="atLeast"/>
        <w:tabs>
          <w:tab w:val="left" w:pos="12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▲2.8.3如需更换线圈必须提供与设备匹配的全新原装线圈,线圈到货时间≤48小时。（提供以往更换同机型线圈的报关单一份）</w:t>
      </w:r>
      <w:r/>
    </w:p>
    <w:p>
      <w:pPr>
        <w:ind w:left="0" w:right="0" w:firstLine="0"/>
        <w:jc w:val="both"/>
        <w:spacing w:before="0" w:after="0" w:line="85" w:lineRule="atLeast"/>
        <w:tabs>
          <w:tab w:val="left" w:pos="12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2.8.4专人负责每周对使用科室的设备使用情况进行跟进，定期对设备进行巡检并及时回访，对存在的问题及时反馈并给医院提供技术支持响应，或安排工程师上门服务。</w:t>
      </w:r>
      <w:r/>
    </w:p>
    <w:p>
      <w:pPr>
        <w:ind w:left="0" w:right="0" w:firstLine="0"/>
        <w:jc w:val="both"/>
        <w:spacing w:before="0" w:after="0" w:line="85" w:lineRule="atLeast"/>
        <w:tabs>
          <w:tab w:val="left" w:pos="12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2.8.5维保期内免费提供系统正版软件升级补丁和技术支持，并免费提供软件升级服务。</w:t>
      </w:r>
      <w:r/>
    </w:p>
    <w:p>
      <w:pPr>
        <w:ind w:left="0" w:right="0" w:firstLine="0"/>
        <w:jc w:val="both"/>
        <w:spacing w:before="0" w:after="0" w:line="85" w:lineRule="atLeast"/>
        <w:tabs>
          <w:tab w:val="left" w:pos="12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▲2.8.6 配备不少于2名的专职设备服务原厂工程师，在项目所在地周边地区有常驻工程师，且具备同类设备维修经验。（提供设备生产原厂培训证书复印件和姓名联系方式及半年以内任意一月社保证明加盖投标单位公章）</w:t>
      </w:r>
      <w:r/>
    </w:p>
    <w:p>
      <w:pPr>
        <w:ind w:left="0" w:right="0" w:firstLine="0"/>
        <w:jc w:val="both"/>
        <w:spacing w:before="0" w:after="0" w:line="85" w:lineRule="atLeast"/>
        <w:tabs>
          <w:tab w:val="left" w:pos="12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2.8.7不得私自更改设备设置参数或更改相关水、电、气管路，如有特殊需要必须更改，必须提前报备设备处，取得同意后，在院方工程师在场监督下方可进行更改。</w:t>
      </w:r>
      <w:r/>
    </w:p>
    <w:p>
      <w:pPr>
        <w:ind w:left="0" w:right="0" w:firstLine="0"/>
        <w:jc w:val="both"/>
        <w:spacing w:before="0" w:after="0" w:line="85" w:lineRule="atLeast"/>
        <w:tabs>
          <w:tab w:val="left" w:pos="12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三、</w:t>
      </w:r>
      <w:r>
        <w:rPr>
          <w:rFonts w:ascii="SimSun" w:hAnsi="SimSun" w:eastAsia="SimSun" w:cs="SimSun"/>
          <w:b/>
          <w:color w:val="000000"/>
          <w:sz w:val="24"/>
        </w:rPr>
        <w:t xml:space="preserve">★商务要求</w:t>
      </w:r>
      <w:r/>
    </w:p>
    <w:p>
      <w:pPr>
        <w:ind w:left="0" w:right="0" w:firstLine="0"/>
        <w:jc w:val="both"/>
        <w:spacing w:before="0" w:after="0" w:line="85" w:lineRule="atLeast"/>
        <w:tabs>
          <w:tab w:val="left" w:pos="12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付款方式：合同签订后，中标人每年维保周期开始当月向医院开具发票，院方自收到发票起一个月内支付年度维保金额的50%。当年维保周期结束，中标人向医院提供装订成册的维保记录后，院方在一个月内支付剩余50%年度维保款。</w:t>
      </w:r>
      <w:r/>
    </w:p>
    <w:p>
      <w:pPr>
        <w:ind w:left="0" w:right="0" w:firstLine="0"/>
        <w:jc w:val="both"/>
        <w:spacing w:before="0" w:after="0" w:line="85" w:lineRule="atLeast"/>
        <w:tabs>
          <w:tab w:val="left" w:pos="12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2.服务期限：叁年</w:t>
      </w:r>
      <w:r/>
    </w:p>
    <w:p>
      <w:pPr>
        <w:ind w:left="0" w:right="0" w:firstLine="0"/>
        <w:jc w:val="both"/>
        <w:spacing w:before="0" w:after="0" w:line="85" w:lineRule="atLeast"/>
        <w:tabs>
          <w:tab w:val="left" w:pos="12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四、其它说明</w:t>
      </w:r>
      <w:r/>
    </w:p>
    <w:p>
      <w:pPr>
        <w:ind w:left="727" w:right="0" w:hanging="727"/>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1、采购标的对应的中小企业划分标准所属行业一览表</w:t>
      </w:r>
      <w:r/>
    </w:p>
    <w:tbl>
      <w:tblPr>
        <w:tblStyle w:val="8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28"/>
        <w:gridCol w:w="3202"/>
        <w:gridCol w:w="3858"/>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8"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02"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858"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对应中小企业划分标准所属行业</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8"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02"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MR3.0T维保服务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8"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其他未列明行业</w:t>
            </w:r>
            <w:r/>
          </w:p>
        </w:tc>
      </w:tr>
    </w:tbl>
    <w:p>
      <w:pPr>
        <w:ind w:left="0" w:right="0" w:firstLine="0"/>
        <w:jc w:val="both"/>
        <w:spacing w:before="0" w:after="0" w:line="65" w:lineRule="atLeast"/>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2、关键参数（加注“★”条款）不允许负偏离，否则投标无效。</w:t>
      </w:r>
      <w:r/>
    </w:p>
    <w:p>
      <w:pPr>
        <w:ind w:left="0" w:right="0" w:firstLine="0"/>
        <w:jc w:val="both"/>
        <w:spacing w:before="0" w:after="0" w:line="65" w:lineRule="atLeast"/>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3、重要参数（加注“▲”条款）均需提供佐证材料进行证明，未提供的评标委员会有权认定为负偏离。</w:t>
      </w:r>
      <w:r/>
    </w:p>
    <w:p>
      <w:pPr>
        <w:ind w:left="0" w:right="0" w:firstLine="0"/>
        <w:jc w:val="both"/>
        <w:spacing w:before="0" w:after="0" w:line="65" w:lineRule="atLeast"/>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4、商务要求为实质性响应条款，不允许负偏离。</w:t>
        <w:br w:type="page" w:clear="all"/>
      </w:r>
      <w:r/>
    </w:p>
    <w:p>
      <w:pPr>
        <w:ind w:left="0" w:right="0" w:firstLine="0"/>
        <w:jc w:val="both"/>
        <w:spacing w:before="0" w:after="0" w:line="65" w:lineRule="atLeast"/>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第五章  评标方法与评标标准</w:t>
      </w:r>
      <w:r/>
    </w:p>
    <w:p>
      <w:pPr>
        <w:ind w:left="0" w:right="0" w:firstLine="480"/>
        <w:spacing w:before="120" w:after="12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标委员会按照得分由高到低的顺序推荐1名中标候选人。</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政府采购政策功能落实</w:t>
      </w:r>
      <w:r/>
    </w:p>
    <w:p>
      <w:pPr>
        <w:ind w:left="0" w:right="0" w:firstLine="48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1、小微型企业价格扣除</w:t>
      </w:r>
      <w:r/>
    </w:p>
    <w:p>
      <w:pPr>
        <w:ind w:left="0" w:right="0" w:firstLine="48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（1）本项目对小型和微型企业产品给予</w:t>
      </w:r>
      <w:r>
        <w:rPr>
          <w:rFonts w:ascii="SimSun" w:hAnsi="SimSun" w:eastAsia="SimSun" w:cs="SimSun"/>
          <w:color w:val="ff0000"/>
          <w:sz w:val="24"/>
          <w:u w:val="single"/>
        </w:rPr>
        <w:t xml:space="preserve">10% </w:t>
      </w:r>
      <w:r>
        <w:rPr>
          <w:rFonts w:ascii="SimSun" w:hAnsi="SimSun" w:eastAsia="SimSun" w:cs="SimSun"/>
          <w:color w:val="000000"/>
          <w:sz w:val="24"/>
        </w:rPr>
        <w:t xml:space="preserve">的扣除价格，用扣除后的价格参与评审。</w:t>
      </w:r>
      <w:r/>
    </w:p>
    <w:p>
      <w:pPr>
        <w:ind w:left="0" w:right="0" w:firstLine="48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（2）供应商需按照采购文件的要求提供相应的《小微企业声明函》。</w:t>
      </w:r>
      <w:r/>
    </w:p>
    <w:p>
      <w:pPr>
        <w:ind w:left="0" w:right="0" w:firstLine="48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（3）企业标准请参照《关于印发中小企业划型标准规定的通知》（工信部联企业[2011]300号）文件规定自行填写。</w:t>
      </w:r>
      <w:r/>
    </w:p>
    <w:p>
      <w:pPr>
        <w:ind w:left="0" w:right="0" w:firstLine="480"/>
        <w:spacing w:before="161"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2、残疾人福利单位价格扣除</w:t>
      </w:r>
      <w:r/>
    </w:p>
    <w:p>
      <w:pPr>
        <w:ind w:left="0" w:right="0" w:firstLine="48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（1）本项目对残疾人福利性单位视同小型、微型企业，给予</w:t>
      </w:r>
      <w:r>
        <w:rPr>
          <w:rFonts w:ascii="SimSun" w:hAnsi="SimSun" w:eastAsia="SimSun" w:cs="SimSun"/>
          <w:color w:val="ff0000"/>
          <w:sz w:val="24"/>
          <w:u w:val="single"/>
        </w:rPr>
        <w:t xml:space="preserve">10%</w:t>
      </w:r>
      <w:r>
        <w:rPr>
          <w:rFonts w:ascii="SimSun" w:hAnsi="SimSun" w:eastAsia="SimSun" w:cs="SimSun"/>
          <w:color w:val="000000"/>
          <w:sz w:val="24"/>
        </w:rPr>
        <w:t xml:space="preserve">的价格扣除，用扣除后的价格参与评审。</w:t>
      </w:r>
      <w:r/>
    </w:p>
    <w:p>
      <w:pPr>
        <w:ind w:left="0" w:right="0" w:firstLine="48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（2）残疾人福利单位需按照采购文件的要求提供《残疾人福利性单位声明函》。</w:t>
      </w:r>
      <w:r/>
    </w:p>
    <w:p>
      <w:pPr>
        <w:ind w:left="0" w:right="0" w:firstLine="48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（3）残疾人福利单位标准请参照《关于促进残疾人就业政府采购政策的通知》（财库〔2017〕141号）。</w:t>
      </w:r>
      <w:r/>
    </w:p>
    <w:p>
      <w:pPr>
        <w:ind w:left="0" w:right="0" w:firstLine="480"/>
        <w:spacing w:before="161"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3、监狱和戒毒企业价格扣除</w:t>
      </w:r>
      <w:r/>
    </w:p>
    <w:p>
      <w:pPr>
        <w:ind w:left="0" w:right="0" w:firstLine="48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（1）本项目对监狱和戒毒企业（简称监狱企业）视同小型、微型企业，给予</w:t>
      </w:r>
      <w:r>
        <w:rPr>
          <w:rFonts w:ascii="SimSun" w:hAnsi="SimSun" w:eastAsia="SimSun" w:cs="SimSun"/>
          <w:color w:val="ff0000"/>
          <w:sz w:val="24"/>
          <w:u w:val="single"/>
        </w:rPr>
        <w:t xml:space="preserve">10%</w:t>
      </w:r>
      <w:r>
        <w:rPr>
          <w:rFonts w:ascii="SimSun" w:hAnsi="SimSun" w:eastAsia="SimSun" w:cs="SimSun"/>
          <w:color w:val="000000"/>
          <w:sz w:val="24"/>
        </w:rPr>
        <w:t xml:space="preserve">的价格扣除，用扣除后的价格参与评审。</w:t>
      </w:r>
      <w:r/>
    </w:p>
    <w:p>
      <w:pPr>
        <w:ind w:left="0" w:right="0" w:firstLine="48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48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（3）监狱企业标准请参照《关于政府采购支持监狱企业发展有关问题的通知》（财库[2014]68号）。</w:t>
      </w:r>
      <w:r/>
    </w:p>
    <w:p>
      <w:pPr>
        <w:ind w:left="0" w:right="0" w:firstLine="480"/>
        <w:spacing w:before="161"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4、残疾人福利单位、监狱企业属于小型、微型企业的，不重复享受政策。</w:t>
      </w:r>
      <w:r/>
    </w:p>
    <w:p>
      <w:pPr>
        <w:ind w:left="0" w:right="0" w:firstLine="480"/>
        <w:spacing w:before="161"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SimSun" w:hAnsi="SimSun" w:eastAsia="SimSun" w:cs="SimSun"/>
          <w:color w:val="000000"/>
          <w:sz w:val="24"/>
          <w:u w:val="single"/>
        </w:rPr>
        <w:t xml:space="preserve">4%</w:t>
      </w:r>
      <w:r>
        <w:rPr>
          <w:rFonts w:ascii="SimSun" w:hAnsi="SimSun" w:eastAsia="SimSun" w:cs="SimSun"/>
          <w:color w:val="000000"/>
          <w:sz w:val="24"/>
        </w:rPr>
        <w:t xml:space="preserve">的价格扣除，用扣除后的价格参与评审。</w:t>
      </w:r>
      <w:r/>
    </w:p>
    <w:p>
      <w:pPr>
        <w:ind w:left="0" w:right="0" w:firstLine="480"/>
        <w:spacing w:before="161"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6、联合体各方均为小型、微型企业（残疾人福利单位、监狱企业）的，联合体享受</w:t>
      </w:r>
      <w:r>
        <w:rPr>
          <w:rFonts w:ascii="SimSun" w:hAnsi="SimSun" w:eastAsia="SimSun" w:cs="SimSun"/>
          <w:color w:val="000000"/>
          <w:sz w:val="24"/>
          <w:u w:val="single"/>
        </w:rPr>
        <w:t xml:space="preserve">10%</w:t>
      </w:r>
      <w:r>
        <w:rPr>
          <w:rFonts w:ascii="SimSun" w:hAnsi="SimSun" w:eastAsia="SimSun" w:cs="SimSun"/>
          <w:color w:val="000000"/>
          <w:sz w:val="24"/>
        </w:rPr>
        <w:t xml:space="preserve">价格扣除，用扣除后的价格参与评审。</w:t>
      </w:r>
      <w:r/>
    </w:p>
    <w:p>
      <w:pPr>
        <w:ind w:left="0" w:right="0" w:firstLine="480"/>
        <w:spacing w:before="161"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符合性审查内容</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1、报价要求：开标一览表中的报价不超过最高限价。</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2、商务要求：</w:t>
      </w:r>
      <w:r/>
    </w:p>
    <w:p>
      <w:pPr>
        <w:ind w:left="0" w:right="0" w:firstLine="480"/>
        <w:spacing w:before="16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投标文件没有重大负偏离，所谓重大负偏离是指投标人所投标的范围、质量、数量、付款方式、质保期和交货期限等明显不能满足招标文件的要求。重大负偏离的认定须经评标委员会三分之二以上同意商务要求不接受任何一项的负偏离或者不满足，允许正偏离；</w:t>
      </w:r>
      <w:r/>
    </w:p>
    <w:p>
      <w:pPr>
        <w:ind w:left="0" w:right="0" w:firstLine="480"/>
        <w:spacing w:before="16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2.2响应文件签字、盖章符合文件要求；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2.3《商务要求响应及偏离表》不接受任何一项的负偏离或者不满足，仅允许正偏离。</w:t>
      </w:r>
      <w:r/>
    </w:p>
    <w:p>
      <w:pPr>
        <w:ind w:left="0" w:right="0" w:firstLine="480"/>
        <w:spacing w:before="16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2.4《第六章投标文件构成》中“投标文件构成”没有实质性缺漏；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2.5投标函中注明的投标有效期符合招标文件要求；</w:t>
      </w:r>
      <w:r/>
    </w:p>
    <w:p>
      <w:pPr>
        <w:ind w:left="0" w:right="0" w:firstLine="480"/>
        <w:spacing w:before="16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2.6本项目不接受联合体投标；</w:t>
      </w:r>
      <w:r/>
    </w:p>
    <w:p>
      <w:pPr>
        <w:ind w:left="0" w:right="0" w:firstLine="480"/>
        <w:spacing w:before="16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2.7本项目不接受备选投标方案；</w:t>
      </w:r>
      <w:r/>
    </w:p>
    <w:p>
      <w:pPr>
        <w:ind w:left="0" w:right="0" w:firstLine="480"/>
        <w:spacing w:before="16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2.8投标文件没有采购人不能接受的附加条件；</w:t>
      </w:r>
      <w:r/>
    </w:p>
    <w:p>
      <w:pPr>
        <w:ind w:left="0" w:right="0" w:firstLine="480"/>
        <w:spacing w:before="16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2.9投标文件没有法律、法规和招标文件规定的其他无效情形；</w:t>
      </w:r>
      <w:r/>
    </w:p>
    <w:p>
      <w:pPr>
        <w:ind w:left="0" w:right="0" w:firstLine="480"/>
        <w:spacing w:before="16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2.10不存在招标文件中第28.5条款的情形之一；</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2.11若存在招标文件中第27.1.10条款的情形之一，应启动</w:t>
      </w:r>
      <w:r>
        <w:rPr>
          <w:rFonts w:ascii="SimSun" w:hAnsi="SimSun" w:eastAsia="SimSun" w:cs="SimSun"/>
          <w:color w:val="ff0000"/>
          <w:sz w:val="24"/>
        </w:rPr>
        <w:t xml:space="preserve">异常低价投标（响应）审查程序。</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3、技术响应要求：</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3.1技术要求中，“★”参数不允许负偏离，否则投标无效，偏离表须按照招标文件要求点对点应答。</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85"/>
        <w:jc w:val="both"/>
        <w:spacing w:before="0" w:after="12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82"/>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评标方法与评标标准</w:t>
      </w:r>
      <w:r/>
    </w:p>
    <w:p>
      <w:pPr>
        <w:ind w:left="0" w:right="0" w:firstLine="482"/>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bl>
      <w:tblPr>
        <w:tblStyle w:val="8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588"/>
        <w:gridCol w:w="6401"/>
      </w:tblGrid>
      <w:tr>
        <w:trPr>
          <w:trHeight w:val="61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评审因素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4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评审标准</w:t>
            </w:r>
            <w:r/>
          </w:p>
        </w:tc>
      </w:tr>
      <w:tr>
        <w:trPr>
          <w:trHeight w:val="139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0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分采用低价优先法计算，即满足招标文件要求且投标价格最低的投标报价为评标基准价，其价格分为满分10分。其他投标人的价格分按照下列公式计算，保留小数点后2位：投标报价得分=（评标基准价／投标报价）×10</w:t>
            </w:r>
            <w:r/>
          </w:p>
        </w:tc>
      </w:tr>
      <w:tr>
        <w:trPr>
          <w:trHeight w:val="17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服务要求响应</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0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评委根据投标文件中《技术要求响应及偏离表》，结合投标文件提供的材料等进行评审：完全满足《第四章 采购需求》二、维保服务要求的得40分，重要参数（加注“▲”条款，需提供证明材料）每有一项负偏离扣4分，一般参数每有一项负偏离扣2分。</w:t>
            </w:r>
            <w:r/>
          </w:p>
        </w:tc>
      </w:tr>
      <w:tr>
        <w:trPr>
          <w:trHeight w:val="296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8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服务方案</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0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1、根据各投标人提供的项目</w:t>
            </w:r>
            <w:r>
              <w:rPr>
                <w:rFonts w:ascii="SimSun" w:hAnsi="SimSun" w:eastAsia="SimSun" w:cs="SimSun"/>
                <w:b/>
                <w:color w:val="000000"/>
                <w:sz w:val="24"/>
              </w:rPr>
              <w:t xml:space="preserve">维修服务方案</w:t>
            </w:r>
            <w:r>
              <w:rPr>
                <w:rFonts w:ascii="SimSun" w:hAnsi="SimSun" w:eastAsia="SimSun" w:cs="SimSun"/>
                <w:color w:val="000000"/>
                <w:sz w:val="24"/>
              </w:rPr>
              <w:t xml:space="preserve">内容</w:t>
            </w:r>
            <w:r>
              <w:rPr>
                <w:rFonts w:ascii="SimSun" w:hAnsi="SimSun" w:eastAsia="SimSun" w:cs="SimSun"/>
                <w:b/>
                <w:color w:val="000000"/>
                <w:sz w:val="24"/>
              </w:rPr>
              <w:t xml:space="preserve">（包括但不限于a保养方案、b项目实施流程及进度安排、c维保措施、d培训计划及师资安排等）</w:t>
            </w:r>
            <w:r>
              <w:rPr>
                <w:rFonts w:ascii="SimSun" w:hAnsi="SimSun" w:eastAsia="SimSun" w:cs="SimSun"/>
                <w:color w:val="000000"/>
                <w:sz w:val="24"/>
              </w:rPr>
              <w:t xml:space="preserve">进行评审，每项1.5分，共6分：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以上每项内容须根据下述量化评审因素指标要求进行打分。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1、方案完整详尽，专业性、可行性强，考虑周全，思路特别清晰完善，得1.5分；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2、对项目执行有一定认识，方案较为完整，思路基本清晰，该项得0.75分；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3、未提供或者经评标委员会认定完全不具备可行性的不得分。</w:t>
            </w:r>
            <w:r/>
          </w:p>
        </w:tc>
      </w:tr>
      <w:tr>
        <w:trPr>
          <w:trHeight w:val="2413"/>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0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2、根据各投标人提供的项目</w:t>
            </w:r>
            <w:r>
              <w:rPr>
                <w:rFonts w:ascii="SimSun" w:hAnsi="SimSun" w:eastAsia="SimSun" w:cs="SimSun"/>
                <w:b/>
                <w:color w:val="000000"/>
                <w:sz w:val="24"/>
              </w:rPr>
              <w:t xml:space="preserve">应急服务方案</w:t>
            </w:r>
            <w:r>
              <w:rPr>
                <w:rFonts w:ascii="SimSun" w:hAnsi="SimSun" w:eastAsia="SimSun" w:cs="SimSun"/>
                <w:color w:val="000000"/>
                <w:sz w:val="24"/>
              </w:rPr>
              <w:t xml:space="preserve">内容</w:t>
            </w:r>
            <w:r>
              <w:rPr>
                <w:rFonts w:ascii="SimSun" w:hAnsi="SimSun" w:eastAsia="SimSun" w:cs="SimSun"/>
                <w:b/>
                <w:color w:val="000000"/>
                <w:sz w:val="24"/>
              </w:rPr>
              <w:t xml:space="preserve">（包括但不限于a应对突发事件应急预案、b应急人员安排、c应急响应时间、d应急处理质量管控等）</w:t>
            </w:r>
            <w:r>
              <w:rPr>
                <w:rFonts w:ascii="SimSun" w:hAnsi="SimSun" w:eastAsia="SimSun" w:cs="SimSun"/>
                <w:color w:val="000000"/>
                <w:sz w:val="24"/>
              </w:rPr>
              <w:t xml:space="preserve">进行评审，每项1.5分，共6分：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以上每项内容须根据下述量化评审因素指标要求进行打分。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1、方案完整详尽，专业性、可行性强，考虑周全，思路特别清晰完善，得1.5分；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2、对项目执行有一定认识，方案较为完整，思路基本清晰，该项得0.75分；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3、未提供或者经评标委员会认定完全不具备可行性的不得分。</w:t>
            </w:r>
            <w:r/>
          </w:p>
        </w:tc>
      </w:tr>
      <w:tr>
        <w:trPr>
          <w:trHeight w:val="517"/>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0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3、根据各投标人提供的</w:t>
            </w:r>
            <w:r>
              <w:rPr>
                <w:rFonts w:ascii="SimSun" w:hAnsi="SimSun" w:eastAsia="SimSun" w:cs="SimSun"/>
                <w:b/>
                <w:color w:val="000000"/>
                <w:sz w:val="24"/>
              </w:rPr>
              <w:t xml:space="preserve">团队人员配置管理情况</w:t>
            </w:r>
            <w:r>
              <w:rPr>
                <w:rFonts w:ascii="SimSun" w:hAnsi="SimSun" w:eastAsia="SimSun" w:cs="SimSun"/>
                <w:color w:val="000000"/>
                <w:sz w:val="24"/>
              </w:rPr>
              <w:t xml:space="preserve">方案内容</w:t>
            </w:r>
            <w:r>
              <w:rPr>
                <w:rFonts w:ascii="SimSun" w:hAnsi="SimSun" w:eastAsia="SimSun" w:cs="SimSun"/>
                <w:b/>
                <w:color w:val="000000"/>
                <w:sz w:val="24"/>
              </w:rPr>
              <w:t xml:space="preserve">（包括但不限于a人员配备、b人员管理制度及安全管理制度、c人员专业服务能力、d人员日常培训等）</w:t>
            </w:r>
            <w:r>
              <w:rPr>
                <w:rFonts w:ascii="SimSun" w:hAnsi="SimSun" w:eastAsia="SimSun" w:cs="SimSun"/>
                <w:color w:val="000000"/>
                <w:sz w:val="24"/>
              </w:rPr>
              <w:t xml:space="preserve">进行评审，每项1.5分，共6分：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以上每项内容须根据下述量化评审因素指标要求进行打分。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1、方案完整详尽，专业性、可行性强，考虑周全，思路特别清晰完善，得1.5分；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2、对项目执行有一定认识，方案较为完整，思路基本清晰，该项得0.75分；</w:t>
            </w:r>
            <w:r/>
          </w:p>
          <w:p>
            <w:pPr>
              <w:ind w:left="0" w:right="0" w:firstLine="0"/>
              <w:jc w:val="both"/>
              <w:spacing w:before="0" w:after="12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3、未提供或者经评标委员会认定完全不具备可行性的不得分。</w:t>
            </w:r>
            <w:r/>
          </w:p>
        </w:tc>
      </w:tr>
      <w:tr>
        <w:trPr>
          <w:trHeight w:val="702"/>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0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4、根据各投标人提供的</w:t>
            </w:r>
            <w:r>
              <w:rPr>
                <w:rFonts w:ascii="SimSun" w:hAnsi="SimSun" w:eastAsia="SimSun" w:cs="SimSun"/>
                <w:b/>
                <w:color w:val="000000"/>
                <w:sz w:val="24"/>
                <w:u w:val="single"/>
              </w:rPr>
              <w:t xml:space="preserve">售后服务</w:t>
            </w:r>
            <w:r>
              <w:rPr>
                <w:rFonts w:ascii="SimSun" w:hAnsi="SimSun" w:eastAsia="SimSun" w:cs="SimSun"/>
                <w:color w:val="000000"/>
                <w:sz w:val="24"/>
              </w:rPr>
              <w:t xml:space="preserve">方案内容</w:t>
            </w:r>
            <w:r>
              <w:rPr>
                <w:rFonts w:ascii="SimSun" w:hAnsi="SimSun" w:eastAsia="SimSun" w:cs="SimSun"/>
                <w:b/>
                <w:color w:val="000000"/>
                <w:sz w:val="24"/>
              </w:rPr>
              <w:t xml:space="preserve">（包括但不限于a售后人员安排、b质量管控方案、c资料档案管理、d、故障预防措施以及售后措施等）</w:t>
            </w:r>
            <w:r>
              <w:rPr>
                <w:rFonts w:ascii="SimSun" w:hAnsi="SimSun" w:eastAsia="SimSun" w:cs="SimSun"/>
                <w:color w:val="000000"/>
                <w:sz w:val="24"/>
              </w:rPr>
              <w:t xml:space="preserve">进行评审，每项1.5分，共6分：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以上每项内容须根据下述量化评审因素指标要求进行打分。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1、方案完整详尽，专业性、可行性强，考虑周全，思路特别清晰完善，得1.5分；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2、对项目执行有一定认识，方案较为完整，思路基本清晰，该项得0.75分；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3、未提供或者经评标委员会认定完全不具备可行性的不得分。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8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88" w:type="dxa"/>
            <w:vAlign w:val="center"/>
            <w:vMerge w:val="restart"/>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维保服务能力</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0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1.工具配置及零配件储备情况12分：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 投标人具有全套维修工具，并提供适用于本次维保设备的相关维修工具图片和清单；未提供不得分。（6分）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 投标人在国内设有零备件仓库，提供零备件仓库地址及联系人、联系电话，提供一个得3分，最多得6分，未提供或提供的资料不全不得分。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注：自有仓库须提供仓库不动产产权证（证书上须明确体现投标人名称和面积）；租赁仓库须提供不动产产权证和租赁合同（租赁合同中须明确体现投标人的名称和面积）。</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投标人如为具备厂家授权的代理商或者与生产厂家签署维修服务合作协议，可使用厂家零件库的相关材料。</w:t>
            </w:r>
            <w:r/>
          </w:p>
        </w:tc>
      </w:tr>
      <w:tr>
        <w:trPr>
          <w:trHeight w:val="316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0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提供具有维保设备原厂或其他受原厂委托机构出具的同品牌MR维保或维修培训证书的工程师团队，同时提供培训证书（复印件并加盖公章）、投标人为该工程师缴纳的社保记录（投标文件递交截止时间前六个月内任一月份的记录复印件），或投标人为具备厂家授权的代理商或者与生产厂家签署维修服务合作协议的，可使用厂家工程师（提供为该工程师缴纳的社保记录（投标文件递交截止时间前六个月内任一月份的记录复印件）。工程师团队人数在满足要求（2人）的基础上，每多一人得2分，最多得8分。</w:t>
            </w:r>
            <w:r/>
          </w:p>
        </w:tc>
      </w:tr>
      <w:tr>
        <w:trPr>
          <w:trHeight w:val="713"/>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0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3.投标人为维保设备原生产厂家，或者具备生产厂家的售后授权，或者与生产厂家签署维修服务合作协议的，得6分。</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第六章  投标文件格式</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96"/>
        </w:rPr>
        <w:t xml:space="preserve">投  标  文  件</w:t>
      </w:r>
      <w:r/>
    </w:p>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tbl>
      <w:tblPr>
        <w:tblStyle w:val="8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003"/>
        <w:gridCol w:w="5932"/>
      </w:tblGrid>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03" w:type="dxa"/>
            <w:vAlign w:val="center"/>
            <w:textDirection w:val="lrTb"/>
            <w:noWrap w:val="false"/>
          </w:tcPr>
          <w:p>
            <w:pPr>
              <w:ind w:left="0" w:right="0" w:firstLine="0"/>
              <w:jc w:val="right"/>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项目名称：</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932"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南京市妇幼保健院MR3.0T维保服务采购项目</w:t>
            </w:r>
            <w:r/>
          </w:p>
        </w:tc>
      </w:tr>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03" w:type="dxa"/>
            <w:vAlign w:val="center"/>
            <w:textDirection w:val="lrTb"/>
            <w:noWrap w:val="false"/>
          </w:tcPr>
          <w:p>
            <w:pPr>
              <w:ind w:left="0" w:right="0" w:firstLine="0"/>
              <w:jc w:val="right"/>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932" w:type="dxa"/>
            <w:vAlign w:val="center"/>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JSZC-320100-SHGK-G2026-0011</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tc>
      </w:tr>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03" w:type="dxa"/>
            <w:vAlign w:val="center"/>
            <w:textDirection w:val="lrTb"/>
            <w:noWrap w:val="false"/>
          </w:tcPr>
          <w:p>
            <w:pPr>
              <w:ind w:left="0" w:right="0" w:firstLine="0"/>
              <w:jc w:val="right"/>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投标人名称：</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932"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（加盖CA电子公章）</w:t>
            </w:r>
            <w:r/>
          </w:p>
        </w:tc>
      </w:tr>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03" w:type="dxa"/>
            <w:vAlign w:val="center"/>
            <w:textDirection w:val="lrTb"/>
            <w:noWrap w:val="false"/>
          </w:tcPr>
          <w:p>
            <w:pPr>
              <w:ind w:left="0" w:right="0" w:firstLine="0"/>
              <w:jc w:val="right"/>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日期</w:t>
            </w:r>
            <w:r>
              <w:rPr>
                <w:rFonts w:ascii="SimSun" w:hAnsi="SimSun" w:eastAsia="SimSun" w:cs="SimSun"/>
                <w:b/>
                <w:color w:val="000000"/>
                <w:sz w:val="36"/>
              </w:rPr>
              <w:t xml:space="preserve">：</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932"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2026年XX月XX日</w:t>
            </w:r>
            <w:r/>
          </w:p>
        </w:tc>
      </w:tr>
    </w:tbl>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投标文件目录</w:t>
      </w:r>
      <w:r/>
    </w:p>
    <w:p>
      <w:pPr>
        <w:ind w:left="0" w:right="0" w:firstLine="321"/>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24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一、法人或者其他组织的营业执照等证明文件，自然人的身份证明</w:t>
      </w:r>
      <w:r/>
    </w:p>
    <w:p>
      <w:pPr>
        <w:ind w:left="0" w:right="0" w:firstLine="24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二、上一年度的财务状况报告（投标人成立不满一年无需提供）</w:t>
      </w:r>
      <w:r/>
    </w:p>
    <w:p>
      <w:pPr>
        <w:ind w:left="0" w:right="0" w:firstLine="24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0" w:right="0" w:firstLine="24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四、具备履行合同所必需的设备和专业技术能力的书面声明</w:t>
      </w:r>
      <w:r/>
    </w:p>
    <w:p>
      <w:pPr>
        <w:ind w:left="0" w:right="0" w:firstLine="24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五、参加政府采购活动前 3 年内在经营活动中没有重大违法记录的书面声明</w:t>
      </w:r>
      <w:r/>
    </w:p>
    <w:p>
      <w:pPr>
        <w:ind w:left="0" w:right="0" w:firstLine="24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六、特定资格要求的证明文件（如果本项目设置特定资格要求，则需要提供）</w:t>
      </w:r>
      <w:r/>
    </w:p>
    <w:p>
      <w:pPr>
        <w:ind w:left="0" w:right="0" w:firstLine="24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七、法人授权书</w:t>
      </w:r>
      <w:r/>
    </w:p>
    <w:p>
      <w:pPr>
        <w:ind w:left="0" w:right="0" w:firstLine="24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八、投标函</w:t>
      </w:r>
      <w:r/>
    </w:p>
    <w:p>
      <w:pPr>
        <w:ind w:left="0" w:right="0" w:firstLine="24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九、小微企业声明函（如适用）</w:t>
      </w:r>
      <w:r/>
    </w:p>
    <w:p>
      <w:pPr>
        <w:ind w:left="0" w:right="0" w:firstLine="24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十、残疾人福利性单位声明函（如适用）</w:t>
      </w:r>
      <w:r/>
    </w:p>
    <w:p>
      <w:pPr>
        <w:ind w:left="0" w:right="0" w:firstLine="24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十一、技术要求响应及偏离表</w:t>
      </w:r>
      <w:r/>
    </w:p>
    <w:p>
      <w:pPr>
        <w:ind w:left="0" w:right="0" w:firstLine="24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十二、商务要求响应及偏离表</w:t>
      </w:r>
      <w:r/>
    </w:p>
    <w:p>
      <w:pPr>
        <w:ind w:left="0" w:right="0" w:firstLine="24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十三、开标一览表</w:t>
      </w:r>
      <w:r/>
    </w:p>
    <w:p>
      <w:pPr>
        <w:ind w:left="0" w:right="0" w:firstLine="24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十四、服务方案</w:t>
      </w:r>
      <w:r/>
    </w:p>
    <w:p>
      <w:pPr>
        <w:ind w:left="0" w:right="0" w:firstLine="24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十五、《南京市政府采购供应商信用记录表暨信用承诺书》</w:t>
      </w:r>
      <w:r/>
    </w:p>
    <w:p>
      <w:pPr>
        <w:ind w:left="0" w:right="0" w:firstLine="24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十六、投标人认为需要提供的其它资料</w:t>
      </w:r>
      <w:r/>
    </w:p>
    <w:p>
      <w:pPr>
        <w:ind w:left="0" w:right="0" w:firstLine="24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 </w:t>
      </w:r>
      <w:r/>
    </w:p>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一、法人或者其他组织的营业执照等证明文件，自然人的身份证明</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二、上一年度的财务状况报告</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2024年度经审计的财务报告，或投标截止时间前六个月内任一月份企业编制的会计报表（至少包括资产负债表和利润表），或投标截止时间前六个月内银行出具的资信证明，复印件加盖公章；（投标人成立不满一年无需提供）；</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三、依法缴纳税收和社会保障资金的相关材料</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提供提交投标文件截止时间前一年内至少一个月依法缴纳税收及缴纳社会保障资金的证明材料。投标人依法享受缓缴、免缴税收、社会保障资金的提供证明材料。</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四、具备履行合同所必需的设备和专业技术能力的书面声明</w:t>
      </w:r>
      <w:r/>
    </w:p>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声明</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致：南京市妇幼保健院</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我公司郑重声明：具有履行编号为</w:t>
      </w:r>
      <w:r>
        <w:rPr>
          <w:rFonts w:ascii="SimSun" w:hAnsi="SimSun" w:eastAsia="SimSun" w:cs="SimSun"/>
          <w:color w:val="00b0f0"/>
          <w:sz w:val="24"/>
        </w:rPr>
        <w:t xml:space="preserve">JSZC-320100-SHGK-G2026-0011</w:t>
      </w:r>
      <w:r>
        <w:rPr>
          <w:rFonts w:ascii="SimSun" w:hAnsi="SimSun" w:eastAsia="SimSun" w:cs="SimSun"/>
          <w:color w:val="000000"/>
          <w:sz w:val="24"/>
        </w:rPr>
        <w:t xml:space="preserve">招标项下</w:t>
      </w:r>
      <w:r>
        <w:rPr>
          <w:rFonts w:ascii="SimSun" w:hAnsi="SimSun" w:eastAsia="SimSun" w:cs="SimSun"/>
          <w:color w:val="000000"/>
          <w:sz w:val="24"/>
          <w:u w:val="single"/>
        </w:rPr>
        <w:t xml:space="preserve">MR3.0T维保服务采购项目</w:t>
      </w:r>
      <w:r>
        <w:rPr>
          <w:rFonts w:ascii="SimSun" w:hAnsi="SimSun" w:eastAsia="SimSun" w:cs="SimSun"/>
          <w:color w:val="000000"/>
          <w:sz w:val="24"/>
        </w:rPr>
        <w:t xml:space="preserve">合同的设备和专业技术能力。</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特此声明！</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w:t>
      </w:r>
      <w:r>
        <w:rPr>
          <w:rFonts w:ascii="SimSun" w:hAnsi="SimSun" w:eastAsia="SimSun" w:cs="SimSun"/>
          <w:color w:val="000000"/>
          <w:sz w:val="24"/>
          <w:u w:val="single"/>
        </w:rPr>
        <w:t xml:space="preserve">（加盖CA电子公章）</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法定代表人（或授权委托人）签字：</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投标日期：2026年XX月XX日</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五、参加政府采购活动前 3 年内在经营活动中没有重大违法记录的书面声明</w:t>
      </w:r>
      <w:r/>
    </w:p>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声明</w:t>
      </w:r>
      <w:r/>
    </w:p>
    <w:p>
      <w:pPr>
        <w:ind w:left="0" w:right="0" w:firstLine="48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致：南京市妇幼保健院</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我单位郑重声明：参加本次政府采购活动前3年内，我单位在经营活动中没有因违法经营受到刑事处罚或者责令停产停业、吊销许可证或者执照、较大数额罚款等行政处罚。</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特此声明！</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w:t>
      </w:r>
      <w:r>
        <w:rPr>
          <w:rFonts w:ascii="SimSun" w:hAnsi="SimSun" w:eastAsia="SimSun" w:cs="SimSun"/>
          <w:color w:val="000000"/>
          <w:sz w:val="24"/>
          <w:u w:val="single"/>
        </w:rPr>
        <w:t xml:space="preserve">（加盖CA电子公章）</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法定代表人（或授权委托人）签字：</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投标日期：2026年XX月XX日</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六、特定资格要求的证明文件</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（1）投标人须提供《医疗器械经营许可证》；</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（2）提供投标人代表在投标文件接收截止时间前半年内任一月份投标单位为其缴纳社会保障资金的凭据（复印件加盖公章）；</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u w:val="none"/>
        </w:rPr>
        <w:t xml:space="preserve">七、法人授权书</w:t>
      </w:r>
      <w:r/>
    </w:p>
    <w:p>
      <w:pPr>
        <w:ind w:left="0" w:right="0" w:firstLine="48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本授权书声明：____________（投标人名称）授权________________（被授权人的姓名）为我方就JSZC-</w:t>
      </w:r>
      <w:r>
        <w:rPr>
          <w:rFonts w:ascii="SimSun" w:hAnsi="SimSun" w:eastAsia="SimSun" w:cs="SimSun"/>
          <w:color w:val="000000"/>
          <w:sz w:val="24"/>
          <w:u w:val="single"/>
        </w:rPr>
        <w:t xml:space="preserve">        </w:t>
      </w:r>
      <w:r>
        <w:rPr>
          <w:rFonts w:ascii="SimSun" w:hAnsi="SimSun" w:eastAsia="SimSun" w:cs="SimSun"/>
          <w:color w:val="000000"/>
          <w:sz w:val="24"/>
        </w:rPr>
        <w:t xml:space="preserve">号项目采购活动的合法代理人，以本单位名义全权处理一切与该项目采购有关的事务。</w:t>
      </w:r>
      <w:r/>
    </w:p>
    <w:p>
      <w:pPr>
        <w:ind w:left="0" w:right="0" w:firstLine="48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本授权书于______年____月____日起生效，特此声明。</w:t>
      </w:r>
      <w:r/>
    </w:p>
    <w:p>
      <w:pPr>
        <w:ind w:left="0" w:right="0" w:firstLine="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被授权人身份证号码：</w:t>
      </w:r>
      <w:r>
        <w:rPr>
          <w:rFonts w:ascii="SimSun" w:hAnsi="SimSun" w:eastAsia="SimSun" w:cs="SimSun"/>
          <w:color w:val="000000"/>
          <w:sz w:val="24"/>
          <w:u w:val="single"/>
        </w:rPr>
        <w:t xml:space="preserve">                              </w:t>
      </w:r>
      <w:r/>
    </w:p>
    <w:p>
      <w:pPr>
        <w:ind w:left="0" w:right="0" w:firstLine="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被授权人联系电话：（手机）</w:t>
      </w:r>
      <w:r>
        <w:rPr>
          <w:rFonts w:ascii="SimSun" w:hAnsi="SimSun" w:eastAsia="SimSun" w:cs="SimSun"/>
          <w:color w:val="000000"/>
          <w:sz w:val="24"/>
          <w:u w:val="single"/>
        </w:rPr>
        <w:t xml:space="preserve">                          </w:t>
      </w:r>
      <w:r/>
    </w:p>
    <w:p>
      <w:pPr>
        <w:ind w:left="0" w:right="0" w:firstLine="120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授权单位名称：</w:t>
      </w:r>
      <w:r>
        <w:rPr>
          <w:rFonts w:ascii="SimSun" w:hAnsi="SimSun" w:eastAsia="SimSun" w:cs="SimSun"/>
          <w:color w:val="000000"/>
          <w:sz w:val="24"/>
          <w:u w:val="single"/>
        </w:rPr>
        <w:t xml:space="preserve">（加盖CA电子公章）</w:t>
      </w:r>
      <w:r/>
    </w:p>
    <w:p>
      <w:pPr>
        <w:ind w:left="0" w:right="0" w:firstLine="48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单位地址：</w:t>
      </w:r>
      <w:r>
        <w:rPr>
          <w:rFonts w:ascii="SimSun" w:hAnsi="SimSun" w:eastAsia="SimSun" w:cs="SimSun"/>
          <w:color w:val="000000"/>
          <w:sz w:val="24"/>
          <w:u w:val="single"/>
        </w:rPr>
        <w:t xml:space="preserve">                                         </w:t>
      </w:r>
      <w:r/>
    </w:p>
    <w:p>
      <w:pPr>
        <w:ind w:left="0" w:right="0" w:firstLine="48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i/>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56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p>
      <w:pPr>
        <w:ind w:left="0" w:right="0" w:firstLine="56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(1)本授权委托书之后需附上授权代表身份证复印件。</w:t>
      </w:r>
      <w:r/>
    </w:p>
    <w:p>
      <w:pPr>
        <w:ind w:left="0" w:right="0" w:firstLine="56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(2)如果投标人有法定代表人且由其直接参与投标的可以不提供，但必须在营业执照后附法定代表人身份证复印件。</w:t>
      </w:r>
      <w:r/>
    </w:p>
    <w:p>
      <w:pPr>
        <w:ind w:left="0" w:right="0" w:firstLine="56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(3)未按上述规定随附身份证复印件的，投标无效。</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3390"/>
        <w:jc w:val="both"/>
        <w:spacing w:before="260" w:after="2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u w:val="none"/>
        </w:rPr>
        <w:t xml:space="preserve">八、投标函</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致：江苏苏豪创新科技集团高科有限公司</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根据贵方的JSZC-320100-SHGK-G2026-0011号招标文件，正式授权下述签字人_________________(姓名)代表我方______________（投标人的名称），全权处理本次项目投标的有关事宜。</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据此函，__________签字人兹宣布同意如下：</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1.按招标文件规定的各项要求，向买方提供所需货物（包含与货物相关的服务）。</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2.我们完全理解贵方不一定将合同授予最低报价的投标人。</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3.我们已详细审核全部招标文件及其有效补充文件，我们知道必须放弃提出含糊不清或误解问题的权利。</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4.我们同意从规定的开标日期起遵循本投标文件，并在投标有效期</w:t>
      </w:r>
      <w:r>
        <w:rPr>
          <w:rFonts w:ascii="SimSun" w:hAnsi="SimSun" w:eastAsia="SimSun" w:cs="SimSun"/>
          <w:color w:val="000000"/>
          <w:sz w:val="24"/>
          <w:u w:val="single"/>
        </w:rPr>
        <w:t xml:space="preserve">    </w:t>
      </w:r>
      <w:r>
        <w:rPr>
          <w:rFonts w:ascii="SimSun" w:hAnsi="SimSun" w:eastAsia="SimSun" w:cs="SimSun"/>
          <w:color w:val="000000"/>
          <w:sz w:val="24"/>
        </w:rPr>
        <w:t xml:space="preserve">天之前均具有约束力。</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5.同意向贵方提供贵方可能另外要求的与投标有关的任何证据或资料，并保证我方已提供和将要提供的文件是真实的、准确的。</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6.一旦我方中标,我方将根据招标文件的规定，严格履行合同的责任和义务,并保证在招标文件规定的时间完成项目，交付买方验收、使用。</w:t>
      </w:r>
      <w:r/>
    </w:p>
    <w:p>
      <w:pPr>
        <w:ind w:left="425"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7.与本投标有关的正式通讯地址为：</w:t>
      </w:r>
      <w:r/>
    </w:p>
    <w:p>
      <w:pPr>
        <w:ind w:left="420" w:right="0" w:firstLine="48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w:t>
      </w:r>
      <w:r/>
    </w:p>
    <w:p>
      <w:pPr>
        <w:ind w:left="420" w:right="0" w:firstLine="48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        编：</w:t>
      </w:r>
      <w:r/>
    </w:p>
    <w:p>
      <w:pPr>
        <w:ind w:left="420" w:right="0" w:firstLine="48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        话：</w:t>
      </w:r>
      <w:r/>
    </w:p>
    <w:p>
      <w:pPr>
        <w:ind w:left="420" w:right="0" w:firstLine="48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        真：</w:t>
      </w:r>
      <w:r/>
    </w:p>
    <w:p>
      <w:pPr>
        <w:ind w:left="420" w:right="0" w:firstLine="48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投标人开户行：</w:t>
      </w:r>
      <w:r/>
    </w:p>
    <w:p>
      <w:pPr>
        <w:ind w:left="420" w:right="0" w:firstLine="48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        号： </w:t>
      </w:r>
      <w:r/>
    </w:p>
    <w:p>
      <w:pPr>
        <w:ind w:left="420" w:right="0" w:firstLine="48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期：________年____月____日</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numPr>
          <w:ilvl w:val="0"/>
          <w:numId w:val="11"/>
        </w:numPr>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u w:val="none"/>
        </w:rPr>
        <w:t xml:space="preserve">小微企业声明函（服务）（如适用）</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中小企业声明函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18"/>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本公司（联合体）郑重声明，根据《政府采购促进中小企业发展管理办法》（财库﹝2020﹞46 号）的规定，本公司（联合体）参加</w:t>
      </w:r>
      <w:r>
        <w:rPr>
          <w:rFonts w:ascii="SimSun" w:hAnsi="SimSun" w:eastAsia="SimSun" w:cs="SimSun"/>
          <w:i/>
          <w:color w:val="000000"/>
          <w:sz w:val="21"/>
        </w:rPr>
        <w:t xml:space="preserve">（单位名称）</w:t>
      </w:r>
      <w:r>
        <w:rPr>
          <w:rFonts w:ascii="SimSun" w:hAnsi="SimSun" w:eastAsia="SimSun" w:cs="SimSun"/>
          <w:color w:val="000000"/>
          <w:sz w:val="21"/>
        </w:rPr>
        <w:t xml:space="preserve">的</w:t>
      </w:r>
      <w:r>
        <w:rPr>
          <w:rFonts w:ascii="SimSun" w:hAnsi="SimSun" w:eastAsia="SimSun" w:cs="SimSun"/>
          <w:i/>
          <w:color w:val="000000"/>
          <w:sz w:val="21"/>
        </w:rPr>
        <w:t xml:space="preserve">（项目名称）</w:t>
      </w:r>
      <w:r>
        <w:rPr>
          <w:rFonts w:ascii="SimSun" w:hAnsi="SimSun" w:eastAsia="SimSun" w:cs="SimSun"/>
          <w:color w:val="000000"/>
          <w:sz w:val="21"/>
        </w:rPr>
        <w:t xml:space="preserve">采购活动，服务全部由符合政策要求的中小企业承接。相关企业（含联合体中的中小企业、签订分包意向协议的中小企业）的具体情况如下：</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w:t>
      </w:r>
      <w:r>
        <w:rPr>
          <w:rFonts w:ascii="SimSun" w:hAnsi="SimSun" w:eastAsia="SimSun" w:cs="SimSun"/>
          <w:i/>
          <w:color w:val="000000"/>
          <w:sz w:val="21"/>
        </w:rPr>
        <w:t xml:space="preserve">（标的名称） </w:t>
      </w:r>
      <w:r>
        <w:rPr>
          <w:rFonts w:ascii="SimSun" w:hAnsi="SimSun" w:eastAsia="SimSun" w:cs="SimSun"/>
          <w:color w:val="000000"/>
          <w:sz w:val="21"/>
        </w:rPr>
        <w:t xml:space="preserve">，属于</w:t>
      </w:r>
      <w:r>
        <w:rPr>
          <w:rFonts w:ascii="SimSun" w:hAnsi="SimSun" w:eastAsia="SimSun" w:cs="SimSun"/>
          <w:i/>
          <w:color w:val="000000"/>
          <w:sz w:val="21"/>
        </w:rPr>
        <w:t xml:space="preserve">（采购文件中明确的所属行业）</w:t>
      </w:r>
      <w:r>
        <w:rPr>
          <w:rFonts w:ascii="SimSun" w:hAnsi="SimSun" w:eastAsia="SimSun" w:cs="SimSun"/>
          <w:color w:val="000000"/>
          <w:sz w:val="21"/>
        </w:rPr>
        <w:t xml:space="preserve">；承建（承接）企业为</w:t>
      </w:r>
      <w:r>
        <w:rPr>
          <w:rFonts w:ascii="SimSun" w:hAnsi="SimSun" w:eastAsia="SimSun" w:cs="SimSun"/>
          <w:i/>
          <w:color w:val="000000"/>
          <w:sz w:val="21"/>
        </w:rPr>
        <w:t xml:space="preserve">（企业名称）</w:t>
      </w:r>
      <w:r>
        <w:rPr>
          <w:rFonts w:ascii="SimSun" w:hAnsi="SimSun" w:eastAsia="SimSun" w:cs="SimSun"/>
          <w:color w:val="000000"/>
          <w:sz w:val="21"/>
        </w:rPr>
        <w:t xml:space="preserve">，从业人员</w:t>
      </w:r>
      <w:r>
        <w:rPr>
          <w:rFonts w:ascii="SimSun" w:hAnsi="SimSun" w:eastAsia="SimSun" w:cs="SimSun"/>
          <w:color w:val="000000"/>
          <w:sz w:val="21"/>
          <w:u w:val="single"/>
        </w:rPr>
        <w:t xml:space="preserve">   </w:t>
      </w:r>
      <w:r>
        <w:rPr>
          <w:rFonts w:ascii="SimSun" w:hAnsi="SimSun" w:eastAsia="SimSun" w:cs="SimSun"/>
          <w:color w:val="000000"/>
          <w:sz w:val="21"/>
        </w:rPr>
        <w:t xml:space="preserve">人，营业收入为</w:t>
      </w:r>
      <w:r>
        <w:rPr>
          <w:rFonts w:ascii="SimSun" w:hAnsi="SimSun" w:eastAsia="SimSun" w:cs="SimSun"/>
          <w:color w:val="000000"/>
          <w:sz w:val="21"/>
          <w:u w:val="single"/>
        </w:rPr>
        <w:t xml:space="preserve">    </w:t>
      </w:r>
      <w:r>
        <w:rPr>
          <w:rFonts w:ascii="SimSun" w:hAnsi="SimSun" w:eastAsia="SimSun" w:cs="SimSun"/>
          <w:color w:val="000000"/>
          <w:sz w:val="21"/>
        </w:rPr>
        <w:t xml:space="preserve">万元，资产总额为</w:t>
      </w:r>
      <w:r>
        <w:rPr>
          <w:rFonts w:ascii="SimSun" w:hAnsi="SimSun" w:eastAsia="SimSun" w:cs="SimSun"/>
          <w:color w:val="000000"/>
          <w:sz w:val="21"/>
          <w:u w:val="single"/>
        </w:rPr>
        <w:t xml:space="preserve">    </w:t>
      </w:r>
      <w:r>
        <w:rPr>
          <w:rFonts w:ascii="SimSun" w:hAnsi="SimSun" w:eastAsia="SimSun" w:cs="SimSun"/>
          <w:color w:val="000000"/>
          <w:sz w:val="21"/>
        </w:rPr>
        <w:t xml:space="preserve">万元，属于</w:t>
      </w:r>
      <w:r>
        <w:rPr>
          <w:rFonts w:ascii="SimSun" w:hAnsi="SimSun" w:eastAsia="SimSun" w:cs="SimSun"/>
          <w:i/>
          <w:color w:val="000000"/>
          <w:sz w:val="21"/>
        </w:rPr>
        <w:t xml:space="preserve">（中型企业、小型企业、微型企业）</w:t>
      </w: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w:t>
      </w:r>
      <w:r>
        <w:rPr>
          <w:rFonts w:ascii="SimSun" w:hAnsi="SimSun" w:eastAsia="SimSun" w:cs="SimSun"/>
          <w:i/>
          <w:color w:val="000000"/>
          <w:sz w:val="21"/>
        </w:rPr>
        <w:t xml:space="preserve">（标的名称） </w:t>
      </w:r>
      <w:r>
        <w:rPr>
          <w:rFonts w:ascii="SimSun" w:hAnsi="SimSun" w:eastAsia="SimSun" w:cs="SimSun"/>
          <w:color w:val="000000"/>
          <w:sz w:val="21"/>
        </w:rPr>
        <w:t xml:space="preserve">，属于</w:t>
      </w:r>
      <w:r>
        <w:rPr>
          <w:rFonts w:ascii="SimSun" w:hAnsi="SimSun" w:eastAsia="SimSun" w:cs="SimSun"/>
          <w:i/>
          <w:color w:val="000000"/>
          <w:sz w:val="21"/>
        </w:rPr>
        <w:t xml:space="preserve">（采购文件中明确的所属行业）</w:t>
      </w:r>
      <w:r>
        <w:rPr>
          <w:rFonts w:ascii="SimSun" w:hAnsi="SimSun" w:eastAsia="SimSun" w:cs="SimSun"/>
          <w:color w:val="000000"/>
          <w:sz w:val="21"/>
        </w:rPr>
        <w:t xml:space="preserve">；承建（承接）企业为</w:t>
      </w:r>
      <w:r>
        <w:rPr>
          <w:rFonts w:ascii="SimSun" w:hAnsi="SimSun" w:eastAsia="SimSun" w:cs="SimSun"/>
          <w:i/>
          <w:color w:val="000000"/>
          <w:sz w:val="21"/>
        </w:rPr>
        <w:t xml:space="preserve">（企业名称）</w:t>
      </w:r>
      <w:r>
        <w:rPr>
          <w:rFonts w:ascii="SimSun" w:hAnsi="SimSun" w:eastAsia="SimSun" w:cs="SimSun"/>
          <w:color w:val="000000"/>
          <w:sz w:val="21"/>
        </w:rPr>
        <w:t xml:space="preserve">，从业人员</w:t>
      </w:r>
      <w:r>
        <w:rPr>
          <w:rFonts w:ascii="SimSun" w:hAnsi="SimSun" w:eastAsia="SimSun" w:cs="SimSun"/>
          <w:color w:val="000000"/>
          <w:sz w:val="21"/>
          <w:u w:val="single"/>
        </w:rPr>
        <w:t xml:space="preserve">   </w:t>
      </w:r>
      <w:r>
        <w:rPr>
          <w:rFonts w:ascii="SimSun" w:hAnsi="SimSun" w:eastAsia="SimSun" w:cs="SimSun"/>
          <w:color w:val="000000"/>
          <w:sz w:val="21"/>
        </w:rPr>
        <w:t xml:space="preserve">人，营业收入为</w:t>
      </w:r>
      <w:r>
        <w:rPr>
          <w:rFonts w:ascii="SimSun" w:hAnsi="SimSun" w:eastAsia="SimSun" w:cs="SimSun"/>
          <w:i/>
          <w:color w:val="000000"/>
          <w:sz w:val="21"/>
          <w:u w:val="single"/>
        </w:rPr>
        <w:t xml:space="preserve">     </w:t>
      </w:r>
      <w:r>
        <w:rPr>
          <w:rFonts w:ascii="SimSun" w:hAnsi="SimSun" w:eastAsia="SimSun" w:cs="SimSun"/>
          <w:color w:val="000000"/>
          <w:sz w:val="21"/>
        </w:rPr>
        <w:t xml:space="preserve">万元，资产总额为</w:t>
      </w:r>
      <w:r>
        <w:rPr>
          <w:rFonts w:ascii="SimSun" w:hAnsi="SimSun" w:eastAsia="SimSun" w:cs="SimSun"/>
          <w:color w:val="000000"/>
          <w:sz w:val="21"/>
          <w:u w:val="single"/>
        </w:rPr>
        <w:t xml:space="preserve">    </w:t>
      </w:r>
      <w:r>
        <w:rPr>
          <w:rFonts w:ascii="SimSun" w:hAnsi="SimSun" w:eastAsia="SimSun" w:cs="SimSun"/>
          <w:color w:val="000000"/>
          <w:sz w:val="21"/>
        </w:rPr>
        <w:t xml:space="preserve">万元，属于</w:t>
      </w:r>
      <w:r>
        <w:rPr>
          <w:rFonts w:ascii="SimSun" w:hAnsi="SimSun" w:eastAsia="SimSun" w:cs="SimSun"/>
          <w:i/>
          <w:color w:val="000000"/>
          <w:sz w:val="21"/>
        </w:rPr>
        <w:t xml:space="preserve">（中型企业、小型企业、微型企业）</w:t>
      </w: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以上企业，不属于大企业的分支机构，不存在控股股东为大企业的情形，也不存在与大企业的负责人为同一人的情形。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本企业对上述声明内容的真实性负责。如有虚假，将依法承担相应责任。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企业名称（盖章）： </w:t>
      </w:r>
      <w:r/>
    </w:p>
    <w:p>
      <w:pPr>
        <w:ind w:left="0" w:right="0" w:firstLine="42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 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备注1：从业人员、营业收入、资产总额填报上一年度数据，无上一年度数据的新成立企业可不填报。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备注2：供应商如不提供此声明函，价格将不做相应扣除。</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numPr>
          <w:ilvl w:val="0"/>
          <w:numId w:val="11"/>
        </w:numPr>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u w:val="none"/>
        </w:rPr>
        <w:t xml:space="preserve">残疾人福利性单位声明函（如适用）</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ascii="SimSun" w:hAnsi="SimSun" w:eastAsia="SimSun" w:cs="SimSun"/>
          <w:color w:val="000000"/>
          <w:sz w:val="24"/>
          <w:u w:val="single"/>
        </w:rPr>
        <w:t xml:space="preserve">       </w:t>
      </w:r>
      <w:r>
        <w:rPr>
          <w:rFonts w:ascii="SimSun" w:hAnsi="SimSun" w:eastAsia="SimSun" w:cs="SimSun"/>
          <w:color w:val="000000"/>
          <w:sz w:val="24"/>
        </w:rPr>
        <w:t xml:space="preserve">项目（分包号：**）采购活动提供本单位制造的货物，或者提供其他残疾人福利性单位制造的货物（不包括使用非残疾人福利性单位注册商标的货物）。</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（备注：1、供应商如不提供此声明函，价格将不做相应扣除。2、中标供应商为残疾人福利单位的，此声明函将随中标结果同时公告，接受社会监督）</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企业名称（加盖CA电子公章）：</w:t>
      </w:r>
      <w:r/>
    </w:p>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  期：</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numPr>
          <w:ilvl w:val="0"/>
          <w:numId w:val="11"/>
        </w:numPr>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u w:val="none"/>
        </w:rPr>
        <w:t xml:space="preserve">技术要求响应及偏离表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（根据招标文件《第四章：采购需求》中</w:t>
      </w:r>
      <w:r>
        <w:rPr>
          <w:rFonts w:ascii="SimSun" w:hAnsi="SimSun" w:eastAsia="SimSun" w:cs="SimSun"/>
          <w:color w:val="000000"/>
          <w:sz w:val="21"/>
          <w:u w:val="single"/>
        </w:rPr>
        <w:t xml:space="preserve">二、维保服务要求</w:t>
      </w:r>
      <w:r>
        <w:rPr>
          <w:rFonts w:ascii="SimSun" w:hAnsi="SimSun" w:eastAsia="SimSun" w:cs="SimSun"/>
          <w:color w:val="000000"/>
          <w:sz w:val="21"/>
        </w:rPr>
        <w:t xml:space="preserve">的内容填写，必须点对点应答）</w:t>
      </w:r>
      <w:r/>
    </w:p>
    <w:tbl>
      <w:tblPr>
        <w:tblStyle w:val="8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16"/>
        <w:gridCol w:w="2556"/>
        <w:gridCol w:w="2292"/>
        <w:gridCol w:w="1986"/>
        <w:gridCol w:w="1381"/>
      </w:tblGrid>
      <w:tr>
        <w:trPr>
          <w:trHeight w:val="85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56"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92"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86"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81"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证明材料</w:t>
            </w:r>
            <w:r/>
          </w:p>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对应位置</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6" w:type="dxa"/>
            <w:vAlign w:val="top"/>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6" w:type="dxa"/>
            <w:vAlign w:val="top"/>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2" w:type="dxa"/>
            <w:vAlign w:val="top"/>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top"/>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1" w:type="dxa"/>
            <w:vAlign w:val="top"/>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6" w:type="dxa"/>
            <w:vAlign w:val="top"/>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6" w:type="dxa"/>
            <w:vAlign w:val="top"/>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2" w:type="dxa"/>
            <w:vAlign w:val="top"/>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top"/>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1" w:type="dxa"/>
            <w:vAlign w:val="top"/>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6" w:type="dxa"/>
            <w:vAlign w:val="top"/>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6" w:type="dxa"/>
            <w:vAlign w:val="top"/>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2" w:type="dxa"/>
            <w:vAlign w:val="top"/>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top"/>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1" w:type="dxa"/>
            <w:vAlign w:val="top"/>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6" w:type="dxa"/>
            <w:vAlign w:val="top"/>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6" w:type="dxa"/>
            <w:vAlign w:val="top"/>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2" w:type="dxa"/>
            <w:vAlign w:val="top"/>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top"/>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1" w:type="dxa"/>
            <w:vAlign w:val="top"/>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6" w:type="dxa"/>
            <w:vAlign w:val="top"/>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6" w:type="dxa"/>
            <w:vAlign w:val="top"/>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2" w:type="dxa"/>
            <w:vAlign w:val="top"/>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top"/>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1" w:type="dxa"/>
            <w:vAlign w:val="top"/>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6" w:type="dxa"/>
            <w:vAlign w:val="top"/>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6" w:type="dxa"/>
            <w:vAlign w:val="top"/>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2" w:type="dxa"/>
            <w:vAlign w:val="top"/>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top"/>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1" w:type="dxa"/>
            <w:vAlign w:val="top"/>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6" w:type="dxa"/>
            <w:vAlign w:val="top"/>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6" w:type="dxa"/>
            <w:vAlign w:val="top"/>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2" w:type="dxa"/>
            <w:vAlign w:val="top"/>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top"/>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1" w:type="dxa"/>
            <w:vAlign w:val="top"/>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6" w:type="dxa"/>
            <w:vAlign w:val="top"/>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6" w:type="dxa"/>
            <w:vAlign w:val="top"/>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2" w:type="dxa"/>
            <w:vAlign w:val="top"/>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top"/>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1" w:type="dxa"/>
            <w:vAlign w:val="top"/>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 </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1.行数不够，可自行添加；</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b/>
          <w:color w:val="000000"/>
          <w:sz w:val="21"/>
          <w:u w:val="single"/>
        </w:rPr>
        <w:t xml:space="preserve">参数中若提及要提供承诺书或证明材料的，及重要参数（加注“▲”条款）需提供证明材料的，投标文件中应明确对应位置并附于本表后</w:t>
      </w:r>
      <w:r>
        <w:rPr>
          <w:rFonts w:ascii="SimSun" w:hAnsi="SimSun" w:eastAsia="SimSun" w:cs="SimSun"/>
          <w:color w:val="000000"/>
          <w:sz w:val="21"/>
        </w:rPr>
        <w:t xml:space="preserve">。无相关资料证实的，评委会有权做负偏离处理；</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3.投标人需确保提供佐证材料的真实性，如被认定提供实质性虚假材料，将会导致无效投标处理；</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4.证明材料附后。</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numPr>
          <w:ilvl w:val="0"/>
          <w:numId w:val="11"/>
        </w:numPr>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u w:val="none"/>
        </w:rPr>
        <w:t xml:space="preserve">商务要求响应及偏离表</w:t>
      </w:r>
      <w:r/>
    </w:p>
    <w:p>
      <w:pPr>
        <w:ind w:left="562" w:right="0" w:hanging="42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（根据招标文件《第四章：采购需求》中</w:t>
      </w:r>
      <w:r>
        <w:rPr>
          <w:rFonts w:ascii="SimSun" w:hAnsi="SimSun" w:eastAsia="SimSun" w:cs="SimSun"/>
          <w:color w:val="000000"/>
          <w:sz w:val="21"/>
          <w:u w:val="single"/>
        </w:rPr>
        <w:t xml:space="preserve">三、商务要求</w:t>
      </w:r>
      <w:r>
        <w:rPr>
          <w:rFonts w:ascii="SimSun" w:hAnsi="SimSun" w:eastAsia="SimSun" w:cs="SimSun"/>
          <w:color w:val="000000"/>
          <w:sz w:val="21"/>
        </w:rPr>
        <w:t xml:space="preserve">的内容填写，必须点对点应答）</w:t>
      </w:r>
      <w:r/>
    </w:p>
    <w:tbl>
      <w:tblPr>
        <w:tblStyle w:val="8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57"/>
        <w:gridCol w:w="2475"/>
        <w:gridCol w:w="2696"/>
        <w:gridCol w:w="1836"/>
        <w:gridCol w:w="823"/>
      </w:tblGrid>
      <w:tr>
        <w:trPr>
          <w:trHeight w:val="850"/>
        </w:trPr>
        <w:tc>
          <w:tcPr>
            <w:tcBorders>
              <w:top w:val="single" w:color="000000" w:sz="8" w:space="0"/>
              <w:left w:val="single" w:color="000000" w:sz="8" w:space="0"/>
              <w:bottom w:val="single" w:color="000000" w:sz="8" w:space="0"/>
              <w:right w:val="single" w:color="000000" w:sz="8" w:space="0"/>
            </w:tcBorders>
            <w:tcMar>
              <w:left w:w="3" w:type="dxa"/>
              <w:top w:w="0" w:type="dxa"/>
              <w:right w:w="3" w:type="dxa"/>
              <w:bottom w:w="0" w:type="dxa"/>
            </w:tcMar>
            <w:tcW w:w="5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24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招标文件商务条款</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26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供应商商务响应</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18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8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567"/>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5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4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69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83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8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none" w:color="000000" w:sz="4" w:space="0"/>
              <w:right w:val="single" w:color="000000" w:sz="8" w:space="0"/>
            </w:tcBorders>
            <w:tcMar>
              <w:left w:w="3" w:type="dxa"/>
              <w:top w:w="0" w:type="dxa"/>
              <w:right w:w="3" w:type="dxa"/>
              <w:bottom w:w="0" w:type="dxa"/>
            </w:tcMar>
            <w:tcW w:w="5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24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269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183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8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single" w:color="000000" w:sz="8" w:space="0"/>
              <w:left w:val="single" w:color="000000" w:sz="8" w:space="0"/>
              <w:bottom w:val="none" w:color="000000" w:sz="4" w:space="0"/>
              <w:right w:val="single" w:color="000000" w:sz="8" w:space="0"/>
            </w:tcBorders>
            <w:tcMar>
              <w:left w:w="3" w:type="dxa"/>
              <w:top w:w="0" w:type="dxa"/>
              <w:right w:w="3" w:type="dxa"/>
              <w:bottom w:w="0" w:type="dxa"/>
            </w:tcMar>
            <w:tcW w:w="5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none" w:color="000000" w:sz="4" w:space="0"/>
              <w:right w:val="single" w:color="000000" w:sz="8" w:space="0"/>
            </w:tcBorders>
            <w:tcMar>
              <w:left w:w="3" w:type="dxa"/>
              <w:top w:w="0" w:type="dxa"/>
              <w:right w:w="3" w:type="dxa"/>
              <w:bottom w:w="0" w:type="dxa"/>
            </w:tcMar>
            <w:tcW w:w="24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none" w:color="000000" w:sz="4" w:space="0"/>
              <w:right w:val="single" w:color="000000" w:sz="8" w:space="0"/>
            </w:tcBorders>
            <w:tcMar>
              <w:left w:w="3" w:type="dxa"/>
              <w:top w:w="0" w:type="dxa"/>
              <w:right w:w="3" w:type="dxa"/>
              <w:bottom w:w="0" w:type="dxa"/>
            </w:tcMar>
            <w:tcW w:w="269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none" w:color="000000" w:sz="4" w:space="0"/>
              <w:right w:val="single" w:color="000000" w:sz="8" w:space="0"/>
            </w:tcBorders>
            <w:tcMar>
              <w:left w:w="3" w:type="dxa"/>
              <w:top w:w="0" w:type="dxa"/>
              <w:right w:w="3" w:type="dxa"/>
              <w:bottom w:w="0" w:type="dxa"/>
            </w:tcMar>
            <w:tcW w:w="183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none" w:color="000000" w:sz="4" w:space="0"/>
              <w:right w:val="single" w:color="000000" w:sz="8" w:space="0"/>
            </w:tcBorders>
            <w:tcMar>
              <w:left w:w="3" w:type="dxa"/>
              <w:top w:w="0" w:type="dxa"/>
              <w:right w:w="3" w:type="dxa"/>
              <w:bottom w:w="0" w:type="dxa"/>
            </w:tcMar>
            <w:tcW w:w="8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single" w:color="000000" w:sz="8" w:space="0"/>
              <w:left w:val="single" w:color="000000" w:sz="8" w:space="0"/>
              <w:bottom w:val="none" w:color="000000" w:sz="4" w:space="0"/>
              <w:right w:val="single" w:color="000000" w:sz="8" w:space="0"/>
            </w:tcBorders>
            <w:tcMar>
              <w:left w:w="3" w:type="dxa"/>
              <w:top w:w="0" w:type="dxa"/>
              <w:right w:w="3" w:type="dxa"/>
              <w:bottom w:w="0" w:type="dxa"/>
            </w:tcMar>
            <w:tcW w:w="5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none" w:color="000000" w:sz="4" w:space="0"/>
              <w:right w:val="single" w:color="000000" w:sz="8" w:space="0"/>
            </w:tcBorders>
            <w:tcMar>
              <w:left w:w="3" w:type="dxa"/>
              <w:top w:w="0" w:type="dxa"/>
              <w:right w:w="3" w:type="dxa"/>
              <w:bottom w:w="0" w:type="dxa"/>
            </w:tcMar>
            <w:tcW w:w="24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none" w:color="000000" w:sz="4" w:space="0"/>
              <w:right w:val="single" w:color="000000" w:sz="8" w:space="0"/>
            </w:tcBorders>
            <w:tcMar>
              <w:left w:w="3" w:type="dxa"/>
              <w:top w:w="0" w:type="dxa"/>
              <w:right w:w="3" w:type="dxa"/>
              <w:bottom w:w="0" w:type="dxa"/>
            </w:tcMar>
            <w:tcW w:w="269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none" w:color="000000" w:sz="4" w:space="0"/>
              <w:right w:val="single" w:color="000000" w:sz="8" w:space="0"/>
            </w:tcBorders>
            <w:tcMar>
              <w:left w:w="3" w:type="dxa"/>
              <w:top w:w="0" w:type="dxa"/>
              <w:right w:w="3" w:type="dxa"/>
              <w:bottom w:w="0" w:type="dxa"/>
            </w:tcMar>
            <w:tcW w:w="183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none" w:color="000000" w:sz="4" w:space="0"/>
              <w:right w:val="single" w:color="000000" w:sz="8" w:space="0"/>
            </w:tcBorders>
            <w:tcMar>
              <w:left w:w="3" w:type="dxa"/>
              <w:top w:w="0" w:type="dxa"/>
              <w:right w:w="3" w:type="dxa"/>
              <w:bottom w:w="0" w:type="dxa"/>
            </w:tcMar>
            <w:tcW w:w="8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3" w:type="dxa"/>
              <w:top w:w="0" w:type="dxa"/>
              <w:right w:w="3" w:type="dxa"/>
              <w:bottom w:w="0" w:type="dxa"/>
            </w:tcMar>
            <w:tcW w:w="5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24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269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183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8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5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4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69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83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8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填表说明：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本项目商务要求属实质性响应条款，不接受任何负偏离。</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390"/>
        <w:jc w:val="both"/>
        <w:spacing w:before="260" w:after="2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十三、 开标一览表</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投标人全称（加盖CA电子签章）：</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招标编号：                                   分包号：/</w:t>
      </w:r>
      <w:r/>
    </w:p>
    <w:tbl>
      <w:tblPr>
        <w:tblStyle w:val="8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814"/>
      </w:tblGrid>
      <w:tr>
        <w:trPr>
          <w:trHeight w:val="113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14"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投标总报价</w:t>
            </w:r>
            <w:r/>
          </w:p>
        </w:tc>
      </w:tr>
      <w:tr>
        <w:trPr>
          <w:trHeight w:val="11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14" w:type="dxa"/>
            <w:vAlign w:val="center"/>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                             （人民币：元）</w:t>
            </w:r>
            <w:r/>
          </w:p>
        </w:tc>
      </w:tr>
    </w:tbl>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76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备注：上述报价为三年总价</w:t>
      </w:r>
      <w:r/>
    </w:p>
    <w:p>
      <w:pPr>
        <w:ind w:left="0" w:right="0" w:firstLine="576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3390"/>
        <w:spacing w:before="260" w:after="2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u w:val="none"/>
        </w:rPr>
        <w:t xml:space="preserve">分项报价表</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投标人全称（加盖CA电子签章）：</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招标编号：  </w:t>
      </w:r>
      <w:r/>
    </w:p>
    <w:tbl>
      <w:tblPr>
        <w:tblStyle w:val="8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60"/>
        <w:gridCol w:w="3094"/>
        <w:gridCol w:w="927"/>
        <w:gridCol w:w="929"/>
        <w:gridCol w:w="1352"/>
      </w:tblGrid>
      <w:tr>
        <w:trPr>
          <w:trHeight w:val="10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9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27"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2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5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合价</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（元）</w:t>
            </w:r>
            <w:r/>
          </w:p>
        </w:tc>
      </w:tr>
      <w:tr>
        <w:trPr>
          <w:trHeight w:val="4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9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7"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2"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9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7"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2"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9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7"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2"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9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7"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9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7"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9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7"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总报价</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大写：</w:t>
            </w:r>
            <w:r/>
          </w:p>
        </w:tc>
      </w:tr>
    </w:tbl>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备注：此表中总报价金额应于开标一览表投标总报价保持一致</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26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十四、服务方案</w:t>
      </w:r>
      <w:r/>
    </w:p>
    <w:p>
      <w:pPr>
        <w:ind w:left="42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投标人须根据本项目的采购需求及评分标准的要求编制服务方案，格式自拟</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 </w:t>
      </w:r>
      <w:r/>
    </w:p>
    <w:p>
      <w:pPr>
        <w:ind w:left="0" w:right="0" w:firstLine="0"/>
        <w:jc w:val="center"/>
        <w:spacing w:before="26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业绩一览表</w:t>
      </w:r>
      <w:r/>
    </w:p>
    <w:tbl>
      <w:tblPr>
        <w:tblStyle w:val="8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12"/>
        <w:gridCol w:w="2745"/>
        <w:gridCol w:w="1827"/>
        <w:gridCol w:w="1576"/>
        <w:gridCol w:w="2040"/>
      </w:tblGrid>
      <w:tr>
        <w:trPr>
          <w:trHeight w:val="81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12" w:type="dxa"/>
            <w:vAlign w:val="center"/>
            <w:textDirection w:val="lrTb"/>
            <w:noWrap w:val="false"/>
          </w:tcPr>
          <w:p>
            <w:pPr>
              <w:ind w:left="0" w:right="0" w:firstLine="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745" w:type="dxa"/>
            <w:vAlign w:val="center"/>
            <w:textDirection w:val="lrTb"/>
            <w:noWrap w:val="false"/>
          </w:tcPr>
          <w:p>
            <w:pPr>
              <w:ind w:left="0" w:right="0" w:firstLine="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827" w:type="dxa"/>
            <w:vAlign w:val="center"/>
            <w:textDirection w:val="lrTb"/>
            <w:noWrap w:val="false"/>
          </w:tcPr>
          <w:p>
            <w:pPr>
              <w:ind w:left="0" w:right="0" w:firstLine="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采购单位</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76" w:type="dxa"/>
            <w:vAlign w:val="center"/>
            <w:textDirection w:val="lrTb"/>
            <w:noWrap w:val="false"/>
          </w:tcPr>
          <w:p>
            <w:pPr>
              <w:ind w:left="0" w:right="0" w:firstLine="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合同金额</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040" w:type="dxa"/>
            <w:vAlign w:val="center"/>
            <w:textDirection w:val="lrTb"/>
            <w:noWrap w:val="false"/>
          </w:tcPr>
          <w:p>
            <w:pPr>
              <w:ind w:left="0" w:right="0" w:firstLine="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合同签订时间</w:t>
            </w:r>
            <w:r/>
          </w:p>
        </w:tc>
      </w:tr>
      <w:tr>
        <w:trPr>
          <w:trHeight w:val="5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12" w:type="dxa"/>
            <w:vAlign w:val="center"/>
            <w:textDirection w:val="lrTb"/>
            <w:noWrap w:val="false"/>
          </w:tcPr>
          <w:p>
            <w:pPr>
              <w:ind w:left="0" w:right="0" w:firstLine="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45" w:type="dxa"/>
            <w:vAlign w:val="center"/>
            <w:textDirection w:val="lrTb"/>
            <w:noWrap w:val="false"/>
          </w:tcPr>
          <w:p>
            <w:pPr>
              <w:ind w:left="0" w:right="0" w:firstLine="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27" w:type="dxa"/>
            <w:vAlign w:val="center"/>
            <w:textDirection w:val="lrTb"/>
            <w:noWrap w:val="false"/>
          </w:tcPr>
          <w:p>
            <w:pPr>
              <w:ind w:left="0" w:right="0" w:firstLine="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76" w:type="dxa"/>
            <w:vAlign w:val="center"/>
            <w:textDirection w:val="lrTb"/>
            <w:noWrap w:val="false"/>
          </w:tcPr>
          <w:p>
            <w:pPr>
              <w:ind w:left="0" w:right="0" w:firstLine="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40" w:type="dxa"/>
            <w:vAlign w:val="center"/>
            <w:textDirection w:val="lrTb"/>
            <w:noWrap w:val="false"/>
          </w:tcPr>
          <w:p>
            <w:pPr>
              <w:ind w:left="0" w:right="0" w:firstLine="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12" w:type="dxa"/>
            <w:vAlign w:val="center"/>
            <w:textDirection w:val="lrTb"/>
            <w:noWrap w:val="false"/>
          </w:tcPr>
          <w:p>
            <w:pPr>
              <w:ind w:left="0" w:right="0" w:firstLine="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45" w:type="dxa"/>
            <w:vAlign w:val="center"/>
            <w:textDirection w:val="lrTb"/>
            <w:noWrap w:val="false"/>
          </w:tcPr>
          <w:p>
            <w:pPr>
              <w:ind w:left="0" w:right="0" w:firstLine="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27" w:type="dxa"/>
            <w:vAlign w:val="center"/>
            <w:textDirection w:val="lrTb"/>
            <w:noWrap w:val="false"/>
          </w:tcPr>
          <w:p>
            <w:pPr>
              <w:ind w:left="0" w:right="0" w:firstLine="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76" w:type="dxa"/>
            <w:vAlign w:val="center"/>
            <w:textDirection w:val="lrTb"/>
            <w:noWrap w:val="false"/>
          </w:tcPr>
          <w:p>
            <w:pPr>
              <w:ind w:left="0" w:right="0" w:firstLine="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40" w:type="dxa"/>
            <w:vAlign w:val="center"/>
            <w:textDirection w:val="lrTb"/>
            <w:noWrap w:val="false"/>
          </w:tcPr>
          <w:p>
            <w:pPr>
              <w:ind w:left="0" w:right="0" w:firstLine="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12" w:type="dxa"/>
            <w:vAlign w:val="center"/>
            <w:textDirection w:val="lrTb"/>
            <w:noWrap w:val="false"/>
          </w:tcPr>
          <w:p>
            <w:pPr>
              <w:ind w:left="0" w:right="0" w:firstLine="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45" w:type="dxa"/>
            <w:vAlign w:val="center"/>
            <w:textDirection w:val="lrTb"/>
            <w:noWrap w:val="false"/>
          </w:tcPr>
          <w:p>
            <w:pPr>
              <w:ind w:left="0" w:right="0" w:firstLine="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27" w:type="dxa"/>
            <w:vAlign w:val="center"/>
            <w:textDirection w:val="lrTb"/>
            <w:noWrap w:val="false"/>
          </w:tcPr>
          <w:p>
            <w:pPr>
              <w:ind w:left="0" w:right="0" w:firstLine="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76" w:type="dxa"/>
            <w:vAlign w:val="center"/>
            <w:textDirection w:val="lrTb"/>
            <w:noWrap w:val="false"/>
          </w:tcPr>
          <w:p>
            <w:pPr>
              <w:ind w:left="0" w:right="0" w:firstLine="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40" w:type="dxa"/>
            <w:vAlign w:val="center"/>
            <w:textDirection w:val="lrTb"/>
            <w:noWrap w:val="false"/>
          </w:tcPr>
          <w:p>
            <w:pPr>
              <w:ind w:left="0" w:right="0" w:firstLine="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12" w:type="dxa"/>
            <w:vAlign w:val="center"/>
            <w:textDirection w:val="lrTb"/>
            <w:noWrap w:val="false"/>
          </w:tcPr>
          <w:p>
            <w:pPr>
              <w:ind w:left="0" w:right="0" w:firstLine="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45" w:type="dxa"/>
            <w:vAlign w:val="center"/>
            <w:textDirection w:val="lrTb"/>
            <w:noWrap w:val="false"/>
          </w:tcPr>
          <w:p>
            <w:pPr>
              <w:ind w:left="0" w:right="0" w:firstLine="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27" w:type="dxa"/>
            <w:vAlign w:val="center"/>
            <w:textDirection w:val="lrTb"/>
            <w:noWrap w:val="false"/>
          </w:tcPr>
          <w:p>
            <w:pPr>
              <w:ind w:left="0" w:right="0" w:firstLine="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76" w:type="dxa"/>
            <w:vAlign w:val="center"/>
            <w:textDirection w:val="lrTb"/>
            <w:noWrap w:val="false"/>
          </w:tcPr>
          <w:p>
            <w:pPr>
              <w:ind w:left="0" w:right="0" w:firstLine="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40" w:type="dxa"/>
            <w:vAlign w:val="center"/>
            <w:textDirection w:val="lrTb"/>
            <w:noWrap w:val="false"/>
          </w:tcPr>
          <w:p>
            <w:pPr>
              <w:ind w:left="0" w:right="0" w:firstLine="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12" w:type="dxa"/>
            <w:vAlign w:val="center"/>
            <w:textDirection w:val="lrTb"/>
            <w:noWrap w:val="false"/>
          </w:tcPr>
          <w:p>
            <w:pPr>
              <w:ind w:left="0" w:right="0" w:firstLine="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45" w:type="dxa"/>
            <w:vAlign w:val="center"/>
            <w:textDirection w:val="lrTb"/>
            <w:noWrap w:val="false"/>
          </w:tcPr>
          <w:p>
            <w:pPr>
              <w:ind w:left="0" w:right="0" w:firstLine="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27" w:type="dxa"/>
            <w:vAlign w:val="center"/>
            <w:textDirection w:val="lrTb"/>
            <w:noWrap w:val="false"/>
          </w:tcPr>
          <w:p>
            <w:pPr>
              <w:ind w:left="0" w:right="0" w:firstLine="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76" w:type="dxa"/>
            <w:vAlign w:val="center"/>
            <w:textDirection w:val="lrTb"/>
            <w:noWrap w:val="false"/>
          </w:tcPr>
          <w:p>
            <w:pPr>
              <w:ind w:left="0" w:right="0" w:firstLine="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40" w:type="dxa"/>
            <w:vAlign w:val="center"/>
            <w:textDirection w:val="lrTb"/>
            <w:noWrap w:val="false"/>
          </w:tcPr>
          <w:p>
            <w:pPr>
              <w:ind w:left="0" w:right="0" w:firstLine="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12" w:type="dxa"/>
            <w:vAlign w:val="center"/>
            <w:textDirection w:val="lrTb"/>
            <w:noWrap w:val="false"/>
          </w:tcPr>
          <w:p>
            <w:pPr>
              <w:ind w:left="0" w:right="0" w:firstLine="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45" w:type="dxa"/>
            <w:vAlign w:val="center"/>
            <w:textDirection w:val="lrTb"/>
            <w:noWrap w:val="false"/>
          </w:tcPr>
          <w:p>
            <w:pPr>
              <w:ind w:left="0" w:right="0" w:firstLine="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27" w:type="dxa"/>
            <w:vAlign w:val="center"/>
            <w:textDirection w:val="lrTb"/>
            <w:noWrap w:val="false"/>
          </w:tcPr>
          <w:p>
            <w:pPr>
              <w:ind w:left="0" w:right="0" w:firstLine="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76" w:type="dxa"/>
            <w:vAlign w:val="center"/>
            <w:textDirection w:val="lrTb"/>
            <w:noWrap w:val="false"/>
          </w:tcPr>
          <w:p>
            <w:pPr>
              <w:ind w:left="0" w:right="0" w:firstLine="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40" w:type="dxa"/>
            <w:vAlign w:val="center"/>
            <w:textDirection w:val="lrTb"/>
            <w:noWrap w:val="false"/>
          </w:tcPr>
          <w:p>
            <w:pPr>
              <w:ind w:left="0" w:right="0" w:firstLine="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12" w:type="dxa"/>
            <w:vAlign w:val="center"/>
            <w:textDirection w:val="lrTb"/>
            <w:noWrap w:val="false"/>
          </w:tcPr>
          <w:p>
            <w:pPr>
              <w:ind w:left="0" w:right="0" w:firstLine="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45" w:type="dxa"/>
            <w:vAlign w:val="center"/>
            <w:textDirection w:val="lrTb"/>
            <w:noWrap w:val="false"/>
          </w:tcPr>
          <w:p>
            <w:pPr>
              <w:ind w:left="0" w:right="0" w:firstLine="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27" w:type="dxa"/>
            <w:vAlign w:val="center"/>
            <w:textDirection w:val="lrTb"/>
            <w:noWrap w:val="false"/>
          </w:tcPr>
          <w:p>
            <w:pPr>
              <w:ind w:left="0" w:right="0" w:firstLine="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76" w:type="dxa"/>
            <w:vAlign w:val="center"/>
            <w:textDirection w:val="lrTb"/>
            <w:noWrap w:val="false"/>
          </w:tcPr>
          <w:p>
            <w:pPr>
              <w:ind w:left="0" w:right="0" w:firstLine="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40" w:type="dxa"/>
            <w:vAlign w:val="center"/>
            <w:textDirection w:val="lrTb"/>
            <w:noWrap w:val="false"/>
          </w:tcPr>
          <w:p>
            <w:pPr>
              <w:ind w:left="0" w:right="0" w:firstLine="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12" w:type="dxa"/>
            <w:vAlign w:val="center"/>
            <w:textDirection w:val="lrTb"/>
            <w:noWrap w:val="false"/>
          </w:tcPr>
          <w:p>
            <w:pPr>
              <w:ind w:left="0" w:right="0" w:firstLine="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45" w:type="dxa"/>
            <w:vAlign w:val="center"/>
            <w:textDirection w:val="lrTb"/>
            <w:noWrap w:val="false"/>
          </w:tcPr>
          <w:p>
            <w:pPr>
              <w:ind w:left="0" w:right="0" w:firstLine="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27" w:type="dxa"/>
            <w:vAlign w:val="center"/>
            <w:textDirection w:val="lrTb"/>
            <w:noWrap w:val="false"/>
          </w:tcPr>
          <w:p>
            <w:pPr>
              <w:ind w:left="0" w:right="0" w:firstLine="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76" w:type="dxa"/>
            <w:vAlign w:val="center"/>
            <w:textDirection w:val="lrTb"/>
            <w:noWrap w:val="false"/>
          </w:tcPr>
          <w:p>
            <w:pPr>
              <w:ind w:left="0" w:right="0" w:firstLine="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40" w:type="dxa"/>
            <w:vAlign w:val="center"/>
            <w:textDirection w:val="lrTb"/>
            <w:noWrap w:val="false"/>
          </w:tcPr>
          <w:p>
            <w:pPr>
              <w:ind w:left="0" w:right="0" w:firstLine="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12" w:type="dxa"/>
            <w:vAlign w:val="center"/>
            <w:textDirection w:val="lrTb"/>
            <w:noWrap w:val="false"/>
          </w:tcPr>
          <w:p>
            <w:pPr>
              <w:ind w:left="0" w:right="0" w:firstLine="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45" w:type="dxa"/>
            <w:vAlign w:val="center"/>
            <w:textDirection w:val="lrTb"/>
            <w:noWrap w:val="false"/>
          </w:tcPr>
          <w:p>
            <w:pPr>
              <w:ind w:left="0" w:right="0" w:firstLine="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27" w:type="dxa"/>
            <w:vAlign w:val="center"/>
            <w:textDirection w:val="lrTb"/>
            <w:noWrap w:val="false"/>
          </w:tcPr>
          <w:p>
            <w:pPr>
              <w:ind w:left="0" w:right="0" w:firstLine="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76" w:type="dxa"/>
            <w:vAlign w:val="center"/>
            <w:textDirection w:val="lrTb"/>
            <w:noWrap w:val="false"/>
          </w:tcPr>
          <w:p>
            <w:pPr>
              <w:ind w:left="0" w:right="0" w:firstLine="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40" w:type="dxa"/>
            <w:vAlign w:val="center"/>
            <w:textDirection w:val="lrTb"/>
            <w:noWrap w:val="false"/>
          </w:tcPr>
          <w:p>
            <w:pPr>
              <w:ind w:left="0" w:right="0" w:firstLine="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42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 </w:t>
      </w:r>
      <w:r/>
    </w:p>
    <w:p>
      <w:pPr>
        <w:ind w:left="0" w:right="0" w:firstLine="0"/>
        <w:jc w:val="center"/>
        <w:spacing w:before="26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十五、《南京市政府采购供应商信用记录表暨信用承诺书》</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w:t>
      </w:r>
      <w:r>
        <w:rPr>
          <w:rFonts w:ascii="SimSun" w:hAnsi="SimSun" w:eastAsia="SimSun" w:cs="SimSun"/>
          <w:color w:val="000000"/>
          <w:sz w:val="21"/>
        </w:rPr>
        <w:t xml:space="preserve">（https://njgc.jfh.com/）</w:t>
      </w:r>
      <w:r>
        <w:rPr>
          <w:rFonts w:ascii="SimSun" w:hAnsi="SimSun" w:eastAsia="SimSun" w:cs="SimSun"/>
          <w:color w:val="000000"/>
          <w:sz w:val="24"/>
        </w:rPr>
        <w:t xml:space="preserve">‘南京市政府采购供应商诚信档案’系统链接打开系统页面</w:t>
      </w:r>
      <w:r>
        <w:rPr>
          <w:rFonts w:ascii="SimSun" w:hAnsi="SimSun" w:eastAsia="SimSun" w:cs="SimSun"/>
          <w:color w:val="000000"/>
          <w:sz w:val="21"/>
        </w:rPr>
        <w:t xml:space="preserve">（http://180.101.238.212:8280/hodeframe2018_cxda/index.action;jsessionid=769BA9C8E1729422E7173B991C8EC1E5）</w:t>
      </w:r>
      <w:r>
        <w:rPr>
          <w:rFonts w:ascii="SimSun" w:hAnsi="SimSun" w:eastAsia="SimSun" w:cs="SimSun"/>
          <w:color w:val="000000"/>
          <w:sz w:val="24"/>
        </w:rPr>
        <w:t xml:space="preserve">登录（未注册的供应商应先点击‘供应商注册点这里’并按 要求完成注册），然后在“信用记录”模块页面点击“信用记录打印”下载本单位《南京市政府采购供应商信用记录表暨信用承诺书》，由法人签章并加盖单位公章，随响应文件一并递交。</w:t>
      </w:r>
      <w:r>
        <w:rPr>
          <w:rFonts w:ascii="SimSun" w:hAnsi="SimSun" w:eastAsia="SimSun" w:cs="SimSun"/>
          <w:b/>
          <w:color w:val="000000"/>
          <w:sz w:val="24"/>
        </w:rPr>
        <w:t xml:space="preserve">注：下载打印日期从招标公告发布起至投标文件接收截止时间前。</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在政府采购资格审查环节，供应商只需提供书面《南京市政府采购供应商信用记录表暨信用承诺书》，即可替代以下证明材料：</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（1）符合国家相关规定的财务状况报告；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（2）依法缴纳税收的证明材料；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（3）依法缴纳社会保障资金的证明材料；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（4）具备履行政府采购合同所必需的设备和专业技术能力的证明材料；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（5）参加政府采购活动前三年内在经营活动中没有重大违法记录的证明材料；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（6）未被列入失信被执行人、重大税收违法失信主体、政府采购严重违法失信行为记录名单的证明材料。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供应商在中标（成交）后，应按采购文件要求，将上述由信用承诺书替代的证明材料提交采购人或采购代理机构核验。经核验无误后，由采购人或采购代理机构发出中标（成交）通知书。</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供应商涉及以下情形的，不适用信用承诺：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（1）供应商被列入严重失信主体名单；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（2）被相关监管部门作出行政处罚且尚在处罚有效期内；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（3）其他法律、行政法规规定的不适用信用承诺的情形。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供应商对信用承诺内容的真实性、合法性、有效性负责。如作出虚假信用承诺，视同为“提供虚假材料谋取中标、成交”的违法行为。</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6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u w:val="none"/>
        </w:rPr>
        <w:t xml:space="preserve">十六、投标人认为需要提供的其它资料</w:t>
      </w:r>
      <w:r/>
    </w:p>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（评分标准或招标文件中要求提供的材料，格式自拟）</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例如：</w:t>
      </w:r>
      <w:r/>
    </w:p>
    <w:p>
      <w:pPr>
        <w:numPr>
          <w:ilvl w:val="0"/>
          <w:numId w:val="12"/>
        </w:numP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《第四章采购需求》维保服务要求内提及的佐证材料或承诺书</w:t>
      </w:r>
      <w:r/>
    </w:p>
    <w:p>
      <w:pPr>
        <w:numPr>
          <w:ilvl w:val="0"/>
          <w:numId w:val="12"/>
        </w:numP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质疑函范本</w:t>
      </w:r>
      <w:r/>
    </w:p>
    <w:p>
      <w:pPr>
        <w:ind w:left="0" w:right="0" w:firstLine="0"/>
        <w:jc w:val="both"/>
        <w:spacing w:before="29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一、质疑供应商基本信息</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质疑供应商：</w:t>
      </w:r>
      <w:r>
        <w:rPr>
          <w:rFonts w:ascii="SimSun" w:hAnsi="SimSun" w:eastAsia="SimSun" w:cs="SimSun"/>
          <w:color w:val="000000"/>
          <w:sz w:val="24"/>
          <w:u w:val="single"/>
        </w:rPr>
        <w:t xml:space="preserve">                                                             </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w:t>
      </w: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rPr>
          <w:rFonts w:ascii="SimSun" w:hAnsi="SimSun" w:eastAsia="SimSun" w:cs="SimSun"/>
          <w:color w:val="000000"/>
          <w:sz w:val="24"/>
          <w:u w:val="single"/>
        </w:rPr>
        <w:t xml:space="preserve">                                                                </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二、质疑项目基本情况</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质疑项目的名称：</w:t>
      </w:r>
      <w:r>
        <w:rPr>
          <w:rFonts w:ascii="SimSun" w:hAnsi="SimSun" w:eastAsia="SimSun" w:cs="SimSun"/>
          <w:color w:val="000000"/>
          <w:sz w:val="24"/>
          <w:u w:val="single"/>
        </w:rPr>
        <w:t xml:space="preserve">                                                         </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质疑项目的编号：</w:t>
      </w:r>
      <w:r>
        <w:rPr>
          <w:rFonts w:ascii="SimSun" w:hAnsi="SimSun" w:eastAsia="SimSun" w:cs="SimSun"/>
          <w:color w:val="000000"/>
          <w:sz w:val="24"/>
          <w:u w:val="single"/>
        </w:rPr>
        <w:t xml:space="preserve">                         </w:t>
      </w:r>
      <w:r>
        <w:rPr>
          <w:rFonts w:ascii="SimSun" w:hAnsi="SimSun" w:eastAsia="SimSun" w:cs="SimSun"/>
          <w:color w:val="000000"/>
          <w:sz w:val="24"/>
        </w:rPr>
        <w:t xml:space="preserve">包号：</w:t>
      </w:r>
      <w:r>
        <w:rPr>
          <w:rFonts w:ascii="SimSun" w:hAnsi="SimSun" w:eastAsia="SimSun" w:cs="SimSun"/>
          <w:color w:val="000000"/>
          <w:sz w:val="24"/>
          <w:u w:val="single"/>
        </w:rPr>
        <w:t xml:space="preserve">                           </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rPr>
          <w:rFonts w:ascii="SimSun" w:hAnsi="SimSun" w:eastAsia="SimSun" w:cs="SimSun"/>
          <w:color w:val="000000"/>
          <w:sz w:val="24"/>
          <w:u w:val="single"/>
        </w:rPr>
        <w:t xml:space="preserve">                                                             </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采购文件获取日期：</w:t>
      </w:r>
      <w:r>
        <w:rPr>
          <w:rFonts w:ascii="SimSun" w:hAnsi="SimSun" w:eastAsia="SimSun" w:cs="SimSun"/>
          <w:color w:val="000000"/>
          <w:sz w:val="24"/>
          <w:u w:val="single"/>
        </w:rPr>
        <w:t xml:space="preserve">                                                       </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三、质疑事项具体内容</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质疑事项1：</w:t>
      </w:r>
      <w:r>
        <w:rPr>
          <w:rFonts w:ascii="SimSun" w:hAnsi="SimSun" w:eastAsia="SimSun" w:cs="SimSun"/>
          <w:color w:val="000000"/>
          <w:sz w:val="24"/>
          <w:u w:val="single"/>
        </w:rPr>
        <w:t xml:space="preserve">                                                             </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rPr>
          <w:rFonts w:ascii="SimSun" w:hAnsi="SimSun" w:eastAsia="SimSun" w:cs="SimSun"/>
          <w:color w:val="000000"/>
          <w:sz w:val="24"/>
          <w:u w:val="single"/>
        </w:rPr>
        <w:t xml:space="preserve">                                                               </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rPr>
          <w:rFonts w:ascii="SimSun" w:hAnsi="SimSun" w:eastAsia="SimSun" w:cs="SimSun"/>
          <w:color w:val="000000"/>
          <w:sz w:val="24"/>
          <w:u w:val="single"/>
        </w:rPr>
        <w:t xml:space="preserve">                                                                </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质疑事项2</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四、与质疑事项相关的质疑请求</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rPr>
          <w:rFonts w:ascii="SimSun" w:hAnsi="SimSun" w:eastAsia="SimSun" w:cs="SimSun"/>
          <w:color w:val="000000"/>
          <w:sz w:val="24"/>
          <w:u w:val="single"/>
        </w:rPr>
        <w:t xml:space="preserve">                                                                    </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签字(签章)：                  公章：                      </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质疑函制作说明：</w:t>
      </w:r>
      <w:r/>
    </w:p>
    <w:p>
      <w:pPr>
        <w:ind w:left="0" w:right="0" w:firstLine="48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1.供应商提出质疑时，应提交质疑函和必要的证明材料。</w:t>
      </w:r>
      <w:r/>
    </w:p>
    <w:p>
      <w:pPr>
        <w:ind w:left="0" w:right="0" w:firstLine="48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3.质疑供应商若对项目的某一分包进行质疑，质疑函中应列明具体分包号。</w:t>
      </w:r>
      <w:r/>
    </w:p>
    <w:p>
      <w:pPr>
        <w:ind w:left="0" w:right="0" w:firstLine="48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4.质疑函的质疑事项应具体、明确，并有必要的事实依据和法律依据。</w:t>
      </w:r>
      <w:r/>
    </w:p>
    <w:p>
      <w:pPr>
        <w:ind w:left="0" w:right="0" w:firstLine="48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5.质疑函的质疑请求应与质疑事项相关。</w:t>
      </w:r>
      <w:r/>
    </w:p>
    <w:p>
      <w:pPr>
        <w:ind w:left="0" w:right="0" w:firstLine="48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6.质疑供应商为自然人的，质疑函应由本人签字；质疑供应商为法人或者其他组织的，质疑函应由法定代表人、主要负责人，或者其授权代表签字或者盖章，并加盖公章。</w:t>
      </w:r>
      <w:r/>
    </w:p>
    <w:p>
      <w:r/>
      <w:r/>
    </w:p>
    <w:sectPr>
      <w:footerReference w:type="default" r:id="rId9"/>
      <w:footnotePr/>
      <w:endnotePr/>
      <w:type w:val="nextPage"/>
      <w:pgSz w:w="11906" w:h="16838" w:orient="portrait"/>
      <w:pgMar w:top="1560" w:right="1417" w:bottom="850" w:left="1417" w:header="850"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Hei">
    <w:panose1 w:val="02010609060101010101"/>
  </w:font>
  <w:font w:name="FangSong">
    <w:panose1 w:val="02010609060101010101"/>
  </w:font>
  <w:font w:name="SimSun">
    <w:panose1 w:val="02010600030101010101"/>
  </w:font>
  <w:font w:name="Symbol">
    <w:panose1 w:val="05050102010706020507"/>
  </w:font>
  <w:font w:name="Wingdings">
    <w:panose1 w:val="05000000000000000000"/>
  </w:font>
  <w:font w:name="Tahoma">
    <w:panose1 w:val="020B0604030504040204"/>
  </w:font>
  <w:font w:name="长城大标宋体">
    <w:panose1 w:val="020B0503020202020204"/>
  </w:font>
  <w:font w:name="FrutBold">
    <w:panose1 w:val="020B0503020202020204"/>
  </w:font>
  <w:font w:name="Courier New">
    <w:panose1 w:val="02070309020205020404"/>
  </w:font>
  <w:font w:name="Cambria">
    <w:panose1 w:val="02040503050406030204"/>
  </w:font>
  <w:font w:name="仿宋_GB2312">
    <w:panose1 w:val="02010609060101010101"/>
  </w:font>
  <w:font w:name="Verdana">
    <w:panose1 w:val="020B0604030504040204"/>
  </w:font>
  <w:font w:name="黑体">
    <w:panose1 w:val="02010609060101010101"/>
  </w:font>
  <w:font w:name="Times New Roman">
    <w:panose1 w:val="02020603050405020304"/>
  </w:font>
  <w:font w:name="Arial Narrow">
    <w:panose1 w:val="020B0606020202030204"/>
  </w:font>
  <w:font w:name="Arial Unicode MS">
    <w:panose1 w:val="020B0604020202020204"/>
  </w:font>
  <w:font w:name="Arial">
    <w:panose1 w:val="020B0604020202020204"/>
  </w:font>
  <w:font w:name="宋体">
    <w:panose1 w:val="02010600030101010101"/>
  </w:font>
  <w:font w:name="华文仿宋">
    <w:panose1 w:val="02010600040101010101"/>
  </w:font>
  <w:font w:name="Calibri">
    <w:panose1 w:val="020F0502020204030204"/>
  </w:font>
  <w:font w:name="Batang">
    <w:panose1 w:val="0201060004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3"/>
      <w:jc w:val="center"/>
    </w:pPr>
    <w:r>
      <w:rPr>
        <w:rFonts w:hint="eastAsia"/>
      </w:rPr>
      <w:t xml:space="preserve">第</w:t>
    </w:r>
    <w:r>
      <w:fldChar w:fldCharType="begin"/>
    </w:r>
    <w:r>
      <w:rPr>
        <w:rStyle w:val="876"/>
      </w:rPr>
      <w:instrText xml:space="preserve"> PAGE </w:instrText>
    </w:r>
    <w:r>
      <w:fldChar w:fldCharType="separate"/>
    </w:r>
    <w:r>
      <w:rPr>
        <w:rStyle w:val="876"/>
      </w:rPr>
      <w:t xml:space="preserve">28</w:t>
    </w:r>
    <w:r>
      <w:fldChar w:fldCharType="end"/>
    </w:r>
    <w:r>
      <w:rPr>
        <w:rStyle w:val="876"/>
        <w:rFonts w:hint="eastAsia"/>
      </w:rPr>
      <w:t xml:space="preserve">页，共</w:t>
    </w:r>
    <w:r>
      <w:fldChar w:fldCharType="begin"/>
    </w:r>
    <w:r>
      <w:rPr>
        <w:rStyle w:val="876"/>
      </w:rPr>
      <w:instrText xml:space="preserve"> NUMPAGES </w:instrText>
    </w:r>
    <w:r>
      <w:fldChar w:fldCharType="separate"/>
    </w:r>
    <w:r>
      <w:rPr>
        <w:rStyle w:val="876"/>
      </w:rPr>
      <w:t xml:space="preserve">44</w:t>
    </w:r>
    <w:r>
      <w:fldChar w:fldCharType="end"/>
    </w:r>
    <w:r>
      <w:rPr>
        <w:rStyle w:val="876"/>
        <w:rFonts w:hint="eastAsia"/>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tab"/>
      <w:lvlText w:val="%1、"/>
      <w:lvlJc w:val="left"/>
      <w:pPr>
        <w:ind w:left="562" w:hanging="420"/>
      </w:pPr>
      <w:rPr>
        <w:rFonts w:hint="eastAsia"/>
      </w:rPr>
    </w:lvl>
    <w:lvl w:ilvl="1">
      <w:start w:val="1"/>
      <w:numFmt w:val="lowerLetter"/>
      <w:pStyle w:val="881"/>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5"/>
      <w:numFmt w:val="upperLetter"/>
      <w:pStyle w:val="843"/>
      <w:isLgl w:val="false"/>
      <w:suff w:val="tab"/>
      <w:lvlText w:val="%1．"/>
      <w:lvlJc w:val="left"/>
      <w:pPr>
        <w:ind w:left="396" w:hanging="396"/>
        <w:tabs>
          <w:tab w:val="left" w:pos="396"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isLgl w:val="false"/>
      <w:suff w:val="tab"/>
      <w:lvlText w:val="%1、"/>
      <w:lvlJc w:val="left"/>
      <w:pPr>
        <w:ind w:left="1080" w:hanging="480"/>
        <w:tabs>
          <w:tab w:val="left" w:pos="1080" w:leader="none"/>
        </w:tabs>
      </w:pPr>
      <w:rPr>
        <w:rFonts w:hint="default"/>
      </w:rPr>
    </w:lvl>
    <w:lvl w:ilvl="1">
      <w:start w:val="1"/>
      <w:numFmt w:val="lowerLetter"/>
      <w:isLgl w:val="false"/>
      <w:suff w:val="tab"/>
      <w:lvlText w:val="%2)"/>
      <w:lvlJc w:val="left"/>
      <w:pPr>
        <w:ind w:left="1440" w:hanging="420"/>
        <w:tabs>
          <w:tab w:val="left" w:pos="1440" w:leader="none"/>
        </w:tabs>
      </w:pPr>
    </w:lvl>
    <w:lvl w:ilvl="2">
      <w:start w:val="1"/>
      <w:numFmt w:val="lowerRoman"/>
      <w:isLgl w:val="false"/>
      <w:suff w:val="tab"/>
      <w:lvlText w:val="%3."/>
      <w:lvlJc w:val="right"/>
      <w:pPr>
        <w:ind w:left="1860" w:hanging="420"/>
        <w:tabs>
          <w:tab w:val="left" w:pos="1860" w:leader="none"/>
        </w:tabs>
      </w:pPr>
    </w:lvl>
    <w:lvl w:ilvl="3">
      <w:start w:val="1"/>
      <w:numFmt w:val="decimal"/>
      <w:isLgl w:val="false"/>
      <w:suff w:val="tab"/>
      <w:lvlText w:val="%4."/>
      <w:lvlJc w:val="left"/>
      <w:pPr>
        <w:ind w:left="2280" w:hanging="420"/>
        <w:tabs>
          <w:tab w:val="left" w:pos="2280" w:leader="none"/>
        </w:tabs>
      </w:pPr>
    </w:lvl>
    <w:lvl w:ilvl="4">
      <w:start w:val="1"/>
      <w:numFmt w:val="lowerLetter"/>
      <w:isLgl w:val="false"/>
      <w:suff w:val="tab"/>
      <w:lvlText w:val="%5)"/>
      <w:lvlJc w:val="left"/>
      <w:pPr>
        <w:ind w:left="2700" w:hanging="420"/>
        <w:tabs>
          <w:tab w:val="left" w:pos="2700" w:leader="none"/>
        </w:tabs>
      </w:pPr>
    </w:lvl>
    <w:lvl w:ilvl="5">
      <w:start w:val="1"/>
      <w:numFmt w:val="lowerRoman"/>
      <w:isLgl w:val="false"/>
      <w:suff w:val="tab"/>
      <w:lvlText w:val="%6."/>
      <w:lvlJc w:val="right"/>
      <w:pPr>
        <w:ind w:left="3120" w:hanging="420"/>
        <w:tabs>
          <w:tab w:val="left" w:pos="3120" w:leader="none"/>
        </w:tabs>
      </w:pPr>
    </w:lvl>
    <w:lvl w:ilvl="6">
      <w:start w:val="1"/>
      <w:numFmt w:val="decimal"/>
      <w:isLgl w:val="false"/>
      <w:suff w:val="tab"/>
      <w:lvlText w:val="%7."/>
      <w:lvlJc w:val="left"/>
      <w:pPr>
        <w:ind w:left="3540" w:hanging="420"/>
        <w:tabs>
          <w:tab w:val="left" w:pos="3540" w:leader="none"/>
        </w:tabs>
      </w:pPr>
    </w:lvl>
    <w:lvl w:ilvl="7">
      <w:start w:val="1"/>
      <w:numFmt w:val="lowerLetter"/>
      <w:isLgl w:val="false"/>
      <w:suff w:val="tab"/>
      <w:lvlText w:val="%8)"/>
      <w:lvlJc w:val="left"/>
      <w:pPr>
        <w:ind w:left="3960" w:hanging="420"/>
        <w:tabs>
          <w:tab w:val="left" w:pos="3960" w:leader="none"/>
        </w:tabs>
      </w:pPr>
    </w:lvl>
    <w:lvl w:ilvl="8">
      <w:start w:val="1"/>
      <w:numFmt w:val="lowerRoman"/>
      <w:isLgl w:val="false"/>
      <w:suff w:val="tab"/>
      <w:lvlText w:val="%9."/>
      <w:lvlJc w:val="right"/>
      <w:pPr>
        <w:ind w:left="4380" w:hanging="420"/>
        <w:tabs>
          <w:tab w:val="left" w:pos="4380" w:leader="none"/>
        </w:tabs>
      </w:pPr>
    </w:lvl>
  </w:abstractNum>
  <w:abstractNum w:abstractNumId="6">
    <w:multiLevelType w:val="hybridMultilevel"/>
    <w:lvl w:ilvl="0">
      <w:start w:val="1"/>
      <w:numFmt w:val="chineseCountingThousand"/>
      <w:pStyle w:val="904"/>
      <w:isLgl w:val="false"/>
      <w:suff w:val="tab"/>
      <w:lvlText w:val="%1、"/>
      <w:lvlJc w:val="left"/>
      <w:pPr>
        <w:ind w:left="562"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decimal"/>
      <w:isLgl w:val="false"/>
      <w:suff w:val="tab"/>
      <w:lvlText w:val="%1."/>
      <w:lvlJc w:val="left"/>
      <w:pPr>
        <w:ind w:left="425" w:hanging="425"/>
        <w:tabs>
          <w:tab w:val="left" w:pos="425" w:leader="none"/>
        </w:tabs>
      </w:pPr>
      <w:rPr>
        <w:rFonts w:cs="Times New Roman"/>
      </w:rPr>
    </w:lvl>
    <w:lvl w:ilvl="1">
      <w:start w:val="1"/>
      <w:numFmt w:val="decimal"/>
      <w:pStyle w:val="844"/>
      <w:isLgl w:val="false"/>
      <w:suff w:val="tab"/>
      <w:lvlText w:val="%1.%2."/>
      <w:lvlJc w:val="left"/>
      <w:pPr>
        <w:ind w:left="747" w:hanging="567"/>
        <w:tabs>
          <w:tab w:val="left" w:pos="747" w:leader="none"/>
        </w:tabs>
      </w:pPr>
      <w:rPr>
        <w:rFonts w:cs="Times New Roman"/>
      </w:rPr>
    </w:lvl>
    <w:lvl w:ilvl="2">
      <w:start w:val="1"/>
      <w:numFmt w:val="decimal"/>
      <w:pStyle w:val="845"/>
      <w:isLgl w:val="false"/>
      <w:suff w:val="tab"/>
      <w:lvlText w:val="%1.%2.%3."/>
      <w:lvlJc w:val="left"/>
      <w:pPr>
        <w:ind w:left="1429" w:hanging="709"/>
        <w:tabs>
          <w:tab w:val="left" w:pos="1429" w:leader="none"/>
        </w:tabs>
      </w:pPr>
      <w:rPr>
        <w:rFonts w:cs="Times New Roman"/>
      </w:rPr>
    </w:lvl>
    <w:lvl w:ilvl="3">
      <w:start w:val="1"/>
      <w:numFmt w:val="decimal"/>
      <w:isLgl w:val="false"/>
      <w:suff w:val="tab"/>
      <w:lvlText w:val="%1.%2.%3.%4."/>
      <w:lvlJc w:val="left"/>
      <w:pPr>
        <w:ind w:left="851" w:hanging="851"/>
        <w:tabs>
          <w:tab w:val="left" w:pos="851" w:leader="none"/>
        </w:tabs>
      </w:pPr>
      <w:rPr>
        <w:rFonts w:cs="Times New Roman"/>
      </w:rPr>
    </w:lvl>
    <w:lvl w:ilvl="4">
      <w:start w:val="1"/>
      <w:numFmt w:val="decimal"/>
      <w:isLgl w:val="false"/>
      <w:suff w:val="tab"/>
      <w:lvlText w:val="%1.%2.%3.%4.%5."/>
      <w:lvlJc w:val="left"/>
      <w:pPr>
        <w:ind w:left="992" w:hanging="992"/>
        <w:tabs>
          <w:tab w:val="left" w:pos="992" w:leader="none"/>
        </w:tabs>
      </w:pPr>
      <w:rPr>
        <w:rFonts w:cs="Times New Roman"/>
      </w:rPr>
    </w:lvl>
    <w:lvl w:ilvl="5">
      <w:start w:val="1"/>
      <w:numFmt w:val="decimal"/>
      <w:isLgl w:val="false"/>
      <w:suff w:val="tab"/>
      <w:lvlText w:val="%1.%2.%3.%4.%5.%6."/>
      <w:lvlJc w:val="left"/>
      <w:pPr>
        <w:ind w:left="1134" w:hanging="1134"/>
        <w:tabs>
          <w:tab w:val="left" w:pos="1134" w:leader="none"/>
        </w:tabs>
      </w:pPr>
      <w:rPr>
        <w:rFonts w:cs="Times New Roman"/>
      </w:rPr>
    </w:lvl>
    <w:lvl w:ilvl="6">
      <w:start w:val="1"/>
      <w:numFmt w:val="decimal"/>
      <w:isLgl w:val="false"/>
      <w:suff w:val="tab"/>
      <w:lvlText w:val="%1.%2.%3.%4.%5.%6.%7."/>
      <w:lvlJc w:val="left"/>
      <w:pPr>
        <w:ind w:left="1276" w:hanging="1276"/>
        <w:tabs>
          <w:tab w:val="left" w:pos="1276" w:leader="none"/>
        </w:tabs>
      </w:pPr>
      <w:rPr>
        <w:rFonts w:cs="Times New Roman"/>
      </w:rPr>
    </w:lvl>
    <w:lvl w:ilvl="7">
      <w:start w:val="1"/>
      <w:numFmt w:val="decimal"/>
      <w:isLgl w:val="false"/>
      <w:suff w:val="tab"/>
      <w:lvlText w:val="%1.%2.%3.%4.%5.%6.%7.%8."/>
      <w:lvlJc w:val="left"/>
      <w:pPr>
        <w:ind w:left="1418" w:hanging="1418"/>
        <w:tabs>
          <w:tab w:val="left" w:pos="1418" w:leader="none"/>
        </w:tabs>
      </w:pPr>
      <w:rPr>
        <w:rFonts w:cs="Times New Roman"/>
      </w:rPr>
    </w:lvl>
    <w:lvl w:ilvl="8">
      <w:start w:val="1"/>
      <w:numFmt w:val="decimal"/>
      <w:isLgl w:val="false"/>
      <w:suff w:val="tab"/>
      <w:lvlText w:val="%1.%2.%3.%4.%5.%6.%7.%8.%9."/>
      <w:lvlJc w:val="left"/>
      <w:pPr>
        <w:ind w:left="1559" w:hanging="1559"/>
        <w:tabs>
          <w:tab w:val="left" w:pos="1559" w:leader="none"/>
        </w:tabs>
      </w:pPr>
      <w:rPr>
        <w:rFonts w:cs="Times New Roman"/>
      </w:rPr>
    </w:lvl>
  </w:abstractNum>
  <w:abstractNum w:abstractNumId="8">
    <w:multiLevelType w:val="hybridMultilevel"/>
    <w:lvl w:ilvl="0">
      <w:start w:val="16"/>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1080" w:hanging="48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1860" w:hanging="420"/>
      </w:pPr>
    </w:lvl>
    <w:lvl w:ilvl="3">
      <w:start w:val="1"/>
      <w:numFmt w:val="decimal"/>
      <w:isLgl w:val="false"/>
      <w:suff w:val="tab"/>
      <w:lvlText w:val="%4."/>
      <w:lvlJc w:val="left"/>
      <w:pPr>
        <w:ind w:left="2280" w:hanging="420"/>
      </w:pPr>
    </w:lvl>
    <w:lvl w:ilvl="4">
      <w:start w:val="1"/>
      <w:numFmt w:val="lowerLetter"/>
      <w:isLgl w:val="false"/>
      <w:suff w:val="tab"/>
      <w:lvlText w:val="%5)"/>
      <w:lvlJc w:val="left"/>
      <w:pPr>
        <w:ind w:left="2700" w:hanging="420"/>
      </w:pPr>
    </w:lvl>
    <w:lvl w:ilvl="5">
      <w:start w:val="1"/>
      <w:numFmt w:val="lowerRoman"/>
      <w:isLgl w:val="false"/>
      <w:suff w:val="tab"/>
      <w:lvlText w:val="%6."/>
      <w:lvlJc w:val="right"/>
      <w:pPr>
        <w:ind w:left="3120" w:hanging="420"/>
      </w:pPr>
    </w:lvl>
    <w:lvl w:ilvl="6">
      <w:start w:val="1"/>
      <w:numFmt w:val="decimal"/>
      <w:isLgl w:val="false"/>
      <w:suff w:val="tab"/>
      <w:lvlText w:val="%7."/>
      <w:lvlJc w:val="left"/>
      <w:pPr>
        <w:ind w:left="3540" w:hanging="420"/>
      </w:pPr>
    </w:lvl>
    <w:lvl w:ilvl="7">
      <w:start w:val="1"/>
      <w:numFmt w:val="lowerLetter"/>
      <w:isLgl w:val="false"/>
      <w:suff w:val="tab"/>
      <w:lvlText w:val="%8)"/>
      <w:lvlJc w:val="left"/>
      <w:pPr>
        <w:ind w:left="3960" w:hanging="420"/>
      </w:pPr>
    </w:lvl>
    <w:lvl w:ilvl="8">
      <w:start w:val="1"/>
      <w:numFmt w:val="lowerRoman"/>
      <w:isLgl w:val="false"/>
      <w:suff w:val="tab"/>
      <w:lvlText w:val="%9."/>
      <w:lvlJc w:val="right"/>
      <w:pPr>
        <w:ind w:left="4380" w:hanging="420"/>
      </w:pPr>
    </w:lvl>
  </w:abstractNum>
  <w:abstractNum w:abstractNumId="10">
    <w:multiLevelType w:val="hybridMultilevel"/>
    <w:lvl w:ilvl="0">
      <w:start w:val="9"/>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7"/>
  </w:num>
  <w:num w:numId="3">
    <w:abstractNumId w:val="2"/>
  </w:num>
  <w:num w:numId="4">
    <w:abstractNumId w:val="6"/>
  </w:num>
  <w:num w:numId="5">
    <w:abstractNumId w:val="1"/>
  </w:num>
  <w:num w:numId="6">
    <w:abstractNumId w:val="5"/>
  </w:num>
  <w:num w:numId="7">
    <w:abstractNumId w:val="0"/>
  </w:num>
  <w:num w:numId="8">
    <w:abstractNumId w:val="4"/>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Calibr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0">
    <w:name w:val="Heading 1 Char"/>
    <w:basedOn w:val="848"/>
    <w:link w:val="843"/>
    <w:uiPriority w:val="9"/>
    <w:rPr>
      <w:rFonts w:ascii="Arial" w:hAnsi="Arial" w:eastAsia="Arial" w:cs="Arial"/>
      <w:sz w:val="40"/>
      <w:szCs w:val="40"/>
    </w:rPr>
  </w:style>
  <w:style w:type="character" w:styleId="681">
    <w:name w:val="Heading 2 Char"/>
    <w:basedOn w:val="848"/>
    <w:link w:val="844"/>
    <w:uiPriority w:val="9"/>
    <w:rPr>
      <w:rFonts w:ascii="Arial" w:hAnsi="Arial" w:eastAsia="Arial" w:cs="Arial"/>
      <w:sz w:val="34"/>
    </w:rPr>
  </w:style>
  <w:style w:type="character" w:styleId="682">
    <w:name w:val="Heading 3 Char"/>
    <w:basedOn w:val="848"/>
    <w:link w:val="845"/>
    <w:uiPriority w:val="9"/>
    <w:rPr>
      <w:rFonts w:ascii="Arial" w:hAnsi="Arial" w:eastAsia="Arial" w:cs="Arial"/>
      <w:sz w:val="30"/>
      <w:szCs w:val="30"/>
    </w:rPr>
  </w:style>
  <w:style w:type="character" w:styleId="683">
    <w:name w:val="Heading 4 Char"/>
    <w:basedOn w:val="848"/>
    <w:link w:val="846"/>
    <w:uiPriority w:val="9"/>
    <w:rPr>
      <w:rFonts w:ascii="Arial" w:hAnsi="Arial" w:eastAsia="Arial" w:cs="Arial"/>
      <w:b/>
      <w:bCs/>
      <w:sz w:val="26"/>
      <w:szCs w:val="26"/>
    </w:rPr>
  </w:style>
  <w:style w:type="character" w:styleId="684">
    <w:name w:val="Heading 5 Char"/>
    <w:basedOn w:val="848"/>
    <w:link w:val="847"/>
    <w:uiPriority w:val="9"/>
    <w:rPr>
      <w:rFonts w:ascii="Arial" w:hAnsi="Arial" w:eastAsia="Arial" w:cs="Arial"/>
      <w:b/>
      <w:bCs/>
      <w:sz w:val="24"/>
      <w:szCs w:val="24"/>
    </w:rPr>
  </w:style>
  <w:style w:type="paragraph" w:styleId="685">
    <w:name w:val="Heading 6"/>
    <w:basedOn w:val="842"/>
    <w:next w:val="842"/>
    <w:link w:val="686"/>
    <w:uiPriority w:val="9"/>
    <w:unhideWhenUsed/>
    <w:qFormat/>
    <w:pPr>
      <w:keepLines/>
      <w:keepNext/>
      <w:spacing w:before="320" w:after="200"/>
      <w:outlineLvl w:val="5"/>
    </w:pPr>
    <w:rPr>
      <w:rFonts w:ascii="Arial" w:hAnsi="Arial" w:eastAsia="Arial" w:cs="Arial"/>
      <w:b/>
      <w:bCs/>
      <w:sz w:val="22"/>
      <w:szCs w:val="22"/>
    </w:rPr>
  </w:style>
  <w:style w:type="character" w:styleId="686">
    <w:name w:val="Heading 6 Char"/>
    <w:basedOn w:val="848"/>
    <w:link w:val="685"/>
    <w:uiPriority w:val="9"/>
    <w:rPr>
      <w:rFonts w:ascii="Arial" w:hAnsi="Arial" w:eastAsia="Arial" w:cs="Arial"/>
      <w:b/>
      <w:bCs/>
      <w:sz w:val="22"/>
      <w:szCs w:val="22"/>
    </w:rPr>
  </w:style>
  <w:style w:type="paragraph" w:styleId="687">
    <w:name w:val="Heading 7"/>
    <w:basedOn w:val="842"/>
    <w:next w:val="842"/>
    <w:link w:val="688"/>
    <w:uiPriority w:val="9"/>
    <w:unhideWhenUsed/>
    <w:qFormat/>
    <w:pPr>
      <w:keepLines/>
      <w:keepNext/>
      <w:spacing w:before="320" w:after="200"/>
      <w:outlineLvl w:val="6"/>
    </w:pPr>
    <w:rPr>
      <w:rFonts w:ascii="Arial" w:hAnsi="Arial" w:eastAsia="Arial" w:cs="Arial"/>
      <w:b/>
      <w:bCs/>
      <w:i/>
      <w:iCs/>
      <w:sz w:val="22"/>
      <w:szCs w:val="22"/>
    </w:rPr>
  </w:style>
  <w:style w:type="character" w:styleId="688">
    <w:name w:val="Heading 7 Char"/>
    <w:basedOn w:val="848"/>
    <w:link w:val="687"/>
    <w:uiPriority w:val="9"/>
    <w:rPr>
      <w:rFonts w:ascii="Arial" w:hAnsi="Arial" w:eastAsia="Arial" w:cs="Arial"/>
      <w:b/>
      <w:bCs/>
      <w:i/>
      <w:iCs/>
      <w:sz w:val="22"/>
      <w:szCs w:val="22"/>
    </w:rPr>
  </w:style>
  <w:style w:type="paragraph" w:styleId="689">
    <w:name w:val="Heading 8"/>
    <w:basedOn w:val="842"/>
    <w:next w:val="842"/>
    <w:link w:val="690"/>
    <w:uiPriority w:val="9"/>
    <w:unhideWhenUsed/>
    <w:qFormat/>
    <w:pPr>
      <w:keepLines/>
      <w:keepNext/>
      <w:spacing w:before="320" w:after="200"/>
      <w:outlineLvl w:val="7"/>
    </w:pPr>
    <w:rPr>
      <w:rFonts w:ascii="Arial" w:hAnsi="Arial" w:eastAsia="Arial" w:cs="Arial"/>
      <w:i/>
      <w:iCs/>
      <w:sz w:val="22"/>
      <w:szCs w:val="22"/>
    </w:rPr>
  </w:style>
  <w:style w:type="character" w:styleId="690">
    <w:name w:val="Heading 8 Char"/>
    <w:basedOn w:val="848"/>
    <w:link w:val="689"/>
    <w:uiPriority w:val="9"/>
    <w:rPr>
      <w:rFonts w:ascii="Arial" w:hAnsi="Arial" w:eastAsia="Arial" w:cs="Arial"/>
      <w:i/>
      <w:iCs/>
      <w:sz w:val="22"/>
      <w:szCs w:val="22"/>
    </w:rPr>
  </w:style>
  <w:style w:type="paragraph" w:styleId="691">
    <w:name w:val="Heading 9"/>
    <w:basedOn w:val="842"/>
    <w:next w:val="842"/>
    <w:link w:val="692"/>
    <w:uiPriority w:val="9"/>
    <w:unhideWhenUsed/>
    <w:qFormat/>
    <w:pPr>
      <w:keepLines/>
      <w:keepNext/>
      <w:spacing w:before="320" w:after="200"/>
      <w:outlineLvl w:val="8"/>
    </w:pPr>
    <w:rPr>
      <w:rFonts w:ascii="Arial" w:hAnsi="Arial" w:eastAsia="Arial" w:cs="Arial"/>
      <w:i/>
      <w:iCs/>
      <w:sz w:val="21"/>
      <w:szCs w:val="21"/>
    </w:rPr>
  </w:style>
  <w:style w:type="character" w:styleId="692">
    <w:name w:val="Heading 9 Char"/>
    <w:basedOn w:val="848"/>
    <w:link w:val="691"/>
    <w:uiPriority w:val="9"/>
    <w:rPr>
      <w:rFonts w:ascii="Arial" w:hAnsi="Arial" w:eastAsia="Arial" w:cs="Arial"/>
      <w:i/>
      <w:iCs/>
      <w:sz w:val="21"/>
      <w:szCs w:val="21"/>
    </w:rPr>
  </w:style>
  <w:style w:type="character" w:styleId="693">
    <w:name w:val="Title Char"/>
    <w:basedOn w:val="848"/>
    <w:link w:val="870"/>
    <w:uiPriority w:val="10"/>
    <w:rPr>
      <w:sz w:val="48"/>
      <w:szCs w:val="48"/>
    </w:rPr>
  </w:style>
  <w:style w:type="paragraph" w:styleId="694">
    <w:name w:val="Subtitle"/>
    <w:basedOn w:val="842"/>
    <w:next w:val="842"/>
    <w:link w:val="695"/>
    <w:uiPriority w:val="11"/>
    <w:qFormat/>
    <w:pPr>
      <w:spacing w:before="200" w:after="200"/>
    </w:pPr>
    <w:rPr>
      <w:sz w:val="24"/>
      <w:szCs w:val="24"/>
    </w:rPr>
  </w:style>
  <w:style w:type="character" w:styleId="695">
    <w:name w:val="Subtitle Char"/>
    <w:basedOn w:val="848"/>
    <w:link w:val="694"/>
    <w:uiPriority w:val="11"/>
    <w:rPr>
      <w:sz w:val="24"/>
      <w:szCs w:val="24"/>
    </w:rPr>
  </w:style>
  <w:style w:type="paragraph" w:styleId="696">
    <w:name w:val="Quote"/>
    <w:basedOn w:val="842"/>
    <w:next w:val="842"/>
    <w:link w:val="697"/>
    <w:uiPriority w:val="29"/>
    <w:qFormat/>
    <w:pPr>
      <w:ind w:left="720" w:right="720"/>
    </w:pPr>
    <w:rPr>
      <w:i/>
    </w:rPr>
  </w:style>
  <w:style w:type="character" w:styleId="697">
    <w:name w:val="Quote Char"/>
    <w:link w:val="696"/>
    <w:uiPriority w:val="29"/>
    <w:rPr>
      <w:i/>
    </w:rPr>
  </w:style>
  <w:style w:type="paragraph" w:styleId="698">
    <w:name w:val="Intense Quote"/>
    <w:basedOn w:val="842"/>
    <w:next w:val="842"/>
    <w:link w:val="69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9">
    <w:name w:val="Intense Quote Char"/>
    <w:link w:val="698"/>
    <w:uiPriority w:val="30"/>
    <w:rPr>
      <w:i/>
    </w:rPr>
  </w:style>
  <w:style w:type="character" w:styleId="700">
    <w:name w:val="Header Char"/>
    <w:basedOn w:val="848"/>
    <w:link w:val="864"/>
    <w:uiPriority w:val="99"/>
  </w:style>
  <w:style w:type="character" w:styleId="701">
    <w:name w:val="Footer Char"/>
    <w:basedOn w:val="848"/>
    <w:link w:val="863"/>
    <w:uiPriority w:val="99"/>
  </w:style>
  <w:style w:type="paragraph" w:styleId="702">
    <w:name w:val="Caption"/>
    <w:basedOn w:val="842"/>
    <w:next w:val="842"/>
    <w:uiPriority w:val="35"/>
    <w:semiHidden/>
    <w:unhideWhenUsed/>
    <w:qFormat/>
    <w:pPr>
      <w:spacing w:line="276" w:lineRule="auto"/>
    </w:pPr>
    <w:rPr>
      <w:b/>
      <w:bCs/>
      <w:color w:val="4f81bd" w:themeColor="accent1"/>
      <w:sz w:val="18"/>
      <w:szCs w:val="18"/>
    </w:rPr>
  </w:style>
  <w:style w:type="character" w:styleId="703">
    <w:name w:val="Caption Char"/>
    <w:basedOn w:val="702"/>
    <w:link w:val="863"/>
    <w:uiPriority w:val="99"/>
  </w:style>
  <w:style w:type="table" w:styleId="704">
    <w:name w:val="Table Grid Light"/>
    <w:basedOn w:val="84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5">
    <w:name w:val="Plain Table 1"/>
    <w:basedOn w:val="84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6">
    <w:name w:val="Plain Table 2"/>
    <w:basedOn w:val="84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7">
    <w:name w:val="Plain Table 3"/>
    <w:basedOn w:val="8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8">
    <w:name w:val="Plain Table 4"/>
    <w:basedOn w:val="8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9">
    <w:name w:val="Plain Table 5"/>
    <w:basedOn w:val="8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0">
    <w:name w:val="Grid Table 1 Light"/>
    <w:basedOn w:val="84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1">
    <w:name w:val="Grid Table 1 Light - Accent 1"/>
    <w:basedOn w:val="84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2">
    <w:name w:val="Grid Table 1 Light - Accent 2"/>
    <w:basedOn w:val="84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3">
    <w:name w:val="Grid Table 1 Light - Accent 3"/>
    <w:basedOn w:val="84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4">
    <w:name w:val="Grid Table 1 Light - Accent 4"/>
    <w:basedOn w:val="84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5">
    <w:name w:val="Grid Table 1 Light - Accent 5"/>
    <w:basedOn w:val="84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6">
    <w:name w:val="Grid Table 1 Light - Accent 6"/>
    <w:basedOn w:val="84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7">
    <w:name w:val="Grid Table 2"/>
    <w:basedOn w:val="84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8">
    <w:name w:val="Grid Table 2 - Accent 1"/>
    <w:basedOn w:val="84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19">
    <w:name w:val="Grid Table 2 - Accent 2"/>
    <w:basedOn w:val="84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0">
    <w:name w:val="Grid Table 2 - Accent 3"/>
    <w:basedOn w:val="84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1">
    <w:name w:val="Grid Table 2 - Accent 4"/>
    <w:basedOn w:val="84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2">
    <w:name w:val="Grid Table 2 - Accent 5"/>
    <w:basedOn w:val="84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3">
    <w:name w:val="Grid Table 2 - Accent 6"/>
    <w:basedOn w:val="84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4">
    <w:name w:val="Grid Table 3"/>
    <w:basedOn w:val="84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5">
    <w:name w:val="Grid Table 3 - Accent 1"/>
    <w:basedOn w:val="84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6">
    <w:name w:val="Grid Table 3 - Accent 2"/>
    <w:basedOn w:val="84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7">
    <w:name w:val="Grid Table 3 - Accent 3"/>
    <w:basedOn w:val="84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8">
    <w:name w:val="Grid Table 3 - Accent 4"/>
    <w:basedOn w:val="84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9">
    <w:name w:val="Grid Table 3 - Accent 5"/>
    <w:basedOn w:val="84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3 - Accent 6"/>
    <w:basedOn w:val="84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4"/>
    <w:basedOn w:val="84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2">
    <w:name w:val="Grid Table 4 - Accent 1"/>
    <w:basedOn w:val="84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3">
    <w:name w:val="Grid Table 4 - Accent 2"/>
    <w:basedOn w:val="84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4">
    <w:name w:val="Grid Table 4 - Accent 3"/>
    <w:basedOn w:val="84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5">
    <w:name w:val="Grid Table 4 - Accent 4"/>
    <w:basedOn w:val="84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6">
    <w:name w:val="Grid Table 4 - Accent 5"/>
    <w:basedOn w:val="84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7">
    <w:name w:val="Grid Table 4 - Accent 6"/>
    <w:basedOn w:val="84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8">
    <w:name w:val="Grid Table 5 Dark"/>
    <w:basedOn w:val="8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9">
    <w:name w:val="Grid Table 5 Dark- Accent 1"/>
    <w:basedOn w:val="8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40">
    <w:name w:val="Grid Table 5 Dark - Accent 2"/>
    <w:basedOn w:val="8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41">
    <w:name w:val="Grid Table 5 Dark - Accent 3"/>
    <w:basedOn w:val="8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42">
    <w:name w:val="Grid Table 5 Dark- Accent 4"/>
    <w:basedOn w:val="8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43">
    <w:name w:val="Grid Table 5 Dark - Accent 5"/>
    <w:basedOn w:val="8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44">
    <w:name w:val="Grid Table 5 Dark - Accent 6"/>
    <w:basedOn w:val="8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45">
    <w:name w:val="Grid Table 6 Colorful"/>
    <w:basedOn w:val="84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6">
    <w:name w:val="Grid Table 6 Colorful - Accent 1"/>
    <w:basedOn w:val="84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47">
    <w:name w:val="Grid Table 6 Colorful - Accent 2"/>
    <w:basedOn w:val="84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48">
    <w:name w:val="Grid Table 6 Colorful - Accent 3"/>
    <w:basedOn w:val="84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49">
    <w:name w:val="Grid Table 6 Colorful - Accent 4"/>
    <w:basedOn w:val="84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50">
    <w:name w:val="Grid Table 6 Colorful - Accent 5"/>
    <w:basedOn w:val="84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1">
    <w:name w:val="Grid Table 6 Colorful - Accent 6"/>
    <w:basedOn w:val="84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2">
    <w:name w:val="Grid Table 7 Colorful"/>
    <w:basedOn w:val="84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3">
    <w:name w:val="Grid Table 7 Colorful - Accent 1"/>
    <w:basedOn w:val="84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4">
    <w:name w:val="Grid Table 7 Colorful - Accent 2"/>
    <w:basedOn w:val="84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5">
    <w:name w:val="Grid Table 7 Colorful - Accent 3"/>
    <w:basedOn w:val="84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6">
    <w:name w:val="Grid Table 7 Colorful - Accent 4"/>
    <w:basedOn w:val="84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7">
    <w:name w:val="Grid Table 7 Colorful - Accent 5"/>
    <w:basedOn w:val="84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8">
    <w:name w:val="Grid Table 7 Colorful - Accent 6"/>
    <w:basedOn w:val="84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59">
    <w:name w:val="List Table 1 Light"/>
    <w:basedOn w:val="84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0">
    <w:name w:val="List Table 1 Light - Accent 1"/>
    <w:basedOn w:val="84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1">
    <w:name w:val="List Table 1 Light - Accent 2"/>
    <w:basedOn w:val="84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2">
    <w:name w:val="List Table 1 Light - Accent 3"/>
    <w:basedOn w:val="84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3">
    <w:name w:val="List Table 1 Light - Accent 4"/>
    <w:basedOn w:val="84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4">
    <w:name w:val="List Table 1 Light - Accent 5"/>
    <w:basedOn w:val="84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5">
    <w:name w:val="List Table 1 Light - Accent 6"/>
    <w:basedOn w:val="84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6">
    <w:name w:val="List Table 2"/>
    <w:basedOn w:val="84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7">
    <w:name w:val="List Table 2 - Accent 1"/>
    <w:basedOn w:val="84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8">
    <w:name w:val="List Table 2 - Accent 2"/>
    <w:basedOn w:val="84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69">
    <w:name w:val="List Table 2 - Accent 3"/>
    <w:basedOn w:val="84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0">
    <w:name w:val="List Table 2 - Accent 4"/>
    <w:basedOn w:val="84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1">
    <w:name w:val="List Table 2 - Accent 5"/>
    <w:basedOn w:val="84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2">
    <w:name w:val="List Table 2 - Accent 6"/>
    <w:basedOn w:val="84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3">
    <w:name w:val="List Table 3"/>
    <w:basedOn w:val="84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4">
    <w:name w:val="List Table 3 - Accent 1"/>
    <w:basedOn w:val="84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5">
    <w:name w:val="List Table 3 - Accent 2"/>
    <w:basedOn w:val="84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76">
    <w:name w:val="List Table 3 - Accent 3"/>
    <w:basedOn w:val="84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77">
    <w:name w:val="List Table 3 - Accent 4"/>
    <w:basedOn w:val="84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78">
    <w:name w:val="List Table 3 - Accent 5"/>
    <w:basedOn w:val="84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79">
    <w:name w:val="List Table 3 - Accent 6"/>
    <w:basedOn w:val="84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80">
    <w:name w:val="List Table 4"/>
    <w:basedOn w:val="84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1">
    <w:name w:val="List Table 4 - Accent 1"/>
    <w:basedOn w:val="84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2">
    <w:name w:val="List Table 4 - Accent 2"/>
    <w:basedOn w:val="84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83">
    <w:name w:val="List Table 4 - Accent 3"/>
    <w:basedOn w:val="84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84">
    <w:name w:val="List Table 4 - Accent 4"/>
    <w:basedOn w:val="84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85">
    <w:name w:val="List Table 4 - Accent 5"/>
    <w:basedOn w:val="84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86">
    <w:name w:val="List Table 4 - Accent 6"/>
    <w:basedOn w:val="84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87">
    <w:name w:val="List Table 5 Dark"/>
    <w:basedOn w:val="84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8">
    <w:name w:val="List Table 5 Dark - Accent 1"/>
    <w:basedOn w:val="84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9">
    <w:name w:val="List Table 5 Dark - Accent 2"/>
    <w:basedOn w:val="84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0">
    <w:name w:val="List Table 5 Dark - Accent 3"/>
    <w:basedOn w:val="84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1">
    <w:name w:val="List Table 5 Dark - Accent 4"/>
    <w:basedOn w:val="84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2">
    <w:name w:val="List Table 5 Dark - Accent 5"/>
    <w:basedOn w:val="84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5 Dark - Accent 6"/>
    <w:basedOn w:val="84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6 Colorful"/>
    <w:basedOn w:val="84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5">
    <w:name w:val="List Table 6 Colorful - Accent 1"/>
    <w:basedOn w:val="84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96">
    <w:name w:val="List Table 6 Colorful - Accent 2"/>
    <w:basedOn w:val="84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97">
    <w:name w:val="List Table 6 Colorful - Accent 3"/>
    <w:basedOn w:val="84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98">
    <w:name w:val="List Table 6 Colorful - Accent 4"/>
    <w:basedOn w:val="84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99">
    <w:name w:val="List Table 6 Colorful - Accent 5"/>
    <w:basedOn w:val="84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00">
    <w:name w:val="List Table 6 Colorful - Accent 6"/>
    <w:basedOn w:val="84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01">
    <w:name w:val="List Table 7 Colorful"/>
    <w:basedOn w:val="84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2">
    <w:name w:val="List Table 7 Colorful - Accent 1"/>
    <w:basedOn w:val="84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03">
    <w:name w:val="List Table 7 Colorful - Accent 2"/>
    <w:basedOn w:val="84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04">
    <w:name w:val="List Table 7 Colorful - Accent 3"/>
    <w:basedOn w:val="84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05">
    <w:name w:val="List Table 7 Colorful - Accent 4"/>
    <w:basedOn w:val="84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06">
    <w:name w:val="List Table 7 Colorful - Accent 5"/>
    <w:basedOn w:val="84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07">
    <w:name w:val="List Table 7 Colorful - Accent 6"/>
    <w:basedOn w:val="84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08">
    <w:name w:val="Lined - Accent"/>
    <w:basedOn w:val="8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9">
    <w:name w:val="Lined - Accent 1"/>
    <w:basedOn w:val="8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0">
    <w:name w:val="Lined - Accent 2"/>
    <w:basedOn w:val="8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1">
    <w:name w:val="Lined - Accent 3"/>
    <w:basedOn w:val="8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2">
    <w:name w:val="Lined - Accent 4"/>
    <w:basedOn w:val="8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3">
    <w:name w:val="Lined - Accent 5"/>
    <w:basedOn w:val="8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4">
    <w:name w:val="Lined - Accent 6"/>
    <w:basedOn w:val="8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5">
    <w:name w:val="Bordered &amp; Lined - Accent"/>
    <w:basedOn w:val="84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6">
    <w:name w:val="Bordered &amp; Lined - Accent 1"/>
    <w:basedOn w:val="84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7">
    <w:name w:val="Bordered &amp; Lined - Accent 2"/>
    <w:basedOn w:val="84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8">
    <w:name w:val="Bordered &amp; Lined - Accent 3"/>
    <w:basedOn w:val="84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9">
    <w:name w:val="Bordered &amp; Lined - Accent 4"/>
    <w:basedOn w:val="84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0">
    <w:name w:val="Bordered &amp; Lined - Accent 5"/>
    <w:basedOn w:val="84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1">
    <w:name w:val="Bordered &amp; Lined - Accent 6"/>
    <w:basedOn w:val="84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2">
    <w:name w:val="Bordered"/>
    <w:basedOn w:val="84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3">
    <w:name w:val="Bordered - Accent 1"/>
    <w:basedOn w:val="84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4">
    <w:name w:val="Bordered - Accent 2"/>
    <w:basedOn w:val="84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5">
    <w:name w:val="Bordered - Accent 3"/>
    <w:basedOn w:val="84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6">
    <w:name w:val="Bordered - Accent 4"/>
    <w:basedOn w:val="84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7">
    <w:name w:val="Bordered - Accent 5"/>
    <w:basedOn w:val="84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8">
    <w:name w:val="Bordered - Accent 6"/>
    <w:basedOn w:val="84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29">
    <w:name w:val="Footnote Text Char"/>
    <w:link w:val="866"/>
    <w:uiPriority w:val="99"/>
    <w:rPr>
      <w:sz w:val="18"/>
    </w:rPr>
  </w:style>
  <w:style w:type="character" w:styleId="830">
    <w:name w:val="footnote reference"/>
    <w:basedOn w:val="848"/>
    <w:uiPriority w:val="99"/>
    <w:unhideWhenUsed/>
    <w:rPr>
      <w:vertAlign w:val="superscript"/>
    </w:rPr>
  </w:style>
  <w:style w:type="paragraph" w:styleId="831">
    <w:name w:val="endnote text"/>
    <w:basedOn w:val="842"/>
    <w:link w:val="832"/>
    <w:uiPriority w:val="99"/>
    <w:semiHidden/>
    <w:unhideWhenUsed/>
    <w:pPr>
      <w:spacing w:after="0" w:line="240" w:lineRule="auto"/>
    </w:pPr>
    <w:rPr>
      <w:sz w:val="20"/>
    </w:rPr>
  </w:style>
  <w:style w:type="character" w:styleId="832">
    <w:name w:val="Endnote Text Char"/>
    <w:link w:val="831"/>
    <w:uiPriority w:val="99"/>
    <w:rPr>
      <w:sz w:val="20"/>
    </w:rPr>
  </w:style>
  <w:style w:type="character" w:styleId="833">
    <w:name w:val="endnote reference"/>
    <w:basedOn w:val="848"/>
    <w:uiPriority w:val="99"/>
    <w:semiHidden/>
    <w:unhideWhenUsed/>
    <w:rPr>
      <w:vertAlign w:val="superscript"/>
    </w:rPr>
  </w:style>
  <w:style w:type="paragraph" w:styleId="834">
    <w:name w:val="toc 4"/>
    <w:basedOn w:val="842"/>
    <w:next w:val="842"/>
    <w:uiPriority w:val="39"/>
    <w:unhideWhenUsed/>
    <w:pPr>
      <w:ind w:left="850" w:right="0" w:firstLine="0"/>
      <w:spacing w:after="57"/>
    </w:pPr>
  </w:style>
  <w:style w:type="paragraph" w:styleId="835">
    <w:name w:val="toc 5"/>
    <w:basedOn w:val="842"/>
    <w:next w:val="842"/>
    <w:uiPriority w:val="39"/>
    <w:unhideWhenUsed/>
    <w:pPr>
      <w:ind w:left="1134" w:right="0" w:firstLine="0"/>
      <w:spacing w:after="57"/>
    </w:pPr>
  </w:style>
  <w:style w:type="paragraph" w:styleId="836">
    <w:name w:val="toc 6"/>
    <w:basedOn w:val="842"/>
    <w:next w:val="842"/>
    <w:uiPriority w:val="39"/>
    <w:unhideWhenUsed/>
    <w:pPr>
      <w:ind w:left="1417" w:right="0" w:firstLine="0"/>
      <w:spacing w:after="57"/>
    </w:pPr>
  </w:style>
  <w:style w:type="paragraph" w:styleId="837">
    <w:name w:val="toc 7"/>
    <w:basedOn w:val="842"/>
    <w:next w:val="842"/>
    <w:uiPriority w:val="39"/>
    <w:unhideWhenUsed/>
    <w:pPr>
      <w:ind w:left="1701" w:right="0" w:firstLine="0"/>
      <w:spacing w:after="57"/>
    </w:pPr>
  </w:style>
  <w:style w:type="paragraph" w:styleId="838">
    <w:name w:val="toc 8"/>
    <w:basedOn w:val="842"/>
    <w:next w:val="842"/>
    <w:uiPriority w:val="39"/>
    <w:unhideWhenUsed/>
    <w:pPr>
      <w:ind w:left="1984" w:right="0" w:firstLine="0"/>
      <w:spacing w:after="57"/>
    </w:pPr>
  </w:style>
  <w:style w:type="paragraph" w:styleId="839">
    <w:name w:val="toc 9"/>
    <w:basedOn w:val="842"/>
    <w:next w:val="842"/>
    <w:uiPriority w:val="39"/>
    <w:unhideWhenUsed/>
    <w:pPr>
      <w:ind w:left="2268" w:right="0" w:firstLine="0"/>
      <w:spacing w:after="57"/>
    </w:pPr>
  </w:style>
  <w:style w:type="paragraph" w:styleId="840">
    <w:name w:val="TOC Heading"/>
    <w:uiPriority w:val="39"/>
    <w:unhideWhenUsed/>
  </w:style>
  <w:style w:type="paragraph" w:styleId="841">
    <w:name w:val="table of figures"/>
    <w:basedOn w:val="842"/>
    <w:next w:val="842"/>
    <w:uiPriority w:val="99"/>
    <w:unhideWhenUsed/>
    <w:pPr>
      <w:spacing w:after="0" w:afterAutospacing="0"/>
    </w:pPr>
  </w:style>
  <w:style w:type="paragraph" w:styleId="842" w:default="1">
    <w:name w:val="Normal"/>
    <w:qFormat/>
    <w:pPr>
      <w:jc w:val="both"/>
      <w:widowControl w:val="off"/>
    </w:pPr>
    <w:rPr>
      <w:rFonts w:ascii="Times New Roman" w:hAnsi="Times New Roman" w:cs="Times New Roman"/>
      <w:sz w:val="21"/>
      <w:szCs w:val="24"/>
    </w:rPr>
  </w:style>
  <w:style w:type="paragraph" w:styleId="843">
    <w:name w:val="Heading 1"/>
    <w:basedOn w:val="842"/>
    <w:next w:val="842"/>
    <w:link w:val="884"/>
    <w:uiPriority w:val="99"/>
    <w:qFormat/>
    <w:pPr>
      <w:numPr>
        <w:numId w:val="1"/>
      </w:numPr>
      <w:keepNext/>
      <w:outlineLvl w:val="0"/>
    </w:pPr>
    <w:rPr>
      <w:rFonts w:eastAsia="黑体"/>
      <w:b/>
      <w:sz w:val="28"/>
      <w:szCs w:val="20"/>
    </w:rPr>
  </w:style>
  <w:style w:type="paragraph" w:styleId="844">
    <w:name w:val="Heading 2"/>
    <w:basedOn w:val="842"/>
    <w:next w:val="842"/>
    <w:link w:val="885"/>
    <w:uiPriority w:val="99"/>
    <w:qFormat/>
    <w:pPr>
      <w:numPr>
        <w:ilvl w:val="1"/>
        <w:numId w:val="2"/>
      </w:numPr>
      <w:keepLines/>
      <w:keepNext/>
      <w:spacing w:before="260" w:after="260" w:line="416" w:lineRule="auto"/>
      <w:outlineLvl w:val="1"/>
    </w:pPr>
    <w:rPr>
      <w:rFonts w:ascii="Arial" w:hAnsi="Arial" w:eastAsia="黑体"/>
      <w:sz w:val="24"/>
      <w:szCs w:val="20"/>
    </w:rPr>
  </w:style>
  <w:style w:type="paragraph" w:styleId="845">
    <w:name w:val="Heading 3"/>
    <w:basedOn w:val="842"/>
    <w:next w:val="851"/>
    <w:link w:val="886"/>
    <w:uiPriority w:val="99"/>
    <w:qFormat/>
    <w:pPr>
      <w:numPr>
        <w:ilvl w:val="2"/>
        <w:numId w:val="2"/>
      </w:numPr>
      <w:jc w:val="center"/>
      <w:keepNext/>
      <w:spacing w:line="400" w:lineRule="exact"/>
      <w:outlineLvl w:val="2"/>
    </w:pPr>
    <w:rPr>
      <w:rFonts w:ascii="仿宋_GB2312" w:eastAsia="仿宋_GB2312"/>
      <w:sz w:val="32"/>
      <w:szCs w:val="20"/>
    </w:rPr>
  </w:style>
  <w:style w:type="paragraph" w:styleId="846">
    <w:name w:val="Heading 4"/>
    <w:basedOn w:val="842"/>
    <w:next w:val="842"/>
    <w:link w:val="887"/>
    <w:uiPriority w:val="99"/>
    <w:qFormat/>
    <w:pPr>
      <w:keepLines/>
      <w:keepNext/>
      <w:spacing w:before="280" w:after="290" w:line="376" w:lineRule="auto"/>
      <w:outlineLvl w:val="3"/>
    </w:pPr>
    <w:rPr>
      <w:rFonts w:ascii="Cambria" w:hAnsi="Cambria"/>
      <w:b/>
      <w:bCs/>
      <w:sz w:val="28"/>
      <w:szCs w:val="28"/>
    </w:rPr>
  </w:style>
  <w:style w:type="paragraph" w:styleId="847">
    <w:name w:val="Heading 5"/>
    <w:basedOn w:val="842"/>
    <w:next w:val="842"/>
    <w:link w:val="888"/>
    <w:uiPriority w:val="99"/>
    <w:qFormat/>
    <w:pPr>
      <w:keepLines/>
      <w:keepNext/>
      <w:spacing w:before="280" w:after="290" w:line="376" w:lineRule="auto"/>
      <w:outlineLvl w:val="4"/>
    </w:pPr>
    <w:rPr>
      <w:b/>
      <w:bCs/>
      <w:sz w:val="28"/>
      <w:szCs w:val="28"/>
    </w:rPr>
  </w:style>
  <w:style w:type="character" w:styleId="848" w:default="1">
    <w:name w:val="Default Paragraph Font"/>
    <w:uiPriority w:val="1"/>
    <w:semiHidden/>
    <w:unhideWhenUsed/>
  </w:style>
  <w:style w:type="table" w:styleId="849" w:default="1">
    <w:name w:val="Normal Table"/>
    <w:uiPriority w:val="99"/>
    <w:semiHidden/>
    <w:unhideWhenUsed/>
    <w:tblPr>
      <w:tblInd w:w="0" w:type="dxa"/>
      <w:tblCellMar>
        <w:left w:w="108" w:type="dxa"/>
        <w:top w:w="0" w:type="dxa"/>
        <w:right w:w="108" w:type="dxa"/>
        <w:bottom w:w="0" w:type="dxa"/>
      </w:tblCellMar>
    </w:tblPr>
  </w:style>
  <w:style w:type="numbering" w:styleId="850" w:default="1">
    <w:name w:val="No List"/>
    <w:uiPriority w:val="99"/>
    <w:semiHidden/>
    <w:unhideWhenUsed/>
  </w:style>
  <w:style w:type="paragraph" w:styleId="851">
    <w:name w:val="Normal Indent"/>
    <w:basedOn w:val="842"/>
    <w:uiPriority w:val="99"/>
    <w:qFormat/>
    <w:pPr>
      <w:ind w:firstLine="420"/>
      <w:jc w:val="left"/>
      <w:widowControl/>
    </w:pPr>
    <w:rPr>
      <w:sz w:val="20"/>
      <w:szCs w:val="20"/>
    </w:rPr>
  </w:style>
  <w:style w:type="paragraph" w:styleId="852">
    <w:name w:val="annotation text"/>
    <w:basedOn w:val="842"/>
    <w:link w:val="955"/>
    <w:uiPriority w:val="99"/>
    <w:unhideWhenUsed/>
    <w:qFormat/>
    <w:pPr>
      <w:jc w:val="left"/>
    </w:pPr>
  </w:style>
  <w:style w:type="paragraph" w:styleId="853">
    <w:name w:val="Body Text 3"/>
    <w:basedOn w:val="842"/>
    <w:link w:val="890"/>
    <w:uiPriority w:val="99"/>
    <w:qFormat/>
    <w:pPr>
      <w:jc w:val="left"/>
      <w:spacing w:line="300" w:lineRule="auto"/>
      <w:widowControl/>
    </w:pPr>
    <w:rPr>
      <w:sz w:val="16"/>
      <w:szCs w:val="16"/>
    </w:rPr>
  </w:style>
  <w:style w:type="paragraph" w:styleId="854">
    <w:name w:val="Body Text"/>
    <w:basedOn w:val="842"/>
    <w:next w:val="842"/>
    <w:link w:val="902"/>
    <w:uiPriority w:val="99"/>
    <w:qFormat/>
    <w:pPr>
      <w:ind w:firstLine="285"/>
      <w:spacing w:after="120" w:line="360" w:lineRule="auto"/>
    </w:pPr>
    <w:rPr>
      <w:rFonts w:ascii="宋体" w:hAnsi="宋体" w:cs="宋体"/>
      <w:b/>
      <w:szCs w:val="21"/>
      <w:u w:val="single"/>
    </w:rPr>
  </w:style>
  <w:style w:type="paragraph" w:styleId="855">
    <w:name w:val="Body Text Indent"/>
    <w:basedOn w:val="842"/>
    <w:link w:val="894"/>
    <w:uiPriority w:val="99"/>
    <w:qFormat/>
    <w:pPr>
      <w:ind w:firstLine="420"/>
    </w:pPr>
    <w:rPr>
      <w:sz w:val="24"/>
      <w:shd w:val="pct10" w:color="auto" w:fill="ffffff"/>
    </w:rPr>
  </w:style>
  <w:style w:type="paragraph" w:styleId="856">
    <w:name w:val="Block Text"/>
    <w:basedOn w:val="842"/>
    <w:uiPriority w:val="99"/>
    <w:qFormat/>
    <w:pPr>
      <w:ind w:left="113" w:right="113"/>
      <w:jc w:val="center"/>
    </w:pPr>
    <w:rPr>
      <w:b/>
      <w:bCs/>
      <w:sz w:val="18"/>
      <w:szCs w:val="20"/>
    </w:rPr>
  </w:style>
  <w:style w:type="paragraph" w:styleId="857">
    <w:name w:val="index 4"/>
    <w:basedOn w:val="842"/>
    <w:next w:val="842"/>
    <w:uiPriority w:val="99"/>
    <w:unhideWhenUsed/>
    <w:qFormat/>
    <w:pPr>
      <w:ind w:left="600"/>
    </w:pPr>
    <w:rPr>
      <w:rFonts w:asciiTheme="minorHAnsi" w:hAnsiTheme="minorHAnsi" w:eastAsiaTheme="minorEastAsia" w:cstheme="minorBidi"/>
      <w:szCs w:val="22"/>
    </w:rPr>
  </w:style>
  <w:style w:type="paragraph" w:styleId="858">
    <w:name w:val="toc 3"/>
    <w:basedOn w:val="842"/>
    <w:next w:val="842"/>
    <w:uiPriority w:val="39"/>
    <w:qFormat/>
    <w:pPr>
      <w:ind w:left="840"/>
    </w:pPr>
  </w:style>
  <w:style w:type="paragraph" w:styleId="859">
    <w:name w:val="Plain Text"/>
    <w:basedOn w:val="842"/>
    <w:link w:val="889"/>
    <w:uiPriority w:val="99"/>
    <w:qFormat/>
    <w:rPr>
      <w:rFonts w:ascii="宋体" w:hAnsi="Courier New"/>
      <w:szCs w:val="21"/>
    </w:rPr>
  </w:style>
  <w:style w:type="paragraph" w:styleId="860">
    <w:name w:val="Date"/>
    <w:basedOn w:val="842"/>
    <w:next w:val="842"/>
    <w:link w:val="901"/>
    <w:uiPriority w:val="99"/>
    <w:qFormat/>
    <w:pPr>
      <w:ind w:left="100"/>
    </w:pPr>
    <w:rPr>
      <w:sz w:val="24"/>
    </w:rPr>
  </w:style>
  <w:style w:type="paragraph" w:styleId="861">
    <w:name w:val="Body Text Indent 2"/>
    <w:basedOn w:val="842"/>
    <w:link w:val="896"/>
    <w:uiPriority w:val="99"/>
    <w:qFormat/>
    <w:pPr>
      <w:ind w:left="420"/>
      <w:spacing w:after="120" w:line="480" w:lineRule="auto"/>
    </w:pPr>
    <w:rPr>
      <w:sz w:val="24"/>
    </w:rPr>
  </w:style>
  <w:style w:type="paragraph" w:styleId="862">
    <w:name w:val="Balloon Text"/>
    <w:basedOn w:val="842"/>
    <w:link w:val="930"/>
    <w:uiPriority w:val="99"/>
    <w:qFormat/>
    <w:rPr>
      <w:sz w:val="18"/>
      <w:szCs w:val="18"/>
    </w:rPr>
  </w:style>
  <w:style w:type="paragraph" w:styleId="863">
    <w:name w:val="Footer"/>
    <w:basedOn w:val="842"/>
    <w:link w:val="891"/>
    <w:qFormat/>
    <w:pPr>
      <w:jc w:val="left"/>
      <w:widowControl/>
      <w:tabs>
        <w:tab w:val="center" w:pos="4153" w:leader="none"/>
        <w:tab w:val="right" w:pos="8306" w:leader="none"/>
      </w:tabs>
    </w:pPr>
    <w:rPr>
      <w:sz w:val="18"/>
      <w:szCs w:val="18"/>
    </w:rPr>
  </w:style>
  <w:style w:type="paragraph" w:styleId="864">
    <w:name w:val="Header"/>
    <w:basedOn w:val="842"/>
    <w:link w:val="892"/>
    <w:uiPriority w:val="99"/>
    <w:qFormat/>
    <w:pPr>
      <w:jc w:val="center"/>
      <w:widowControl/>
      <w:tabs>
        <w:tab w:val="center" w:pos="4153" w:leader="none"/>
        <w:tab w:val="right" w:pos="8306" w:leader="none"/>
      </w:tabs>
      <w:pBdr>
        <w:bottom w:val="single" w:color="auto" w:sz="6" w:space="1"/>
      </w:pBdr>
    </w:pPr>
    <w:rPr>
      <w:sz w:val="18"/>
      <w:szCs w:val="18"/>
    </w:rPr>
  </w:style>
  <w:style w:type="paragraph" w:styleId="865">
    <w:name w:val="toc 1"/>
    <w:basedOn w:val="842"/>
    <w:next w:val="842"/>
    <w:uiPriority w:val="39"/>
    <w:qFormat/>
  </w:style>
  <w:style w:type="paragraph" w:styleId="866">
    <w:name w:val="footnote text"/>
    <w:basedOn w:val="842"/>
    <w:link w:val="963"/>
    <w:uiPriority w:val="99"/>
    <w:unhideWhenUsed/>
    <w:qFormat/>
    <w:pPr>
      <w:jc w:val="left"/>
    </w:pPr>
    <w:rPr>
      <w:rFonts w:ascii="Calibri" w:hAnsi="Calibri" w:cs="Calibri"/>
      <w:sz w:val="18"/>
      <w:szCs w:val="18"/>
    </w:rPr>
  </w:style>
  <w:style w:type="paragraph" w:styleId="867">
    <w:name w:val="Body Text Indent 3"/>
    <w:basedOn w:val="842"/>
    <w:link w:val="898"/>
    <w:uiPriority w:val="99"/>
    <w:qFormat/>
    <w:pPr>
      <w:ind w:firstLine="412"/>
    </w:pPr>
    <w:rPr>
      <w:sz w:val="16"/>
      <w:szCs w:val="16"/>
    </w:rPr>
  </w:style>
  <w:style w:type="paragraph" w:styleId="868">
    <w:name w:val="toc 2"/>
    <w:basedOn w:val="842"/>
    <w:next w:val="842"/>
    <w:uiPriority w:val="39"/>
    <w:qFormat/>
    <w:pPr>
      <w:ind w:left="420"/>
    </w:pPr>
  </w:style>
  <w:style w:type="paragraph" w:styleId="869">
    <w:name w:val="Normal (Web)"/>
    <w:basedOn w:val="842"/>
    <w:unhideWhenUsed/>
    <w:qFormat/>
    <w:pPr>
      <w:jc w:val="left"/>
      <w:spacing w:before="100" w:beforeAutospacing="1" w:after="100" w:afterAutospacing="1"/>
      <w:widowControl/>
    </w:pPr>
    <w:rPr>
      <w:rFonts w:ascii="宋体" w:hAnsi="宋体" w:cs="宋体"/>
      <w:sz w:val="24"/>
    </w:rPr>
  </w:style>
  <w:style w:type="paragraph" w:styleId="870">
    <w:name w:val="Title"/>
    <w:basedOn w:val="842"/>
    <w:next w:val="842"/>
    <w:qFormat/>
    <w:pPr>
      <w:jc w:val="center"/>
      <w:spacing w:before="240" w:after="60"/>
      <w:outlineLvl w:val="0"/>
    </w:pPr>
    <w:rPr>
      <w:rFonts w:asciiTheme="majorHAnsi" w:hAnsiTheme="majorHAnsi" w:eastAsiaTheme="majorEastAsia" w:cstheme="majorBidi"/>
      <w:b/>
      <w:bCs/>
      <w:sz w:val="32"/>
      <w:szCs w:val="32"/>
    </w:rPr>
  </w:style>
  <w:style w:type="paragraph" w:styleId="871">
    <w:name w:val="annotation subject"/>
    <w:basedOn w:val="852"/>
    <w:next w:val="852"/>
    <w:link w:val="956"/>
    <w:uiPriority w:val="99"/>
    <w:semiHidden/>
    <w:unhideWhenUsed/>
    <w:qFormat/>
    <w:rPr>
      <w:b/>
      <w:bCs/>
    </w:rPr>
  </w:style>
  <w:style w:type="paragraph" w:styleId="872">
    <w:name w:val="Body Text First Indent"/>
    <w:basedOn w:val="854"/>
    <w:qFormat/>
    <w:pPr>
      <w:ind w:firstLine="420"/>
    </w:pPr>
    <w:rPr>
      <w:szCs w:val="24"/>
      <w:lang w:val="zh-CN"/>
    </w:rPr>
  </w:style>
  <w:style w:type="paragraph" w:styleId="873">
    <w:name w:val="Body Text First Indent 2"/>
    <w:basedOn w:val="855"/>
    <w:link w:val="962"/>
    <w:uiPriority w:val="99"/>
    <w:semiHidden/>
    <w:unhideWhenUsed/>
    <w:qFormat/>
    <w:pPr>
      <w:ind w:left="420"/>
      <w:jc w:val="left"/>
      <w:spacing w:after="120"/>
      <w:widowControl/>
    </w:pPr>
    <w:rPr>
      <w:sz w:val="20"/>
      <w:szCs w:val="20"/>
      <w:shd w:val="clear" w:color="auto" w:fill="auto"/>
    </w:rPr>
  </w:style>
  <w:style w:type="table" w:styleId="874">
    <w:name w:val="Table Grid"/>
    <w:basedOn w:val="849"/>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75">
    <w:name w:val="Strong"/>
    <w:qFormat/>
    <w:rPr>
      <w:b/>
      <w:bCs/>
    </w:rPr>
  </w:style>
  <w:style w:type="character" w:styleId="876">
    <w:name w:val="page number"/>
    <w:basedOn w:val="848"/>
    <w:qFormat/>
    <w:rPr>
      <w:rFonts w:cs="Times New Roman"/>
    </w:rPr>
  </w:style>
  <w:style w:type="character" w:styleId="877">
    <w:name w:val="Emphasis"/>
    <w:qFormat/>
    <w:rPr>
      <w:i/>
    </w:rPr>
  </w:style>
  <w:style w:type="character" w:styleId="878">
    <w:name w:val="Hyperlink"/>
    <w:uiPriority w:val="99"/>
    <w:unhideWhenUsed/>
    <w:qFormat/>
    <w:rPr>
      <w:color w:val="0000ff"/>
      <w:u w:val="single"/>
    </w:rPr>
  </w:style>
  <w:style w:type="character" w:styleId="879">
    <w:name w:val="annotation reference"/>
    <w:basedOn w:val="848"/>
    <w:uiPriority w:val="99"/>
    <w:semiHidden/>
    <w:unhideWhenUsed/>
    <w:qFormat/>
    <w:rPr>
      <w:sz w:val="21"/>
      <w:szCs w:val="21"/>
    </w:rPr>
  </w:style>
  <w:style w:type="paragraph" w:styleId="880" w:customStyle="1">
    <w:name w:val="索引 41"/>
    <w:basedOn w:val="842"/>
    <w:next w:val="842"/>
    <w:uiPriority w:val="99"/>
    <w:qFormat/>
    <w:pPr>
      <w:ind w:left="600"/>
    </w:pPr>
    <w:rPr>
      <w:szCs w:val="20"/>
    </w:rPr>
  </w:style>
  <w:style w:type="paragraph" w:styleId="881" w:customStyle="1">
    <w:name w:val="一级条标题"/>
    <w:basedOn w:val="882"/>
    <w:next w:val="883"/>
    <w:qFormat/>
    <w:pPr>
      <w:numPr>
        <w:ilvl w:val="1"/>
        <w:numId w:val="3"/>
      </w:numPr>
      <w:outlineLvl w:val="2"/>
    </w:pPr>
    <w:rPr>
      <w:rFonts w:hAnsi="Times New Roman" w:cstheme="minorBidi"/>
      <w:szCs w:val="21"/>
    </w:rPr>
  </w:style>
  <w:style w:type="paragraph" w:styleId="882" w:customStyle="1">
    <w:name w:val="章标题"/>
    <w:next w:val="842"/>
    <w:qFormat/>
    <w:pPr>
      <w:ind w:left="810" w:hanging="810"/>
      <w:jc w:val="both"/>
      <w:spacing w:before="50" w:after="50"/>
      <w:tabs>
        <w:tab w:val="left" w:pos="810" w:leader="none"/>
        <w:tab w:val="left" w:pos="1265" w:leader="none"/>
      </w:tabs>
      <w:outlineLvl w:val="1"/>
    </w:pPr>
    <w:rPr>
      <w:rFonts w:ascii="黑体" w:eastAsia="黑体" w:cs="Times New Roman"/>
      <w:sz w:val="21"/>
      <w:szCs w:val="22"/>
    </w:rPr>
  </w:style>
  <w:style w:type="paragraph" w:styleId="883" w:customStyle="1">
    <w:name w:val="段"/>
    <w:basedOn w:val="842"/>
    <w:next w:val="842"/>
    <w:qFormat/>
    <w:pPr>
      <w:ind w:firstLine="200"/>
      <w:widowControl/>
    </w:pPr>
    <w:rPr>
      <w:rFonts w:hint="eastAsia" w:ascii="宋体"/>
      <w:szCs w:val="20"/>
    </w:rPr>
  </w:style>
  <w:style w:type="character" w:styleId="884" w:customStyle="1">
    <w:name w:val="标题 1 字符"/>
    <w:link w:val="843"/>
    <w:uiPriority w:val="99"/>
    <w:qFormat/>
    <w:rPr>
      <w:rFonts w:eastAsia="黑体"/>
      <w:b/>
      <w:sz w:val="28"/>
    </w:rPr>
  </w:style>
  <w:style w:type="character" w:styleId="885" w:customStyle="1">
    <w:name w:val="标题 2 字符"/>
    <w:link w:val="844"/>
    <w:uiPriority w:val="99"/>
    <w:qFormat/>
    <w:rPr>
      <w:rFonts w:ascii="Arial" w:hAnsi="Arial" w:eastAsia="黑体"/>
      <w:sz w:val="24"/>
    </w:rPr>
  </w:style>
  <w:style w:type="character" w:styleId="886" w:customStyle="1">
    <w:name w:val="标题 3 字符"/>
    <w:link w:val="845"/>
    <w:uiPriority w:val="99"/>
    <w:qFormat/>
    <w:rPr>
      <w:rFonts w:ascii="仿宋_GB2312" w:eastAsia="仿宋_GB2312"/>
      <w:sz w:val="32"/>
    </w:rPr>
  </w:style>
  <w:style w:type="character" w:styleId="887" w:customStyle="1">
    <w:name w:val="标题 4 字符"/>
    <w:link w:val="846"/>
    <w:uiPriority w:val="99"/>
    <w:semiHidden/>
    <w:qFormat/>
    <w:rPr>
      <w:rFonts w:ascii="Cambria" w:hAnsi="Cambria" w:eastAsia="宋体" w:cs="Times New Roman"/>
      <w:b/>
      <w:bCs/>
      <w:sz w:val="28"/>
      <w:szCs w:val="28"/>
    </w:rPr>
  </w:style>
  <w:style w:type="character" w:styleId="888" w:customStyle="1">
    <w:name w:val="标题 5 字符"/>
    <w:link w:val="847"/>
    <w:uiPriority w:val="99"/>
    <w:semiHidden/>
    <w:qFormat/>
    <w:rPr>
      <w:rFonts w:cs="Times New Roman"/>
      <w:b/>
      <w:bCs/>
      <w:sz w:val="28"/>
      <w:szCs w:val="28"/>
    </w:rPr>
  </w:style>
  <w:style w:type="character" w:styleId="889" w:customStyle="1">
    <w:name w:val="纯文本 字符"/>
    <w:link w:val="859"/>
    <w:uiPriority w:val="99"/>
    <w:qFormat/>
    <w:rPr>
      <w:rFonts w:ascii="宋体" w:hAnsi="Courier New" w:eastAsia="宋体" w:cs="Times New Roman"/>
      <w:sz w:val="21"/>
      <w:szCs w:val="21"/>
      <w:lang w:val="en-US" w:eastAsia="zh-CN" w:bidi="ar-SA"/>
    </w:rPr>
  </w:style>
  <w:style w:type="character" w:styleId="890" w:customStyle="1">
    <w:name w:val="正文文本 3 字符"/>
    <w:link w:val="853"/>
    <w:uiPriority w:val="99"/>
    <w:semiHidden/>
    <w:qFormat/>
    <w:rPr>
      <w:rFonts w:cs="Times New Roman"/>
      <w:sz w:val="16"/>
      <w:szCs w:val="16"/>
    </w:rPr>
  </w:style>
  <w:style w:type="character" w:styleId="891" w:customStyle="1">
    <w:name w:val="页脚 字符"/>
    <w:link w:val="863"/>
    <w:uiPriority w:val="99"/>
    <w:qFormat/>
    <w:rPr>
      <w:rFonts w:cs="Times New Roman"/>
      <w:sz w:val="18"/>
      <w:szCs w:val="18"/>
    </w:rPr>
  </w:style>
  <w:style w:type="character" w:styleId="892" w:customStyle="1">
    <w:name w:val="页眉 字符"/>
    <w:link w:val="864"/>
    <w:uiPriority w:val="99"/>
    <w:semiHidden/>
    <w:qFormat/>
    <w:rPr>
      <w:rFonts w:cs="Times New Roman"/>
      <w:sz w:val="18"/>
      <w:szCs w:val="18"/>
    </w:rPr>
  </w:style>
  <w:style w:type="character" w:styleId="893" w:customStyle="1">
    <w:name w:val="px121"/>
    <w:uiPriority w:val="99"/>
    <w:qFormat/>
    <w:rPr>
      <w:rFonts w:cs="Times New Roman"/>
      <w:spacing w:val="312"/>
    </w:rPr>
  </w:style>
  <w:style w:type="character" w:styleId="894" w:customStyle="1">
    <w:name w:val="正文文本缩进 字符"/>
    <w:link w:val="855"/>
    <w:uiPriority w:val="99"/>
    <w:semiHidden/>
    <w:qFormat/>
    <w:rPr>
      <w:rFonts w:cs="Times New Roman"/>
      <w:sz w:val="24"/>
      <w:szCs w:val="24"/>
    </w:rPr>
  </w:style>
  <w:style w:type="paragraph" w:styleId="895" w:customStyle="1">
    <w:name w:val="表格文字"/>
    <w:basedOn w:val="842"/>
    <w:uiPriority w:val="99"/>
    <w:qFormat/>
    <w:pPr>
      <w:spacing w:before="120"/>
    </w:pPr>
    <w:rPr>
      <w:rFonts w:ascii="Arial Narrow" w:hAnsi="Arial Narrow" w:eastAsia="仿宋_GB2312"/>
      <w:sz w:val="24"/>
      <w:szCs w:val="20"/>
    </w:rPr>
  </w:style>
  <w:style w:type="character" w:styleId="896" w:customStyle="1">
    <w:name w:val="正文文本缩进 2 字符"/>
    <w:link w:val="861"/>
    <w:uiPriority w:val="99"/>
    <w:semiHidden/>
    <w:qFormat/>
    <w:rPr>
      <w:rFonts w:cs="Times New Roman"/>
      <w:sz w:val="24"/>
      <w:szCs w:val="24"/>
    </w:rPr>
  </w:style>
  <w:style w:type="character" w:styleId="897" w:customStyle="1">
    <w:name w:val="Char Char3"/>
    <w:uiPriority w:val="99"/>
    <w:qFormat/>
    <w:rPr>
      <w:rFonts w:ascii="宋体" w:hAnsi="Courier New" w:eastAsia="宋体" w:cs="Times New Roman"/>
      <w:sz w:val="21"/>
      <w:szCs w:val="21"/>
      <w:lang w:val="en-US" w:eastAsia="zh-CN" w:bidi="ar-SA"/>
    </w:rPr>
  </w:style>
  <w:style w:type="character" w:styleId="898" w:customStyle="1">
    <w:name w:val="正文文本缩进 3 字符"/>
    <w:link w:val="867"/>
    <w:uiPriority w:val="99"/>
    <w:semiHidden/>
    <w:qFormat/>
    <w:rPr>
      <w:rFonts w:cs="Times New Roman"/>
      <w:sz w:val="16"/>
      <w:szCs w:val="16"/>
    </w:rPr>
  </w:style>
  <w:style w:type="paragraph" w:styleId="899" w:customStyle="1">
    <w:name w:val="Char1"/>
    <w:basedOn w:val="842"/>
    <w:uiPriority w:val="99"/>
    <w:qFormat/>
    <w:rPr>
      <w:sz w:val="24"/>
    </w:rPr>
  </w:style>
  <w:style w:type="paragraph" w:styleId="900" w:customStyle="1">
    <w:name w:val="样式 标4 + 段前: 0.5 行1"/>
    <w:basedOn w:val="842"/>
    <w:uiPriority w:val="99"/>
    <w:qFormat/>
    <w:pPr>
      <w:tabs>
        <w:tab w:val="left" w:pos="1260" w:leader="none"/>
      </w:tabs>
      <w:outlineLvl w:val="3"/>
    </w:pPr>
    <w:rPr>
      <w:rFonts w:ascii="Arial Narrow" w:hAnsi="Arial Narrow" w:eastAsia="仿宋_GB2312" w:cs="宋体"/>
      <w:sz w:val="28"/>
      <w:szCs w:val="20"/>
    </w:rPr>
  </w:style>
  <w:style w:type="character" w:styleId="901" w:customStyle="1">
    <w:name w:val="日期 字符"/>
    <w:link w:val="860"/>
    <w:uiPriority w:val="99"/>
    <w:semiHidden/>
    <w:qFormat/>
    <w:rPr>
      <w:rFonts w:cs="Times New Roman"/>
      <w:sz w:val="24"/>
      <w:szCs w:val="24"/>
    </w:rPr>
  </w:style>
  <w:style w:type="character" w:styleId="902" w:customStyle="1">
    <w:name w:val="正文文本 字符"/>
    <w:link w:val="854"/>
    <w:uiPriority w:val="99"/>
    <w:qFormat/>
    <w:rPr>
      <w:rFonts w:ascii="宋体" w:hAnsi="宋体" w:cs="宋体"/>
      <w:b/>
      <w:sz w:val="21"/>
      <w:szCs w:val="21"/>
      <w:u w:val="single"/>
    </w:rPr>
  </w:style>
  <w:style w:type="paragraph" w:styleId="903" w:customStyle="1">
    <w:name w:val="报告正文"/>
    <w:basedOn w:val="842"/>
    <w:uiPriority w:val="99"/>
    <w:qFormat/>
    <w:pPr>
      <w:ind w:firstLine="567"/>
    </w:pPr>
    <w:rPr>
      <w:rFonts w:ascii="Arial Narrow" w:hAnsi="Arial Narrow" w:eastAsia="仿宋_GB2312"/>
      <w:sz w:val="28"/>
      <w:szCs w:val="20"/>
    </w:rPr>
  </w:style>
  <w:style w:type="paragraph" w:styleId="904">
    <w:name w:val="List Paragraph"/>
    <w:basedOn w:val="842"/>
    <w:uiPriority w:val="34"/>
    <w:qFormat/>
    <w:pPr>
      <w:numPr>
        <w:numId w:val="4"/>
      </w:numPr>
      <w:spacing w:line="360" w:lineRule="auto"/>
      <w:tabs>
        <w:tab w:val="left" w:pos="851" w:leader="none"/>
      </w:tabs>
    </w:pPr>
    <w:rPr>
      <w:rFonts w:ascii="宋体" w:hAnsi="宋体" w:cs="宋体"/>
    </w:rPr>
  </w:style>
  <w:style w:type="paragraph" w:styleId="905" w:customStyle="1">
    <w:name w:val="List Paragraph1"/>
    <w:basedOn w:val="842"/>
    <w:uiPriority w:val="99"/>
    <w:qFormat/>
    <w:pPr>
      <w:ind w:firstLine="420"/>
    </w:pPr>
    <w:rPr>
      <w:rFonts w:ascii="Calibri" w:hAnsi="Calibri"/>
      <w:szCs w:val="22"/>
    </w:rPr>
  </w:style>
  <w:style w:type="paragraph" w:styleId="906" w:customStyle="1">
    <w:name w:val="列出段落1"/>
    <w:uiPriority w:val="99"/>
    <w:qFormat/>
    <w:pPr>
      <w:ind w:firstLine="420"/>
    </w:pPr>
    <w:rPr>
      <w:rFonts w:ascii="Times New Roman" w:hAnsi="Times New Roman" w:cs="Times New Roman"/>
    </w:rPr>
  </w:style>
  <w:style w:type="paragraph" w:styleId="907" w:customStyle="1">
    <w:name w:val="列出段落11"/>
    <w:uiPriority w:val="99"/>
    <w:qFormat/>
    <w:pPr>
      <w:ind w:firstLine="420"/>
    </w:pPr>
    <w:rPr>
      <w:rFonts w:ascii="Times New Roman" w:hAnsi="Times New Roman" w:cs="Times New Roman"/>
    </w:rPr>
  </w:style>
  <w:style w:type="paragraph" w:styleId="908">
    <w:name w:val="No Spacing"/>
    <w:uiPriority w:val="99"/>
    <w:qFormat/>
    <w:pPr>
      <w:jc w:val="both"/>
      <w:widowControl w:val="off"/>
    </w:pPr>
    <w:rPr>
      <w:rFonts w:ascii="Times New Roman" w:hAnsi="Times New Roman" w:cs="Times New Roman"/>
      <w:sz w:val="21"/>
      <w:szCs w:val="24"/>
    </w:rPr>
  </w:style>
  <w:style w:type="character" w:styleId="909" w:customStyle="1">
    <w:name w:val="CharAttribute2"/>
    <w:uiPriority w:val="99"/>
    <w:qFormat/>
    <w:rPr>
      <w:rFonts w:ascii="Times New Roman" w:eastAsia="宋体"/>
      <w:b/>
      <w:sz w:val="21"/>
    </w:rPr>
  </w:style>
  <w:style w:type="paragraph" w:styleId="910" w:customStyle="1">
    <w:name w:val="Char"/>
    <w:basedOn w:val="842"/>
    <w:uiPriority w:val="99"/>
    <w:qFormat/>
    <w:rPr>
      <w:sz w:val="30"/>
    </w:rPr>
  </w:style>
  <w:style w:type="paragraph" w:styleId="911" w:customStyle="1">
    <w:name w:val="ParaAttribute2"/>
    <w:uiPriority w:val="99"/>
    <w:qFormat/>
    <w:pPr>
      <w:jc w:val="both"/>
      <w:spacing w:before="156" w:after="156"/>
      <w:widowControl w:val="off"/>
    </w:pPr>
    <w:rPr>
      <w:rFonts w:ascii="Times New Roman" w:hAnsi="Times New Roman" w:eastAsia="Batang" w:cs="Times New Roman"/>
    </w:rPr>
  </w:style>
  <w:style w:type="paragraph" w:styleId="912" w:customStyle="1">
    <w:name w:val="ParaAttribute6"/>
    <w:uiPriority w:val="99"/>
    <w:qFormat/>
    <w:pPr>
      <w:ind w:left="1276"/>
      <w:jc w:val="both"/>
      <w:spacing w:before="50"/>
      <w:widowControl w:val="off"/>
    </w:pPr>
    <w:rPr>
      <w:rFonts w:ascii="Times New Roman" w:hAnsi="Times New Roman" w:eastAsia="Batang" w:cs="Times New Roman"/>
    </w:rPr>
  </w:style>
  <w:style w:type="paragraph" w:styleId="913" w:customStyle="1">
    <w:name w:val="ParaAttribute7"/>
    <w:uiPriority w:val="99"/>
    <w:qFormat/>
    <w:pPr>
      <w:jc w:val="both"/>
      <w:spacing w:before="50"/>
      <w:widowControl w:val="off"/>
    </w:pPr>
    <w:rPr>
      <w:rFonts w:ascii="Times New Roman" w:hAnsi="Times New Roman" w:eastAsia="Batang" w:cs="Times New Roman"/>
    </w:rPr>
  </w:style>
  <w:style w:type="paragraph" w:styleId="914" w:customStyle="1">
    <w:name w:val="ParaAttribute8"/>
    <w:uiPriority w:val="99"/>
    <w:qFormat/>
    <w:pPr>
      <w:ind w:left="993"/>
      <w:jc w:val="both"/>
      <w:spacing w:before="50"/>
      <w:widowControl w:val="off"/>
    </w:pPr>
    <w:rPr>
      <w:rFonts w:ascii="Times New Roman" w:hAnsi="Times New Roman" w:eastAsia="Batang" w:cs="Times New Roman"/>
    </w:rPr>
  </w:style>
  <w:style w:type="paragraph" w:styleId="915" w:customStyle="1">
    <w:name w:val="ParaAttribute10"/>
    <w:uiPriority w:val="99"/>
    <w:qFormat/>
    <w:pPr>
      <w:ind w:left="491"/>
      <w:jc w:val="both"/>
      <w:widowControl w:val="off"/>
    </w:pPr>
    <w:rPr>
      <w:rFonts w:ascii="Times New Roman" w:hAnsi="Times New Roman" w:eastAsia="Batang" w:cs="Times New Roman"/>
    </w:rPr>
  </w:style>
  <w:style w:type="paragraph" w:styleId="916" w:customStyle="1">
    <w:name w:val="ParaAttribute22"/>
    <w:uiPriority w:val="99"/>
    <w:qFormat/>
    <w:pPr>
      <w:ind w:left="2340"/>
      <w:jc w:val="both"/>
      <w:spacing w:before="50"/>
      <w:widowControl w:val="off"/>
    </w:pPr>
    <w:rPr>
      <w:rFonts w:ascii="Times New Roman" w:hAnsi="Times New Roman" w:eastAsia="Batang" w:cs="Times New Roman"/>
    </w:rPr>
  </w:style>
  <w:style w:type="character" w:styleId="917" w:customStyle="1">
    <w:name w:val="CharAttribute4"/>
    <w:uiPriority w:val="99"/>
    <w:qFormat/>
    <w:rPr>
      <w:rFonts w:ascii="Arial Narrow" w:eastAsia="仿宋_GB2312"/>
      <w:sz w:val="21"/>
    </w:rPr>
  </w:style>
  <w:style w:type="character" w:styleId="918" w:customStyle="1">
    <w:name w:val="CharAttribute7"/>
    <w:uiPriority w:val="99"/>
    <w:qFormat/>
    <w:rPr>
      <w:rFonts w:ascii="Times New Roman" w:eastAsia="宋体"/>
      <w:sz w:val="21"/>
    </w:rPr>
  </w:style>
  <w:style w:type="character" w:styleId="919" w:customStyle="1">
    <w:name w:val="CharAttribute9"/>
    <w:uiPriority w:val="99"/>
    <w:qFormat/>
    <w:rPr>
      <w:rFonts w:ascii="Arial" w:eastAsia="宋体"/>
      <w:sz w:val="21"/>
    </w:rPr>
  </w:style>
  <w:style w:type="character" w:styleId="920" w:customStyle="1">
    <w:name w:val="CharAttribute11"/>
    <w:uiPriority w:val="99"/>
    <w:qFormat/>
    <w:rPr>
      <w:rFonts w:ascii="长城大标宋体" w:eastAsia="Times New Roman"/>
      <w:sz w:val="21"/>
    </w:rPr>
  </w:style>
  <w:style w:type="character" w:styleId="921" w:customStyle="1">
    <w:name w:val="CharAttribute12"/>
    <w:uiPriority w:val="99"/>
    <w:qFormat/>
    <w:rPr>
      <w:rFonts w:ascii="Arial Narrow" w:eastAsia="Times New Roman"/>
      <w:sz w:val="21"/>
    </w:rPr>
  </w:style>
  <w:style w:type="character" w:styleId="922" w:customStyle="1">
    <w:name w:val="CharAttribute14"/>
    <w:uiPriority w:val="99"/>
    <w:qFormat/>
    <w:rPr>
      <w:rFonts w:ascii="仿宋_GB2312" w:eastAsia="仿宋_GB2312"/>
      <w:sz w:val="21"/>
    </w:rPr>
  </w:style>
  <w:style w:type="character" w:styleId="923" w:customStyle="1">
    <w:name w:val="CharAttribute18"/>
    <w:uiPriority w:val="99"/>
    <w:qFormat/>
    <w:rPr>
      <w:rFonts w:ascii="仿宋_GB2312" w:eastAsia="仿宋_GB2312"/>
      <w:sz w:val="24"/>
    </w:rPr>
  </w:style>
  <w:style w:type="character" w:styleId="924" w:customStyle="1">
    <w:name w:val="MAICO Bold Zchn"/>
    <w:link w:val="925"/>
    <w:uiPriority w:val="99"/>
    <w:qFormat/>
    <w:rPr>
      <w:rFonts w:ascii="FrutBold" w:hAnsi="FrutBold" w:cs="Times New Roman"/>
      <w:sz w:val="28"/>
      <w:szCs w:val="28"/>
      <w:lang w:val="en-GB"/>
    </w:rPr>
  </w:style>
  <w:style w:type="paragraph" w:styleId="925" w:customStyle="1">
    <w:name w:val="MAICO Bold"/>
    <w:basedOn w:val="842"/>
    <w:link w:val="924"/>
    <w:uiPriority w:val="99"/>
    <w:qFormat/>
    <w:pPr>
      <w:ind w:right="112"/>
      <w:jc w:val="left"/>
      <w:widowControl/>
      <w:tabs>
        <w:tab w:val="left" w:pos="709" w:leader="none"/>
        <w:tab w:val="right" w:pos="1701" w:leader="none"/>
      </w:tabs>
    </w:pPr>
    <w:rPr>
      <w:rFonts w:ascii="FrutBold" w:hAnsi="FrutBold"/>
      <w:sz w:val="28"/>
      <w:szCs w:val="28"/>
      <w:lang w:val="en-GB"/>
    </w:rPr>
  </w:style>
  <w:style w:type="character" w:styleId="926" w:customStyle="1">
    <w:name w:val="MAICO light Zchn"/>
    <w:link w:val="927"/>
    <w:uiPriority w:val="99"/>
    <w:qFormat/>
    <w:rPr>
      <w:rFonts w:ascii="华文仿宋" w:hAnsi="华文仿宋" w:eastAsia="华文仿宋" w:cs="Times New Roman"/>
      <w:b/>
      <w:sz w:val="28"/>
      <w:szCs w:val="28"/>
      <w:lang w:val="en-GB"/>
    </w:rPr>
  </w:style>
  <w:style w:type="paragraph" w:styleId="927" w:customStyle="1">
    <w:name w:val="MAICO light"/>
    <w:basedOn w:val="842"/>
    <w:link w:val="926"/>
    <w:uiPriority w:val="99"/>
    <w:qFormat/>
    <w:pPr>
      <w:ind w:firstLine="561"/>
      <w:spacing w:line="360" w:lineRule="auto"/>
      <w:widowControl/>
    </w:pPr>
    <w:rPr>
      <w:rFonts w:ascii="华文仿宋" w:hAnsi="华文仿宋" w:eastAsia="华文仿宋"/>
      <w:b/>
      <w:sz w:val="28"/>
      <w:szCs w:val="28"/>
      <w:lang w:val="en-GB"/>
    </w:rPr>
  </w:style>
  <w:style w:type="paragraph" w:styleId="928" w:customStyle="1">
    <w:name w:val="p22"/>
    <w:basedOn w:val="842"/>
    <w:uiPriority w:val="99"/>
    <w:qFormat/>
    <w:pPr>
      <w:ind w:left="720"/>
      <w:jc w:val="left"/>
      <w:spacing w:line="360" w:lineRule="auto"/>
      <w:widowControl/>
    </w:pPr>
    <w:rPr>
      <w:rFonts w:ascii="Verdana" w:hAnsi="Verdana" w:cs="宋体"/>
      <w:sz w:val="24"/>
    </w:rPr>
  </w:style>
  <w:style w:type="paragraph" w:styleId="929" w:customStyle="1">
    <w:name w:val="Default"/>
    <w:uiPriority w:val="99"/>
    <w:qFormat/>
    <w:pPr>
      <w:widowControl w:val="off"/>
    </w:pPr>
    <w:rPr>
      <w:rFonts w:ascii="黑体" w:eastAsia="黑体" w:cs="黑体"/>
      <w:color w:val="000000"/>
      <w:sz w:val="24"/>
      <w:szCs w:val="24"/>
    </w:rPr>
  </w:style>
  <w:style w:type="character" w:styleId="930" w:customStyle="1">
    <w:name w:val="批注框文本 字符"/>
    <w:link w:val="862"/>
    <w:uiPriority w:val="99"/>
    <w:qFormat/>
    <w:rPr>
      <w:rFonts w:cs="Times New Roman"/>
      <w:sz w:val="18"/>
      <w:szCs w:val="18"/>
    </w:rPr>
  </w:style>
  <w:style w:type="paragraph" w:styleId="931" w:customStyle="1">
    <w:name w:val="Char Char3 Char Char"/>
    <w:basedOn w:val="842"/>
    <w:uiPriority w:val="99"/>
    <w:qFormat/>
    <w:rPr>
      <w:rFonts w:ascii="Tahoma" w:hAnsi="Tahoma"/>
      <w:sz w:val="24"/>
      <w:szCs w:val="20"/>
    </w:rPr>
  </w:style>
  <w:style w:type="paragraph" w:styleId="932" w:customStyle="1">
    <w:name w:val="正文 A"/>
    <w:qFormat/>
    <w:pPr>
      <w:jc w:val="both"/>
      <w:widowControl w:val="off"/>
    </w:pPr>
    <w:rPr>
      <w:rFonts w:ascii="Arial Unicode MS" w:hAnsi="Arial Unicode MS" w:eastAsia="Times New Roman" w:cs="Arial Unicode MS"/>
      <w:color w:val="000000"/>
      <w:sz w:val="21"/>
      <w:szCs w:val="21"/>
    </w:rPr>
  </w:style>
  <w:style w:type="paragraph" w:styleId="933" w:customStyle="1">
    <w:name w:val="默认段落字体 Para Char Char Char Char"/>
    <w:basedOn w:val="842"/>
    <w:uiPriority w:val="99"/>
    <w:qFormat/>
    <w:rPr>
      <w:szCs w:val="21"/>
    </w:rPr>
  </w:style>
  <w:style w:type="paragraph" w:styleId="934" w:customStyle="1">
    <w:name w:val="p0"/>
    <w:qFormat/>
    <w:rPr>
      <w:rFonts w:ascii="Times New Roman" w:hAnsi="Times New Roman" w:cs="Times New Roman"/>
      <w:szCs w:val="21"/>
    </w:rPr>
  </w:style>
  <w:style w:type="character" w:styleId="935" w:customStyle="1">
    <w:name w:val="mark"/>
    <w:basedOn w:val="848"/>
    <w:qFormat/>
  </w:style>
  <w:style w:type="paragraph" w:styleId="936" w:customStyle="1">
    <w:name w:val="ITB-0"/>
    <w:basedOn w:val="842"/>
    <w:qFormat/>
    <w:pPr>
      <w:jc w:val="center"/>
    </w:pPr>
    <w:rPr>
      <w:b/>
      <w:sz w:val="32"/>
      <w:szCs w:val="20"/>
    </w:rPr>
  </w:style>
  <w:style w:type="character" w:styleId="937" w:customStyle="1">
    <w:name w:val="bot_zi"/>
    <w:basedOn w:val="848"/>
    <w:qFormat/>
  </w:style>
  <w:style w:type="character" w:styleId="938" w:customStyle="1">
    <w:name w:val="font31"/>
    <w:qFormat/>
    <w:rPr>
      <w:rFonts w:hint="eastAsia" w:ascii="宋体" w:hAnsi="宋体" w:eastAsia="宋体" w:cs="宋体"/>
      <w:color w:val="000000"/>
      <w:sz w:val="24"/>
      <w:szCs w:val="24"/>
      <w:u w:val="none"/>
    </w:rPr>
  </w:style>
  <w:style w:type="paragraph" w:styleId="939" w:customStyle="1">
    <w:name w:val="s3"/>
    <w:basedOn w:val="842"/>
    <w:qFormat/>
    <w:pPr>
      <w:jc w:val="left"/>
      <w:spacing w:before="100" w:beforeAutospacing="1" w:after="100" w:afterAutospacing="1"/>
      <w:widowControl/>
    </w:pPr>
    <w:rPr>
      <w:rFonts w:ascii="宋体" w:hAnsi="宋体" w:cs="宋体"/>
      <w:sz w:val="24"/>
    </w:rPr>
  </w:style>
  <w:style w:type="paragraph" w:styleId="940" w:customStyle="1">
    <w:name w:val="s7"/>
    <w:basedOn w:val="842"/>
    <w:qFormat/>
    <w:pPr>
      <w:jc w:val="left"/>
      <w:spacing w:before="100" w:beforeAutospacing="1" w:after="100" w:afterAutospacing="1"/>
      <w:widowControl/>
    </w:pPr>
    <w:rPr>
      <w:rFonts w:ascii="宋体" w:hAnsi="宋体" w:cs="宋体"/>
      <w:sz w:val="24"/>
    </w:rPr>
  </w:style>
  <w:style w:type="character" w:styleId="941" w:customStyle="1">
    <w:name w:val="bumpedfont15"/>
    <w:basedOn w:val="848"/>
    <w:qFormat/>
  </w:style>
  <w:style w:type="character" w:styleId="942" w:customStyle="1">
    <w:name w:val="bumpedfont20"/>
    <w:basedOn w:val="848"/>
    <w:qFormat/>
  </w:style>
  <w:style w:type="character" w:styleId="943" w:customStyle="1">
    <w:name w:val="标题一级 Char"/>
    <w:link w:val="944"/>
    <w:qFormat/>
    <w:rPr>
      <w:rFonts w:ascii="宋体" w:hAnsi="宋体" w:cs="Times New Roman"/>
      <w:b/>
      <w:sz w:val="21"/>
      <w:szCs w:val="21"/>
    </w:rPr>
  </w:style>
  <w:style w:type="paragraph" w:styleId="944" w:customStyle="1">
    <w:name w:val="标题一级"/>
    <w:basedOn w:val="842"/>
    <w:link w:val="943"/>
    <w:qFormat/>
    <w:pPr>
      <w:spacing w:line="276" w:lineRule="auto"/>
      <w:outlineLvl w:val="2"/>
    </w:pPr>
    <w:rPr>
      <w:rFonts w:ascii="宋体" w:hAnsi="宋体"/>
      <w:b/>
      <w:szCs w:val="21"/>
    </w:rPr>
  </w:style>
  <w:style w:type="character" w:styleId="945">
    <w:name w:val="Placeholder Text"/>
    <w:uiPriority w:val="99"/>
    <w:semiHidden/>
    <w:qFormat/>
    <w:rPr>
      <w:color w:val="808080"/>
    </w:rPr>
  </w:style>
  <w:style w:type="table" w:styleId="946" w:customStyle="1">
    <w:name w:val="网格型1"/>
    <w:basedOn w:val="84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47" w:customStyle="1">
    <w:name w:val="标题二级"/>
    <w:basedOn w:val="842"/>
    <w:qFormat/>
    <w:pPr>
      <w:ind w:firstLine="422"/>
      <w:tabs>
        <w:tab w:val="left" w:pos="993" w:leader="none"/>
      </w:tabs>
    </w:pPr>
    <w:rPr>
      <w:rFonts w:ascii="宋体" w:hAnsi="宋体"/>
      <w:b/>
      <w:szCs w:val="21"/>
      <w:lang w:val="zh-CN"/>
    </w:rPr>
  </w:style>
  <w:style w:type="character" w:styleId="948" w:customStyle="1">
    <w:name w:val="font01"/>
    <w:basedOn w:val="848"/>
    <w:qFormat/>
    <w:rPr>
      <w:rFonts w:hint="eastAsia" w:ascii="宋体" w:hAnsi="宋体" w:eastAsia="宋体" w:cs="宋体"/>
      <w:color w:val="000000"/>
      <w:sz w:val="22"/>
      <w:szCs w:val="22"/>
      <w:u w:val="none"/>
    </w:rPr>
  </w:style>
  <w:style w:type="character" w:styleId="949" w:customStyle="1">
    <w:name w:val="font21"/>
    <w:basedOn w:val="848"/>
    <w:qFormat/>
    <w:rPr>
      <w:rFonts w:hint="eastAsia" w:ascii="宋体" w:hAnsi="宋体" w:eastAsia="宋体" w:cs="宋体"/>
      <w:color w:val="0000ff"/>
      <w:sz w:val="21"/>
      <w:szCs w:val="21"/>
      <w:u w:val="none"/>
    </w:rPr>
  </w:style>
  <w:style w:type="character" w:styleId="950" w:customStyle="1">
    <w:name w:val="font11"/>
    <w:basedOn w:val="848"/>
    <w:qFormat/>
    <w:rPr>
      <w:rFonts w:hint="eastAsia" w:ascii="宋体" w:hAnsi="宋体" w:eastAsia="宋体" w:cs="宋体"/>
      <w:color w:val="000000"/>
      <w:sz w:val="21"/>
      <w:szCs w:val="21"/>
      <w:u w:val="none"/>
    </w:rPr>
  </w:style>
  <w:style w:type="character" w:styleId="951" w:customStyle="1">
    <w:name w:val="font41"/>
    <w:basedOn w:val="848"/>
    <w:qFormat/>
    <w:rPr>
      <w:rFonts w:hint="eastAsia" w:ascii="宋体" w:hAnsi="宋体" w:eastAsia="宋体" w:cs="宋体"/>
      <w:color w:val="ff0000"/>
      <w:sz w:val="22"/>
      <w:szCs w:val="22"/>
      <w:u w:val="none"/>
    </w:rPr>
  </w:style>
  <w:style w:type="character" w:styleId="952" w:customStyle="1">
    <w:name w:val="font61"/>
    <w:basedOn w:val="848"/>
    <w:qFormat/>
    <w:rPr>
      <w:rFonts w:hint="eastAsia" w:ascii="宋体" w:hAnsi="宋体" w:eastAsia="宋体" w:cs="宋体"/>
      <w:color w:val="000000"/>
      <w:sz w:val="24"/>
      <w:szCs w:val="24"/>
      <w:u w:val="none"/>
    </w:rPr>
  </w:style>
  <w:style w:type="character" w:styleId="953" w:customStyle="1">
    <w:name w:val="font51"/>
    <w:basedOn w:val="848"/>
    <w:qFormat/>
    <w:rPr>
      <w:rFonts w:ascii="Calibri" w:hAnsi="Calibri" w:cs="Calibri"/>
      <w:color w:val="000000"/>
      <w:sz w:val="24"/>
      <w:szCs w:val="24"/>
      <w:u w:val="none"/>
    </w:rPr>
  </w:style>
  <w:style w:type="character" w:styleId="954" w:customStyle="1">
    <w:name w:val="font71"/>
    <w:basedOn w:val="848"/>
    <w:qFormat/>
    <w:rPr>
      <w:rFonts w:hint="eastAsia" w:ascii="宋体" w:hAnsi="宋体" w:eastAsia="宋体" w:cs="宋体"/>
      <w:color w:val="000000"/>
      <w:sz w:val="18"/>
      <w:szCs w:val="18"/>
      <w:u w:val="none"/>
    </w:rPr>
  </w:style>
  <w:style w:type="character" w:styleId="955" w:customStyle="1">
    <w:name w:val="批注文字 字符"/>
    <w:basedOn w:val="848"/>
    <w:link w:val="852"/>
    <w:uiPriority w:val="99"/>
    <w:qFormat/>
    <w:rPr>
      <w:sz w:val="21"/>
      <w:szCs w:val="24"/>
    </w:rPr>
  </w:style>
  <w:style w:type="character" w:styleId="956" w:customStyle="1">
    <w:name w:val="批注主题 字符"/>
    <w:basedOn w:val="955"/>
    <w:link w:val="871"/>
    <w:uiPriority w:val="99"/>
    <w:semiHidden/>
    <w:qFormat/>
    <w:rPr>
      <w:b/>
      <w:bCs/>
      <w:sz w:val="21"/>
      <w:szCs w:val="24"/>
    </w:rPr>
  </w:style>
  <w:style w:type="character" w:styleId="957" w:customStyle="1">
    <w:name w:val="font81"/>
    <w:basedOn w:val="848"/>
    <w:qFormat/>
    <w:rPr>
      <w:rFonts w:hint="default" w:ascii="Calibri" w:hAnsi="Calibri" w:cs="Calibri"/>
      <w:color w:val="000000"/>
      <w:sz w:val="22"/>
      <w:szCs w:val="22"/>
      <w:u w:val="none"/>
    </w:rPr>
  </w:style>
  <w:style w:type="paragraph" w:styleId="958" w:customStyle="1">
    <w:name w:val="正文文本1"/>
    <w:basedOn w:val="842"/>
    <w:next w:val="842"/>
    <w:qFormat/>
    <w:pPr>
      <w:spacing w:line="60" w:lineRule="auto"/>
    </w:pPr>
    <w:rPr>
      <w:rFonts w:ascii="仿宋_GB2312" w:eastAsia="仿宋_GB2312"/>
      <w:sz w:val="32"/>
    </w:rPr>
  </w:style>
  <w:style w:type="paragraph" w:styleId="959" w:customStyle="1">
    <w:name w:val="页眉1"/>
    <w:basedOn w:val="842"/>
    <w:qFormat/>
    <w:pPr>
      <w:jc w:val="center"/>
      <w:tabs>
        <w:tab w:val="center" w:pos="4153" w:leader="none"/>
        <w:tab w:val="right" w:pos="8306" w:leader="none"/>
      </w:tabs>
      <w:pBdr>
        <w:bottom w:val="single" w:color="000000" w:sz="6" w:space="1"/>
      </w:pBdr>
    </w:pPr>
    <w:rPr>
      <w:sz w:val="18"/>
      <w:szCs w:val="18"/>
    </w:rPr>
  </w:style>
  <w:style w:type="paragraph" w:styleId="960" w:customStyle="1">
    <w:name w:val="页脚1"/>
    <w:basedOn w:val="842"/>
    <w:qFormat/>
    <w:pPr>
      <w:jc w:val="left"/>
      <w:tabs>
        <w:tab w:val="center" w:pos="4153" w:leader="none"/>
        <w:tab w:val="right" w:pos="8306" w:leader="none"/>
      </w:tabs>
    </w:pPr>
    <w:rPr>
      <w:sz w:val="18"/>
      <w:szCs w:val="18"/>
    </w:rPr>
  </w:style>
  <w:style w:type="character" w:styleId="961" w:customStyle="1">
    <w:name w:val="页码1"/>
    <w:qFormat/>
    <w:rPr>
      <w:rFonts w:ascii="Times New Roman" w:hAnsi="Times New Roman" w:eastAsia="宋体" w:cs="Times New Roman"/>
      <w:sz w:val="21"/>
      <w:szCs w:val="24"/>
      <w:lang w:val="en-US" w:eastAsia="zh-CN" w:bidi="ar-SA"/>
    </w:rPr>
  </w:style>
  <w:style w:type="character" w:styleId="962" w:customStyle="1">
    <w:name w:val="正文首行缩进 2 字符"/>
    <w:basedOn w:val="894"/>
    <w:link w:val="873"/>
    <w:uiPriority w:val="99"/>
    <w:semiHidden/>
    <w:qFormat/>
    <w:rPr>
      <w:rFonts w:ascii="Times New Roman" w:hAnsi="Times New Roman" w:cs="Times New Roman"/>
      <w:sz w:val="24"/>
      <w:szCs w:val="24"/>
    </w:rPr>
  </w:style>
  <w:style w:type="character" w:styleId="963" w:customStyle="1">
    <w:name w:val="脚注文本 字符"/>
    <w:link w:val="866"/>
    <w:uiPriority w:val="99"/>
    <w:qFormat/>
    <w:rPr>
      <w:sz w:val="18"/>
      <w:szCs w:val="18"/>
    </w:rPr>
  </w:style>
  <w:style w:type="character" w:styleId="964" w:customStyle="1">
    <w:name w:val="脚注文本 字符1"/>
    <w:basedOn w:val="848"/>
    <w:uiPriority w:val="99"/>
    <w:semiHidden/>
    <w:qFormat/>
    <w:rPr>
      <w:rFonts w:ascii="Times New Roman" w:hAnsi="Times New Roman" w:cs="Times New Roman"/>
      <w:sz w:val="18"/>
      <w:szCs w:val="18"/>
    </w:rPr>
  </w:style>
  <w:style w:type="paragraph" w:styleId="965" w:customStyle="1">
    <w:name w:val="标题二、"/>
    <w:basedOn w:val="842"/>
    <w:uiPriority w:val="99"/>
    <w:unhideWhenUsed/>
    <w:qFormat/>
    <w:pPr>
      <w:ind w:firstLine="200"/>
      <w:spacing w:line="360" w:lineRule="auto"/>
      <w:outlineLvl w:val="2"/>
    </w:pPr>
    <w:rPr>
      <w:rFonts w:hint="eastAsia" w:ascii="宋体" w:hAnsi="宋体"/>
      <w:b/>
    </w:rPr>
  </w:style>
  <w:style w:type="paragraph" w:styleId="966" w:customStyle="1">
    <w:name w:val="修订1"/>
    <w:hidden/>
    <w:uiPriority w:val="99"/>
    <w:semiHidden/>
    <w:qFormat/>
    <w:rPr>
      <w:rFonts w:ascii="Times New Roman" w:hAnsi="Times New Roman" w:cs="Times New Roman"/>
      <w:sz w:val="21"/>
      <w:szCs w:val="24"/>
    </w:rPr>
  </w:style>
  <w:style w:type="paragraph" w:styleId="967" w:customStyle="1">
    <w:name w:val="修订2"/>
    <w:hidden/>
    <w:uiPriority w:val="99"/>
    <w:unhideWhenUsed/>
    <w:qFormat/>
    <w:rPr>
      <w:rFonts w:ascii="Times New Roman" w:hAnsi="Times New Roman" w:cs="Times New Roman"/>
      <w:sz w:val="21"/>
      <w:szCs w:val="24"/>
    </w:rPr>
  </w:style>
  <w:style w:type="table" w:styleId="968" w:customStyle="1">
    <w:name w:val="table"/>
    <w:basedOn w:val="849"/>
    <w:qFormat/>
    <w:tblPr/>
  </w:style>
  <w:style w:type="paragraph" w:styleId="969" w:customStyle="1">
    <w:name w:val="正文_14_0"/>
    <w:qFormat/>
    <w:pPr>
      <w:jc w:val="both"/>
      <w:widowControl w:val="off"/>
    </w:pPr>
    <w:rPr>
      <w:rFonts w:cs="Times New Roman"/>
      <w:sz w:val="21"/>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84129760"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84129769"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84129777" TargetMode="External"/><Relationship Id="rId1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84129778" TargetMode="External"/><Relationship Id="rId1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84129783" TargetMode="External"/><Relationship Id="rId1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84129783"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1A27592B-3D13-4617-B718-1AB28A2289C9}">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江苏舜天高科招标文件</dc:title>
  <dc:creator>yaoyi</dc:creator>
  <cp:lastModifiedBy>黄琳霖</cp:lastModifiedBy>
  <cp:revision>5</cp:revision>
  <dcterms:created xsi:type="dcterms:W3CDTF">2026-01-22T16:09:00Z</dcterms:created>
  <dcterms:modified xsi:type="dcterms:W3CDTF">2026-01-29T05:13:16Z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y fmtid="{D5CDD505-2E9C-101B-9397-08002B2CF9AE}" pid="3" name="ICV">
    <vt:lpwstr>A7E18C7D77524D0A975F4D3DAB41FE4B_13</vt:lpwstr>
  </property>
  <property fmtid="{D5CDD505-2E9C-101B-9397-08002B2CF9AE}" pid="4" name="KSOTemplateDocerSaveRecord">
    <vt:lpwstr>eyJoZGlkIjoiNmUxYTYyN2Q2OGNlODIwZmVhNTE1OTNmMmJhYTRjMjkifQ==</vt:lpwstr>
  </property>
</Properties>
</file>