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420" w:right="-1039"/>
        <w:jc w:val="center"/>
        <w:spacing w:before="100" w:after="100" w:line="360" w:lineRule="auto"/>
        <w:tabs>
          <w:tab w:val="left" w:pos="168" w:leader="none"/>
          <w:tab w:val="center" w:pos="4422" w:leader="none"/>
        </w:tabs>
        <w:rPr>
          <w:rFonts w:hint="eastAsia" w:ascii="宋体" w:hAnsi="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56"/>
          <w:szCs w:val="56"/>
          <w:highlight w:val="none"/>
          <w:lang w:eastAsia="zh-CN"/>
          <w14:textFill>
            <w14:solidFill>
              <w14:schemeClr w14:val="tx1"/>
            </w14:solidFill>
          </w14:textFill>
        </w:rPr>
        <w:t xml:space="preserve">南京鼓楼医院</w:t>
      </w:r>
      <w:r/>
    </w:p>
    <w:p>
      <w:pPr>
        <w:ind w:left="-420" w:right="-1039"/>
        <w:jc w:val="center"/>
        <w:spacing w:before="100" w:after="100" w:line="360" w:lineRule="auto"/>
        <w:tabs>
          <w:tab w:val="left" w:pos="168" w:leader="none"/>
          <w:tab w:val="center" w:pos="4422" w:leader="none"/>
        </w:tabs>
        <w:rPr>
          <w:rFonts w:hint="eastAsia" w:ascii="宋体" w:hAnsi="宋体" w:eastAsia="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56"/>
          <w:szCs w:val="56"/>
          <w:highlight w:val="none"/>
          <w:lang w:eastAsia="zh-CN"/>
          <w14:textFill>
            <w14:solidFill>
              <w14:schemeClr w14:val="tx1"/>
            </w14:solidFill>
          </w14:textFill>
        </w:rPr>
        <w:t xml:space="preserve">颞下颌手术系统采购项目</w:t>
      </w:r>
      <w:r/>
    </w:p>
    <w:p>
      <w:pPr>
        <w:pStyle w:val="875"/>
        <w:ind w:firstLine="1493"/>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r>
      <w:r/>
    </w:p>
    <w:p>
      <w:pPr>
        <w:pStyle w:val="875"/>
        <w:ind w:firstLine="1493"/>
        <w:jc w:val="center"/>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招 标 文 件</w:t>
      </w:r>
      <w:r/>
    </w:p>
    <w:p>
      <w:pPr>
        <w:ind w:firstLine="1706"/>
        <w:jc w:val="center"/>
        <w:spacing w:line="440" w:lineRule="exact"/>
        <w:rPr>
          <w:rFonts w:hint="eastAsia" w:ascii="宋体" w:hAnsi="宋体" w:cs="宋体"/>
          <w:b/>
          <w:color w:val="000000" w:themeColor="text1"/>
          <w:sz w:val="96"/>
          <w:highlight w:val="none"/>
          <w14:textFill>
            <w14:solidFill>
              <w14:schemeClr w14:val="tx1"/>
            </w14:solidFill>
          </w14:textFill>
        </w:rPr>
      </w:pPr>
      <w:r>
        <w:rPr>
          <w:rFonts w:hint="eastAsia" w:ascii="宋体" w:hAnsi="宋体" w:cs="宋体"/>
          <w:b/>
          <w:color w:val="000000" w:themeColor="text1"/>
          <w:sz w:val="96"/>
          <w:highlight w:val="none"/>
          <w14:textFill>
            <w14:solidFill>
              <w14:schemeClr w14:val="tx1"/>
            </w14:solidFill>
          </w14:textFill>
        </w:rPr>
      </w:r>
      <w:r/>
    </w:p>
    <w:p>
      <w:pPr>
        <w:ind w:right="640" w:firstLine="569"/>
        <w:jc w:val="center"/>
        <w:spacing w:line="36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JSZC-320100-JITC-G2026-0218</w:t>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bookmarkStart w:id="354" w:name="_GoBack"/>
      <w:r/>
      <w:bookmarkEnd w:id="354"/>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采购人：南京鼓楼医院</w:t>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采购代理机构：江苏省招标中心有限公司</w:t>
      </w:r>
      <w:r/>
    </w:p>
    <w:p>
      <w:pPr>
        <w:ind w:firstLine="569"/>
        <w:jc w:val="center"/>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〇</w:t>
      </w:r>
      <w:r>
        <w:rPr>
          <w:rFonts w:hint="eastAsia" w:ascii="宋体" w:hAnsi="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六</w:t>
      </w:r>
      <w:r>
        <w:rPr>
          <w:rFonts w:hint="eastAsia" w:ascii="宋体" w:hAnsi="宋体" w:cs="宋体"/>
          <w:b/>
          <w:color w:val="000000" w:themeColor="text1"/>
          <w:sz w:val="32"/>
          <w:highlight w:val="none"/>
          <w14:textFill>
            <w14:solidFill>
              <w14:schemeClr w14:val="tx1"/>
            </w14:solidFill>
          </w14:textFill>
        </w:rPr>
        <w:t xml:space="preserve">年</w:t>
      </w:r>
      <w:r>
        <w:rPr>
          <w:rFonts w:hint="eastAsia" w:ascii="宋体" w:hAnsi="宋体" w:cs="宋体"/>
          <w:b/>
          <w:color w:val="000000" w:themeColor="text1"/>
          <w:sz w:val="32"/>
          <w:highlight w:val="none"/>
          <w:lang w:val="en-US" w:eastAsia="zh-CN"/>
          <w14:textFill>
            <w14:solidFill>
              <w14:schemeClr w14:val="tx1"/>
            </w14:solidFill>
          </w14:textFill>
        </w:rPr>
        <w:t xml:space="preserve">七</w:t>
      </w:r>
      <w:r>
        <w:rPr>
          <w:rFonts w:hint="eastAsia" w:ascii="宋体" w:hAnsi="宋体" w:cs="宋体"/>
          <w:b/>
          <w:color w:val="000000" w:themeColor="text1"/>
          <w:sz w:val="32"/>
          <w:highlight w:val="none"/>
          <w14:textFill>
            <w14:solidFill>
              <w14:schemeClr w14:val="tx1"/>
            </w14:solidFill>
          </w14:textFill>
        </w:rPr>
        <w:t xml:space="preserve">月</w:t>
      </w:r>
      <w:r/>
    </w:p>
    <w:p>
      <w:pPr>
        <w:ind w:firstLine="569"/>
        <w:spacing w:line="500" w:lineRule="exact"/>
        <w:rPr>
          <w:rFonts w:hint="eastAsia" w:ascii="宋体" w:hAnsi="宋体" w:cs="宋体"/>
          <w:b/>
          <w:color w:val="000000" w:themeColor="text1"/>
          <w:sz w:val="32"/>
          <w:szCs w:val="32"/>
          <w:highlight w:val="none"/>
          <w14:textFill>
            <w14:solidFill>
              <w14:schemeClr w14:val="tx1"/>
            </w14:solidFill>
          </w14:textFill>
        </w:rPr>
        <w:sectPr>
          <w:headerReference w:type="default" r:id="rId10"/>
          <w:footerReference w:type="default" r:id="rId12"/>
          <w:footnotePr/>
          <w:endnotePr/>
          <w:type w:val="nextPage"/>
          <w:pgSz w:w="11906" w:h="16838" w:orient="portrait"/>
          <w:pgMar w:top="1474" w:right="1935" w:bottom="1474" w:left="1351" w:header="737" w:footer="992" w:gutter="0"/>
          <w:cols w:num="1" w:sep="0" w:space="720" w:equalWidth="1"/>
          <w:docGrid w:linePitch="360"/>
        </w:sectPr>
      </w:pPr>
      <w:r/>
      <w:bookmarkStart w:id="0" w:name="_Toc531620161"/>
      <w:r/>
      <w:bookmarkStart w:id="1" w:name="_Toc80264696"/>
      <w:r/>
      <w:r/>
    </w:p>
    <w:p>
      <w:pPr>
        <w:ind w:firstLine="569"/>
        <w:jc w:val="center"/>
        <w:spacing w:line="500" w:lineRule="exact"/>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目   录</w:t>
      </w:r>
      <w:r/>
    </w:p>
    <w:p>
      <w:pPr>
        <w:pStyle w:val="1105"/>
        <w:ind w:firstLine="426"/>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TOC \o "1-3" \h \z \u </w:instrText>
      </w:r>
      <w:r>
        <w:rPr>
          <w:rFonts w:hint="eastAsia" w:ascii="宋体" w:hAnsi="宋体" w:eastAsia="宋体" w:cs="宋体"/>
          <w:b/>
          <w:color w:val="000000" w:themeColor="text1"/>
          <w:highlight w:val="none"/>
          <w14:textFill>
            <w14:solidFill>
              <w14:schemeClr w14:val="tx1"/>
            </w14:solidFill>
          </w14:textFill>
        </w:rPr>
        <w:fldChar w:fldCharType="separate"/>
      </w:r>
      <w:r/>
    </w:p>
    <w:p>
      <w:pPr>
        <w:pStyle w:val="1105"/>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"_Toc107246211" \o "#_Toc107246211" </w:instrText>
      </w:r>
      <w:r>
        <w:rPr>
          <w:color w:val="000000" w:themeColor="text1"/>
          <w:highlight w:val="none"/>
          <w14:textFill>
            <w14:solidFill>
              <w14:schemeClr w14:val="tx1"/>
            </w14:solidFill>
          </w14:textFill>
        </w:rPr>
        <w:fldChar w:fldCharType="separate"/>
      </w:r>
      <w:r>
        <w:rPr>
          <w:rStyle w:val="901"/>
          <w:rFonts w:hint="eastAsia" w:ascii="宋体" w:hAnsi="宋体" w:eastAsia="宋体" w:cs="宋体"/>
          <w:b/>
          <w:color w:val="000000" w:themeColor="text1"/>
          <w:highlight w:val="none"/>
          <w14:textFill>
            <w14:solidFill>
              <w14:schemeClr w14:val="tx1"/>
            </w14:solidFill>
          </w14:textFill>
        </w:rPr>
        <w:t xml:space="preserve">第一章</w:t>
      </w:r>
      <w:r>
        <w:rPr>
          <w:rFonts w:hint="eastAsia" w:ascii="宋体" w:hAnsi="宋体" w:eastAsia="宋体" w:cs="宋体"/>
          <w:b/>
          <w:color w:val="000000" w:themeColor="text1"/>
          <w:highlight w:val="none"/>
          <w14:textFill>
            <w14:solidFill>
              <w14:schemeClr w14:val="tx1"/>
            </w14:solidFill>
          </w14:textFill>
        </w:rPr>
        <w:tab/>
      </w:r>
      <w:r>
        <w:rPr>
          <w:rStyle w:val="901"/>
          <w:rFonts w:hint="eastAsia" w:ascii="宋体" w:hAnsi="宋体" w:eastAsia="宋体" w:cs="宋体"/>
          <w:b/>
          <w:color w:val="000000" w:themeColor="text1"/>
          <w:highlight w:val="none"/>
          <w14:textFill>
            <w14:solidFill>
              <w14:schemeClr w14:val="tx1"/>
            </w14:solidFill>
          </w14:textFill>
        </w:rPr>
        <w:t xml:space="preserve">招标公告</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05"/>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"_Toc107246212" \o "#_Toc107246212" </w:instrText>
      </w:r>
      <w:r>
        <w:rPr>
          <w:color w:val="000000" w:themeColor="text1"/>
          <w:highlight w:val="none"/>
          <w14:textFill>
            <w14:solidFill>
              <w14:schemeClr w14:val="tx1"/>
            </w14:solidFill>
          </w14:textFill>
        </w:rPr>
        <w:fldChar w:fldCharType="separate"/>
      </w:r>
      <w:r>
        <w:rPr>
          <w:rStyle w:val="901"/>
          <w:rFonts w:hint="eastAsia" w:ascii="宋体" w:hAnsi="宋体" w:eastAsia="宋体" w:cs="宋体"/>
          <w:b/>
          <w:color w:val="000000" w:themeColor="text1"/>
          <w:highlight w:val="none"/>
          <w14:textFill>
            <w14:solidFill>
              <w14:schemeClr w14:val="tx1"/>
            </w14:solidFill>
          </w14:textFill>
        </w:rPr>
        <w:t xml:space="preserve">第二章</w:t>
      </w:r>
      <w:r>
        <w:rPr>
          <w:rFonts w:hint="eastAsia" w:ascii="宋体" w:hAnsi="宋体" w:eastAsia="宋体" w:cs="宋体"/>
          <w:b/>
          <w:color w:val="000000" w:themeColor="text1"/>
          <w:highlight w:val="none"/>
          <w14:textFill>
            <w14:solidFill>
              <w14:schemeClr w14:val="tx1"/>
            </w14:solidFill>
          </w14:textFill>
        </w:rPr>
        <w:tab/>
      </w:r>
      <w:r>
        <w:rPr>
          <w:rStyle w:val="901"/>
          <w:rFonts w:hint="eastAsia" w:ascii="宋体" w:hAnsi="宋体" w:eastAsia="宋体" w:cs="宋体"/>
          <w:b/>
          <w:color w:val="000000" w:themeColor="text1"/>
          <w:highlight w:val="none"/>
          <w14:textFill>
            <w14:solidFill>
              <w14:schemeClr w14:val="tx1"/>
            </w14:solidFill>
          </w14:textFill>
        </w:rPr>
        <w:t xml:space="preserve">投标人须知</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05"/>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"_Toc107246214" \o "#_Toc107246214" </w:instrText>
      </w:r>
      <w:r>
        <w:rPr>
          <w:color w:val="000000" w:themeColor="text1"/>
          <w:highlight w:val="none"/>
          <w14:textFill>
            <w14:solidFill>
              <w14:schemeClr w14:val="tx1"/>
            </w14:solidFill>
          </w14:textFill>
        </w:rPr>
        <w:fldChar w:fldCharType="separate"/>
      </w:r>
      <w:r>
        <w:rPr>
          <w:rStyle w:val="901"/>
          <w:rFonts w:hint="eastAsia" w:ascii="宋体" w:hAnsi="宋体" w:eastAsia="宋体" w:cs="宋体"/>
          <w:b/>
          <w:color w:val="000000" w:themeColor="text1"/>
          <w:highlight w:val="none"/>
          <w14:textFill>
            <w14:solidFill>
              <w14:schemeClr w14:val="tx1"/>
            </w14:solidFill>
          </w14:textFill>
        </w:rPr>
        <w:t xml:space="preserve">一．总则</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_Toc107246214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13</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05"/>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"_Toc107246230" \o "#_Toc107246230" </w:instrText>
      </w:r>
      <w:r>
        <w:rPr>
          <w:color w:val="000000" w:themeColor="text1"/>
          <w:highlight w:val="none"/>
          <w14:textFill>
            <w14:solidFill>
              <w14:schemeClr w14:val="tx1"/>
            </w14:solidFill>
          </w14:textFill>
        </w:rPr>
        <w:fldChar w:fldCharType="separate"/>
      </w:r>
      <w:r>
        <w:rPr>
          <w:rStyle w:val="901"/>
          <w:rFonts w:hint="eastAsia" w:ascii="宋体" w:hAnsi="宋体" w:eastAsia="宋体" w:cs="宋体"/>
          <w:b/>
          <w:color w:val="000000" w:themeColor="text1"/>
          <w:highlight w:val="none"/>
          <w14:textFill>
            <w14:solidFill>
              <w14:schemeClr w14:val="tx1"/>
            </w14:solidFill>
          </w14:textFill>
        </w:rPr>
        <w:t xml:space="preserve">二．招标文件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05"/>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"_Toc107246233" \o "#_Toc107246233" </w:instrText>
      </w:r>
      <w:r>
        <w:rPr>
          <w:color w:val="000000" w:themeColor="text1"/>
          <w:highlight w:val="none"/>
          <w14:textFill>
            <w14:solidFill>
              <w14:schemeClr w14:val="tx1"/>
            </w14:solidFill>
          </w14:textFill>
        </w:rPr>
        <w:fldChar w:fldCharType="separate"/>
      </w:r>
      <w:r>
        <w:rPr>
          <w:rStyle w:val="901"/>
          <w:rFonts w:hint="eastAsia" w:ascii="宋体" w:hAnsi="宋体" w:eastAsia="宋体" w:cs="宋体"/>
          <w:b/>
          <w:color w:val="000000" w:themeColor="text1"/>
          <w:highlight w:val="none"/>
          <w14:textFill>
            <w14:solidFill>
              <w14:schemeClr w14:val="tx1"/>
            </w14:solidFill>
          </w14:textFill>
        </w:rPr>
        <w:t xml:space="preserve">三．投标文件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18</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05"/>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"_Toc107246240" \o "#_Toc107246240" </w:instrText>
      </w:r>
      <w:r>
        <w:rPr>
          <w:color w:val="000000" w:themeColor="text1"/>
          <w:highlight w:val="none"/>
          <w14:textFill>
            <w14:solidFill>
              <w14:schemeClr w14:val="tx1"/>
            </w14:solidFill>
          </w14:textFill>
        </w:rPr>
        <w:fldChar w:fldCharType="separate"/>
      </w:r>
      <w:r>
        <w:rPr>
          <w:rStyle w:val="901"/>
          <w:rFonts w:hint="eastAsia" w:ascii="宋体" w:hAnsi="宋体" w:eastAsia="宋体" w:cs="宋体"/>
          <w:b/>
          <w:color w:val="000000" w:themeColor="text1"/>
          <w:highlight w:val="none"/>
          <w14:textFill>
            <w14:solidFill>
              <w14:schemeClr w14:val="tx1"/>
            </w14:solidFill>
          </w14:textFill>
        </w:rPr>
        <w:t xml:space="preserve">四．投标文件的递交</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05"/>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"_Toc107246245" \o "#_Toc107246245" </w:instrText>
      </w:r>
      <w:r>
        <w:rPr>
          <w:color w:val="000000" w:themeColor="text1"/>
          <w:highlight w:val="none"/>
          <w14:textFill>
            <w14:solidFill>
              <w14:schemeClr w14:val="tx1"/>
            </w14:solidFill>
          </w14:textFill>
        </w:rPr>
        <w:fldChar w:fldCharType="separate"/>
      </w:r>
      <w:r>
        <w:rPr>
          <w:rStyle w:val="901"/>
          <w:rFonts w:hint="eastAsia" w:ascii="宋体" w:hAnsi="宋体" w:eastAsia="宋体" w:cs="宋体"/>
          <w:b/>
          <w:color w:val="000000" w:themeColor="text1"/>
          <w:highlight w:val="none"/>
          <w14:textFill>
            <w14:solidFill>
              <w14:schemeClr w14:val="tx1"/>
            </w14:solidFill>
          </w14:textFill>
        </w:rPr>
        <w:t xml:space="preserve">五．开标和评标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_Toc107246245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05"/>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"_Toc107246257" \o "#_Toc107246257" </w:instrText>
      </w:r>
      <w:r>
        <w:rPr>
          <w:color w:val="000000" w:themeColor="text1"/>
          <w:highlight w:val="none"/>
          <w14:textFill>
            <w14:solidFill>
              <w14:schemeClr w14:val="tx1"/>
            </w14:solidFill>
          </w14:textFill>
        </w:rPr>
        <w:fldChar w:fldCharType="separate"/>
      </w:r>
      <w:r>
        <w:rPr>
          <w:rStyle w:val="901"/>
          <w:rFonts w:hint="eastAsia" w:ascii="宋体" w:hAnsi="宋体" w:eastAsia="宋体" w:cs="宋体"/>
          <w:b/>
          <w:color w:val="000000" w:themeColor="text1"/>
          <w:highlight w:val="none"/>
          <w14:textFill>
            <w14:solidFill>
              <w14:schemeClr w14:val="tx1"/>
            </w14:solidFill>
          </w14:textFill>
        </w:rPr>
        <w:t xml:space="preserve">六．确定中标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_Toc107246257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05"/>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"_Toc107246263" \o "#_Toc107246263" </w:instrText>
      </w:r>
      <w:r>
        <w:rPr>
          <w:color w:val="000000" w:themeColor="text1"/>
          <w:highlight w:val="none"/>
          <w14:textFill>
            <w14:solidFill>
              <w14:schemeClr w14:val="tx1"/>
            </w14:solidFill>
          </w14:textFill>
        </w:rPr>
        <w:fldChar w:fldCharType="separate"/>
      </w:r>
      <w:r>
        <w:rPr>
          <w:rStyle w:val="901"/>
          <w:rFonts w:hint="eastAsia" w:ascii="宋体" w:hAnsi="宋体" w:eastAsia="宋体" w:cs="宋体"/>
          <w:b/>
          <w:color w:val="000000" w:themeColor="text1"/>
          <w:highlight w:val="none"/>
          <w14:textFill>
            <w14:solidFill>
              <w14:schemeClr w14:val="tx1"/>
            </w14:solidFill>
          </w14:textFill>
        </w:rPr>
        <w:t xml:space="preserve">七．询问与质疑</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05"/>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"_Toc107246266" \o "#_Toc107246266" </w:instrText>
      </w:r>
      <w:r>
        <w:rPr>
          <w:color w:val="000000" w:themeColor="text1"/>
          <w:highlight w:val="none"/>
          <w14:textFill>
            <w14:solidFill>
              <w14:schemeClr w14:val="tx1"/>
            </w14:solidFill>
          </w14:textFill>
        </w:rPr>
        <w:fldChar w:fldCharType="separate"/>
      </w:r>
      <w:r>
        <w:rPr>
          <w:rStyle w:val="901"/>
          <w:rFonts w:hint="eastAsia" w:ascii="宋体" w:hAnsi="宋体" w:eastAsia="宋体" w:cs="宋体"/>
          <w:b/>
          <w:color w:val="000000" w:themeColor="text1"/>
          <w:highlight w:val="none"/>
          <w14:textFill>
            <w14:solidFill>
              <w14:schemeClr w14:val="tx1"/>
            </w14:solidFill>
          </w14:textFill>
        </w:rPr>
        <w:t xml:space="preserve">八．其他</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_Toc107246266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05"/>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"_Toc107246270" \o "#_Toc107246270" </w:instrText>
      </w:r>
      <w:r>
        <w:rPr>
          <w:color w:val="000000" w:themeColor="text1"/>
          <w:highlight w:val="none"/>
          <w14:textFill>
            <w14:solidFill>
              <w14:schemeClr w14:val="tx1"/>
            </w14:solidFill>
          </w14:textFill>
        </w:rPr>
        <w:fldChar w:fldCharType="separate"/>
      </w:r>
      <w:r>
        <w:rPr>
          <w:rStyle w:val="901"/>
          <w:rFonts w:hint="eastAsia" w:ascii="宋体" w:hAnsi="宋体" w:eastAsia="宋体" w:cs="宋体"/>
          <w:b/>
          <w:color w:val="000000" w:themeColor="text1"/>
          <w:highlight w:val="none"/>
          <w14:textFill>
            <w14:solidFill>
              <w14:schemeClr w14:val="tx1"/>
            </w14:solidFill>
          </w14:textFill>
        </w:rPr>
        <w:t xml:space="preserve">第三章 政府采购合同条款及格式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28</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05"/>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"_Toc107246271" \o "#_Toc107246271" </w:instrText>
      </w:r>
      <w:r>
        <w:rPr>
          <w:color w:val="000000" w:themeColor="text1"/>
          <w:highlight w:val="none"/>
          <w14:textFill>
            <w14:solidFill>
              <w14:schemeClr w14:val="tx1"/>
            </w14:solidFill>
          </w14:textFill>
        </w:rPr>
        <w:fldChar w:fldCharType="separate"/>
      </w:r>
      <w:r>
        <w:rPr>
          <w:rStyle w:val="901"/>
          <w:rFonts w:hint="eastAsia" w:ascii="宋体" w:hAnsi="宋体" w:eastAsia="宋体" w:cs="宋体"/>
          <w:b/>
          <w:color w:val="000000" w:themeColor="text1"/>
          <w:highlight w:val="none"/>
          <w14:textFill>
            <w14:solidFill>
              <w14:schemeClr w14:val="tx1"/>
            </w14:solidFill>
          </w14:textFill>
        </w:rPr>
        <w:t xml:space="preserve">第四章 采购需求</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05"/>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"_Toc107246272" \o "#_Toc107246272" </w:instrText>
      </w:r>
      <w:r>
        <w:rPr>
          <w:color w:val="000000" w:themeColor="text1"/>
          <w:highlight w:val="none"/>
          <w14:textFill>
            <w14:solidFill>
              <w14:schemeClr w14:val="tx1"/>
            </w14:solidFill>
          </w14:textFill>
        </w:rPr>
        <w:fldChar w:fldCharType="separate"/>
      </w:r>
      <w:r>
        <w:rPr>
          <w:rStyle w:val="901"/>
          <w:rFonts w:hint="eastAsia" w:ascii="宋体" w:hAnsi="宋体" w:eastAsia="宋体" w:cs="宋体"/>
          <w:b/>
          <w:color w:val="000000" w:themeColor="text1"/>
          <w:highlight w:val="none"/>
          <w14:textFill>
            <w14:solidFill>
              <w14:schemeClr w14:val="tx1"/>
            </w14:solidFill>
          </w14:textFill>
        </w:rPr>
        <w:t xml:space="preserve">第五章 评标方法与评标标准</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39</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105"/>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"_Toc107246273" \o "#_Toc107246273" </w:instrText>
      </w:r>
      <w:r>
        <w:rPr>
          <w:color w:val="000000" w:themeColor="text1"/>
          <w:highlight w:val="none"/>
          <w14:textFill>
            <w14:solidFill>
              <w14:schemeClr w14:val="tx1"/>
            </w14:solidFill>
          </w14:textFill>
        </w:rPr>
        <w:fldChar w:fldCharType="separate"/>
      </w:r>
      <w:r>
        <w:rPr>
          <w:rStyle w:val="901"/>
          <w:rFonts w:hint="eastAsia" w:ascii="宋体" w:hAnsi="宋体" w:eastAsia="宋体" w:cs="宋体"/>
          <w:b/>
          <w:color w:val="000000" w:themeColor="text1"/>
          <w:highlight w:val="none"/>
          <w14:textFill>
            <w14:solidFill>
              <w14:schemeClr w14:val="tx1"/>
            </w14:solidFill>
          </w14:textFill>
        </w:rPr>
        <w:t xml:space="preserve">第六章 投标文件格式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43</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bookmarkEnd w:id="0"/>
      <w:r/>
      <w:bookmarkEnd w:id="1"/>
      <w:r/>
      <w:r/>
    </w:p>
    <w:p>
      <w:pPr>
        <w:pStyle w:val="893"/>
        <w:ind w:firstLine="3213"/>
        <w:jc w:val="both"/>
        <w:rPr>
          <w:rFonts w:hint="eastAsia" w:ascii="宋体" w:hAnsi="宋体" w:cs="宋体"/>
          <w:color w:val="000000" w:themeColor="text1"/>
          <w:highlight w:val="none"/>
          <w14:textFill>
            <w14:solidFill>
              <w14:schemeClr w14:val="tx1"/>
            </w14:solidFill>
          </w14:textFill>
        </w:rPr>
        <w:sectPr>
          <w:footerReference w:type="default" r:id="rId13"/>
          <w:footnotePr/>
          <w:endnotePr/>
          <w:type w:val="nextPage"/>
          <w:pgSz w:w="11906" w:h="16838" w:orient="portrait"/>
          <w:pgMar w:top="1474" w:right="1531" w:bottom="1474" w:left="1531" w:header="737" w:footer="992" w:gutter="0"/>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893"/>
        <w:ind w:firstLine="3213"/>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14:textFill>
            <w14:solidFill>
              <w14:schemeClr w14:val="tx1"/>
            </w14:solidFill>
          </w14:textFill>
        </w:rPr>
        <w:t xml:space="preserve">项目概况</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南京鼓楼医院颞下颌手术系统采购项目</w:t>
      </w:r>
      <w:r>
        <w:rPr>
          <w:rFonts w:hint="eastAsia" w:ascii="宋体" w:hAnsi="宋体" w:cs="宋体"/>
          <w:bCs/>
          <w:color w:val="000000" w:themeColor="text1"/>
          <w:szCs w:val="21"/>
          <w:highlight w:val="none"/>
          <w14:textFill>
            <w14:solidFill>
              <w14:schemeClr w14:val="tx1"/>
            </w14:solidFill>
          </w14:textFill>
        </w:rPr>
        <w:t xml:space="preserve">的潜在投标人应在规定时间内通过</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江苏政府采购网</w:t>
      </w:r>
      <w:r>
        <w:rPr>
          <w:rFonts w:hint="eastAsia" w:ascii="宋体" w:hAnsi="宋体" w:cs="宋体"/>
          <w:bCs/>
          <w:color w:val="000000" w:themeColor="text1"/>
          <w:szCs w:val="21"/>
          <w:highlight w:val="none"/>
          <w14:textFill>
            <w14:solidFill>
              <w14:schemeClr w14:val="tx1"/>
            </w14:solidFill>
          </w14:textFill>
        </w:rPr>
        <w:t xml:space="preserve">获取招标文件，并于</w:t>
      </w:r>
      <w:r>
        <w:rPr>
          <w:rFonts w:hint="eastAsia" w:ascii="宋体" w:hAnsi="宋体" w:cs="宋体"/>
          <w:bCs/>
          <w:color w:val="000000" w:themeColor="text1"/>
          <w:szCs w:val="21"/>
          <w:highlight w:val="none"/>
          <w:u w:val="single"/>
          <w14:textFill>
            <w14:solidFill>
              <w14:schemeClr w14:val="tx1"/>
            </w14:solidFill>
          </w14:textFill>
        </w:rPr>
        <w:t xml:space="preserve">2026年</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7</w:t>
      </w:r>
      <w:r>
        <w:rPr>
          <w:rFonts w:hint="eastAsia" w:ascii="宋体" w:hAnsi="宋体" w:cs="宋体"/>
          <w:bCs/>
          <w:color w:val="000000" w:themeColor="text1"/>
          <w:szCs w:val="21"/>
          <w:highlight w:val="none"/>
          <w:u w:val="single"/>
          <w14:textFill>
            <w14:solidFill>
              <w14:schemeClr w14:val="tx1"/>
            </w14:solidFill>
          </w14:textFill>
        </w:rPr>
        <w:t xml:space="preserve">月</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23</w:t>
      </w:r>
      <w:r>
        <w:rPr>
          <w:rFonts w:hint="eastAsia" w:ascii="宋体" w:hAnsi="宋体" w:cs="宋体"/>
          <w:bCs/>
          <w:color w:val="000000" w:themeColor="text1"/>
          <w:szCs w:val="21"/>
          <w:highlight w:val="none"/>
          <w:u w:val="single"/>
          <w14:textFill>
            <w14:solidFill>
              <w14:schemeClr w14:val="tx1"/>
            </w14:solidFill>
          </w14:textFill>
        </w:rPr>
        <w:t xml:space="preserve">日14:</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30</w:t>
      </w:r>
      <w:r>
        <w:rPr>
          <w:rFonts w:hint="eastAsia" w:ascii="宋体" w:hAnsi="宋体" w:cs="宋体"/>
          <w:bCs/>
          <w:color w:val="000000" w:themeColor="text1"/>
          <w:szCs w:val="21"/>
          <w:highlight w:val="none"/>
          <w:u w:val="single"/>
          <w14:textFill>
            <w14:solidFill>
              <w14:schemeClr w14:val="tx1"/>
            </w14:solidFill>
          </w14:textFill>
        </w:rPr>
        <w:t xml:space="preserve">（北京时间</w:t>
      </w:r>
      <w:r>
        <w:rPr>
          <w:rFonts w:hint="eastAsia" w:ascii="宋体" w:hAnsi="宋体" w:cs="宋体"/>
          <w:bCs/>
          <w:color w:val="000000" w:themeColor="text1"/>
          <w:szCs w:val="21"/>
          <w:highlight w:val="none"/>
          <w14:textFill>
            <w14:solidFill>
              <w14:schemeClr w14:val="tx1"/>
            </w14:solidFill>
          </w14:textFill>
        </w:rPr>
        <w:t xml:space="preserve">）前递交投标文件。</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7" w:name="_Toc96347851"/>
      <w:r/>
      <w:bookmarkStart w:id="8" w:name="_Toc93909065"/>
      <w:r>
        <w:rPr>
          <w:rFonts w:hint="eastAsia" w:ascii="宋体" w:hAnsi="宋体" w:cs="宋体"/>
          <w:b/>
          <w:bCs/>
          <w:color w:val="000000" w:themeColor="text1"/>
          <w:szCs w:val="44"/>
          <w:highlight w:val="none"/>
          <w14:textFill>
            <w14:solidFill>
              <w14:schemeClr w14:val="tx1"/>
            </w14:solidFill>
          </w14:textFill>
        </w:rPr>
        <w:t xml:space="preserve">一、项目</w:t>
      </w:r>
      <w:bookmarkEnd w:id="3"/>
      <w:r>
        <w:rPr>
          <w:rFonts w:hint="eastAsia" w:ascii="宋体" w:hAnsi="宋体" w:cs="宋体"/>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1.1项目编号：</w:t>
      </w:r>
      <w:r>
        <w:rPr>
          <w:rFonts w:hint="eastAsia" w:ascii="宋体" w:hAnsi="宋体" w:cs="宋体"/>
          <w:bCs/>
          <w:color w:val="000000" w:themeColor="text1"/>
          <w:szCs w:val="21"/>
          <w:highlight w:val="none"/>
          <w:lang w:eastAsia="zh-CN"/>
          <w14:textFill>
            <w14:solidFill>
              <w14:schemeClr w14:val="tx1"/>
            </w14:solidFill>
          </w14:textFill>
        </w:rPr>
        <w:t xml:space="preserve">JSZC-320100-JITC-G2026-0218</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1.2项目名称：</w:t>
      </w:r>
      <w:r>
        <w:rPr>
          <w:rFonts w:hint="eastAsia" w:ascii="宋体" w:hAnsi="宋体" w:cs="宋体"/>
          <w:bCs/>
          <w:color w:val="000000" w:themeColor="text1"/>
          <w:szCs w:val="21"/>
          <w:highlight w:val="none"/>
          <w:lang w:eastAsia="zh-CN"/>
          <w14:textFill>
            <w14:solidFill>
              <w14:schemeClr w14:val="tx1"/>
            </w14:solidFill>
          </w14:textFill>
        </w:rPr>
        <w:t xml:space="preserve">南京鼓楼医院颞下颌手术系统采购项目</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1.3预算金额：本项目预算</w:t>
      </w:r>
      <w:r>
        <w:rPr>
          <w:rFonts w:hint="eastAsia" w:ascii="宋体" w:hAnsi="宋体" w:cs="宋体"/>
          <w:bCs/>
          <w:color w:val="000000" w:themeColor="text1"/>
          <w:szCs w:val="21"/>
          <w:highlight w:val="none"/>
          <w:lang w:val="en-US" w:eastAsia="zh-CN"/>
          <w14:textFill>
            <w14:solidFill>
              <w14:schemeClr w14:val="tx1"/>
            </w14:solidFill>
          </w14:textFill>
        </w:rPr>
        <w:t xml:space="preserve">150万</w:t>
      </w:r>
      <w:r>
        <w:rPr>
          <w:rFonts w:hint="eastAsia" w:ascii="宋体" w:hAnsi="宋体" w:cs="宋体"/>
          <w:bCs/>
          <w:color w:val="000000" w:themeColor="text1"/>
          <w:szCs w:val="21"/>
          <w:highlight w:val="none"/>
          <w14:textFill>
            <w14:solidFill>
              <w14:schemeClr w14:val="tx1"/>
            </w14:solidFill>
          </w14:textFill>
        </w:rPr>
        <w:t xml:space="preserve">元。</w:t>
      </w:r>
      <w:r/>
    </w:p>
    <w:p>
      <w:pPr>
        <w:ind w:firstLine="422"/>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★1.4最高限价：本项目投标总价不得高于人民币</w:t>
      </w:r>
      <w:r>
        <w:rPr>
          <w:rFonts w:hint="eastAsia" w:ascii="宋体" w:hAnsi="宋体" w:cs="宋体"/>
          <w:b/>
          <w:color w:val="000000" w:themeColor="text1"/>
          <w:szCs w:val="21"/>
          <w:highlight w:val="none"/>
          <w:lang w:val="en-US" w:eastAsia="zh-CN"/>
          <w14:textFill>
            <w14:solidFill>
              <w14:schemeClr w14:val="tx1"/>
            </w14:solidFill>
          </w14:textFill>
        </w:rPr>
        <w:t xml:space="preserve">150</w:t>
      </w:r>
      <w:r>
        <w:rPr>
          <w:rFonts w:hint="eastAsia" w:ascii="宋体" w:hAnsi="宋体" w:cs="宋体"/>
          <w:b/>
          <w:color w:val="000000" w:themeColor="text1"/>
          <w:szCs w:val="21"/>
          <w:highlight w:val="none"/>
          <w14:textFill>
            <w14:solidFill>
              <w14:schemeClr w14:val="tx1"/>
            </w14:solidFill>
          </w14:textFill>
        </w:rPr>
        <w:t xml:space="preserve">万元，投标人投标报价不得超过上述限价金额，否则将作无效标处理。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9" w:name="_Toc80264698"/>
      <w:r/>
      <w:bookmarkStart w:id="10" w:name="_Toc80792689"/>
      <w:r/>
      <w:bookmarkStart w:id="11" w:name="_Toc93909066"/>
      <w:r/>
      <w:bookmarkStart w:id="12" w:name="_Toc96347852"/>
      <w:r>
        <w:rPr>
          <w:rFonts w:hint="eastAsia" w:ascii="宋体" w:hAnsi="宋体" w:cs="宋体"/>
          <w:bCs/>
          <w:color w:val="000000" w:themeColor="text1"/>
          <w:szCs w:val="21"/>
          <w:highlight w:val="none"/>
          <w14:textFill>
            <w14:solidFill>
              <w14:schemeClr w14:val="tx1"/>
            </w14:solidFill>
          </w14:textFill>
        </w:rPr>
        <w:t xml:space="preserve">1.5采购需求：采购一</w:t>
      </w:r>
      <w:r>
        <w:rPr>
          <w:rFonts w:hint="eastAsia" w:ascii="宋体" w:hAnsi="宋体" w:cs="宋体"/>
          <w:bCs/>
          <w:color w:val="000000" w:themeColor="text1"/>
          <w:szCs w:val="21"/>
          <w:highlight w:val="none"/>
          <w:lang w:val="en-US" w:eastAsia="zh-CN"/>
          <w14:textFill>
            <w14:solidFill>
              <w14:schemeClr w14:val="tx1"/>
            </w14:solidFill>
          </w14:textFill>
        </w:rPr>
        <w:t xml:space="preserve">套下颌手术系统</w:t>
      </w:r>
      <w:r>
        <w:rPr>
          <w:rFonts w:hint="eastAsia" w:ascii="宋体" w:hAnsi="宋体" w:cs="宋体"/>
          <w:bCs/>
          <w:color w:val="000000" w:themeColor="text1"/>
          <w:szCs w:val="21"/>
          <w:highlight w:val="none"/>
          <w14:textFill>
            <w14:solidFill>
              <w14:schemeClr w14:val="tx1"/>
            </w14:solidFill>
          </w14:textFill>
        </w:rPr>
        <w:t xml:space="preserve">，具体要求详见招标文件第四章《采购需求》。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1.6标段划分：本项目共划分1个标段。</w:t>
      </w:r>
      <w:r/>
    </w:p>
    <w:p>
      <w:pPr>
        <w:ind w:firstLine="420"/>
        <w:spacing w:line="353"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★1.7交货时间：接到医用物资保障处通知之日起60个日历日内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1.8本项目是否接受联合体投标：不接受</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1.9本项目是否接受进口产品：接受</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二、</w:t>
      </w:r>
      <w:bookmarkEnd w:id="9"/>
      <w:r>
        <w:rPr>
          <w:rFonts w:hint="eastAsia" w:ascii="宋体" w:hAnsi="宋体" w:cs="宋体"/>
          <w:b/>
          <w:bCs/>
          <w:color w:val="000000" w:themeColor="text1"/>
          <w:szCs w:val="44"/>
          <w:highlight w:val="none"/>
          <w14:textFill>
            <w14:solidFill>
              <w14:schemeClr w14:val="tx1"/>
            </w14:solidFill>
          </w14:textFill>
        </w:rPr>
        <w:t xml:space="preserve">申请人的资格要求</w:t>
      </w:r>
      <w:bookmarkEnd w:id="10"/>
      <w:r/>
      <w:bookmarkEnd w:id="11"/>
      <w:r>
        <w:rPr>
          <w:rFonts w:hint="eastAsia" w:ascii="宋体" w:hAnsi="宋体" w:cs="宋体"/>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 w:name="_Toc80264699"/>
      <w:r/>
      <w:bookmarkStart w:id="14" w:name="_Toc80792690"/>
      <w:r/>
      <w:bookmarkStart w:id="15" w:name="_Toc93909067"/>
      <w:r/>
      <w:bookmarkStart w:id="16" w:name="_Toc96347853"/>
      <w:r>
        <w:rPr>
          <w:rFonts w:hint="eastAsia" w:ascii="宋体" w:hAnsi="宋体" w:cs="宋体"/>
          <w:bCs/>
          <w:color w:val="000000" w:themeColor="text1"/>
          <w:szCs w:val="21"/>
          <w:highlight w:val="none"/>
          <w14:textFill>
            <w14:solidFill>
              <w14:schemeClr w14:val="tx1"/>
            </w14:solidFill>
          </w14:textFill>
        </w:rPr>
        <w:t xml:space="preserve">2.1满足《中华人民共和国政府采购法》第二十二条规定：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2.1.1具有独立承担民事责任的能力，投标人提供在有效经营期内的营业执照、法人授权书（法人直接参与投标的可不提供）、法人身份证复印件、投标人代表身份证复印件；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具有良好的商业信誉和健全的财务会计制度，提供上年度财务报表复印件（即2024年度财务报表或2025年度财务报表，如为新成立的公司，应提供公司成立之后的财务报表）或投标截止时间前3个月内，由其基本开户银行出具的资信证明；</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2.1.3具有履行合同所必需的设备和专业技术能力，投标人提供具备履行合同所必需的设备和专业技术能力的书面声明（由供应商根据项目需求提供材料）；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2.1.4有依法缴纳税收和社会保障资金的良好记录，投标人提供递交投标文件截止时间前六个月内至少一个月依法缴纳税收及缴纳社会保障资金的证明材料。投标人依法享受缓缴、免缴的，提供证明材料；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2.1.5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2.1.6</w:t>
      </w:r>
      <w:bookmarkStart w:id="17" w:name="OLE_LINK11"/>
      <w:r>
        <w:rPr>
          <w:rFonts w:hint="eastAsia" w:ascii="宋体" w:hAnsi="宋体" w:cs="宋体"/>
          <w:bCs/>
          <w:color w:val="000000" w:themeColor="text1"/>
          <w:szCs w:val="21"/>
          <w:highlight w:val="none"/>
          <w14:textFill>
            <w14:solidFill>
              <w14:schemeClr w14:val="tx1"/>
            </w14:solidFill>
          </w14:textFill>
        </w:rPr>
        <w:t xml:space="preserve">法律、行政法规规定的其他条件。</w:t>
      </w:r>
      <w:bookmarkEnd w:id="17"/>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说明：</w:t>
      </w:r>
      <w:bookmarkStart w:id="18" w:name="_Toc35393635"/>
      <w:r/>
      <w:r/>
    </w:p>
    <w:p>
      <w:pPr>
        <w:ind w:firstLine="420"/>
        <w:spacing w:line="360" w:lineRule="auto"/>
        <w:rPr>
          <w:rStyle w:val="902"/>
          <w:color w:val="000000" w:themeColor="text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根据《关于在政府采购活动中推行信用承诺制的通知》（宁财购通〔2021〕5 号）的规定，适用信用承诺的供应商，对于2.1.2至2.1.6款证明材料可使用《南京市政府采购供应商信用记录表暨信用承诺书》替代</w:t>
      </w:r>
      <w:bookmarkEnd w:id="18"/>
      <w:r>
        <w:rPr>
          <w:rFonts w:hint="eastAsia" w:ascii="宋体" w:hAnsi="宋体" w:cs="宋体"/>
          <w:bCs/>
          <w:color w:val="000000" w:themeColor="text1"/>
          <w:szCs w:val="21"/>
          <w:highlight w:val="none"/>
          <w14:textFill>
            <w14:solidFill>
              <w14:schemeClr w14:val="tx1"/>
            </w14:solidFill>
          </w14:textFill>
        </w:rPr>
        <w:t xml:space="preserve">。供应商在成交后，应按采购文件要求，将上述由信用承诺书替代的证明材料提交采购人或采购代理机构核验。经核验无误后，由采购人或采购代理机构发出成交通知书。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其中不适用信用承诺的情形：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1）供应商被列入严重失信主体名单；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2）被相关监督部门作出行政处罚且尚处在处罚有效期内；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2.2.1中小企业政策：■本项目不</w:t>
      </w:r>
      <w:r>
        <w:rPr>
          <w:rFonts w:hint="eastAsia" w:ascii="宋体" w:hAnsi="宋体" w:cs="宋体"/>
          <w:bCs/>
          <w:color w:val="000000" w:themeColor="text1"/>
          <w:szCs w:val="21"/>
          <w:highlight w:val="none"/>
          <w:lang w:val="en-US" w:eastAsia="zh-CN"/>
          <w14:textFill>
            <w14:solidFill>
              <w14:schemeClr w14:val="tx1"/>
            </w14:solidFill>
          </w14:textFill>
        </w:rPr>
        <w:t xml:space="preserve">专门</w:t>
      </w:r>
      <w:r>
        <w:rPr>
          <w:rFonts w:hint="eastAsia" w:ascii="宋体" w:hAnsi="宋体" w:cs="宋体"/>
          <w:bCs/>
          <w:color w:val="000000" w:themeColor="text1"/>
          <w:szCs w:val="21"/>
          <w:highlight w:val="none"/>
          <w14:textFill>
            <w14:solidFill>
              <w14:schemeClr w14:val="tx1"/>
            </w14:solidFill>
          </w14:textFill>
        </w:rPr>
        <w:t xml:space="preserve">面向中小企业预留采购份额</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2.2.2其它落实政府采购政策的资格要求（如有）：无。</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2.3本项目的特定资格要求：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2.3.1供应商存在下列情形的不得参加本次招标活动：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2.3.1.1单位负责人为同一人或者存在直接控股、管理关系的不同供应商，不得参加同一合同项下的政府采购活动；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2.3.2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2.3.3其他资格要求：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1）根据国家相关规定提供投标产品有效的医疗器械产品注册证或产品备案凭证复印件；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2）若投标供应商为代理商，应根据国家相关规定提供范围涵盖投标产品的医疗器械经营许可证或医疗器械经营备案凭证复印件；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3）若投标供应商为生产商，应根据国家相关规定提供范围涵盖投标产品的医疗器械生产许可证或生产备案凭证复印件；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本项目接受进口产品投标。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如果投标产品为进口产品，且投标人为代理商的，需提供如下授权文件之一：</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1）制造商出具的授权书复印件并加盖公章，格式自拟。</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2）制造商的国内控股子公司或代理人出具的授权书复印件并加盖公章，格式自拟。</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3）制造商对授权的区域代理商出具的授权书复印件及该区域代理商给投标人出具的授权书复印件。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4）投标人取得的产品代理证书复印件。</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9" w:name="_Toc80264700"/>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时间：自本公告发布之日起5个工作日</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20" w:name="_Toc80792691"/>
      <w:r/>
      <w:bookmarkStart w:id="21" w:name="_Toc93909068"/>
      <w:r/>
      <w:bookmarkStart w:id="22" w:name="_Toc96347854"/>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获取地点：江苏政府采购网。</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获取方式：网上下载</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售价：0元。</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四、</w:t>
      </w:r>
      <w:bookmarkEnd w:id="19"/>
      <w:r/>
      <w:bookmarkEnd w:id="20"/>
      <w:r>
        <w:rPr>
          <w:rFonts w:hint="eastAsia" w:ascii="宋体" w:hAnsi="宋体" w:cs="宋体"/>
          <w:b/>
          <w:bCs/>
          <w:color w:val="000000" w:themeColor="text1"/>
          <w:szCs w:val="44"/>
          <w:highlight w:val="none"/>
          <w14:textFill>
            <w14:solidFill>
              <w14:schemeClr w14:val="tx1"/>
            </w14:solidFill>
          </w14:textFill>
        </w:rPr>
        <w:t xml:space="preserve">递交投标文件截止时间、开标时间和地点</w:t>
      </w:r>
      <w:bookmarkEnd w:id="21"/>
      <w:r/>
      <w:bookmarkEnd w:id="22"/>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23" w:name="_Toc80792693"/>
      <w:r/>
      <w:bookmarkStart w:id="24" w:name="_Toc93909069"/>
      <w:r/>
      <w:bookmarkStart w:id="25" w:name="_Toc96347855"/>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提交投标文件截止时间、开标时间：202</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年</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7</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月</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23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日</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14</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30</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（北京时间）</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提交投标文件地点：江苏省政府采购管理交易系统（苏采云）（以下简称“苏采云”）（网址：http://jszfcg.jsczt.cn/）</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开标地点：</w:t>
      </w:r>
      <w:sdt>
        <w:sdtPr>
          <w15:appearance w15:val="boundingBox"/>
          <w:id w:val="934481194"/>
          <w:placeholder>
            <w:docPart w:val="{a4acc093-f395-42b1-a03b-53ee95feafc7}"/>
          </w:placeholder>
          <w:rPr>
            <w:rFonts w:hint="eastAsia" w:ascii="Microsoft New Tai Lue" w:hAnsi="Microsoft New Tai Lue" w:cs="Microsoft New Tai Lue"/>
            <w:bCs/>
            <w:color w:val="000000" w:themeColor="text1"/>
            <w:szCs w:val="21"/>
            <w:highlight w:val="none"/>
            <w14:textFill>
              <w14:solidFill>
                <w14:schemeClr w14:val="tx1"/>
              </w14:solidFill>
            </w14:textFill>
          </w:rPr>
        </w:sdtPr>
        <w:sdtContent>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“苏采云”网上开标大厅</w:t>
          </w:r>
        </w:sdtContent>
      </w:sd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五、</w:t>
      </w:r>
      <w:bookmarkEnd w:id="23"/>
      <w:r>
        <w:rPr>
          <w:rFonts w:hint="eastAsia" w:ascii="宋体" w:hAnsi="宋体" w:cs="宋体"/>
          <w:b/>
          <w:bCs/>
          <w:color w:val="000000" w:themeColor="text1"/>
          <w:szCs w:val="44"/>
          <w:highlight w:val="none"/>
          <w14:textFill>
            <w14:solidFill>
              <w14:schemeClr w14:val="tx1"/>
            </w14:solidFill>
          </w14:textFill>
        </w:rPr>
        <w:t xml:space="preserve">公告期</w:t>
      </w:r>
      <w:bookmarkEnd w:id="24"/>
      <w:r/>
      <w:bookmarkEnd w:id="25"/>
      <w:r>
        <w:rPr>
          <w:rFonts w:hint="eastAsia" w:ascii="宋体" w:hAnsi="宋体" w:cs="宋体"/>
          <w:b/>
          <w:bCs/>
          <w:color w:val="000000" w:themeColor="text1"/>
          <w:szCs w:val="44"/>
          <w:highlight w:val="none"/>
          <w14:textFill>
            <w14:solidFill>
              <w14:schemeClr w14:val="tx1"/>
            </w14:solidFill>
          </w14:textFill>
        </w:rPr>
        <w:t xml:space="preserve">限</w:t>
      </w:r>
      <w:r/>
    </w:p>
    <w:p>
      <w:pPr>
        <w:ind w:firstLine="525"/>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自本公告发布之日起5个工作日。</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26" w:name="_Toc96347856"/>
      <w:r/>
      <w:bookmarkStart w:id="27" w:name="_Toc93909070"/>
      <w:r>
        <w:rPr>
          <w:rFonts w:hint="eastAsia" w:ascii="宋体" w:hAnsi="宋体" w:cs="宋体"/>
          <w:b/>
          <w:bCs/>
          <w:color w:val="000000" w:themeColor="text1"/>
          <w:szCs w:val="44"/>
          <w:highlight w:val="none"/>
          <w14:textFill>
            <w14:solidFill>
              <w14:schemeClr w14:val="tx1"/>
            </w14:solidFill>
          </w14:textFill>
        </w:rPr>
        <w:t xml:space="preserve">六、其他补充事宜</w:t>
      </w:r>
      <w:bookmarkEnd w:id="26"/>
      <w:r/>
      <w:bookmarkEnd w:id="27"/>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8" w:name="_Toc80792694"/>
      <w:r/>
      <w:bookmarkStart w:id="29" w:name="_Toc80264702"/>
      <w:r/>
      <w:bookmarkStart w:id="30" w:name="_Toc96347857"/>
      <w:r/>
      <w:bookmarkStart w:id="31" w:name="_Toc93909071"/>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（五）《关于做好政府采购支持企业发展有关事项的通知》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2、供应商诚信档案管理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color w:val="000000" w:themeColor="text1"/>
          <w:szCs w:val="21"/>
          <w:highlight w:val="none"/>
          <w14:textFill>
            <w14:solidFill>
              <w14:schemeClr w14:val="tx1"/>
            </w14:solidFill>
          </w14:textFill>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1"/>
        </w:num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（1）符合国家相关规定的财务状况报告；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（2）依法缴纳税收的证明材料；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（3）依法缴纳社会保障资金的证明材料；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（4）具备履行政府采购合同所必需的设备和专业技术能力的证明材料；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（5）参加政府采购活动前三年内在经营活动中没有重大违法记录的证明材料；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供应商涉及以下情形的，不适用信用承诺：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（1）供应商被列入严重失信主体名单；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（2）被相关监管部门作出行政处罚且尚在处罚有效期内；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4、潜在供应商访问政府采购管理交易系统（苏采云）的网络地址和方法：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（3）“CA数字证书”的办理材料以及供应商操作手册详见：http://jsxcmm.com/help/gys.html。</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eastAsia" w:ascii="宋体" w:hAnsi="宋体" w:cs="宋体"/>
          <w:bCs/>
          <w:color w:val="000000" w:themeColor="text1"/>
          <w:szCs w:val="21"/>
          <w:highlight w:val="none"/>
          <w14:textFill>
            <w14:solidFill>
              <w14:schemeClr w14:val="tx1"/>
            </w14:solidFill>
          </w14:textFill>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七、</w:t>
      </w:r>
      <w:bookmarkEnd w:id="28"/>
      <w:r/>
      <w:bookmarkEnd w:id="29"/>
      <w:r>
        <w:rPr>
          <w:rFonts w:hint="eastAsia" w:ascii="宋体" w:hAnsi="宋体" w:cs="宋体"/>
          <w:b/>
          <w:bCs/>
          <w:color w:val="000000" w:themeColor="text1"/>
          <w:szCs w:val="44"/>
          <w:highlight w:val="none"/>
          <w14:textFill>
            <w14:solidFill>
              <w14:schemeClr w14:val="tx1"/>
            </w14:solidFill>
          </w14:textFill>
        </w:rPr>
        <w:t xml:space="preserve">对本次招标提出询问，请按以下方式联系。</w:t>
      </w:r>
      <w:bookmarkEnd w:id="30"/>
      <w:r/>
      <w:bookmarkEnd w:id="31"/>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bookmarkStart w:id="32" w:name="_Toc28359085"/>
      <w:r>
        <w:rPr>
          <w:rFonts w:hint="eastAsia" w:ascii="宋体" w:hAnsi="宋体" w:cs="宋体"/>
          <w:color w:val="000000" w:themeColor="text1"/>
          <w:szCs w:val="21"/>
          <w:highlight w:val="none"/>
          <w14:textFill>
            <w14:solidFill>
              <w14:schemeClr w14:val="tx1"/>
            </w14:solidFill>
          </w14:textFill>
        </w:rPr>
        <w:t xml:space="preserve">1．采购人信息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称：南京鼓楼医院</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址：南京市中山路321号</w:t>
      </w:r>
      <w:r/>
    </w:p>
    <w:p>
      <w:pPr>
        <w:ind w:firstLine="525"/>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eastAsia="zh-CN"/>
          <w14:textFill>
            <w14:solidFill>
              <w14:schemeClr w14:val="tx1"/>
            </w14:solidFill>
          </w14:textFill>
        </w:rPr>
        <w:t xml:space="preserve">王</w:t>
      </w:r>
      <w:r>
        <w:rPr>
          <w:rFonts w:hint="eastAsia" w:ascii="宋体" w:hAnsi="宋体" w:cs="宋体"/>
          <w:color w:val="000000" w:themeColor="text1"/>
          <w:szCs w:val="21"/>
          <w:highlight w:val="none"/>
          <w:lang w:val="en-US" w:eastAsia="zh-CN"/>
          <w14:textFill>
            <w14:solidFill>
              <w14:schemeClr w14:val="tx1"/>
            </w14:solidFill>
          </w14:textFill>
        </w:rPr>
        <w:t xml:space="preserve">老师</w:t>
      </w:r>
      <w:r/>
    </w:p>
    <w:p>
      <w:pPr>
        <w:ind w:firstLine="525"/>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r>
        <w:rPr>
          <w:color w:val="000000" w:themeColor="text1"/>
          <w:highlight w:val="none"/>
          <w14:textFill>
            <w14:solidFill>
              <w14:schemeClr w14:val="tx1"/>
            </w14:solidFill>
          </w14:textFill>
        </w:rPr>
        <w:t xml:space="preserve">025-83106666</w:t>
      </w:r>
      <w:r>
        <w:rPr>
          <w:rFonts w:hint="eastAsia"/>
          <w:color w:val="000000" w:themeColor="text1"/>
          <w:highlight w:val="none"/>
          <w14:textFill>
            <w14:solidFill>
              <w14:schemeClr w14:val="tx1"/>
            </w14:solidFill>
          </w14:textFill>
        </w:rPr>
        <w:t xml:space="preserve">转</w:t>
      </w:r>
      <w:r>
        <w:rPr>
          <w:rFonts w:hint="eastAsia"/>
          <w:color w:val="000000" w:themeColor="text1"/>
          <w:highlight w:val="none"/>
          <w:lang w:val="en-US" w:eastAsia="zh-CN"/>
          <w14:textFill>
            <w14:solidFill>
              <w14:schemeClr w14:val="tx1"/>
            </w14:solidFill>
          </w14:textFill>
        </w:rPr>
        <w:t xml:space="preserve">66503</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称：江苏省招标中心有限公司</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址：南京市雨花台区宁双路19号C栋3楼305室</w:t>
      </w:r>
      <w:r/>
    </w:p>
    <w:p>
      <w:pPr>
        <w:ind w:firstLine="525"/>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val="en-US" w:eastAsia="zh-CN"/>
          <w14:textFill>
            <w14:solidFill>
              <w14:schemeClr w14:val="tx1"/>
            </w14:solidFill>
          </w14:textFill>
        </w:rPr>
        <w:t xml:space="preserve">马翊然、</w:t>
      </w:r>
      <w:r>
        <w:rPr>
          <w:rFonts w:hint="eastAsia" w:ascii="宋体" w:hAnsi="宋体" w:cs="宋体"/>
          <w:color w:val="000000" w:themeColor="text1"/>
          <w:szCs w:val="21"/>
          <w:highlight w:val="none"/>
          <w14:textFill>
            <w14:solidFill>
              <w14:schemeClr w14:val="tx1"/>
            </w14:solidFill>
          </w14:textFill>
        </w:rPr>
        <w:t xml:space="preserve">高颖、呼禹、宗超</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r>
        <w:rPr>
          <w:rFonts w:hint="eastAsia" w:ascii="宋体" w:hAnsi="宋体" w:cs="宋体"/>
          <w:color w:val="000000" w:themeColor="text1"/>
          <w:szCs w:val="21"/>
          <w:highlight w:val="none"/>
          <w:lang w:val="en-US" w:eastAsia="zh-CN"/>
          <w14:textFill>
            <w14:solidFill>
              <w14:schemeClr w14:val="tx1"/>
            </w14:solidFill>
          </w14:textFill>
        </w:rPr>
        <w:t xml:space="preserve">19720255784、</w:t>
      </w:r>
      <w:r>
        <w:rPr>
          <w:rFonts w:hint="eastAsia" w:ascii="宋体" w:hAnsi="宋体" w:cs="宋体"/>
          <w:color w:val="000000" w:themeColor="text1"/>
          <w:szCs w:val="21"/>
          <w:highlight w:val="none"/>
          <w14:textFill>
            <w14:solidFill>
              <w14:schemeClr w14:val="tx1"/>
            </w14:solidFill>
          </w14:textFill>
        </w:rPr>
        <w:t xml:space="preserve">18761879918、13851876930</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w:t>
      </w:r>
      <w:r>
        <w:rPr>
          <w:rFonts w:hint="eastAsia" w:ascii="宋体" w:hAnsi="宋体" w:cs="宋体"/>
          <w:color w:val="000000" w:themeColor="text1"/>
          <w:szCs w:val="21"/>
          <w:highlight w:val="none"/>
          <w:lang w:val="en-US" w:eastAsia="zh-CN"/>
          <w14:textFill>
            <w14:solidFill>
              <w14:schemeClr w14:val="tx1"/>
            </w14:solidFill>
          </w14:textFill>
        </w:rPr>
        <w:t xml:space="preserve">马翊然、</w:t>
      </w:r>
      <w:r>
        <w:rPr>
          <w:rFonts w:hint="eastAsia" w:ascii="宋体" w:hAnsi="宋体" w:cs="宋体"/>
          <w:color w:val="000000" w:themeColor="text1"/>
          <w:szCs w:val="21"/>
          <w:highlight w:val="none"/>
          <w14:textFill>
            <w14:solidFill>
              <w14:schemeClr w14:val="tx1"/>
            </w14:solidFill>
          </w14:textFill>
        </w:rPr>
        <w:t xml:space="preserve">呼禹</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w:t>
      </w:r>
      <w:r>
        <w:rPr>
          <w:rFonts w:hint="eastAsia" w:ascii="宋体" w:hAnsi="宋体" w:cs="宋体"/>
          <w:color w:val="000000" w:themeColor="text1"/>
          <w:szCs w:val="21"/>
          <w:highlight w:val="none"/>
          <w:lang w:val="en-US" w:eastAsia="zh-CN"/>
          <w14:textFill>
            <w14:solidFill>
              <w14:schemeClr w14:val="tx1"/>
            </w14:solidFill>
          </w14:textFill>
        </w:rPr>
        <w:t xml:space="preserve">19720255784、</w:t>
      </w:r>
      <w:r>
        <w:rPr>
          <w:rFonts w:hint="eastAsia" w:ascii="宋体" w:hAnsi="宋体" w:cs="宋体"/>
          <w:color w:val="000000" w:themeColor="text1"/>
          <w:szCs w:val="21"/>
          <w:highlight w:val="none"/>
          <w14:textFill>
            <w14:solidFill>
              <w14:schemeClr w14:val="tx1"/>
            </w14:solidFill>
          </w14:textFill>
        </w:rPr>
        <w:t xml:space="preserve">18761879918</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End w:id="5"/>
      <w:r/>
      <w:bookmarkEnd w:id="32"/>
      <w:r/>
      <w:r/>
    </w:p>
    <w:p>
      <w:pPr>
        <w:pStyle w:val="8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3"/>
        <w:rPr>
          <w:rFonts w:hint="eastAsia" w:ascii="宋体" w:hAnsi="宋体" w:cs="宋体"/>
          <w:color w:val="000000" w:themeColor="text1"/>
          <w:highlight w:val="none"/>
          <w14:textFill>
            <w14:solidFill>
              <w14:schemeClr w14:val="tx1"/>
            </w14:solidFill>
          </w14:textFill>
        </w:rPr>
      </w:pPr>
      <w:r/>
      <w:bookmarkStart w:id="33" w:name="_Toc107246212"/>
      <w:r>
        <w:rPr>
          <w:rFonts w:hint="eastAsia" w:ascii="宋体" w:hAnsi="宋体" w:cs="宋体"/>
          <w:color w:val="000000" w:themeColor="text1"/>
          <w:highlight w:val="none"/>
          <w14:textFill>
            <w14:solidFill>
              <w14:schemeClr w14:val="tx1"/>
            </w14:solidFill>
          </w14:textFill>
        </w:rPr>
        <w:t xml:space="preserve">第二章  投标人须知</w:t>
      </w:r>
      <w:bookmarkEnd w:id="6"/>
      <w:r/>
      <w:bookmarkEnd w:id="33"/>
      <w:r/>
      <w:r/>
    </w:p>
    <w:p>
      <w:pPr>
        <w:ind w:firstLine="569"/>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投标人须知前附表</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本表是对《投标人须知》正文的具体补充和修改，如有矛盾，以本《前附表》为准。</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标记“</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”的选项意为适用于本项目，标记“□”的选项意为不适用于本项目。</w:t>
      </w:r>
      <w:r/>
    </w:p>
    <w:tbl>
      <w:tblPr>
        <w:tblStyle w:val="863"/>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127"/>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序号</w:t>
            </w:r>
            <w:r/>
          </w:p>
        </w:tc>
        <w:tc>
          <w:tcPr>
            <w:tcW w:w="850" w:type="dxa"/>
            <w:vAlign w:val="center"/>
            <w:textDirection w:val="lrTb"/>
            <w:noWrap w:val="false"/>
          </w:tcPr>
          <w:p>
            <w:pPr>
              <w:pStyle w:val="1127"/>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条款号</w:t>
            </w:r>
            <w:r/>
          </w:p>
        </w:tc>
        <w:tc>
          <w:tcPr>
            <w:tcW w:w="2835" w:type="dxa"/>
            <w:vAlign w:val="center"/>
            <w:textDirection w:val="lrTb"/>
            <w:noWrap w:val="false"/>
          </w:tcPr>
          <w:p>
            <w:pPr>
              <w:pStyle w:val="1127"/>
              <w:ind w:firstLine="3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条款名称</w:t>
            </w:r>
            <w:r/>
          </w:p>
        </w:tc>
        <w:tc>
          <w:tcPr>
            <w:tcW w:w="4982" w:type="dxa"/>
            <w:vAlign w:val="center"/>
            <w:textDirection w:val="lrTb"/>
            <w:noWrap w:val="false"/>
          </w:tcPr>
          <w:p>
            <w:pPr>
              <w:pStyle w:val="1127"/>
              <w:ind w:firstLine="3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编列内容规定</w:t>
            </w:r>
            <w:r/>
          </w:p>
        </w:tc>
      </w:tr>
      <w:tr>
        <w:trPr>
          <w:jc w:val="center"/>
        </w:trPr>
        <w:tc>
          <w:tcPr>
            <w:tcW w:w="675" w:type="dxa"/>
            <w:vAlign w:val="center"/>
            <w:textDirection w:val="lrTb"/>
            <w:noWrap w:val="false"/>
          </w:tcPr>
          <w:p>
            <w:pPr>
              <w:pStyle w:val="112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w:t>
            </w:r>
            <w:r/>
          </w:p>
        </w:tc>
        <w:tc>
          <w:tcPr>
            <w:tcW w:w="850" w:type="dxa"/>
            <w:vAlign w:val="center"/>
            <w:textDirection w:val="lrTb"/>
            <w:noWrap w:val="false"/>
          </w:tcPr>
          <w:p>
            <w:pPr>
              <w:pStyle w:val="112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2835" w:type="dxa"/>
            <w:vAlign w:val="center"/>
            <w:textDirection w:val="lrTb"/>
            <w:noWrap w:val="false"/>
          </w:tcPr>
          <w:p>
            <w:pPr>
              <w:pStyle w:val="112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采购人</w:t>
            </w:r>
            <w:r/>
          </w:p>
        </w:tc>
        <w:tc>
          <w:tcPr>
            <w:tcW w:w="4982" w:type="dxa"/>
            <w:vAlign w:val="center"/>
            <w:textDirection w:val="lrTb"/>
            <w:noWrap w:val="false"/>
          </w:tcPr>
          <w:p>
            <w:pPr>
              <w:pStyle w:val="1124"/>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称：南京鼓楼医院</w:t>
            </w:r>
            <w:r/>
          </w:p>
          <w:p>
            <w:pPr>
              <w:pStyle w:val="1124"/>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址：南京市中山路321号</w:t>
            </w:r>
            <w:r/>
          </w:p>
          <w:p>
            <w:pPr>
              <w:pStyle w:val="1124"/>
              <w:spacing w:before="160" w:line="276" w:lineRule="auto"/>
              <w:rPr>
                <w:rFonts w:hint="eastAsia" w:eastAsia="宋体"/>
                <w:color w:val="000000" w:themeColor="text1"/>
                <w:sz w:val="21"/>
                <w:szCs w:val="21"/>
                <w:highlight w:val="none"/>
                <w:lang w:val="en-US" w:eastAsia="zh-CN"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w:t>
            </w:r>
            <w:r>
              <w:rPr>
                <w:rFonts w:hint="eastAsia"/>
                <w:color w:val="000000" w:themeColor="text1"/>
                <w:sz w:val="21"/>
                <w:szCs w:val="21"/>
                <w:highlight w:val="none"/>
                <w:lang w:val="en-US" w:eastAsia="zh-CN" w:bidi="ar-SA"/>
                <w14:textFill>
                  <w14:solidFill>
                    <w14:schemeClr w14:val="tx1"/>
                  </w14:solidFill>
                </w14:textFill>
              </w:rPr>
              <w:t xml:space="preserve">王老师</w:t>
            </w:r>
            <w:r/>
          </w:p>
          <w:p>
            <w:pPr>
              <w:pStyle w:val="1124"/>
              <w:spacing w:before="160" w:line="276" w:lineRule="auto"/>
              <w:rPr>
                <w:rFonts w:hint="default" w:eastAsia="宋体"/>
                <w:color w:val="000000" w:themeColor="text1"/>
                <w:sz w:val="21"/>
                <w:szCs w:val="21"/>
                <w:highlight w:val="none"/>
                <w:lang w:val="en-US" w:eastAsia="zh-CN"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w:t>
            </w:r>
            <w:r>
              <w:rPr>
                <w:color w:val="000000" w:themeColor="text1"/>
                <w:highlight w:val="none"/>
                <w14:textFill>
                  <w14:solidFill>
                    <w14:schemeClr w14:val="tx1"/>
                  </w14:solidFill>
                </w14:textFill>
              </w:rPr>
              <w:t xml:space="preserve">025-83106666</w:t>
            </w:r>
            <w:r>
              <w:rPr>
                <w:rFonts w:hint="eastAsia"/>
                <w:color w:val="000000" w:themeColor="text1"/>
                <w:highlight w:val="none"/>
                <w14:textFill>
                  <w14:solidFill>
                    <w14:schemeClr w14:val="tx1"/>
                  </w14:solidFill>
                </w14:textFill>
              </w:rPr>
              <w:t xml:space="preserve">转</w:t>
            </w:r>
            <w:r>
              <w:rPr>
                <w:rFonts w:hint="eastAsia"/>
                <w:color w:val="000000" w:themeColor="text1"/>
                <w:highlight w:val="none"/>
                <w:lang w:val="en-US" w:eastAsia="zh-CN"/>
                <w14:textFill>
                  <w14:solidFill>
                    <w14:schemeClr w14:val="tx1"/>
                  </w14:solidFill>
                </w14:textFill>
              </w:rPr>
              <w:t xml:space="preserve">66503</w:t>
            </w:r>
            <w:r/>
          </w:p>
        </w:tc>
      </w:tr>
      <w:tr>
        <w:trPr>
          <w:jc w:val="center"/>
        </w:trPr>
        <w:tc>
          <w:tcPr>
            <w:tcW w:w="675" w:type="dxa"/>
            <w:vAlign w:val="center"/>
            <w:textDirection w:val="lrTb"/>
            <w:noWrap w:val="false"/>
          </w:tcPr>
          <w:p>
            <w:pPr>
              <w:pStyle w:val="112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w:t>
            </w:r>
            <w:r/>
          </w:p>
        </w:tc>
        <w:tc>
          <w:tcPr>
            <w:tcW w:w="850" w:type="dxa"/>
            <w:vAlign w:val="center"/>
            <w:textDirection w:val="lrTb"/>
            <w:noWrap w:val="false"/>
          </w:tcPr>
          <w:p>
            <w:pPr>
              <w:pStyle w:val="112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2835" w:type="dxa"/>
            <w:vAlign w:val="center"/>
            <w:textDirection w:val="lrTb"/>
            <w:noWrap w:val="false"/>
          </w:tcPr>
          <w:p>
            <w:pPr>
              <w:pStyle w:val="112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采购代理机构</w:t>
            </w:r>
            <w:r/>
          </w:p>
        </w:tc>
        <w:tc>
          <w:tcPr>
            <w:tcW w:w="4982" w:type="dxa"/>
            <w:vAlign w:val="center"/>
            <w:textDirection w:val="lrTb"/>
            <w:noWrap w:val="false"/>
          </w:tcPr>
          <w:p>
            <w:pPr>
              <w:pStyle w:val="1124"/>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 ：江苏省招标中心有限公司</w:t>
            </w:r>
            <w:r/>
          </w:p>
          <w:p>
            <w:pPr>
              <w:pStyle w:val="1124"/>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 ：南京市雨花台区宁双路19号C栋3楼305室</w:t>
            </w:r>
            <w:r/>
          </w:p>
          <w:p>
            <w:pPr>
              <w:pStyle w:val="1124"/>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w:t>
            </w:r>
            <w:r>
              <w:rPr>
                <w:rFonts w:hint="eastAsia"/>
                <w:color w:val="000000" w:themeColor="text1"/>
                <w:sz w:val="21"/>
                <w:szCs w:val="21"/>
                <w:highlight w:val="none"/>
                <w:lang w:val="en-US" w:eastAsia="zh-CN" w:bidi="ar-SA"/>
                <w14:textFill>
                  <w14:solidFill>
                    <w14:schemeClr w14:val="tx1"/>
                  </w14:solidFill>
                </w14:textFill>
              </w:rPr>
              <w:t xml:space="preserve">马翊然</w:t>
            </w:r>
            <w:r>
              <w:rPr>
                <w:rFonts w:hint="eastAsia"/>
                <w:color w:val="000000" w:themeColor="text1"/>
                <w:sz w:val="21"/>
                <w:szCs w:val="21"/>
                <w:highlight w:val="none"/>
                <w:lang w:val="en-US" w:bidi="ar-SA"/>
                <w14:textFill>
                  <w14:solidFill>
                    <w14:schemeClr w14:val="tx1"/>
                  </w14:solidFill>
                </w14:textFill>
              </w:rPr>
              <w:t xml:space="preserve">、呼禹、宗超</w:t>
            </w:r>
            <w:r/>
          </w:p>
          <w:p>
            <w:pPr>
              <w:pStyle w:val="1124"/>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w:t>
            </w:r>
            <w:r>
              <w:rPr>
                <w:rFonts w:hint="eastAsia"/>
                <w:color w:val="000000" w:themeColor="text1"/>
                <w:sz w:val="21"/>
                <w:szCs w:val="21"/>
                <w:highlight w:val="none"/>
                <w:lang w:val="en-US" w:eastAsia="zh-CN" w:bidi="ar-SA"/>
                <w14:textFill>
                  <w14:solidFill>
                    <w14:schemeClr w14:val="tx1"/>
                  </w14:solidFill>
                </w14:textFill>
              </w:rPr>
              <w:t xml:space="preserve">19720255784、</w:t>
            </w:r>
            <w:r>
              <w:rPr>
                <w:rFonts w:hint="eastAsia"/>
                <w:color w:val="000000" w:themeColor="text1"/>
                <w:sz w:val="21"/>
                <w:szCs w:val="21"/>
                <w:highlight w:val="none"/>
                <w:lang w:val="en-US" w:bidi="ar-SA"/>
                <w14:textFill>
                  <w14:solidFill>
                    <w14:schemeClr w14:val="tx1"/>
                  </w14:solidFill>
                </w14:textFill>
              </w:rPr>
              <w:t xml:space="preserve">18761879918</w:t>
            </w:r>
            <w:r/>
          </w:p>
        </w:tc>
      </w:tr>
      <w:tr>
        <w:trPr>
          <w:jc w:val="center"/>
          <w:trHeight w:val="510"/>
        </w:trPr>
        <w:tc>
          <w:tcPr>
            <w:tcW w:w="675" w:type="dxa"/>
            <w:vAlign w:val="center"/>
            <w:textDirection w:val="lrTb"/>
            <w:noWrap w:val="false"/>
          </w:tcPr>
          <w:p>
            <w:pPr>
              <w:pStyle w:val="112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w:t>
            </w:r>
            <w:r/>
          </w:p>
        </w:tc>
        <w:tc>
          <w:tcPr>
            <w:tcW w:w="850" w:type="dxa"/>
            <w:vAlign w:val="center"/>
            <w:textDirection w:val="lrTb"/>
            <w:noWrap w:val="false"/>
          </w:tcPr>
          <w:p>
            <w:pPr>
              <w:pStyle w:val="112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2835" w:type="dxa"/>
            <w:vAlign w:val="center"/>
            <w:textDirection w:val="lrTb"/>
            <w:noWrap w:val="false"/>
          </w:tcPr>
          <w:p>
            <w:pPr>
              <w:pStyle w:val="1127"/>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本项目执行的政府采购政策</w:t>
            </w:r>
            <w:r/>
          </w:p>
        </w:tc>
        <w:tc>
          <w:tcPr>
            <w:tcW w:w="4982"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510"/>
        </w:trPr>
        <w:tc>
          <w:tcPr>
            <w:tcW w:w="675" w:type="dxa"/>
            <w:vAlign w:val="center"/>
            <w:textDirection w:val="lrTb"/>
            <w:noWrap w:val="false"/>
          </w:tcPr>
          <w:p>
            <w:pPr>
              <w:pStyle w:val="112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850" w:type="dxa"/>
            <w:vAlign w:val="center"/>
            <w:textDirection w:val="lrTb"/>
            <w:noWrap w:val="false"/>
          </w:tcPr>
          <w:p>
            <w:pPr>
              <w:pStyle w:val="112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8.1</w:t>
            </w:r>
            <w:r/>
          </w:p>
        </w:tc>
        <w:tc>
          <w:tcPr>
            <w:tcW w:w="2835"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现场考察</w:t>
            </w:r>
            <w:r/>
          </w:p>
        </w:tc>
        <w:tc>
          <w:tcPr>
            <w:tcW w:w="4982"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■不组织</w:t>
            </w:r>
            <w:r/>
          </w:p>
        </w:tc>
      </w:tr>
      <w:tr>
        <w:trPr>
          <w:jc w:val="center"/>
          <w:trHeight w:val="510"/>
        </w:trPr>
        <w:tc>
          <w:tcPr>
            <w:tcW w:w="675" w:type="dxa"/>
            <w:vAlign w:val="center"/>
            <w:textDirection w:val="lrTb"/>
            <w:noWrap w:val="false"/>
          </w:tcPr>
          <w:p>
            <w:pPr>
              <w:pStyle w:val="112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5</w:t>
            </w:r>
            <w:r/>
          </w:p>
        </w:tc>
        <w:tc>
          <w:tcPr>
            <w:tcW w:w="850" w:type="dxa"/>
            <w:vAlign w:val="center"/>
            <w:textDirection w:val="lrTb"/>
            <w:noWrap w:val="false"/>
          </w:tcPr>
          <w:p>
            <w:pPr>
              <w:pStyle w:val="112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9.1</w:t>
            </w:r>
            <w:r/>
          </w:p>
        </w:tc>
        <w:tc>
          <w:tcPr>
            <w:tcW w:w="2835" w:type="dxa"/>
            <w:vAlign w:val="center"/>
            <w:textDirection w:val="lrTb"/>
            <w:noWrap w:val="false"/>
          </w:tcPr>
          <w:p>
            <w:pPr>
              <w:pStyle w:val="112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开标前答疑会</w:t>
            </w:r>
            <w:r/>
          </w:p>
        </w:tc>
        <w:tc>
          <w:tcPr>
            <w:tcW w:w="4982" w:type="dxa"/>
            <w:vAlign w:val="center"/>
            <w:textDirection w:val="lrTb"/>
            <w:noWrap w:val="false"/>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■不召开</w:t>
            </w:r>
            <w:r/>
          </w:p>
        </w:tc>
      </w:tr>
      <w:tr>
        <w:trPr>
          <w:jc w:val="center"/>
          <w:trHeight w:val="510"/>
        </w:trPr>
        <w:tc>
          <w:tcPr>
            <w:tcW w:w="675" w:type="dxa"/>
            <w:vAlign w:val="center"/>
            <w:textDirection w:val="lrTb"/>
            <w:noWrap w:val="false"/>
          </w:tcPr>
          <w:p>
            <w:pPr>
              <w:pStyle w:val="112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6</w:t>
            </w:r>
            <w:r/>
          </w:p>
        </w:tc>
        <w:tc>
          <w:tcPr>
            <w:tcW w:w="850" w:type="dxa"/>
            <w:vAlign w:val="center"/>
            <w:textDirection w:val="lrTb"/>
            <w:noWrap w:val="false"/>
          </w:tcPr>
          <w:p>
            <w:pPr>
              <w:pStyle w:val="112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10.1</w:t>
            </w:r>
            <w:r/>
          </w:p>
        </w:tc>
        <w:tc>
          <w:tcPr>
            <w:tcW w:w="2835" w:type="dxa"/>
            <w:vAlign w:val="center"/>
            <w:textDirection w:val="lrTb"/>
            <w:noWrap w:val="false"/>
          </w:tcPr>
          <w:p>
            <w:pPr>
              <w:pStyle w:val="112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联合体投标</w:t>
            </w:r>
            <w:r/>
          </w:p>
        </w:tc>
        <w:tc>
          <w:tcPr>
            <w:tcW w:w="4982" w:type="dxa"/>
            <w:vAlign w:val="center"/>
            <w:textDirection w:val="lrTb"/>
            <w:noWrap w:val="false"/>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■不接受</w:t>
            </w:r>
            <w:r/>
          </w:p>
        </w:tc>
      </w:tr>
      <w:tr>
        <w:trPr>
          <w:jc w:val="center"/>
          <w:trHeight w:val="772"/>
        </w:trPr>
        <w:tc>
          <w:tcPr>
            <w:tcW w:w="675" w:type="dxa"/>
            <w:vAlign w:val="center"/>
            <w:textDirection w:val="lrTb"/>
            <w:noWrap w:val="false"/>
          </w:tcPr>
          <w:p>
            <w:pPr>
              <w:pStyle w:val="112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7</w:t>
            </w:r>
            <w:r/>
          </w:p>
        </w:tc>
        <w:tc>
          <w:tcPr>
            <w:tcW w:w="850" w:type="dxa"/>
            <w:vAlign w:val="center"/>
            <w:textDirection w:val="lrTb"/>
            <w:noWrap w:val="false"/>
          </w:tcPr>
          <w:p>
            <w:pPr>
              <w:pStyle w:val="112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11.1</w:t>
            </w:r>
            <w:r/>
          </w:p>
        </w:tc>
        <w:tc>
          <w:tcPr>
            <w:tcW w:w="2835" w:type="dxa"/>
            <w:vAlign w:val="center"/>
            <w:textDirection w:val="lrTb"/>
            <w:noWrap w:val="false"/>
          </w:tcPr>
          <w:p>
            <w:pPr>
              <w:pStyle w:val="112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分包</w:t>
            </w:r>
            <w:r/>
          </w:p>
        </w:tc>
        <w:tc>
          <w:tcPr>
            <w:tcW w:w="4982" w:type="dxa"/>
            <w:vAlign w:val="center"/>
            <w:textDirection w:val="lrTb"/>
            <w:noWrap w:val="false"/>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本项目的非主体、非关键性工作是否允许分包：</w:t>
            </w:r>
            <w:r/>
          </w:p>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■不允许</w:t>
            </w:r>
            <w:r/>
          </w:p>
        </w:tc>
      </w:tr>
      <w:tr>
        <w:trPr>
          <w:jc w:val="center"/>
          <w:trHeight w:val="283"/>
        </w:trPr>
        <w:tc>
          <w:tcPr>
            <w:tcW w:w="675" w:type="dxa"/>
            <w:vAlign w:val="center"/>
            <w:textDirection w:val="lrTb"/>
            <w:noWrap w:val="false"/>
          </w:tcPr>
          <w:p>
            <w:pPr>
              <w:pStyle w:val="112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w:t>
            </w:r>
            <w:r/>
          </w:p>
        </w:tc>
        <w:tc>
          <w:tcPr>
            <w:tcW w:w="850" w:type="dxa"/>
            <w:vAlign w:val="center"/>
            <w:textDirection w:val="lrTb"/>
            <w:noWrap w:val="false"/>
          </w:tcPr>
          <w:p>
            <w:pPr>
              <w:pStyle w:val="112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12.1</w:t>
            </w:r>
            <w:r/>
          </w:p>
        </w:tc>
        <w:tc>
          <w:tcPr>
            <w:tcW w:w="2835" w:type="dxa"/>
            <w:vAlign w:val="center"/>
            <w:textDirection w:val="lrTb"/>
            <w:noWrap w:val="false"/>
          </w:tcPr>
          <w:p>
            <w:pPr>
              <w:pStyle w:val="112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样品</w:t>
            </w:r>
            <w:r/>
          </w:p>
        </w:tc>
        <w:tc>
          <w:tcPr>
            <w:tcW w:w="4982" w:type="dxa"/>
            <w:vAlign w:val="center"/>
            <w:textDirection w:val="lrTb"/>
            <w:noWrap w:val="false"/>
          </w:tcPr>
          <w:p>
            <w:pPr>
              <w:pStyle w:val="870"/>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投标样品递交：■不需要。</w:t>
            </w:r>
            <w:r/>
          </w:p>
        </w:tc>
      </w:tr>
      <w:tr>
        <w:trPr>
          <w:jc w:val="center"/>
          <w:trHeight w:val="734"/>
        </w:trPr>
        <w:tc>
          <w:tcPr>
            <w:tcW w:w="675" w:type="dxa"/>
            <w:vAlign w:val="center"/>
            <w:textDirection w:val="lrTb"/>
            <w:noWrap w:val="false"/>
          </w:tcPr>
          <w:p>
            <w:pPr>
              <w:pStyle w:val="112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w:t>
            </w:r>
            <w:r/>
          </w:p>
        </w:tc>
        <w:tc>
          <w:tcPr>
            <w:tcW w:w="850" w:type="dxa"/>
            <w:vAlign w:val="center"/>
            <w:textDirection w:val="lrTb"/>
            <w:noWrap w:val="false"/>
          </w:tcPr>
          <w:p>
            <w:pPr>
              <w:pStyle w:val="112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13.1</w:t>
            </w:r>
            <w:r/>
          </w:p>
        </w:tc>
        <w:tc>
          <w:tcPr>
            <w:tcW w:w="2835" w:type="dxa"/>
            <w:vAlign w:val="center"/>
            <w:textDirection w:val="lrTb"/>
            <w:noWrap w:val="false"/>
          </w:tcPr>
          <w:p>
            <w:pPr>
              <w:pStyle w:val="112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采购进口产品</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w:t>
            </w:r>
            <w:r/>
          </w:p>
        </w:tc>
        <w:tc>
          <w:tcPr>
            <w:tcW w:w="850"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14.1</w:t>
            </w:r>
            <w:r/>
          </w:p>
        </w:tc>
        <w:tc>
          <w:tcPr>
            <w:tcW w:w="2835" w:type="dxa"/>
            <w:vAlign w:val="center"/>
            <w:textDirection w:val="lrTb"/>
            <w:noWrap w:val="false"/>
          </w:tcPr>
          <w:p>
            <w:pPr>
              <w:pStyle w:val="1127"/>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采购预算</w:t>
            </w:r>
            <w:r/>
          </w:p>
        </w:tc>
        <w:tc>
          <w:tcPr>
            <w:tcW w:w="4982"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w:t>
            </w:r>
            <w:r/>
          </w:p>
        </w:tc>
        <w:tc>
          <w:tcPr>
            <w:tcW w:w="850"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14.2</w:t>
            </w:r>
            <w:r/>
          </w:p>
        </w:tc>
        <w:tc>
          <w:tcPr>
            <w:tcW w:w="2835" w:type="dxa"/>
            <w:vAlign w:val="center"/>
            <w:textDirection w:val="lrTb"/>
            <w:noWrap w:val="false"/>
          </w:tcPr>
          <w:p>
            <w:pPr>
              <w:pStyle w:val="1127"/>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本项目设定的最高限价</w:t>
            </w:r>
            <w:r/>
          </w:p>
        </w:tc>
        <w:tc>
          <w:tcPr>
            <w:tcW w:w="4982" w:type="dxa"/>
            <w:vAlign w:val="center"/>
            <w:textDirection w:val="lrTb"/>
            <w:noWrap w:val="false"/>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w:t>
            </w:r>
            <w:r/>
          </w:p>
        </w:tc>
        <w:tc>
          <w:tcPr>
            <w:tcW w:w="850"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15.1</w:t>
            </w:r>
            <w:r/>
          </w:p>
        </w:tc>
        <w:tc>
          <w:tcPr>
            <w:tcW w:w="2835"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供应商资格条件</w:t>
            </w:r>
            <w:r/>
          </w:p>
        </w:tc>
        <w:tc>
          <w:tcPr>
            <w:tcW w:w="4982"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w:t>
            </w:r>
            <w:r/>
          </w:p>
        </w:tc>
        <w:tc>
          <w:tcPr>
            <w:tcW w:w="850"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20.5</w:t>
            </w:r>
            <w:r/>
          </w:p>
        </w:tc>
        <w:tc>
          <w:tcPr>
            <w:tcW w:w="2835" w:type="dxa"/>
            <w:vAlign w:val="center"/>
            <w:textDirection w:val="lrTb"/>
            <w:noWrap w:val="false"/>
          </w:tcPr>
          <w:p>
            <w:pPr>
              <w:pStyle w:val="112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投标报价</w:t>
            </w:r>
            <w:r/>
          </w:p>
        </w:tc>
        <w:tc>
          <w:tcPr>
            <w:tcW w:w="4982" w:type="dxa"/>
            <w:vAlign w:val="center"/>
            <w:textDirection w:val="lrTb"/>
            <w:noWrap w:val="false"/>
          </w:tcPr>
          <w:p>
            <w:pPr>
              <w:pStyle w:val="1138"/>
              <w:contextualSpacing/>
              <w:ind w:firstLine="0"/>
              <w:jc w:val="left"/>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投标报价的其他要求：要求报价含项目到场安装的全部费用，含相关税费，运输费，保险费，安装费</w:t>
            </w:r>
            <w:r>
              <w:rPr>
                <w:rFonts w:hint="eastAsia" w:hAnsi="宋体" w:cs="宋体"/>
                <w:color w:val="000000" w:themeColor="text1"/>
                <w:highlight w:val="none"/>
                <w:lang w:eastAsia="zh-CN"/>
                <w14:textFill>
                  <w14:solidFill>
                    <w14:schemeClr w14:val="tx1"/>
                  </w14:solidFill>
                </w14:textFill>
              </w:rPr>
              <w:t xml:space="preserve">，</w:t>
            </w:r>
            <w:r>
              <w:rPr>
                <w:rFonts w:hint="eastAsia" w:hAnsi="宋体" w:cs="宋体"/>
                <w:color w:val="000000" w:themeColor="text1"/>
                <w:highlight w:val="none"/>
                <w:lang w:val="en-US" w:eastAsia="zh-CN"/>
                <w14:textFill>
                  <w14:solidFill>
                    <w14:schemeClr w14:val="tx1"/>
                  </w14:solidFill>
                </w14:textFill>
              </w:rPr>
              <w:t xml:space="preserve">招标代理服务费</w:t>
            </w:r>
            <w:r>
              <w:rPr>
                <w:rFonts w:hint="eastAsia" w:hAnsi="宋体" w:cs="宋体"/>
                <w:color w:val="000000" w:themeColor="text1"/>
                <w:highlight w:val="none"/>
                <w14:textFill>
                  <w14:solidFill>
                    <w14:schemeClr w14:val="tx1"/>
                  </w14:solidFill>
                </w14:textFill>
              </w:rPr>
              <w:t xml:space="preserve">及相关服务费等一切可能发生的费用。</w:t>
            </w:r>
            <w:r/>
          </w:p>
        </w:tc>
      </w:tr>
      <w:tr>
        <w:trPr>
          <w:jc w:val="center"/>
          <w:trHeight w:val="656"/>
        </w:trPr>
        <w:tc>
          <w:tcPr>
            <w:tcW w:w="675"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w:t>
            </w:r>
            <w:r/>
          </w:p>
        </w:tc>
        <w:tc>
          <w:tcPr>
            <w:tcW w:w="850"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21.1</w:t>
            </w:r>
            <w:r/>
          </w:p>
        </w:tc>
        <w:tc>
          <w:tcPr>
            <w:tcW w:w="2835" w:type="dxa"/>
            <w:vAlign w:val="center"/>
            <w:textDirection w:val="lrTb"/>
            <w:noWrap w:val="false"/>
          </w:tcPr>
          <w:p>
            <w:pPr>
              <w:pStyle w:val="112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投标有效期</w:t>
            </w:r>
            <w:r/>
          </w:p>
        </w:tc>
        <w:tc>
          <w:tcPr>
            <w:tcW w:w="4982" w:type="dxa"/>
            <w:vAlign w:val="center"/>
            <w:textDirection w:val="lrTb"/>
            <w:noWrap w:val="false"/>
          </w:tcPr>
          <w:p>
            <w:pPr>
              <w:pStyle w:val="112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自提交投标文件的截止之日起算90日历天</w:t>
            </w:r>
            <w:r/>
          </w:p>
        </w:tc>
      </w:tr>
      <w:tr>
        <w:trPr>
          <w:jc w:val="center"/>
          <w:trHeight w:val="320"/>
        </w:trPr>
        <w:tc>
          <w:tcPr>
            <w:tcW w:w="675"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w:t>
            </w:r>
            <w:r/>
          </w:p>
        </w:tc>
        <w:tc>
          <w:tcPr>
            <w:tcW w:w="850"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22.1</w:t>
            </w:r>
            <w:r/>
          </w:p>
        </w:tc>
        <w:tc>
          <w:tcPr>
            <w:tcW w:w="2835" w:type="dxa"/>
            <w:vAlign w:val="center"/>
            <w:textDirection w:val="lrTb"/>
            <w:noWrap w:val="false"/>
          </w:tcPr>
          <w:p>
            <w:pPr>
              <w:pStyle w:val="112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投标保证金</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■不需要</w:t>
            </w:r>
            <w:r/>
          </w:p>
        </w:tc>
      </w:tr>
      <w:tr>
        <w:trPr>
          <w:jc w:val="center"/>
          <w:trHeight w:val="656"/>
        </w:trPr>
        <w:tc>
          <w:tcPr>
            <w:tcW w:w="675"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16</w:t>
            </w:r>
            <w:r/>
          </w:p>
        </w:tc>
        <w:tc>
          <w:tcPr>
            <w:tcW w:w="850"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23.1</w:t>
            </w:r>
            <w:r/>
          </w:p>
        </w:tc>
        <w:tc>
          <w:tcPr>
            <w:tcW w:w="2835" w:type="dxa"/>
            <w:vAlign w:val="center"/>
            <w:textDirection w:val="lrTb"/>
            <w:noWrap w:val="false"/>
          </w:tcPr>
          <w:p>
            <w:pPr>
              <w:pStyle w:val="112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val="false"/>
          </w:tcPr>
          <w:p>
            <w:pPr>
              <w:pStyle w:val="1127"/>
              <w:spacing w:line="360" w:lineRule="auto"/>
              <w:rPr>
                <w:rFonts w:hint="eastAsia" w:hAnsi="宋体" w:cs="宋体"/>
                <w:b/>
                <w:bCs/>
                <w:color w:val="000000" w:themeColor="text1"/>
                <w:sz w:val="2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w:t>
            </w:r>
            <w:r>
              <w:rPr>
                <w:rFonts w:hint="eastAsia" w:hAnsi="宋体" w:cs="宋体"/>
                <w:bCs/>
                <w:color w:val="000000" w:themeColor="text1"/>
                <w:sz w:val="21"/>
                <w:highlight w:val="none"/>
                <w14:textFill>
                  <w14:solidFill>
                    <w14:schemeClr w14:val="tx1"/>
                  </w14:solidFill>
                </w14:textFill>
              </w:rPr>
              <w:t xml:space="preserve">不适用</w:t>
            </w:r>
            <w:r/>
          </w:p>
        </w:tc>
      </w:tr>
      <w:tr>
        <w:trPr>
          <w:jc w:val="center"/>
          <w:trHeight w:val="1292"/>
        </w:trPr>
        <w:tc>
          <w:tcPr>
            <w:tcW w:w="675"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17</w:t>
            </w:r>
            <w:r/>
          </w:p>
        </w:tc>
        <w:tc>
          <w:tcPr>
            <w:tcW w:w="850"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24.1</w:t>
            </w:r>
            <w:r/>
          </w:p>
        </w:tc>
        <w:tc>
          <w:tcPr>
            <w:tcW w:w="2835" w:type="dxa"/>
            <w:vAlign w:val="center"/>
            <w:textDirection w:val="lrTb"/>
            <w:noWrap w:val="false"/>
          </w:tcPr>
          <w:p>
            <w:pPr>
              <w:pStyle w:val="112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投标文件的递交</w:t>
            </w:r>
            <w:r/>
          </w:p>
        </w:tc>
        <w:tc>
          <w:tcPr>
            <w:tcW w:w="4982" w:type="dxa"/>
            <w:vAlign w:val="center"/>
            <w:textDirection w:val="lrTb"/>
            <w:noWrap w:val="false"/>
          </w:tcPr>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投标人应当按照《操作手册》规定，在招标公告规定的投标截止时间前制作并上传电子投标文件。招标代理机构拒绝接收提交</w:t>
            </w:r>
            <w:r>
              <w:rPr>
                <w:rFonts w:hint="eastAsia" w:ascii="宋体" w:hAnsi="宋体" w:cs="宋体"/>
                <w:color w:val="000000" w:themeColor="text1"/>
                <w:szCs w:val="21"/>
                <w:highlight w:val="none"/>
                <w14:textFill>
                  <w14:solidFill>
                    <w14:schemeClr w14:val="tx1"/>
                  </w14:solidFill>
                </w14:textFill>
              </w:rPr>
              <w:t xml:space="preserve">投标文件截止时间后上传的任何电子投标文件。</w:t>
            </w:r>
            <w:r/>
          </w:p>
        </w:tc>
      </w:tr>
      <w:tr>
        <w:trPr>
          <w:jc w:val="center"/>
          <w:trHeight w:val="656"/>
        </w:trPr>
        <w:tc>
          <w:tcPr>
            <w:tcW w:w="675"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18</w:t>
            </w:r>
            <w:r/>
          </w:p>
        </w:tc>
        <w:tc>
          <w:tcPr>
            <w:tcW w:w="850"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25.1</w:t>
            </w:r>
            <w:r/>
          </w:p>
        </w:tc>
        <w:tc>
          <w:tcPr>
            <w:tcW w:w="2835" w:type="dxa"/>
            <w:vAlign w:val="center"/>
            <w:textDirection w:val="lrTb"/>
            <w:noWrap w:val="false"/>
          </w:tcPr>
          <w:p>
            <w:pPr>
              <w:pStyle w:val="112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提交投标文件的截止时间、地点</w:t>
            </w:r>
            <w:r/>
          </w:p>
        </w:tc>
        <w:tc>
          <w:tcPr>
            <w:tcW w:w="4982" w:type="dxa"/>
            <w:vAlign w:val="center"/>
            <w:textDirection w:val="lrTb"/>
            <w:noWrap w:val="false"/>
          </w:tcPr>
          <w:p>
            <w:pPr>
              <w:pStyle w:val="112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19</w:t>
            </w:r>
            <w:r/>
          </w:p>
        </w:tc>
        <w:tc>
          <w:tcPr>
            <w:tcW w:w="850"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28.1</w:t>
            </w:r>
            <w:r/>
          </w:p>
        </w:tc>
        <w:tc>
          <w:tcPr>
            <w:tcW w:w="2835" w:type="dxa"/>
            <w:vAlign w:val="center"/>
            <w:textDirection w:val="lrTb"/>
            <w:noWrap w:val="false"/>
          </w:tcPr>
          <w:p>
            <w:pPr>
              <w:pStyle w:val="112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开标时间、地点</w:t>
            </w:r>
            <w:r/>
          </w:p>
        </w:tc>
        <w:tc>
          <w:tcPr>
            <w:tcW w:w="4982" w:type="dxa"/>
            <w:vAlign w:val="center"/>
            <w:textDirection w:val="lrTb"/>
            <w:noWrap w:val="false"/>
          </w:tcPr>
          <w:p>
            <w:pPr>
              <w:pStyle w:val="112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w:t>
            </w:r>
            <w:r/>
          </w:p>
        </w:tc>
        <w:tc>
          <w:tcPr>
            <w:tcW w:w="850"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29.2.1</w:t>
            </w:r>
            <w:r/>
          </w:p>
        </w:tc>
        <w:tc>
          <w:tcPr>
            <w:tcW w:w="2835" w:type="dxa"/>
            <w:vAlign w:val="center"/>
            <w:textDirection w:val="lrTb"/>
            <w:noWrap w:val="false"/>
          </w:tcPr>
          <w:p>
            <w:pPr>
              <w:pStyle w:val="1127"/>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信用查询</w:t>
            </w:r>
            <w:r/>
          </w:p>
        </w:tc>
        <w:tc>
          <w:tcPr>
            <w:tcW w:w="4982" w:type="dxa"/>
            <w:vAlign w:val="center"/>
            <w:textDirection w:val="lrTb"/>
            <w:noWrap w:val="false"/>
          </w:tcPr>
          <w:p>
            <w:pPr>
              <w:pStyle w:val="112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850"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30.1.1</w:t>
            </w:r>
            <w:r/>
          </w:p>
        </w:tc>
        <w:tc>
          <w:tcPr>
            <w:tcW w:w="2835" w:type="dxa"/>
            <w:vAlign w:val="center"/>
            <w:textDirection w:val="lrTb"/>
            <w:noWrap w:val="false"/>
          </w:tcPr>
          <w:p>
            <w:pPr>
              <w:pStyle w:val="1127"/>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评标委员会</w:t>
            </w:r>
            <w:r/>
          </w:p>
        </w:tc>
        <w:tc>
          <w:tcPr>
            <w:tcW w:w="4982" w:type="dxa"/>
            <w:vAlign w:val="center"/>
            <w:textDirection w:val="lrTb"/>
            <w:noWrap w:val="false"/>
          </w:tcPr>
          <w:p>
            <w:pPr>
              <w:pStyle w:val="112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5人及以上单数。</w:t>
            </w:r>
            <w:r/>
          </w:p>
        </w:tc>
      </w:tr>
      <w:tr>
        <w:trPr>
          <w:jc w:val="center"/>
          <w:trHeight w:val="656"/>
        </w:trPr>
        <w:tc>
          <w:tcPr>
            <w:tcW w:w="675"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850"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30.5.3</w:t>
            </w:r>
            <w:r/>
          </w:p>
        </w:tc>
        <w:tc>
          <w:tcPr>
            <w:tcW w:w="2835" w:type="dxa"/>
            <w:vAlign w:val="center"/>
            <w:textDirection w:val="lrTb"/>
            <w:noWrap w:val="false"/>
          </w:tcPr>
          <w:p>
            <w:pPr>
              <w:pStyle w:val="1127"/>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核心产品</w:t>
            </w:r>
            <w:r>
              <w:rPr>
                <w:rFonts w:hint="eastAsia" w:hAnsi="宋体" w:cs="宋体"/>
                <w:color w:val="000000" w:themeColor="text1"/>
                <w:sz w:val="21"/>
                <w:highlight w:val="none"/>
                <w14:textFill>
                  <w14:solidFill>
                    <w14:schemeClr w14:val="tx1"/>
                  </w14:solidFill>
                </w14:textFill>
              </w:rPr>
              <w:tab/>
            </w:r>
            <w:r/>
          </w:p>
        </w:tc>
        <w:tc>
          <w:tcPr>
            <w:tcW w:w="4982" w:type="dxa"/>
            <w:vAlign w:val="center"/>
            <w:textDirection w:val="lrTb"/>
            <w:noWrap w:val="false"/>
          </w:tcPr>
          <w:p>
            <w:pPr>
              <w:pStyle w:val="112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■单一产品采购。</w:t>
            </w:r>
            <w:r/>
          </w:p>
        </w:tc>
      </w:tr>
      <w:tr>
        <w:trPr>
          <w:jc w:val="center"/>
          <w:trHeight w:val="922"/>
        </w:trPr>
        <w:tc>
          <w:tcPr>
            <w:tcW w:w="675"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w:t>
            </w:r>
            <w:r/>
          </w:p>
        </w:tc>
        <w:tc>
          <w:tcPr>
            <w:tcW w:w="850"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31.3</w:t>
            </w:r>
            <w:r/>
          </w:p>
        </w:tc>
        <w:tc>
          <w:tcPr>
            <w:tcW w:w="2835" w:type="dxa"/>
            <w:vAlign w:val="center"/>
            <w:textDirection w:val="lrTb"/>
            <w:noWrap w:val="false"/>
          </w:tcPr>
          <w:p>
            <w:pPr>
              <w:pStyle w:val="1127"/>
              <w:jc w:val="left"/>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确定中标单位</w:t>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1.评委会根据本采购文件规定评分办法与评分标准综合打分，并按综合得分由高到低顺序向项目采购人推荐3名中标候选人。</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w:t>
            </w:r>
            <w:r/>
          </w:p>
        </w:tc>
        <w:tc>
          <w:tcPr>
            <w:tcW w:w="850"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31.4</w:t>
            </w:r>
            <w:r/>
          </w:p>
        </w:tc>
        <w:tc>
          <w:tcPr>
            <w:tcW w:w="2835" w:type="dxa"/>
            <w:vAlign w:val="center"/>
            <w:textDirection w:val="lrTb"/>
            <w:noWrap w:val="false"/>
          </w:tcPr>
          <w:p>
            <w:pPr>
              <w:pStyle w:val="1127"/>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公告媒体</w:t>
            </w:r>
            <w:r/>
          </w:p>
        </w:tc>
        <w:tc>
          <w:tcPr>
            <w:tcW w:w="4982" w:type="dxa"/>
            <w:vAlign w:val="center"/>
            <w:textDirection w:val="lrTb"/>
            <w:noWrap w:val="false"/>
          </w:tcPr>
          <w:p>
            <w:pPr>
              <w:pStyle w:val="1127"/>
              <w:jc w:val="left"/>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《南京公共采购信息网》（https://njgc.jfh.com/）、《江苏政府采购网》（http://www.ccgp-jiangsu.gov.cn/）</w:t>
            </w:r>
            <w:r/>
          </w:p>
        </w:tc>
      </w:tr>
      <w:tr>
        <w:trPr>
          <w:jc w:val="center"/>
          <w:trHeight w:val="656"/>
        </w:trPr>
        <w:tc>
          <w:tcPr>
            <w:tcW w:w="675"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w:t>
            </w:r>
            <w:r/>
          </w:p>
        </w:tc>
        <w:tc>
          <w:tcPr>
            <w:tcW w:w="850"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35.1</w:t>
            </w:r>
            <w:r/>
          </w:p>
        </w:tc>
        <w:tc>
          <w:tcPr>
            <w:tcW w:w="2835"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履约保证金</w:t>
            </w:r>
            <w:r/>
          </w:p>
        </w:tc>
        <w:tc>
          <w:tcPr>
            <w:tcW w:w="4982" w:type="dxa"/>
            <w:vAlign w:val="center"/>
            <w:textDirection w:val="lrTb"/>
            <w:noWrap w:val="false"/>
          </w:tcPr>
          <w:p>
            <w:pPr>
              <w:pStyle w:val="112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■合同总额的10%作为合同履约保证金</w:t>
            </w:r>
            <w:r/>
          </w:p>
        </w:tc>
      </w:tr>
      <w:tr>
        <w:trPr>
          <w:jc w:val="center"/>
          <w:trHeight w:val="656"/>
        </w:trPr>
        <w:tc>
          <w:tcPr>
            <w:tcW w:w="675"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26</w:t>
            </w:r>
            <w:r/>
          </w:p>
        </w:tc>
        <w:tc>
          <w:tcPr>
            <w:tcW w:w="850"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36.1</w:t>
            </w:r>
            <w:r/>
          </w:p>
        </w:tc>
        <w:tc>
          <w:tcPr>
            <w:tcW w:w="2835" w:type="dxa"/>
            <w:vAlign w:val="center"/>
            <w:textDirection w:val="lrTb"/>
            <w:noWrap w:val="false"/>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供应商对采购文件的</w:t>
            </w:r>
            <w:r>
              <w:rPr>
                <w:rFonts w:hint="eastAsia" w:hAnsi="宋体" w:cs="宋体"/>
                <w:color w:val="000000" w:themeColor="text1"/>
                <w:highlight w:val="none"/>
                <w14:textFill>
                  <w14:solidFill>
                    <w14:schemeClr w14:val="tx1"/>
                  </w14:solidFill>
                </w14:textFill>
              </w:rPr>
              <w:t xml:space="preserve">询问</w:t>
            </w:r>
            <w:r/>
          </w:p>
        </w:tc>
        <w:tc>
          <w:tcPr>
            <w:tcW w:w="4982" w:type="dxa"/>
            <w:vAlign w:val="center"/>
            <w:textDirection w:val="lrTb"/>
            <w:noWrap w:val="false"/>
          </w:tcPr>
          <w:p>
            <w:pPr>
              <w:pStyle w:val="875"/>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时间：</w:t>
            </w:r>
            <w:r>
              <w:rPr>
                <w:rFonts w:hint="eastAsia" w:hAnsi="宋体" w:cs="宋体"/>
                <w:color w:val="000000" w:themeColor="text1"/>
                <w:highlight w:val="none"/>
                <w14:textFill>
                  <w14:solidFill>
                    <w14:schemeClr w14:val="tx1"/>
                  </w14:solidFill>
                </w14:textFill>
              </w:rPr>
              <w:t xml:space="preserve">递交投标文件截止时间前15日。</w:t>
            </w:r>
            <w:r/>
          </w:p>
          <w:p>
            <w:pPr>
              <w:pStyle w:val="875"/>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形式：以书面形式（盖章扫描件及WPS兼容格式文件发至</w:t>
            </w:r>
            <w:r>
              <w:rPr>
                <w:rFonts w:hint="eastAsia" w:hAnsi="宋体" w:cs="宋体"/>
                <w:bCs/>
                <w:color w:val="000000" w:themeColor="text1"/>
                <w:highlight w:val="none"/>
                <w:u w:val="single"/>
                <w:lang w:eastAsia="zh-CN"/>
                <w14:textFill>
                  <w14:solidFill>
                    <w14:schemeClr w14:val="tx1"/>
                  </w14:solidFill>
                </w14:textFill>
              </w:rPr>
              <w:t xml:space="preserve">18761879918</w:t>
            </w:r>
            <w:r>
              <w:rPr>
                <w:rFonts w:hint="eastAsia" w:hAnsi="宋体" w:cs="宋体"/>
                <w:bCs/>
                <w:color w:val="000000" w:themeColor="text1"/>
                <w:highlight w:val="none"/>
                <w:u w:val="single"/>
                <w14:textFill>
                  <w14:solidFill>
                    <w14:schemeClr w14:val="tx1"/>
                  </w14:solidFill>
                </w14:textFill>
              </w:rPr>
              <w:t xml:space="preserve">@163.com</w:t>
            </w:r>
            <w:r>
              <w:rPr>
                <w:rFonts w:hint="eastAsia" w:hAnsi="宋体" w:cs="宋体"/>
                <w:bCs/>
                <w:color w:val="000000" w:themeColor="text1"/>
                <w:highlight w:val="none"/>
                <w14:textFill>
                  <w14:solidFill>
                    <w14:schemeClr w14:val="tx1"/>
                  </w14:solidFill>
                </w14:textFill>
              </w:rPr>
              <w:t xml:space="preserve">邮箱）通知采购代理机构。</w:t>
            </w:r>
            <w:r/>
          </w:p>
        </w:tc>
      </w:tr>
      <w:tr>
        <w:trPr>
          <w:jc w:val="center"/>
          <w:trHeight w:val="90"/>
        </w:trPr>
        <w:tc>
          <w:tcPr>
            <w:tcW w:w="675"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27</w:t>
            </w:r>
            <w:r/>
          </w:p>
        </w:tc>
        <w:tc>
          <w:tcPr>
            <w:tcW w:w="850"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37.1</w:t>
            </w:r>
            <w:r/>
          </w:p>
        </w:tc>
        <w:tc>
          <w:tcPr>
            <w:tcW w:w="2835" w:type="dxa"/>
            <w:vAlign w:val="center"/>
            <w:textDirection w:val="lrTb"/>
            <w:noWrap w:val="false"/>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供应商对采购文件提出的</w:t>
            </w:r>
            <w:r/>
          </w:p>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质疑</w:t>
            </w:r>
            <w:r/>
          </w:p>
        </w:tc>
        <w:tc>
          <w:tcPr>
            <w:tcW w:w="4982" w:type="dxa"/>
            <w:vAlign w:val="center"/>
            <w:textDirection w:val="lrTb"/>
            <w:noWrap w:val="false"/>
          </w:tcPr>
          <w:p>
            <w:pPr>
              <w:pStyle w:val="875"/>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形式：以书面形式通知采购代理机构。如采用邮件形式（盖章扫描件及WPS兼容格式文件发至</w:t>
            </w:r>
            <w:r>
              <w:rPr>
                <w:rFonts w:hint="eastAsia" w:hAnsi="宋体" w:cs="宋体"/>
                <w:bCs/>
                <w:color w:val="000000" w:themeColor="text1"/>
                <w:highlight w:val="none"/>
                <w:lang w:eastAsia="zh-CN"/>
                <w14:textFill>
                  <w14:solidFill>
                    <w14:schemeClr w14:val="tx1"/>
                  </w14:solidFill>
                </w14:textFill>
              </w:rPr>
              <w:t xml:space="preserve">18761879918</w:t>
            </w:r>
            <w:r>
              <w:rPr>
                <w:rFonts w:hint="eastAsia" w:hAnsi="宋体" w:cs="宋体"/>
                <w:bCs/>
                <w:color w:val="000000" w:themeColor="text1"/>
                <w:highlight w:val="none"/>
                <w14:textFill>
                  <w14:solidFill>
                    <w14:schemeClr w14:val="tx1"/>
                  </w14:solidFill>
                </w14:textFill>
              </w:rPr>
              <w:t xml:space="preserve">@163.com邮箱）通知，采购代理机构将以邮件形式进行答复。</w:t>
            </w:r>
            <w:r/>
          </w:p>
        </w:tc>
      </w:tr>
      <w:tr>
        <w:trPr>
          <w:jc w:val="center"/>
          <w:trHeight w:val="1327"/>
        </w:trPr>
        <w:tc>
          <w:tcPr>
            <w:tcW w:w="675"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w:t>
            </w:r>
            <w:r/>
          </w:p>
        </w:tc>
        <w:tc>
          <w:tcPr>
            <w:tcW w:w="850" w:type="dxa"/>
            <w:vAlign w:val="center"/>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38.1</w:t>
            </w:r>
            <w:r/>
          </w:p>
        </w:tc>
        <w:tc>
          <w:tcPr>
            <w:tcW w:w="2835" w:type="dxa"/>
            <w:vAlign w:val="center"/>
            <w:textDirection w:val="lrTb"/>
            <w:noWrap w:val="false"/>
          </w:tcPr>
          <w:p>
            <w:pPr>
              <w:pStyle w:val="112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招标代理服务费</w:t>
            </w:r>
            <w:r/>
          </w:p>
        </w:tc>
        <w:tc>
          <w:tcPr>
            <w:tcW w:w="4982" w:type="dxa"/>
            <w:vAlign w:val="center"/>
            <w:textDirection w:val="lrTb"/>
            <w:noWrap w:val="false"/>
          </w:tcPr>
          <w:p>
            <w:pPr>
              <w:jc w:val="left"/>
              <w:spacing w:line="360" w:lineRule="auto"/>
              <w:rPr>
                <w:rFonts w:hint="eastAsia" w:hAnsi="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中标人在领取中标通知书前</w:t>
            </w:r>
            <w:r>
              <w:rPr>
                <w:rFonts w:hint="eastAsia" w:hAnsi="宋体" w:cs="宋体"/>
                <w:bCs/>
                <w:color w:val="000000" w:themeColor="text1"/>
                <w:highlight w:val="none"/>
                <w:lang w:val="en-US" w:eastAsia="zh-CN"/>
                <w14:textFill>
                  <w14:solidFill>
                    <w14:schemeClr w14:val="tx1"/>
                  </w14:solidFill>
                </w14:textFill>
              </w:rPr>
              <w:t xml:space="preserve">应</w:t>
            </w:r>
            <w:r>
              <w:rPr>
                <w:rFonts w:hint="eastAsia" w:hAnsi="宋体" w:cs="宋体"/>
                <w:bCs/>
                <w:color w:val="000000" w:themeColor="text1"/>
                <w:highlight w:val="none"/>
                <w14:textFill>
                  <w14:solidFill>
                    <w14:schemeClr w14:val="tx1"/>
                  </w14:solidFill>
                </w14:textFill>
              </w:rPr>
              <w:t xml:space="preserve">向采购代理机构缴纳采购代理服务费。本项目按</w:t>
            </w:r>
            <w:r>
              <w:rPr>
                <w:rFonts w:hint="eastAsia" w:hAnsi="宋体" w:cs="宋体"/>
                <w:bCs/>
                <w:color w:val="000000" w:themeColor="text1"/>
                <w:highlight w:val="none"/>
                <w:lang w:val="en-US" w:eastAsia="zh-CN"/>
                <w14:textFill>
                  <w14:solidFill>
                    <w14:schemeClr w14:val="tx1"/>
                  </w14:solidFill>
                </w14:textFill>
              </w:rPr>
              <w:t xml:space="preserve">项目</w:t>
            </w:r>
            <w:r>
              <w:rPr>
                <w:rFonts w:hint="eastAsia" w:hAnsi="宋体" w:cs="宋体"/>
                <w:bCs/>
                <w:color w:val="000000" w:themeColor="text1"/>
                <w:highlight w:val="none"/>
                <w14:textFill>
                  <w14:solidFill>
                    <w14:schemeClr w14:val="tx1"/>
                  </w14:solidFill>
                </w14:textFill>
              </w:rPr>
              <w:t xml:space="preserve">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1</w:t>
            </w:r>
            <w:r>
              <w:rPr>
                <w:rFonts w:hint="eastAsia" w:hAnsi="宋体" w:cs="宋体"/>
                <w:bCs/>
                <w:color w:val="000000" w:themeColor="text1"/>
                <w:highlight w:val="none"/>
                <w:lang w:eastAsia="zh-CN"/>
                <w14:textFill>
                  <w14:solidFill>
                    <w14:schemeClr w14:val="tx1"/>
                  </w14:solidFill>
                </w14:textFill>
              </w:rPr>
              <w:t xml:space="preserve">.</w:t>
            </w:r>
            <w:r>
              <w:rPr>
                <w:rFonts w:hint="eastAsia" w:hAnsi="宋体" w:cs="宋体"/>
                <w:bCs/>
                <w:color w:val="000000" w:themeColor="text1"/>
                <w:highlight w:val="none"/>
                <w14:textFill>
                  <w14:solidFill>
                    <w14:schemeClr w14:val="tx1"/>
                  </w14:solidFill>
                </w14:textFill>
              </w:rPr>
              <w:t xml:space="preserve">支付主体和报价要求:本项目采购代理服务费由成交供应商支付，供应商在报价时应将代理服务费全额包含在投标总价中，采购人不再另行支付。</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lang w:val="en-US" w:eastAsia="zh-CN"/>
                <w14:textFill>
                  <w14:solidFill>
                    <w14:schemeClr w14:val="tx1"/>
                  </w14:solidFill>
                </w14:textFill>
              </w:rPr>
              <w:t xml:space="preserve">2.</w:t>
            </w:r>
            <w:r>
              <w:rPr>
                <w:rFonts w:hint="eastAsia" w:hAnsi="宋体" w:cs="宋体"/>
                <w:bCs/>
                <w:color w:val="000000" w:themeColor="text1"/>
                <w:highlight w:val="none"/>
                <w14:textFill>
                  <w14:solidFill>
                    <w14:schemeClr w14:val="tx1"/>
                  </w14:solidFill>
                </w14:textFill>
              </w:rPr>
              <w:t xml:space="preserve">为优化采购资金使用效率，依据《政府采购代理机构管理暂行办法》(财库(2018)2号)第十五条规定，本项目代理服务费由成交供应商支付。</w:t>
            </w:r>
            <w:r/>
          </w:p>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3</w:t>
            </w:r>
            <w:r>
              <w:rPr>
                <w:rFonts w:hint="eastAsia" w:hAnsi="宋体" w:cs="宋体"/>
                <w:bCs/>
                <w:color w:val="000000" w:themeColor="text1"/>
                <w:highlight w:val="none"/>
                <w:lang w:eastAsia="zh-CN"/>
                <w14:textFill>
                  <w14:solidFill>
                    <w14:schemeClr w14:val="tx1"/>
                  </w14:solidFill>
                </w14:textFill>
              </w:rPr>
              <w:t xml:space="preserve">.</w:t>
            </w:r>
            <w:r>
              <w:rPr>
                <w:rFonts w:hint="eastAsia" w:hAnsi="宋体" w:cs="宋体"/>
                <w:bCs/>
                <w:color w:val="000000" w:themeColor="text1"/>
                <w:highlight w:val="none"/>
                <w14:textFill>
                  <w14:solidFill>
                    <w14:schemeClr w14:val="tx1"/>
                  </w14:solidFill>
                </w14:textFill>
              </w:rPr>
              <w:t xml:space="preserve">收取标准及方式:成交供应商在领取成交通知书前按下表中货物类型标准的40%</w:t>
            </w:r>
            <w:r>
              <w:rPr>
                <w:rFonts w:hint="eastAsia" w:ascii="Times New Roman" w:hAnsi="宋体" w:eastAsia="宋体" w:cs="宋体"/>
                <w:bCs/>
                <w:color w:val="000000" w:themeColor="text1"/>
                <w:highlight w:val="none"/>
                <w14:textFill>
                  <w14:solidFill>
                    <w14:schemeClr w14:val="tx1"/>
                  </w14:solidFill>
                </w14:textFill>
              </w:rPr>
              <w:t xml:space="preserve">一次性足额向采购代理机构缴纳采购代理服务费用。</w:t>
            </w:r>
            <w:r/>
          </w:p>
          <w:tbl>
            <w:tblPr>
              <w:tblStyle w:val="8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780"/>
              <w:gridCol w:w="992"/>
              <w:gridCol w:w="992"/>
              <w:gridCol w:w="992"/>
            </w:tblGrid>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中标金额（万元）</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货物招标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服务招标</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jc w:val="left"/>
                    <w:rPr>
                      <w:rFonts w:hint="eastAsia" w:asciiTheme="minorEastAsia" w:hAnsiTheme="minorEastAsia" w:eastAsiaTheme="minorEastAsia" w:cstheme="minorEastAsia"/>
                      <w:bCs/>
                      <w:color w:val="000000" w:themeColor="text1"/>
                      <w:highlight w:val="none"/>
                      <w14:textFill>
                        <w14:solidFill>
                          <w14:schemeClr w14:val="tx1"/>
                        </w14:solidFill>
                      </w14:textFill>
                    </w:rPr>
                  </w:pPr>
                  <w:r>
                    <w:rPr>
                      <w:rFonts w:hint="eastAsia" w:asciiTheme="minorEastAsia" w:hAnsiTheme="minorEastAsia" w:eastAsiaTheme="minorEastAsia" w:cstheme="minorEastAsia"/>
                      <w:bCs/>
                      <w:color w:val="000000" w:themeColor="text1"/>
                      <w:highlight w:val="none"/>
                      <w14:textFill>
                        <w14:solidFill>
                          <w14:schemeClr w14:val="tx1"/>
                        </w14:solidFill>
                      </w14:textFill>
                    </w:rPr>
                    <w:t xml:space="preserve">工程招标</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100以下</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100-500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0.7%</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500-1000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0.8%</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0.45%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0.55%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1000-5000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0.35%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5000-10000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0.2%</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10000-100000</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0.05%</w:t>
                  </w:r>
                  <w:r/>
                </w:p>
              </w:tc>
            </w:tr>
            <w:tr>
              <w:trPr/>
              <w:tc>
                <w:tcPr>
                  <w:tcBorders>
                    <w:top w:val="single" w:color="000000" w:sz="4" w:space="0"/>
                    <w:left w:val="single" w:color="000000" w:sz="4" w:space="0"/>
                    <w:bottom w:val="single" w:color="000000" w:sz="4" w:space="0"/>
                    <w:right w:val="single" w:color="000000" w:sz="4" w:space="0"/>
                  </w:tcBorders>
                  <w:tcMar>
                    <w:left w:w="108" w:type="dxa"/>
                    <w:right w:w="108" w:type="dxa"/>
                  </w:tcMar>
                  <w:tcW w:w="1781"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1000000以上</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992"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0.01%</w:t>
                  </w:r>
                  <w:r/>
                </w:p>
              </w:tc>
            </w:tr>
            <w:tr>
              <w:trPr/>
              <w:tc>
                <w:tcPr>
                  <w:gridSpan w:val="4"/>
                  <w:tcBorders>
                    <w:top w:val="single" w:color="000000" w:sz="4" w:space="0"/>
                    <w:left w:val="single" w:color="000000" w:sz="4" w:space="0"/>
                    <w:bottom w:val="single" w:color="000000" w:sz="4" w:space="0"/>
                    <w:right w:val="single" w:color="000000" w:sz="4" w:space="0"/>
                  </w:tcBorders>
                  <w:tcMar>
                    <w:left w:w="108" w:type="dxa"/>
                    <w:right w:w="108" w:type="dxa"/>
                  </w:tcMar>
                  <w:tcW w:w="4757" w:type="dxa"/>
                  <w:vAlign w:val="center"/>
                  <w:textDirection w:val="lrTb"/>
                  <w:noWrap w:val="false"/>
                </w:tcPr>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说明：招标代理服务收费按差额定律累进法计算。</w:t>
                  </w:r>
                  <w:r/>
                </w:p>
              </w:tc>
            </w:tr>
          </w:tbl>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ascii="Times New Roman" w:hAnsi="宋体" w:eastAsia="宋体" w:cs="宋体"/>
                <w:bCs/>
                <w:color w:val="000000" w:themeColor="text1"/>
                <w:highlight w:val="none"/>
                <w14:textFill>
                  <w14:solidFill>
                    <w14:schemeClr w14:val="tx1"/>
                  </w14:solidFill>
                </w14:textFill>
              </w:rPr>
              <w:t xml:space="preserve">4</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确定标准的依据:《政府采购代理机构管理暂行办法》(财库(2018)2号)、《江苏省政府采购代理服务收费指导意见》(苏政采协[2024]20号)、《关于进一步规范政府采购活动相关费用管理的通知》</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苏财规〔2026〕1号</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本项目委托代理协议。</w:t>
            </w:r>
            <w:r/>
          </w:p>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ascii="Times New Roman" w:hAnsi="宋体" w:eastAsia="宋体" w:cs="宋体"/>
                <w:bCs/>
                <w:color w:val="000000" w:themeColor="text1"/>
                <w:highlight w:val="none"/>
                <w14:textFill>
                  <w14:solidFill>
                    <w14:schemeClr w14:val="tx1"/>
                  </w14:solidFill>
                </w14:textFill>
              </w:rPr>
              <w:t xml:space="preserve">5.代理服务费汇入账户：</w:t>
            </w:r>
            <w:r/>
          </w:p>
          <w:p>
            <w:pPr>
              <w:jc w:val="left"/>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收款人：江苏省招标中心有限公司</w:t>
            </w:r>
            <w:r/>
          </w:p>
          <w:p>
            <w:pPr>
              <w:jc w:val="left"/>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人民币帐号为：7321810182600023404</w:t>
            </w:r>
            <w:r/>
          </w:p>
          <w:p>
            <w:pPr>
              <w:pStyle w:val="875"/>
              <w:spacing w:line="360" w:lineRule="auto"/>
              <w:rPr>
                <w:rFonts w:hint="eastAsia" w:hAnsi="宋体" w:cs="宋体"/>
                <w:bCs/>
                <w:color w:val="000000" w:themeColor="text1"/>
                <w:highlight w:val="none"/>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开户银行：中信银行南京江苏路支行</w:t>
            </w:r>
            <w:r/>
          </w:p>
        </w:tc>
      </w:tr>
      <w:tr>
        <w:trPr>
          <w:jc w:val="center"/>
          <w:trHeight w:val="600"/>
        </w:trPr>
        <w:tc>
          <w:tcPr>
            <w:tcW w:w="675" w:type="dxa"/>
            <w:vAlign w:val="center"/>
            <w:vMerge w:val="restart"/>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w:t>
            </w:r>
            <w:r/>
          </w:p>
        </w:tc>
        <w:tc>
          <w:tcPr>
            <w:tcW w:w="850" w:type="dxa"/>
            <w:vAlign w:val="center"/>
            <w:vMerge w:val="restart"/>
            <w:textDirection w:val="lrTb"/>
            <w:noWrap w:val="false"/>
          </w:tcPr>
          <w:p>
            <w:pPr>
              <w:pStyle w:val="1127"/>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39.1</w:t>
            </w:r>
            <w:r/>
          </w:p>
        </w:tc>
        <w:tc>
          <w:tcPr>
            <w:tcW w:w="2835" w:type="dxa"/>
            <w:vAlign w:val="center"/>
            <w:vMerge w:val="restart"/>
            <w:textDirection w:val="lrTb"/>
            <w:noWrap w:val="false"/>
          </w:tcPr>
          <w:p>
            <w:pPr>
              <w:pStyle w:val="1127"/>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其他规定</w:t>
            </w:r>
            <w:r/>
          </w:p>
        </w:tc>
        <w:tc>
          <w:tcPr>
            <w:tcW w:w="4982" w:type="dxa"/>
            <w:vAlign w:val="center"/>
            <w:textDirection w:val="lrTb"/>
            <w:noWrap w:val="false"/>
          </w:tcPr>
          <w:p>
            <w:pPr>
              <w:pStyle w:val="875"/>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采购项目类型：货物</w:t>
            </w:r>
            <w:r/>
          </w:p>
        </w:tc>
      </w:tr>
      <w:tr>
        <w:trPr>
          <w:jc w:val="center"/>
          <w:trHeight w:val="552"/>
        </w:trPr>
        <w:tc>
          <w:tcPr>
            <w:tcW w:w="675" w:type="dxa"/>
            <w:vAlign w:val="center"/>
            <w:vMerge w:val="continue"/>
            <w:textDirection w:val="lrTb"/>
            <w:noWrap w:val="false"/>
          </w:tcPr>
          <w:p>
            <w:pPr>
              <w:pStyle w:val="1127"/>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127"/>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127"/>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875"/>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标的对应的中小企业划分标准所属行业：工业</w:t>
            </w:r>
            <w:r/>
          </w:p>
        </w:tc>
      </w:tr>
      <w:tr>
        <w:trPr>
          <w:jc w:val="center"/>
          <w:trHeight w:val="656"/>
        </w:trPr>
        <w:tc>
          <w:tcPr>
            <w:tcW w:w="675" w:type="dxa"/>
            <w:vAlign w:val="center"/>
            <w:vMerge w:val="continue"/>
            <w:textDirection w:val="lrTb"/>
            <w:noWrap w:val="false"/>
          </w:tcPr>
          <w:p>
            <w:pPr>
              <w:pStyle w:val="1127"/>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127"/>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127"/>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12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其他规定：</w:t>
            </w:r>
            <w:r>
              <w:rPr>
                <w:rFonts w:hint="eastAsia" w:hAnsi="宋体" w:cs="宋体"/>
                <w:color w:val="000000" w:themeColor="text1"/>
                <w:sz w:val="21"/>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val="false"/>
          </w:tcPr>
          <w:p>
            <w:pPr>
              <w:pStyle w:val="1127"/>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127"/>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127"/>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12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信用承诺相关规定</w:t>
            </w:r>
            <w:r/>
          </w:p>
          <w:p>
            <w:pPr>
              <w:pStyle w:val="112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w:t>
            </w:r>
            <w:bookmarkStart w:id="34" w:name="_Hlk156831468"/>
            <w:r>
              <w:rPr>
                <w:rFonts w:hint="eastAsia" w:hAnsi="宋体" w:cs="宋体"/>
                <w:bCs/>
                <w:color w:val="000000" w:themeColor="text1"/>
                <w:sz w:val="21"/>
                <w:highlight w:val="none"/>
                <w14:textFill>
                  <w14:solidFill>
                    <w14:schemeClr w14:val="tx1"/>
                  </w14:solidFill>
                </w14:textFill>
              </w:rPr>
              <w:t xml:space="preserve">根据《关于在政府采购活动中推行信用承诺制的通知》（宁财购通〔2021〕5 号）的规定</w:t>
            </w:r>
            <w:bookmarkEnd w:id="34"/>
            <w:r>
              <w:rPr>
                <w:rFonts w:hint="eastAsia" w:hAnsi="宋体" w:cs="宋体"/>
                <w:bCs/>
                <w:color w:val="000000" w:themeColor="text1"/>
                <w:sz w:val="21"/>
                <w:highlight w:val="none"/>
                <w14:textFill>
                  <w14:solidFill>
                    <w14:schemeClr w14:val="tx1"/>
                  </w14:solidFill>
                </w14:textFill>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112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112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（3）供应商涉及以下情形的，不适用信用承诺，仍须提供上述证明材料：</w:t>
            </w:r>
            <w:r/>
          </w:p>
          <w:p>
            <w:pPr>
              <w:pStyle w:val="112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①供应商被列入严重失信主体名单； </w:t>
            </w:r>
            <w:r/>
          </w:p>
          <w:p>
            <w:pPr>
              <w:pStyle w:val="112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②被相关监管部门作出行政处罚且尚在处罚有效期内；</w:t>
            </w:r>
            <w:r/>
          </w:p>
          <w:p>
            <w:pPr>
              <w:pStyle w:val="112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③其他法律、行政法规规定的不适用信用承诺的情形。</w:t>
            </w:r>
            <w:r/>
          </w:p>
          <w:p>
            <w:pPr>
              <w:pStyle w:val="112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（4）供应商对信用承诺内容的真实性、合法性、有效性负责。如作出虚假信用承诺，视同为“提供虚假材料谋取中标、成交”的违法行为。</w:t>
            </w:r>
            <w:r/>
          </w:p>
        </w:tc>
      </w:tr>
      <w:tr>
        <w:trPr>
          <w:jc w:val="center"/>
          <w:trHeight w:val="656"/>
        </w:trPr>
        <w:tc>
          <w:tcPr>
            <w:tcW w:w="675" w:type="dxa"/>
            <w:vAlign w:val="center"/>
            <w:vMerge w:val="continue"/>
            <w:textDirection w:val="lrTb"/>
            <w:noWrap w:val="false"/>
          </w:tcPr>
          <w:p>
            <w:pPr>
              <w:pStyle w:val="1127"/>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127"/>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127"/>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112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对本国产品的支持政策：</w:t>
            </w:r>
            <w:r/>
          </w:p>
          <w:p>
            <w:pPr>
              <w:pStyle w:val="112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1.政府采购活动中既有本国产品又有非本国产品参与竞争的，依法对本国产品给予价格评审优惠，对本国产品的报价给予20%的价格扣除，用扣除后的价格参与评审。</w:t>
            </w:r>
            <w:r/>
          </w:p>
          <w:p>
            <w:pPr>
              <w:pStyle w:val="112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12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27"/>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注：</w:t>
            </w:r>
            <w:r/>
          </w:p>
          <w:p>
            <w:pPr>
              <w:pStyle w:val="1127"/>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127"/>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r>
        <w:trPr>
          <w:jc w:val="center"/>
          <w:trHeight w:val="656"/>
        </w:trPr>
        <w:tc>
          <w:tcPr>
            <w:tcW w:w="675" w:type="dxa"/>
            <w:vAlign w:val="center"/>
            <w:vMerge w:val="continue"/>
            <w:textDirection w:val="lrTb"/>
            <w:noWrap w:val="false"/>
          </w:tcPr>
          <w:p>
            <w:pPr>
              <w:pStyle w:val="1127"/>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val="false"/>
          </w:tcPr>
          <w:p>
            <w:pPr>
              <w:pStyle w:val="1127"/>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val="false"/>
          </w:tcPr>
          <w:p>
            <w:pPr>
              <w:pStyle w:val="1127"/>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val="false"/>
          </w:tcPr>
          <w:p>
            <w:pPr>
              <w:pStyle w:val="875"/>
              <w:jc w:val="both"/>
              <w:keepLines w:val="0"/>
              <w:keepNext w:val="0"/>
              <w:pageBreakBefore w:val="0"/>
              <w:spacing w:after="0" w:line="360" w:lineRule="auto"/>
              <w:widowControl w:val="off"/>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异常低价审查：</w:t>
            </w:r>
            <w:r/>
          </w:p>
          <w:p>
            <w:pPr>
              <w:pStyle w:val="1127"/>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（一）政府采购评审中出现下列情形之一的，评审委员会应当启动异常低价投标（响应）审查程序：</w:t>
            </w:r>
            <w:r/>
          </w:p>
          <w:p>
            <w:pPr>
              <w:pStyle w:val="1127"/>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1127"/>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1127"/>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3.投标（响应）报价低于采购项目最高限价45%的，即投标（响应）报价&lt;采购项目最高限价×45%；</w:t>
            </w:r>
            <w:r/>
          </w:p>
          <w:p>
            <w:pPr>
              <w:pStyle w:val="1127"/>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4.评审委员会基于专业判断，认为供应商报价过低，有可能影响产品质量或者不能诚信履约的其他情形。</w:t>
            </w:r>
            <w:r/>
          </w:p>
          <w:p>
            <w:pPr>
              <w:pStyle w:val="1127"/>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27"/>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27"/>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27"/>
              <w:spacing w:line="360" w:lineRule="auto"/>
              <w:rPr>
                <w:rFonts w:hint="eastAsia" w:hAnsi="宋体" w:cs="宋体"/>
                <w:b/>
                <w:color w:val="000000" w:themeColor="text1"/>
                <w:sz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75"/>
        <w:ind w:firstLine="1633"/>
        <w:spacing w:line="360" w:lineRule="auto"/>
        <w:rPr>
          <w:rFonts w:hint="eastAsia" w:hAnsi="宋体" w:cs="宋体"/>
          <w:b/>
          <w:bCs/>
          <w:color w:val="000000" w:themeColor="text1"/>
          <w:spacing w:val="100"/>
          <w:sz w:val="72"/>
          <w:highlight w:val="none"/>
          <w14:textFill>
            <w14:solidFill>
              <w14:schemeClr w14:val="tx1"/>
            </w14:solidFill>
          </w14:textFill>
        </w:rPr>
        <w:sectPr>
          <w:footerReference w:type="default" r:id="rId14"/>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hAnsi="宋体" w:cs="宋体"/>
          <w:b/>
          <w:bCs/>
          <w:color w:val="000000" w:themeColor="text1"/>
          <w:spacing w:val="100"/>
          <w:sz w:val="72"/>
          <w:highlight w:val="none"/>
          <w14:textFill>
            <w14:solidFill>
              <w14:schemeClr w14:val="tx1"/>
            </w14:solidFill>
          </w14:textFill>
        </w:rPr>
      </w:r>
      <w:r/>
    </w:p>
    <w:p>
      <w:pPr>
        <w:pStyle w:val="893"/>
        <w:ind w:firstLine="569"/>
        <w:rPr>
          <w:rFonts w:hint="eastAsia" w:ascii="宋体" w:hAnsi="宋体" w:cs="宋体"/>
          <w:color w:val="000000" w:themeColor="text1"/>
          <w:highlight w:val="none"/>
          <w14:textFill>
            <w14:solidFill>
              <w14:schemeClr w14:val="tx1"/>
            </w14:solidFill>
          </w14:textFill>
        </w:rPr>
      </w:pPr>
      <w:r/>
      <w:bookmarkStart w:id="35" w:name="_Toc103848526"/>
      <w:r/>
      <w:bookmarkStart w:id="36" w:name="_Toc104560837"/>
      <w:r/>
      <w:bookmarkStart w:id="37" w:name="_Toc100905199"/>
      <w:r/>
      <w:bookmarkStart w:id="38" w:name="_Toc107246213"/>
      <w:r>
        <w:rPr>
          <w:rFonts w:hint="eastAsia" w:ascii="宋体" w:hAnsi="宋体" w:cs="宋体"/>
          <w:color w:val="000000" w:themeColor="text1"/>
          <w:highlight w:val="none"/>
          <w14:textFill>
            <w14:solidFill>
              <w14:schemeClr w14:val="tx1"/>
            </w14:solidFill>
          </w14:textFill>
        </w:rPr>
        <w:t xml:space="preserve">投标人须知</w:t>
      </w:r>
      <w:bookmarkEnd w:id="35"/>
      <w:r/>
      <w:bookmarkEnd w:id="36"/>
      <w:r/>
      <w:bookmarkEnd w:id="37"/>
      <w:r/>
      <w:bookmarkEnd w:id="38"/>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39" w:name="_Toc80264706"/>
      <w:r/>
      <w:bookmarkStart w:id="40" w:name="_Toc107246214"/>
      <w:r>
        <w:rPr>
          <w:rFonts w:hint="eastAsia" w:ascii="宋体" w:hAnsi="宋体" w:cs="宋体"/>
          <w:color w:val="000000" w:themeColor="text1"/>
          <w:highlight w:val="none"/>
          <w14:textFill>
            <w14:solidFill>
              <w14:schemeClr w14:val="tx1"/>
            </w14:solidFill>
          </w14:textFill>
        </w:rPr>
        <w:t xml:space="preserve">一．</w:t>
      </w:r>
      <w:bookmarkEnd w:id="39"/>
      <w:r>
        <w:rPr>
          <w:rFonts w:hint="eastAsia" w:ascii="宋体" w:hAnsi="宋体" w:cs="宋体"/>
          <w:color w:val="000000" w:themeColor="text1"/>
          <w:highlight w:val="none"/>
          <w14:textFill>
            <w14:solidFill>
              <w14:schemeClr w14:val="tx1"/>
            </w14:solidFill>
          </w14:textFill>
        </w:rPr>
        <w:t xml:space="preserve">总则</w:t>
      </w:r>
      <w:bookmarkEnd w:id="40"/>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1" w:name="_Toc107246215"/>
      <w:r/>
      <w:bookmarkStart w:id="42" w:name="_Toc96347862"/>
      <w:r/>
      <w:bookmarkStart w:id="43" w:name="_Toc100905201"/>
      <w:r/>
      <w:bookmarkStart w:id="44" w:name="_Toc104560839"/>
      <w:r/>
      <w:bookmarkStart w:id="45" w:name="_Toc103848528"/>
      <w:r>
        <w:rPr>
          <w:rFonts w:hint="eastAsia" w:ascii="宋体" w:hAnsi="宋体" w:cs="宋体"/>
          <w:color w:val="000000" w:themeColor="text1"/>
          <w:highlight w:val="none"/>
          <w14:textFill>
            <w14:solidFill>
              <w14:schemeClr w14:val="tx1"/>
            </w14:solidFill>
          </w14:textFill>
        </w:rPr>
        <w:t xml:space="preserve">1.采购方式</w:t>
      </w:r>
      <w:bookmarkEnd w:id="41"/>
      <w:r/>
      <w:bookmarkEnd w:id="42"/>
      <w:r/>
      <w:bookmarkEnd w:id="43"/>
      <w:r/>
      <w:bookmarkEnd w:id="44"/>
      <w:r/>
      <w:bookmarkEnd w:id="4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1.1本次招标采取公开招标方式，本招标文件仅适用于招标公告中所述项目。</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6" w:name="_Toc100905202"/>
      <w:r/>
      <w:bookmarkStart w:id="47" w:name="_Toc104560840"/>
      <w:r/>
      <w:bookmarkStart w:id="48" w:name="_Toc107246216"/>
      <w:r/>
      <w:bookmarkStart w:id="49" w:name="_Toc96347863"/>
      <w:r/>
      <w:bookmarkStart w:id="50" w:name="_Toc103848529"/>
      <w:r>
        <w:rPr>
          <w:rFonts w:hint="eastAsia" w:ascii="宋体" w:hAnsi="宋体" w:cs="宋体"/>
          <w:color w:val="000000" w:themeColor="text1"/>
          <w:highlight w:val="none"/>
          <w14:textFill>
            <w14:solidFill>
              <w14:schemeClr w14:val="tx1"/>
            </w14:solidFill>
          </w14:textFill>
        </w:rPr>
        <w:t xml:space="preserve">2.定义</w:t>
      </w:r>
      <w:bookmarkEnd w:id="46"/>
      <w:r/>
      <w:bookmarkEnd w:id="47"/>
      <w:r/>
      <w:bookmarkEnd w:id="48"/>
      <w:r/>
      <w:bookmarkEnd w:id="49"/>
      <w:r/>
      <w:bookmarkEnd w:id="50"/>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采购代理机构</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2.3“采购方”是指采购人和</w:t>
      </w:r>
      <w:r>
        <w:rPr>
          <w:rFonts w:hint="eastAsia" w:ascii="宋体" w:hAnsi="宋体" w:cs="宋体"/>
          <w:color w:val="000000" w:themeColor="text1"/>
          <w:szCs w:val="21"/>
          <w:highlight w:val="none"/>
          <w14:textFill>
            <w14:solidFill>
              <w14:schemeClr w14:val="tx1"/>
            </w14:solidFill>
          </w14:textFill>
        </w:rPr>
        <w:t xml:space="preserve">采购代理机构的合称。</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中标供应商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评标委员会</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货物</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工程</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服务</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是指除货物和工程以外的其他政府采购对象。</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2.10</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节能产品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或者</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环保产品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进口产品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是指通过中国海关报关验放进入中国境内且产自关境外的产品。</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1" w:name="_Toc96347864"/>
      <w:r/>
      <w:bookmarkStart w:id="52" w:name="_Toc100905203"/>
      <w:r/>
      <w:bookmarkStart w:id="53" w:name="_Toc103848530"/>
      <w:r/>
      <w:bookmarkStart w:id="54" w:name="_Toc107246217"/>
      <w:r/>
      <w:bookmarkStart w:id="55" w:name="_Toc104560841"/>
      <w:r>
        <w:rPr>
          <w:rFonts w:hint="eastAsia" w:ascii="宋体" w:hAnsi="宋体" w:cs="宋体"/>
          <w:color w:val="000000" w:themeColor="text1"/>
          <w:highlight w:val="none"/>
          <w14:textFill>
            <w14:solidFill>
              <w14:schemeClr w14:val="tx1"/>
            </w14:solidFill>
          </w14:textFill>
        </w:rPr>
        <w:t xml:space="preserve">3.适用法律</w:t>
      </w:r>
      <w:bookmarkEnd w:id="51"/>
      <w:r/>
      <w:bookmarkEnd w:id="52"/>
      <w:r/>
      <w:bookmarkEnd w:id="53"/>
      <w:r/>
      <w:bookmarkEnd w:id="54"/>
      <w:r/>
      <w:bookmarkEnd w:id="5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56" w:name="_Toc100905204"/>
      <w:r>
        <w:rPr>
          <w:rFonts w:hint="eastAsia" w:ascii="宋体" w:hAnsi="宋体" w:cs="宋体"/>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7" w:name="_Toc103848531"/>
      <w:r/>
      <w:bookmarkStart w:id="58" w:name="_Toc104560842"/>
      <w:r/>
      <w:bookmarkStart w:id="59" w:name="_Toc107246218"/>
      <w:r>
        <w:rPr>
          <w:rFonts w:hint="eastAsia" w:ascii="宋体" w:hAnsi="宋体" w:cs="宋体"/>
          <w:color w:val="000000" w:themeColor="text1"/>
          <w:highlight w:val="none"/>
          <w14:textFill>
            <w14:solidFill>
              <w14:schemeClr w14:val="tx1"/>
            </w14:solidFill>
          </w14:textFill>
        </w:rPr>
        <w:t xml:space="preserve">4.</w:t>
      </w:r>
      <w:bookmarkEnd w:id="57"/>
      <w:r>
        <w:rPr>
          <w:rFonts w:hint="eastAsia" w:ascii="宋体" w:hAnsi="宋体" w:cs="宋体"/>
          <w:color w:val="000000" w:themeColor="text1"/>
          <w:highlight w:val="none"/>
          <w14:textFill>
            <w14:solidFill>
              <w14:schemeClr w14:val="tx1"/>
            </w14:solidFill>
          </w14:textFill>
        </w:rPr>
        <w:t xml:space="preserve">政府采购政策（包括但不限于下列具体政策要求）</w:t>
      </w:r>
      <w:bookmarkEnd w:id="58"/>
      <w:r/>
      <w:bookmarkEnd w:id="59"/>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4.1中小企业、监狱企业及残疾人福利性单位</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4.1.1中小企业定义：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4.1.1.1中小企业是</w:t>
      </w:r>
      <w:r>
        <w:rPr>
          <w:rFonts w:hint="eastAsia" w:ascii="宋体" w:hAnsi="宋体" w:cs="宋体"/>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4.2政府采购节能产品、环境标志产品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4.3信息安全产品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4.4未按要求提供相关材料的，不享受相关政策。</w:t>
      </w:r>
      <w:bookmarkEnd w:id="56"/>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60" w:name="_Toc100905205"/>
      <w:r/>
      <w:bookmarkStart w:id="61" w:name="_Toc103848532"/>
      <w:r/>
      <w:bookmarkStart w:id="62" w:name="_Toc96347865"/>
      <w:r/>
      <w:bookmarkStart w:id="63" w:name="_Toc107246219"/>
      <w:r/>
      <w:bookmarkStart w:id="64" w:name="_Toc104560843"/>
      <w:r>
        <w:rPr>
          <w:rFonts w:hint="eastAsia" w:ascii="宋体" w:hAnsi="宋体" w:cs="宋体"/>
          <w:color w:val="000000" w:themeColor="text1"/>
          <w:highlight w:val="none"/>
          <w14:textFill>
            <w14:solidFill>
              <w14:schemeClr w14:val="tx1"/>
            </w14:solidFill>
          </w14:textFill>
        </w:rPr>
        <w:t xml:space="preserve">5.相关费用</w:t>
      </w:r>
      <w:bookmarkEnd w:id="60"/>
      <w:r/>
      <w:bookmarkEnd w:id="61"/>
      <w:r/>
      <w:bookmarkEnd w:id="62"/>
      <w:r/>
      <w:bookmarkEnd w:id="63"/>
      <w:r/>
      <w:bookmarkEnd w:id="6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bookmarkStart w:id="65" w:name="_Toc80264707"/>
      <w:r>
        <w:rPr>
          <w:rFonts w:hint="eastAsia" w:ascii="宋体" w:hAnsi="宋体" w:cs="宋体"/>
          <w:color w:val="000000" w:themeColor="text1"/>
          <w:szCs w:val="21"/>
          <w:highlight w:val="none"/>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66" w:name="_Toc104560844"/>
      <w:r/>
      <w:bookmarkStart w:id="67" w:name="_Toc96347866"/>
      <w:r/>
      <w:bookmarkStart w:id="68" w:name="_Toc100905206"/>
      <w:r/>
      <w:bookmarkStart w:id="69" w:name="_Toc103848533"/>
      <w:r/>
      <w:bookmarkStart w:id="70" w:name="_Toc107246220"/>
      <w:r>
        <w:rPr>
          <w:rFonts w:hint="eastAsia" w:ascii="宋体" w:hAnsi="宋体" w:cs="宋体"/>
          <w:color w:val="000000" w:themeColor="text1"/>
          <w:highlight w:val="none"/>
          <w14:textFill>
            <w14:solidFill>
              <w14:schemeClr w14:val="tx1"/>
            </w14:solidFill>
          </w14:textFill>
        </w:rPr>
        <w:t xml:space="preserve">6.保密</w:t>
      </w:r>
      <w:bookmarkEnd w:id="66"/>
      <w:r/>
      <w:bookmarkEnd w:id="67"/>
      <w:r/>
      <w:bookmarkEnd w:id="68"/>
      <w:r/>
      <w:bookmarkEnd w:id="69"/>
      <w:r/>
      <w:bookmarkEnd w:id="70"/>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71" w:name="_Toc96347867"/>
      <w:r/>
      <w:bookmarkStart w:id="72" w:name="_Toc100905207"/>
      <w:r>
        <w:rPr>
          <w:rFonts w:hint="eastAsia" w:ascii="宋体" w:hAnsi="宋体" w:cs="宋体"/>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3" w:name="_Toc103848534"/>
      <w:r/>
      <w:bookmarkStart w:id="74" w:name="_Toc107246221"/>
      <w:r/>
      <w:bookmarkStart w:id="75" w:name="_Toc104560845"/>
      <w:r>
        <w:rPr>
          <w:rFonts w:hint="eastAsia" w:ascii="宋体" w:hAnsi="宋体" w:cs="宋体"/>
          <w:color w:val="000000" w:themeColor="text1"/>
          <w:highlight w:val="none"/>
          <w14:textFill>
            <w14:solidFill>
              <w14:schemeClr w14:val="tx1"/>
            </w14:solidFill>
          </w14:textFill>
        </w:rPr>
        <w:t xml:space="preserve">7.语言文字、计量单位</w:t>
      </w:r>
      <w:bookmarkEnd w:id="71"/>
      <w:r/>
      <w:bookmarkEnd w:id="72"/>
      <w:r/>
      <w:bookmarkEnd w:id="73"/>
      <w:r/>
      <w:bookmarkEnd w:id="74"/>
      <w:r/>
      <w:bookmarkEnd w:id="7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6" w:name="_Toc96347868"/>
      <w:r/>
      <w:bookmarkStart w:id="77" w:name="_Toc103848535"/>
      <w:r/>
      <w:bookmarkStart w:id="78" w:name="_Toc107246222"/>
      <w:r/>
      <w:bookmarkStart w:id="79" w:name="_Toc104560846"/>
      <w:r/>
      <w:bookmarkStart w:id="80" w:name="_Toc100905208"/>
      <w:r>
        <w:rPr>
          <w:rFonts w:hint="eastAsia" w:ascii="宋体" w:hAnsi="宋体" w:cs="宋体"/>
          <w:color w:val="000000" w:themeColor="text1"/>
          <w:highlight w:val="none"/>
          <w14:textFill>
            <w14:solidFill>
              <w14:schemeClr w14:val="tx1"/>
            </w14:solidFill>
          </w14:textFill>
        </w:rPr>
        <w:t xml:space="preserve">8.现场考察</w:t>
      </w:r>
      <w:bookmarkEnd w:id="76"/>
      <w:r/>
      <w:bookmarkEnd w:id="77"/>
      <w:r/>
      <w:bookmarkEnd w:id="78"/>
      <w:r/>
      <w:bookmarkEnd w:id="79"/>
      <w:r/>
      <w:bookmarkEnd w:id="80"/>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规定现场考察的，供应商须按照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8.2供应商不按照</w:t>
      </w:r>
      <w:r>
        <w:rPr>
          <w:rFonts w:hint="eastAsia" w:ascii="宋体" w:hAnsi="宋体" w:cs="宋体"/>
          <w:bCs/>
          <w:color w:val="000000" w:themeColor="text1"/>
          <w:szCs w:val="21"/>
          <w:highlight w:val="none"/>
          <w14:textFill>
            <w14:solidFill>
              <w14:schemeClr w14:val="tx1"/>
            </w14:solidFill>
          </w14:textFill>
        </w:rPr>
        <w:t xml:space="preserve">本须知的规定</w:t>
      </w:r>
      <w:r>
        <w:rPr>
          <w:rFonts w:hint="eastAsia" w:ascii="宋体" w:hAnsi="宋体" w:cs="宋体"/>
          <w:color w:val="000000" w:themeColor="text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1" w:name="_Toc102117275"/>
      <w:r/>
      <w:bookmarkStart w:id="82" w:name="_Toc107246223"/>
      <w:r>
        <w:rPr>
          <w:rFonts w:hint="eastAsia" w:ascii="宋体" w:hAnsi="宋体" w:cs="宋体"/>
          <w:color w:val="000000" w:themeColor="text1"/>
          <w:highlight w:val="none"/>
          <w14:textFill>
            <w14:solidFill>
              <w14:schemeClr w14:val="tx1"/>
            </w14:solidFill>
          </w14:textFill>
        </w:rPr>
        <w:t xml:space="preserve">9.开标前答疑会</w:t>
      </w:r>
      <w:bookmarkEnd w:id="81"/>
      <w:r/>
      <w:bookmarkEnd w:id="82"/>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规定召开开标前答疑会的，采购方按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规定的时间和地点召开开标前答疑会，澄清供应商提出的询问。</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9.2供应商应按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3" w:name="_Toc107246224"/>
      <w:r/>
      <w:bookmarkStart w:id="84" w:name="_Toc104560847"/>
      <w:r/>
      <w:bookmarkStart w:id="85" w:name="_Toc103848536"/>
      <w:r/>
      <w:bookmarkStart w:id="86" w:name="_Toc100905210"/>
      <w:r/>
      <w:bookmarkStart w:id="87" w:name="_Toc96347869"/>
      <w:r>
        <w:rPr>
          <w:rFonts w:hint="eastAsia" w:ascii="宋体" w:hAnsi="宋体" w:cs="宋体"/>
          <w:color w:val="000000" w:themeColor="text1"/>
          <w:szCs w:val="21"/>
          <w:highlight w:val="none"/>
          <w14:textFill>
            <w14:solidFill>
              <w14:schemeClr w14:val="tx1"/>
            </w14:solidFill>
          </w14:textFill>
        </w:rPr>
        <w:t xml:space="preserve">10.联合体投标</w:t>
      </w:r>
      <w:bookmarkEnd w:id="83"/>
      <w:r/>
      <w:bookmarkEnd w:id="84"/>
      <w:r/>
      <w:bookmarkEnd w:id="85"/>
      <w:r/>
      <w:bookmarkEnd w:id="86"/>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10.1本项目是否接受联合体形式参与详见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10.2供应商为联合体形式的，应遵守以下规定：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8" w:name="_Toc107246225"/>
      <w:r/>
      <w:bookmarkStart w:id="89" w:name="_Toc103848537"/>
      <w:r/>
      <w:bookmarkStart w:id="90" w:name="_Toc100905213"/>
      <w:r/>
      <w:bookmarkStart w:id="91" w:name="_Toc104560848"/>
      <w:r/>
      <w:bookmarkStart w:id="92" w:name="_Toc100905211"/>
      <w:r>
        <w:rPr>
          <w:rFonts w:hint="eastAsia" w:ascii="宋体" w:hAnsi="宋体" w:cs="宋体"/>
          <w:color w:val="000000" w:themeColor="text1"/>
          <w:highlight w:val="none"/>
          <w14:textFill>
            <w14:solidFill>
              <w14:schemeClr w14:val="tx1"/>
            </w14:solidFill>
          </w14:textFill>
        </w:rPr>
        <w:t xml:space="preserve">11.分包</w:t>
      </w:r>
      <w:bookmarkEnd w:id="88"/>
      <w:r/>
      <w:bookmarkEnd w:id="89"/>
      <w:r/>
      <w:bookmarkEnd w:id="90"/>
      <w:r/>
      <w:bookmarkEnd w:id="9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3" w:name="_Toc107246226"/>
      <w:r/>
      <w:bookmarkStart w:id="94" w:name="_Toc104560849"/>
      <w:r>
        <w:rPr>
          <w:rFonts w:hint="eastAsia" w:ascii="宋体" w:hAnsi="宋体" w:cs="宋体"/>
          <w:color w:val="000000" w:themeColor="text1"/>
          <w:highlight w:val="none"/>
          <w14:textFill>
            <w14:solidFill>
              <w14:schemeClr w14:val="tx1"/>
            </w14:solidFill>
          </w14:textFill>
        </w:rPr>
        <w:t xml:space="preserve">12.样品</w:t>
      </w:r>
      <w:bookmarkEnd w:id="93"/>
      <w:r/>
      <w:bookmarkEnd w:id="9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12.1本项目是否要求投标人提供样品，以及样品制作的标准和要求、是否需要随样品提交相关检测报告、样品的提交要求等详见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12.2样品的评审方法以及评审标准等内容见第五章《评标方法与评标标准》。</w:t>
      </w:r>
      <w:bookmarkEnd w:id="87"/>
      <w:r/>
      <w:bookmarkEnd w:id="92"/>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5" w:name="_Toc103848538"/>
      <w:r/>
      <w:bookmarkStart w:id="96" w:name="_Toc100905214"/>
      <w:r/>
      <w:bookmarkStart w:id="97" w:name="_Toc107246227"/>
      <w:r/>
      <w:bookmarkStart w:id="98" w:name="_Toc104560850"/>
      <w:r>
        <w:rPr>
          <w:rFonts w:hint="eastAsia" w:ascii="宋体" w:hAnsi="宋体" w:cs="宋体"/>
          <w:color w:val="000000" w:themeColor="text1"/>
          <w:highlight w:val="none"/>
          <w14:textFill>
            <w14:solidFill>
              <w14:schemeClr w14:val="tx1"/>
            </w14:solidFill>
          </w14:textFill>
        </w:rPr>
        <w:t xml:space="preserve">13.采购进口产品</w:t>
      </w:r>
      <w:bookmarkEnd w:id="95"/>
      <w:r/>
      <w:bookmarkEnd w:id="96"/>
      <w:r/>
      <w:bookmarkEnd w:id="97"/>
      <w:r/>
      <w:bookmarkEnd w:id="98"/>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13.1本项目是否采购进口产品及相关要求见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9" w:name="_Toc104560851"/>
      <w:r/>
      <w:bookmarkStart w:id="100" w:name="_Toc107246228"/>
      <w:r>
        <w:rPr>
          <w:rFonts w:hint="eastAsia" w:ascii="宋体" w:hAnsi="宋体" w:cs="宋体"/>
          <w:color w:val="000000" w:themeColor="text1"/>
          <w:highlight w:val="none"/>
          <w14:textFill>
            <w14:solidFill>
              <w14:schemeClr w14:val="tx1"/>
            </w14:solidFill>
          </w14:textFill>
        </w:rPr>
        <w:t xml:space="preserve">14.采购项目预算及最高限价</w:t>
      </w:r>
      <w:bookmarkEnd w:id="99"/>
      <w:r/>
      <w:bookmarkEnd w:id="100"/>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14.1本项目采购资金已列入政府采购预算，预算金额见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14.2本项目最高限价要求见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1" w:name="_Toc107246229"/>
      <w:r/>
      <w:bookmarkStart w:id="102" w:name="_Toc104560852"/>
      <w:r>
        <w:rPr>
          <w:rFonts w:hint="eastAsia" w:ascii="宋体" w:hAnsi="宋体" w:cs="宋体"/>
          <w:color w:val="000000" w:themeColor="text1"/>
          <w:highlight w:val="none"/>
          <w14:textFill>
            <w14:solidFill>
              <w14:schemeClr w14:val="tx1"/>
            </w14:solidFill>
          </w14:textFill>
        </w:rPr>
        <w:t xml:space="preserve">15.</w:t>
      </w:r>
      <w:r>
        <w:rPr>
          <w:rFonts w:hint="eastAsia" w:ascii="宋体" w:hAnsi="宋体" w:cs="宋体"/>
          <w:bCs w:val="0"/>
          <w:color w:val="000000" w:themeColor="text1"/>
          <w:szCs w:val="21"/>
          <w:highlight w:val="none"/>
          <w14:textFill>
            <w14:solidFill>
              <w14:schemeClr w14:val="tx1"/>
            </w14:solidFill>
          </w14:textFill>
        </w:rPr>
        <w:t xml:space="preserve"> 供应商</w:t>
      </w:r>
      <w:r>
        <w:rPr>
          <w:rFonts w:hint="eastAsia" w:ascii="宋体" w:hAnsi="宋体" w:cs="宋体"/>
          <w:color w:val="000000" w:themeColor="text1"/>
          <w:highlight w:val="none"/>
          <w14:textFill>
            <w14:solidFill>
              <w14:schemeClr w14:val="tx1"/>
            </w14:solidFill>
          </w14:textFill>
        </w:rPr>
        <w:t xml:space="preserve">资格条件</w:t>
      </w:r>
      <w:bookmarkEnd w:id="101"/>
      <w:r/>
      <w:bookmarkEnd w:id="102"/>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15.1</w:t>
      </w:r>
      <w:r>
        <w:rPr>
          <w:rFonts w:hint="eastAsia" w:ascii="宋体" w:hAnsi="宋体" w:cs="宋体"/>
          <w:bCs/>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资格条件见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3" w:name="_Toc107246230"/>
      <w:r>
        <w:rPr>
          <w:rFonts w:hint="eastAsia" w:ascii="宋体" w:hAnsi="宋体" w:cs="宋体"/>
          <w:color w:val="000000" w:themeColor="text1"/>
          <w:highlight w:val="none"/>
          <w14:textFill>
            <w14:solidFill>
              <w14:schemeClr w14:val="tx1"/>
            </w14:solidFill>
          </w14:textFill>
        </w:rPr>
        <w:t xml:space="preserve">二．招标文件</w:t>
      </w:r>
      <w:bookmarkEnd w:id="65"/>
      <w:r/>
      <w:bookmarkEnd w:id="103"/>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4" w:name="_Toc100905217"/>
      <w:r/>
      <w:bookmarkStart w:id="105" w:name="_Toc103848540"/>
      <w:r/>
      <w:bookmarkStart w:id="106" w:name="_Toc107246231"/>
      <w:r/>
      <w:bookmarkStart w:id="107" w:name="_Toc96347871"/>
      <w:r/>
      <w:bookmarkStart w:id="108" w:name="_Toc104560854"/>
      <w:r>
        <w:rPr>
          <w:rFonts w:hint="eastAsia" w:ascii="宋体" w:hAnsi="宋体" w:cs="宋体"/>
          <w:color w:val="000000" w:themeColor="text1"/>
          <w:highlight w:val="none"/>
          <w14:textFill>
            <w14:solidFill>
              <w14:schemeClr w14:val="tx1"/>
            </w14:solidFill>
          </w14:textFill>
        </w:rPr>
        <w:t xml:space="preserve">16.招标文件的构成</w:t>
      </w:r>
      <w:bookmarkEnd w:id="104"/>
      <w:r/>
      <w:bookmarkEnd w:id="105"/>
      <w:r/>
      <w:bookmarkEnd w:id="106"/>
      <w:r/>
      <w:bookmarkEnd w:id="107"/>
      <w:r/>
      <w:bookmarkEnd w:id="108"/>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16.1招标文件各章节的内容如下：</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第一章：招标公告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第二章：投标人须知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第三章：政府采购合同条款及格式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第四章：采购需求</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第五章：评标方法与评标标准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第六章：</w:t>
      </w:r>
      <w:bookmarkStart w:id="109" w:name="_Toc96347872"/>
      <w:r>
        <w:rPr>
          <w:rFonts w:hint="eastAsia" w:ascii="宋体" w:hAnsi="宋体" w:cs="宋体"/>
          <w:color w:val="000000" w:themeColor="text1"/>
          <w:szCs w:val="21"/>
          <w:highlight w:val="none"/>
          <w14:textFill>
            <w14:solidFill>
              <w14:schemeClr w14:val="tx1"/>
            </w14:solidFill>
          </w14:textFill>
        </w:rPr>
        <w:t xml:space="preserve">投标文件格式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对招标文件所作的澄清、修改，构成招标文件的组成部分。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如标书制作工具中格式和内容与“南京公共采购信息网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江苏政府采购网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中国政府采购网”发布的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文件不一致</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lang w:val="zh-CN"/>
          <w14:textFill>
            <w14:solidFill>
              <w14:schemeClr w14:val="tx1"/>
            </w14:solidFill>
          </w14:textFill>
        </w:rPr>
        <w:t xml:space="preserve">，以</w:t>
      </w:r>
      <w:r>
        <w:rPr>
          <w:rFonts w:hint="eastAsia" w:ascii="宋体" w:hAnsi="宋体" w:cs="宋体"/>
          <w:color w:val="000000" w:themeColor="text1"/>
          <w:szCs w:val="21"/>
          <w:highlight w:val="none"/>
          <w14:textFill>
            <w14:solidFill>
              <w14:schemeClr w14:val="tx1"/>
            </w14:solidFill>
          </w14:textFill>
        </w:rPr>
        <w:t xml:space="preserve">上述网站</w:t>
      </w:r>
      <w:r>
        <w:rPr>
          <w:rFonts w:hint="eastAsia" w:ascii="宋体" w:hAnsi="宋体" w:cs="宋体"/>
          <w:color w:val="000000" w:themeColor="text1"/>
          <w:szCs w:val="21"/>
          <w:highlight w:val="none"/>
          <w:lang w:val="zh-CN"/>
          <w14:textFill>
            <w14:solidFill>
              <w14:schemeClr w14:val="tx1"/>
            </w14:solidFill>
          </w14:textFill>
        </w:rPr>
        <w:t xml:space="preserve">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文件为准。</w:t>
      </w:r>
      <w:r/>
    </w:p>
    <w:p>
      <w:pPr>
        <w:ind w:firstLine="42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★招标文件中标注</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符号的条款为实质性要求条款（即重要条款）。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16.3</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承担。</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16.4本项目招标文件如包括多个分包，则除非特别说明，招标文件所列各项要求均为各分包通用要求。</w:t>
      </w:r>
      <w:bookmarkEnd w:id="109"/>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0" w:name="_Toc107246232"/>
      <w:r/>
      <w:bookmarkStart w:id="111" w:name="_Toc96347873"/>
      <w:r/>
      <w:bookmarkStart w:id="112" w:name="_Toc104560855"/>
      <w:r/>
      <w:bookmarkStart w:id="113" w:name="_Toc103848541"/>
      <w:r/>
      <w:bookmarkStart w:id="114" w:name="_Toc100905218"/>
      <w:r>
        <w:rPr>
          <w:rFonts w:hint="eastAsia" w:ascii="宋体" w:hAnsi="宋体" w:cs="宋体"/>
          <w:color w:val="000000" w:themeColor="text1"/>
          <w:highlight w:val="none"/>
          <w14:textFill>
            <w14:solidFill>
              <w14:schemeClr w14:val="tx1"/>
            </w14:solidFill>
          </w14:textFill>
        </w:rPr>
        <w:t xml:space="preserve">17.招标文件的澄清或者修改</w:t>
      </w:r>
      <w:bookmarkEnd w:id="110"/>
      <w:r/>
      <w:bookmarkEnd w:id="111"/>
      <w:r/>
      <w:bookmarkEnd w:id="112"/>
      <w:r/>
      <w:bookmarkEnd w:id="113"/>
      <w:r/>
      <w:bookmarkEnd w:id="11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115" w:name="_Toc100905219"/>
      <w:r>
        <w:rPr>
          <w:rFonts w:hint="eastAsia" w:ascii="宋体" w:hAnsi="宋体" w:cs="宋体"/>
          <w:color w:val="000000" w:themeColor="text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17.3投标人应在提交投标文件截止时间前，关注原公告媒体有关本项目的更正公告，根据更正公告内容自行决定是否需要重新制作和提交投标文件，并承担由此产生的相应责任。</w:t>
      </w:r>
      <w:bookmarkEnd w:id="115"/>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6" w:name="_Toc104560856"/>
      <w:r/>
      <w:bookmarkStart w:id="117" w:name="_Toc107246233"/>
      <w:r/>
      <w:bookmarkStart w:id="118" w:name="_Toc91836558"/>
      <w:r/>
      <w:bookmarkStart w:id="119" w:name="_Toc80264708"/>
      <w:r>
        <w:rPr>
          <w:rFonts w:hint="eastAsia" w:ascii="宋体" w:hAnsi="宋体" w:cs="宋体"/>
          <w:color w:val="000000" w:themeColor="text1"/>
          <w:highlight w:val="none"/>
          <w14:textFill>
            <w14:solidFill>
              <w14:schemeClr w14:val="tx1"/>
            </w14:solidFill>
          </w14:textFill>
        </w:rPr>
        <w:t xml:space="preserve">三．投标文件</w:t>
      </w:r>
      <w:bookmarkEnd w:id="116"/>
      <w:r/>
      <w:bookmarkEnd w:id="117"/>
      <w:r/>
      <w:bookmarkEnd w:id="118"/>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20" w:name="_Toc107246234"/>
      <w:r/>
      <w:bookmarkStart w:id="121" w:name="_Toc103848543"/>
      <w:r/>
      <w:bookmarkStart w:id="122" w:name="_Toc104560857"/>
      <w:r/>
      <w:bookmarkStart w:id="123" w:name="_Toc96347875"/>
      <w:r/>
      <w:bookmarkStart w:id="124" w:name="_Toc100905221"/>
      <w:r>
        <w:rPr>
          <w:rFonts w:hint="eastAsia" w:ascii="宋体" w:hAnsi="宋体" w:cs="宋体"/>
          <w:color w:val="000000" w:themeColor="text1"/>
          <w:highlight w:val="none"/>
          <w14:textFill>
            <w14:solidFill>
              <w14:schemeClr w14:val="tx1"/>
            </w14:solidFill>
          </w14:textFill>
        </w:rPr>
        <w:t xml:space="preserve">18.投标文件的组成</w:t>
      </w:r>
      <w:bookmarkEnd w:id="120"/>
      <w:r/>
      <w:bookmarkEnd w:id="121"/>
      <w:r/>
      <w:bookmarkEnd w:id="122"/>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18.2</w:t>
      </w:r>
      <w:r>
        <w:rPr>
          <w:rFonts w:hint="eastAsia" w:ascii="宋体" w:hAnsi="宋体" w:cs="宋体"/>
          <w:b/>
          <w:color w:val="000000" w:themeColor="text1"/>
          <w:sz w:val="22"/>
          <w:szCs w:val="22"/>
          <w:highlight w:val="none"/>
          <w14:textFill>
            <w14:solidFill>
              <w14:schemeClr w14:val="tx1"/>
            </w14:solidFill>
          </w14:textFill>
        </w:rPr>
        <w:t xml:space="preserve">投标文件的价格及商务部分，包括但不限于下列文件：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（7）投标人具备投标资格的证明文件（</w:t>
      </w:r>
      <w:r>
        <w:rPr>
          <w:rFonts w:hint="eastAsia" w:ascii="宋体" w:hAnsi="宋体" w:cs="宋体"/>
          <w:color w:val="000000" w:themeColor="text1"/>
          <w:highlight w:val="none"/>
          <w14:textFill>
            <w14:solidFill>
              <w14:schemeClr w14:val="tx1"/>
            </w14:solidFill>
          </w14:textFill>
        </w:rPr>
        <w:t xml:space="preserve">如为南京市政府采购项目，则投标人应按照公告要求提供</w:t>
      </w:r>
      <w:r>
        <w:rPr>
          <w:rFonts w:hint="eastAsia" w:ascii="宋体" w:hAnsi="宋体" w:cs="宋体"/>
          <w:color w:val="000000" w:themeColor="text1"/>
          <w:szCs w:val="21"/>
          <w:highlight w:val="none"/>
          <w14:textFill>
            <w14:solidFill>
              <w14:schemeClr w14:val="tx1"/>
            </w14:solidFill>
          </w14:textFill>
        </w:rPr>
        <w:t xml:space="preserve">）：</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（a）投标人为企业（包括合伙企业）的，应提供有效的“营业执照”。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（b）投标人为事业单位的，应提供有效的“事业单位法人证书”。</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（d）投标人是个体工商户的，应提供有效的“个体工商户营业执照”。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（e）投标人是自然人的，应提供有效的自然人身份证明。</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（7-2）财务报表，格式见附件。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（7-4）依法缴纳税收的相关材料，格式见附件。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（7-5）依法缴纳社会保障资金的相关材料，格式见附件。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（7-7）无不良信用记录承诺函（投标人自行查询适用），格式见附件。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（7-8）招标文件要求的其它实质性资格资信证明文件。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（8）《南京市政府采购供应商信用记录表暨信用承诺书》（如需）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（9）投标保证金（如需），格式见附件。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（10）联合体协议书（如需），格式见附件。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（11）分包意向协议（如需），格式见附件。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（12）公章授权书（如需），格式见附件。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（13）投标人参加远程异地开标仪式须知（如需），格式见附件。</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18.3</w:t>
      </w:r>
      <w:r>
        <w:rPr>
          <w:rFonts w:hint="eastAsia" w:ascii="宋体" w:hAnsi="宋体" w:cs="宋体"/>
          <w:b/>
          <w:color w:val="000000" w:themeColor="text1"/>
          <w:sz w:val="22"/>
          <w:szCs w:val="22"/>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（2）技术条款偏离表，格式见附件。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（3）投标人售后服务承诺（如需）。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（5）投标标的物符合招标文件规定的证明文件（如需）。</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18.4投标文件的其他部分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18.4.1投标文件的其他部分由投标人根据编制投标文件需要提供的其他相关文件组成。</w:t>
      </w:r>
      <w:r/>
    </w:p>
    <w:p>
      <w:pPr>
        <w:pStyle w:val="853"/>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5" w:name="_Toc104560858"/>
      <w:r/>
      <w:bookmarkStart w:id="126" w:name="_Toc107246235"/>
      <w:r>
        <w:rPr>
          <w:rFonts w:hint="eastAsia" w:ascii="宋体" w:hAnsi="宋体" w:cs="宋体"/>
          <w:color w:val="000000" w:themeColor="text1"/>
          <w:highlight w:val="none"/>
          <w14:textFill>
            <w14:solidFill>
              <w14:schemeClr w14:val="tx1"/>
            </w14:solidFill>
          </w14:textFill>
        </w:rPr>
        <w:t xml:space="preserve">19.投标文件编制的原则</w:t>
      </w:r>
      <w:bookmarkEnd w:id="125"/>
      <w:r/>
      <w:bookmarkEnd w:id="126"/>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19.1</w:t>
      </w:r>
      <w:r>
        <w:rPr>
          <w:rFonts w:hint="eastAsia" w:ascii="宋体" w:hAnsi="宋体" w:cs="宋体"/>
          <w:color w:val="000000" w:themeColor="text1"/>
          <w:szCs w:val="21"/>
          <w:highlight w:val="none"/>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19.2</w:t>
      </w:r>
      <w:r>
        <w:rPr>
          <w:rFonts w:hint="eastAsia" w:ascii="宋体" w:hAnsi="宋体" w:cs="宋体"/>
          <w:color w:val="000000" w:themeColor="text1"/>
          <w:szCs w:val="21"/>
          <w:highlight w:val="none"/>
          <w14:textFill>
            <w14:solidFill>
              <w14:schemeClr w14:val="tx1"/>
            </w14:solidFill>
          </w14:textFill>
        </w:rPr>
        <w:t xml:space="preserve">投标人必须保证投标文件所提供的全部资料真实可靠。</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19.3</w:t>
      </w:r>
      <w:r>
        <w:rPr>
          <w:rFonts w:hint="eastAsia" w:ascii="宋体" w:hAnsi="宋体" w:cs="宋体"/>
          <w:color w:val="000000" w:themeColor="text1"/>
          <w:szCs w:val="21"/>
          <w:highlight w:val="none"/>
          <w14:textFill>
            <w14:solidFill>
              <w14:schemeClr w14:val="tx1"/>
            </w14:solidFill>
          </w14:textFill>
        </w:rPr>
        <w:t xml:space="preserve">投标文件须对招标文件中的内容做出实质性和完整的响应。</w:t>
      </w:r>
      <w:r/>
    </w:p>
    <w:p>
      <w:pPr>
        <w:pStyle w:val="853"/>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7" w:name="_Toc107246236"/>
      <w:r>
        <w:rPr>
          <w:rFonts w:hint="eastAsia" w:ascii="宋体" w:hAnsi="宋体" w:cs="宋体"/>
          <w:color w:val="000000" w:themeColor="text1"/>
          <w:highlight w:val="none"/>
          <w14:textFill>
            <w14:solidFill>
              <w14:schemeClr w14:val="tx1"/>
            </w14:solidFill>
          </w14:textFill>
        </w:rPr>
        <w:t xml:space="preserve">20.投标报价</w:t>
      </w:r>
      <w:bookmarkEnd w:id="127"/>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20.1</w:t>
      </w:r>
      <w:r>
        <w:rPr>
          <w:rFonts w:hint="eastAsia" w:ascii="宋体" w:hAnsi="宋体" w:cs="宋体"/>
          <w:color w:val="000000" w:themeColor="text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20.2</w:t>
      </w:r>
      <w:r>
        <w:rPr>
          <w:rFonts w:hint="eastAsia" w:ascii="宋体" w:hAnsi="宋体" w:cs="宋体"/>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20.3</w:t>
      </w:r>
      <w:r>
        <w:rPr>
          <w:rFonts w:hint="eastAsia" w:ascii="宋体" w:hAnsi="宋体" w:cs="宋体"/>
          <w:color w:val="000000" w:themeColor="text1"/>
          <w:szCs w:val="21"/>
          <w:highlight w:val="none"/>
          <w14:textFill>
            <w14:solidFill>
              <w14:schemeClr w14:val="tx1"/>
            </w14:solidFill>
          </w14:textFill>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20.4投标人要按开标一览表、分项报价表的内容填写投标报价及其它事项。</w:t>
      </w:r>
      <w:r>
        <w:rPr>
          <w:rFonts w:hint="eastAsia" w:ascii="宋体" w:hAnsi="宋体" w:cs="宋体"/>
          <w:b/>
          <w:color w:val="000000" w:themeColor="text1"/>
          <w:szCs w:val="21"/>
          <w:highlight w:val="none"/>
          <w14:textFill>
            <w14:solidFill>
              <w14:schemeClr w14:val="tx1"/>
            </w14:solidFill>
          </w14:textFill>
        </w:rPr>
        <w:t xml:space="preserve">★开标一览表须加盖公章或电子公章。</w:t>
      </w:r>
      <w:r>
        <w:rPr>
          <w:rFonts w:hint="eastAsia" w:ascii="宋体" w:hAnsi="宋体" w:cs="宋体"/>
          <w:bCs/>
          <w:color w:val="000000" w:themeColor="text1"/>
          <w:szCs w:val="21"/>
          <w:highlight w:val="none"/>
          <w14:textFill>
            <w14:solidFill>
              <w14:schemeClr w14:val="tx1"/>
            </w14:solidFill>
          </w14:textFill>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20.5</w:t>
      </w:r>
      <w:r>
        <w:rPr>
          <w:rFonts w:hint="eastAsia" w:ascii="宋体" w:hAnsi="宋体" w:cs="宋体"/>
          <w:color w:val="000000" w:themeColor="text1"/>
          <w:szCs w:val="21"/>
          <w:highlight w:val="none"/>
          <w14:textFill>
            <w14:solidFill>
              <w14:schemeClr w14:val="tx1"/>
            </w14:solidFill>
          </w14:textFill>
        </w:rPr>
        <w:t xml:space="preserve">投标报价的其他要求见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bookmarkEnd w:id="123"/>
      <w:r/>
      <w:bookmarkEnd w:id="124"/>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28" w:name="_Toc107246237"/>
      <w:r/>
      <w:bookmarkStart w:id="129" w:name="_Toc103848545"/>
      <w:r/>
      <w:bookmarkStart w:id="130" w:name="_Toc100905224"/>
      <w:r/>
      <w:bookmarkStart w:id="131" w:name="_Toc104560859"/>
      <w:r/>
      <w:bookmarkStart w:id="132" w:name="_Toc100905223"/>
      <w:r/>
      <w:bookmarkStart w:id="133" w:name="_Toc103848544"/>
      <w:r/>
      <w:bookmarkStart w:id="134" w:name="_Toc96347878"/>
      <w:r>
        <w:rPr>
          <w:rFonts w:hint="eastAsia" w:ascii="宋体" w:hAnsi="宋体" w:cs="宋体"/>
          <w:color w:val="000000" w:themeColor="text1"/>
          <w:highlight w:val="none"/>
          <w14:textFill>
            <w14:solidFill>
              <w14:schemeClr w14:val="tx1"/>
            </w14:solidFill>
          </w14:textFill>
        </w:rPr>
        <w:t xml:space="preserve">21.投标有效期</w:t>
      </w:r>
      <w:bookmarkEnd w:id="128"/>
      <w:r/>
      <w:bookmarkEnd w:id="129"/>
      <w:r/>
      <w:bookmarkEnd w:id="130"/>
      <w:r/>
      <w:bookmarkEnd w:id="131"/>
      <w:r/>
      <w:r/>
    </w:p>
    <w:p>
      <w:pPr>
        <w:ind w:firstLine="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21.1投标有效期见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规定的投标截止之日起计算。</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35" w:name="_Toc107246238"/>
      <w:r/>
      <w:bookmarkStart w:id="136" w:name="_Toc104560860"/>
      <w:r>
        <w:rPr>
          <w:rFonts w:hint="eastAsia" w:ascii="宋体" w:hAnsi="宋体" w:cs="宋体"/>
          <w:color w:val="000000" w:themeColor="text1"/>
          <w:highlight w:val="none"/>
          <w14:textFill>
            <w14:solidFill>
              <w14:schemeClr w14:val="tx1"/>
            </w14:solidFill>
          </w14:textFill>
        </w:rPr>
        <w:t xml:space="preserve">22.投标保证金</w:t>
      </w:r>
      <w:bookmarkEnd w:id="132"/>
      <w:r/>
      <w:bookmarkEnd w:id="133"/>
      <w:r/>
      <w:bookmarkEnd w:id="134"/>
      <w:r/>
      <w:bookmarkEnd w:id="135"/>
      <w:r/>
      <w:bookmarkEnd w:id="136"/>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7" w:name="_Toc420487862"/>
      <w:r/>
      <w:bookmarkStart w:id="138" w:name="_Toc519241651"/>
      <w:r/>
      <w:bookmarkStart w:id="139" w:name="_Toc68159552"/>
      <w:r/>
      <w:bookmarkStart w:id="140" w:name="_Toc466452044"/>
      <w:r/>
      <w:bookmarkStart w:id="141" w:name="_Toc96347879"/>
      <w:r/>
      <w:bookmarkStart w:id="142" w:name="_Toc420657357"/>
      <w:r>
        <w:rPr>
          <w:rFonts w:hint="eastAsia" w:ascii="宋体" w:hAnsi="宋体" w:cs="宋体"/>
          <w:bCs/>
          <w:color w:val="000000" w:themeColor="text1"/>
          <w:szCs w:val="21"/>
          <w:highlight w:val="none"/>
          <w14:textFill>
            <w14:solidFill>
              <w14:schemeClr w14:val="tx1"/>
            </w14:solidFill>
          </w14:textFill>
        </w:rPr>
        <w:t xml:space="preserve">22.1本项目是否交纳投标保证金见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规定的投标截止时间前，向采购方提交</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规定的投标有效期一致。</w:t>
      </w:r>
      <w:r>
        <w:rPr>
          <w:rFonts w:hint="eastAsia" w:ascii="宋体" w:hAnsi="宋体" w:cs="宋体"/>
          <w:b/>
          <w:color w:val="000000" w:themeColor="text1"/>
          <w:szCs w:val="21"/>
          <w:highlight w:val="none"/>
          <w14:textFill>
            <w14:solidFill>
              <w14:schemeClr w14:val="tx1"/>
            </w14:solidFill>
          </w14:textFill>
        </w:rPr>
        <w:t xml:space="preserve">★投标人未按规定缴纳投标保证金的或</w:t>
      </w:r>
      <w:r>
        <w:rPr>
          <w:rFonts w:hint="eastAsia" w:ascii="宋体" w:hAnsi="宋体" w:cs="宋体"/>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22.6投标人有以下情形之一的，投标保证金可以不予退还（本款仅适用于要求递交投标保证金的项目）：</w:t>
      </w:r>
      <w:bookmarkEnd w:id="137"/>
      <w:r/>
      <w:bookmarkEnd w:id="138"/>
      <w:r/>
      <w:bookmarkEnd w:id="139"/>
      <w:r/>
      <w:bookmarkEnd w:id="140"/>
      <w:r/>
      <w:bookmarkEnd w:id="141"/>
      <w:r/>
      <w:bookmarkEnd w:id="142"/>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143" w:name="_Toc100905225"/>
      <w:r/>
      <w:bookmarkStart w:id="144" w:name="_Toc96347880"/>
      <w:r/>
      <w:bookmarkStart w:id="145" w:name="_Toc103848546"/>
      <w:r/>
      <w:bookmarkStart w:id="146" w:name="_Toc104560861"/>
      <w:r>
        <w:rPr>
          <w:rFonts w:hint="eastAsia" w:ascii="宋体" w:hAnsi="宋体" w:cs="宋体"/>
          <w:color w:val="000000" w:themeColor="text1"/>
          <w:szCs w:val="21"/>
          <w:highlight w:val="none"/>
          <w14:textFill>
            <w14:solidFill>
              <w14:schemeClr w14:val="tx1"/>
            </w14:solidFill>
          </w14:textFill>
        </w:rPr>
        <w:t xml:space="preserve">（1）投标人在招标文件规定的投标有效期内撤销其投标文件；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（2）投标人在投标文件中提供虚假材料的；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（3）投标人在本次采购活动中存在恶意串通行为的；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（6）招标文件规定的其他可以不予退还投标保证金的情形。</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47" w:name="_Toc107246239"/>
      <w:r>
        <w:rPr>
          <w:rFonts w:hint="eastAsia" w:ascii="宋体" w:hAnsi="宋体" w:cs="宋体"/>
          <w:color w:val="000000" w:themeColor="text1"/>
          <w:highlight w:val="none"/>
          <w14:textFill>
            <w14:solidFill>
              <w14:schemeClr w14:val="tx1"/>
            </w14:solidFill>
          </w14:textFill>
        </w:rPr>
        <w:t xml:space="preserve">23.投标文件的制作和签署</w:t>
      </w:r>
      <w:bookmarkEnd w:id="143"/>
      <w:r/>
      <w:bookmarkEnd w:id="144"/>
      <w:r/>
      <w:bookmarkEnd w:id="145"/>
      <w:r/>
      <w:bookmarkEnd w:id="146"/>
      <w:r/>
      <w:bookmarkEnd w:id="147"/>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48" w:name="_Toc107246240"/>
      <w:r>
        <w:rPr>
          <w:rFonts w:ascii="Microsoft New Tai Lue" w:hAnsi="Microsoft New Tai Lue" w:cs="Microsoft New Tai Lue"/>
          <w:bCs/>
          <w:color w:val="000000" w:themeColor="text1"/>
          <w:szCs w:val="21"/>
          <w:highlight w:val="none"/>
          <w14:textFill>
            <w14:solidFill>
              <w14:schemeClr w14:val="tx1"/>
            </w14:solidFill>
          </w14:textFill>
        </w:rPr>
        <w:t xml:space="preserve">23.1</w:t>
      </w:r>
      <w:r>
        <w:rPr>
          <w:rFonts w:ascii="Arial" w:hAnsi="Arial" w:cs="Arial"/>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Arial" w:hAnsi="Arial" w:cs="Arial"/>
          <w:color w:val="000000" w:themeColor="text1"/>
          <w:szCs w:val="21"/>
          <w:highlight w:val="none"/>
          <w:lang w:val="zh-CN"/>
          <w14:textFill>
            <w14:solidFill>
              <w14:schemeClr w14:val="tx1"/>
            </w14:solidFill>
          </w14:textFill>
        </w:rPr>
        <w:t xml:space="preserve">招标代理机构拒绝接收提交</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文件截止时间后上传的任何电子</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23.2</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投标文件</w:t>
      </w:r>
      <w:r>
        <w:rPr>
          <w:rFonts w:ascii="Microsoft New Tai Lue" w:hAnsi="Microsoft New Tai Lue" w:cs="Microsoft New Tai Lue"/>
          <w:b/>
          <w:bCs/>
          <w:color w:val="000000" w:themeColor="text1"/>
          <w:szCs w:val="21"/>
          <w:highlight w:val="none"/>
          <w14:textFill>
            <w14:solidFill>
              <w14:schemeClr w14:val="tx1"/>
            </w14:solidFill>
          </w14:textFill>
        </w:rPr>
        <w:t xml:space="preserve">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（单位</w:t>
      </w:r>
      <w:r>
        <w:rPr>
          <w:rFonts w:ascii="Microsoft New Tai Lue" w:hAnsi="Microsoft New Tai Lue" w:cs="Microsoft New Tai Lue"/>
          <w:b/>
          <w:bCs/>
          <w:color w:val="000000" w:themeColor="text1"/>
          <w:szCs w:val="21"/>
          <w:highlight w:val="none"/>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ascii="Microsoft New Tai Lue" w:hAnsi="Microsoft New Tai Lue" w:cs="Microsoft New Tai Lue"/>
          <w:b/>
          <w:bCs/>
          <w:color w:val="000000" w:themeColor="text1"/>
          <w:szCs w:val="21"/>
          <w:highlight w:val="none"/>
          <w14:textFill>
            <w14:solidFill>
              <w14:schemeClr w14:val="tx1"/>
            </w14:solidFill>
          </w14:textFill>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23.3投标文件规定盖章的地方，应盖单位公章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或电子公章</w:t>
      </w:r>
      <w:r>
        <w:rPr>
          <w:rFonts w:ascii="Microsoft New Tai Lue" w:hAnsi="Microsoft New Tai Lue" w:cs="Microsoft New Tai Lue"/>
          <w:bCs/>
          <w:color w:val="000000" w:themeColor="text1"/>
          <w:szCs w:val="21"/>
          <w:highlight w:val="none"/>
          <w14:textFill>
            <w14:solidFill>
              <w14:schemeClr w14:val="tx1"/>
            </w14:solidFill>
          </w14:textFill>
        </w:rPr>
        <w:t xml:space="preserve">（文件中的单位盖章、印章、公章等处均仅指与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3.4</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如投标过程中投标人使用其他形式的印章（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如</w:t>
      </w:r>
      <w:r>
        <w:rPr>
          <w:rFonts w:ascii="Microsoft New Tai Lue" w:hAnsi="Microsoft New Tai Lue" w:cs="Microsoft New Tai Lue"/>
          <w:b/>
          <w:color w:val="000000" w:themeColor="text1"/>
          <w:szCs w:val="21"/>
          <w:highlight w:val="none"/>
          <w14:textFill>
            <w14:solidFill>
              <w14:schemeClr w14:val="tx1"/>
            </w14:solidFill>
          </w14:textFill>
        </w:rPr>
        <w:t xml:space="preserve">带有“专用章”等字样的印章），须提供</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b/>
          <w:color w:val="000000" w:themeColor="text1"/>
          <w:highlight w:val="none"/>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格式</w:t>
      </w:r>
      <w:r>
        <w:rPr>
          <w:b/>
          <w:color w:val="000000" w:themeColor="text1"/>
          <w:highlight w:val="none"/>
          <w14:textFill>
            <w14:solidFill>
              <w14:schemeClr w14:val="tx1"/>
            </w14:solidFill>
          </w14:textFill>
        </w:rPr>
        <w:t xml:space="preserve">见</w:t>
      </w:r>
      <w:r>
        <w:rPr>
          <w:rFonts w:hint="eastAsia"/>
          <w:b/>
          <w:color w:val="000000" w:themeColor="text1"/>
          <w:highlight w:val="none"/>
          <w14:textFill>
            <w14:solidFill>
              <w14:schemeClr w14:val="tx1"/>
            </w14:solidFill>
          </w14:textFill>
        </w:rPr>
        <w:t xml:space="preserve">后</w:t>
      </w:r>
      <w:r>
        <w:rPr>
          <w:b/>
          <w:color w:val="000000" w:themeColor="text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，明确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针对本次项目，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我单位</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专用章作为直接参与投标时相关文件的签章，其效力等同于公章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ascii="Microsoft New Tai Lue" w:hAnsi="Microsoft New Tai Lue" w:cs="Microsoft New Tai Lue"/>
          <w:b/>
          <w:color w:val="000000" w:themeColor="text1"/>
          <w:szCs w:val="21"/>
          <w:highlight w:val="none"/>
          <w14:textFill>
            <w14:solidFill>
              <w14:schemeClr w14:val="tx1"/>
            </w14:solidFill>
          </w14:textFill>
        </w:rPr>
        <w:t xml:space="preserve">须同时加盖投标人公章及</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本次投标使用的</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，否则不予认可</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p>
    <w:p>
      <w:pPr>
        <w:ind w:firstLine="420"/>
        <w:spacing w:before="156" w:after="40"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23.5除</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方有效</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四．投标文件的递交</w:t>
      </w:r>
      <w:bookmarkEnd w:id="148"/>
      <w:r/>
      <w:r/>
    </w:p>
    <w:p>
      <w:pPr>
        <w:pStyle w:val="853"/>
        <w:ind w:left="0" w:right="210" w:firstLine="373"/>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149" w:name="_Toc103848548"/>
      <w:r/>
      <w:bookmarkStart w:id="150" w:name="_Toc107246241"/>
      <w:r/>
      <w:bookmarkStart w:id="151" w:name="_Toc100905226"/>
      <w:r/>
      <w:bookmarkStart w:id="152" w:name="_Toc96347881"/>
      <w:r/>
      <w:bookmarkStart w:id="153" w:name="_Toc104560863"/>
      <w:r>
        <w:rPr>
          <w:rFonts w:hint="eastAsia" w:ascii="宋体" w:hAnsi="宋体" w:cs="宋体"/>
          <w:color w:val="000000" w:themeColor="text1"/>
          <w:highlight w:val="none"/>
          <w14:textFill>
            <w14:solidFill>
              <w14:schemeClr w14:val="tx1"/>
            </w14:solidFill>
          </w14:textFill>
        </w:rPr>
        <w:t xml:space="preserve">24.</w:t>
      </w:r>
      <w:bookmarkEnd w:id="149"/>
      <w:r/>
      <w:bookmarkEnd w:id="150"/>
      <w:r/>
      <w:bookmarkEnd w:id="151"/>
      <w:r/>
      <w:bookmarkEnd w:id="152"/>
      <w:r/>
      <w:bookmarkEnd w:id="153"/>
      <w:r>
        <w:rPr>
          <w:rFonts w:hint="eastAsia" w:ascii="Microsoft New Tai Lue" w:hAnsi="Microsoft New Tai Lue" w:cs="Microsoft New Tai Lue"/>
          <w:bCs w:val="0"/>
          <w:color w:val="000000" w:themeColor="text1"/>
          <w:szCs w:val="21"/>
          <w:highlight w:val="none"/>
          <w14:textFill>
            <w14:solidFill>
              <w14:schemeClr w14:val="tx1"/>
            </w14:solidFill>
          </w14:textFill>
        </w:rPr>
        <w:t xml:space="preserve">投标文件的递交</w:t>
      </w:r>
      <w:bookmarkStart w:id="154" w:name="_Toc19963"/>
      <w:r/>
      <w:bookmarkStart w:id="155" w:name="_Toc46960670"/>
      <w:r/>
      <w:bookmarkStart w:id="156" w:name="_Toc48151397"/>
      <w:r/>
      <w:bookmarkStart w:id="157" w:name="_Toc51928343"/>
      <w:r/>
      <w:bookmarkStart w:id="158" w:name="_Toc11952"/>
      <w:r/>
      <w:bookmarkStart w:id="159" w:name="_Toc4536"/>
      <w:r/>
      <w:bookmarkStart w:id="160" w:name="_Toc46939510"/>
      <w:r/>
      <w:bookmarkStart w:id="161" w:name="_Toc103848549"/>
      <w:r/>
      <w:bookmarkStart w:id="162" w:name="_Toc38931800"/>
      <w:r/>
      <w:bookmarkStart w:id="163" w:name="_Toc96347882"/>
      <w:r/>
      <w:bookmarkStart w:id="164" w:name="_Toc38933357"/>
      <w:r/>
      <w:bookmarkStart w:id="165" w:name="_Toc100905227"/>
      <w:r/>
      <w:bookmarkStart w:id="166" w:name="_Toc97561941"/>
      <w:r/>
      <w:bookmarkStart w:id="167" w:name="_Toc5042"/>
      <w:r/>
      <w:bookmarkStart w:id="168" w:name="_Toc91399404"/>
      <w:r/>
      <w:bookmarkStart w:id="169" w:name="_Toc38931614"/>
      <w:r/>
      <w:bookmarkStart w:id="170" w:name="_Toc469850063"/>
      <w:r/>
      <w:bookmarkStart w:id="171" w:name="_Toc46219699"/>
      <w:r/>
      <w:bookmarkStart w:id="172" w:name="_Toc50528805"/>
      <w:r/>
      <w:bookmarkStart w:id="173" w:name="_Toc11464"/>
      <w:r/>
      <w:bookmarkStart w:id="174" w:name="_Toc89586904"/>
      <w:r/>
      <w:bookmarkStart w:id="175" w:name="_Toc40202948"/>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招标代理机构拒绝接收提交</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文件截止时间后上传的任何电子</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6" w:name="_Toc107246242"/>
      <w:r/>
      <w:bookmarkStart w:id="177" w:name="_Toc104560864"/>
      <w:r>
        <w:rPr>
          <w:rFonts w:hint="eastAsia" w:ascii="宋体" w:hAnsi="宋体" w:cs="宋体"/>
          <w:color w:val="000000" w:themeColor="text1"/>
          <w:highlight w:val="none"/>
          <w14:textFill>
            <w14:solidFill>
              <w14:schemeClr w14:val="tx1"/>
            </w14:solidFill>
          </w14:textFill>
        </w:rPr>
        <w:t xml:space="preserve">25.</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rPr>
          <w:rFonts w:hint="eastAsia" w:ascii="宋体" w:hAnsi="宋体" w:cs="宋体"/>
          <w:color w:val="000000" w:themeColor="text1"/>
          <w:highlight w:val="none"/>
          <w14:textFill>
            <w14:solidFill>
              <w14:schemeClr w14:val="tx1"/>
            </w14:solidFill>
          </w14:textFill>
        </w:rPr>
        <w:t xml:space="preserve">投标文件解密</w:t>
      </w:r>
      <w:r/>
    </w:p>
    <w:p>
      <w:pPr>
        <w:ind w:firstLine="420"/>
        <w:spacing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78" w:name="_Toc96347883"/>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25.1</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应当按照《操作手册》规定，在“苏采云”系统规定的时间内对</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文件进行解密。</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25.2</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投标人应充分考虑网络环境、网络带宽等因素可能对投标产生的影响，如因投标人自身原因造成的电子投标文件解密不成功的，做无效投标处理。</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9" w:name="_Toc107246243"/>
      <w:r/>
      <w:bookmarkStart w:id="180" w:name="_Toc104560865"/>
      <w:r/>
      <w:bookmarkStart w:id="181" w:name="_Toc100905228"/>
      <w:r/>
      <w:bookmarkStart w:id="182" w:name="_Toc103848550"/>
      <w:r>
        <w:rPr>
          <w:rFonts w:hint="eastAsia" w:ascii="宋体" w:hAnsi="宋体" w:cs="宋体"/>
          <w:color w:val="000000" w:themeColor="text1"/>
          <w:highlight w:val="none"/>
          <w14:textFill>
            <w14:solidFill>
              <w14:schemeClr w14:val="tx1"/>
            </w14:solidFill>
          </w14:textFill>
        </w:rPr>
        <w:t xml:space="preserve">26.投标文件的修改和撤回</w:t>
      </w:r>
      <w:bookmarkEnd w:id="119"/>
      <w:r/>
      <w:bookmarkEnd w:id="178"/>
      <w:r/>
      <w:bookmarkEnd w:id="179"/>
      <w:r/>
      <w:bookmarkEnd w:id="180"/>
      <w:r/>
      <w:bookmarkEnd w:id="181"/>
      <w:r/>
      <w:bookmarkEnd w:id="182"/>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83" w:name="_Toc80264714"/>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26.4 在投标截止时间至采购文件中规定的投标有效期满之间的这段时间内，投标人不得撤回其投标。</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4" w:name="_Toc103848551"/>
      <w:r/>
      <w:bookmarkStart w:id="185" w:name="_Toc107246244"/>
      <w:r/>
      <w:bookmarkStart w:id="186" w:name="_Toc104560866"/>
      <w:r>
        <w:rPr>
          <w:rFonts w:hint="eastAsia" w:ascii="宋体" w:hAnsi="宋体" w:cs="宋体"/>
          <w:color w:val="000000" w:themeColor="text1"/>
          <w:highlight w:val="none"/>
          <w14:textFill>
            <w14:solidFill>
              <w14:schemeClr w14:val="tx1"/>
            </w14:solidFill>
          </w14:textFill>
        </w:rPr>
        <w:t xml:space="preserve">27.诚实信用</w:t>
      </w:r>
      <w:bookmarkEnd w:id="184"/>
      <w:r/>
      <w:bookmarkEnd w:id="185"/>
      <w:r/>
      <w:bookmarkEnd w:id="186"/>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7" w:name="_Toc107246245"/>
      <w:r>
        <w:rPr>
          <w:rFonts w:hint="eastAsia" w:ascii="宋体" w:hAnsi="宋体" w:cs="宋体"/>
          <w:color w:val="000000" w:themeColor="text1"/>
          <w:highlight w:val="none"/>
          <w14:textFill>
            <w14:solidFill>
              <w14:schemeClr w14:val="tx1"/>
            </w14:solidFill>
          </w14:textFill>
        </w:rPr>
        <w:t xml:space="preserve">五．开标和评标</w:t>
      </w:r>
      <w:bookmarkEnd w:id="187"/>
      <w:r/>
      <w:bookmarkStart w:id="188" w:name="_Toc96347885"/>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9" w:name="_Toc103848553"/>
      <w:r/>
      <w:bookmarkStart w:id="190" w:name="_Toc104560868"/>
      <w:r/>
      <w:bookmarkStart w:id="191" w:name="_Toc107246246"/>
      <w:r/>
      <w:bookmarkStart w:id="192" w:name="_Toc100905230"/>
      <w:r>
        <w:rPr>
          <w:rFonts w:hint="eastAsia" w:ascii="宋体" w:hAnsi="宋体" w:cs="宋体"/>
          <w:color w:val="000000" w:themeColor="text1"/>
          <w:highlight w:val="none"/>
          <w14:textFill>
            <w14:solidFill>
              <w14:schemeClr w14:val="tx1"/>
            </w14:solidFill>
          </w14:textFill>
        </w:rPr>
        <w:t xml:space="preserve">28.开标</w:t>
      </w:r>
      <w:bookmarkEnd w:id="188"/>
      <w:r/>
      <w:bookmarkEnd w:id="189"/>
      <w:r/>
      <w:bookmarkEnd w:id="190"/>
      <w:r/>
      <w:bookmarkEnd w:id="191"/>
      <w:r/>
      <w:bookmarkEnd w:id="19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3" w:name="_Toc107246247"/>
      <w:r/>
      <w:bookmarkStart w:id="194" w:name="_Toc100905231"/>
      <w:r>
        <w:rPr>
          <w:rFonts w:hint="eastAsia" w:ascii="宋体" w:hAnsi="宋体" w:cs="宋体"/>
          <w:bCs/>
          <w:color w:val="000000" w:themeColor="text1"/>
          <w:szCs w:val="21"/>
          <w:highlight w:val="none"/>
          <w14:textFill>
            <w14:solidFill>
              <w14:schemeClr w14:val="tx1"/>
            </w14:solidFill>
          </w14:textFill>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28.3投标人不足3家的，不得开标。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28.6投标人未参加开标的，视同认可开标结果。</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29.资格性审查</w:t>
      </w:r>
      <w:bookmarkEnd w:id="193"/>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5" w:name="_Toc103848554"/>
      <w:r/>
      <w:bookmarkStart w:id="196" w:name="_Toc104560869"/>
      <w:r>
        <w:rPr>
          <w:rFonts w:hint="eastAsia" w:ascii="宋体" w:hAnsi="宋体" w:cs="宋体"/>
          <w:bCs/>
          <w:color w:val="000000" w:themeColor="text1"/>
          <w:szCs w:val="21"/>
          <w:highlight w:val="none"/>
          <w14:textFill>
            <w14:solidFill>
              <w14:schemeClr w14:val="tx1"/>
            </w14:solidFill>
          </w14:textFill>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29.2</w:t>
      </w:r>
      <w:r>
        <w:rPr>
          <w:rFonts w:hint="eastAsia" w:ascii="宋体" w:hAnsi="宋体" w:cs="宋体"/>
          <w:b/>
          <w:color w:val="000000" w:themeColor="text1"/>
          <w:szCs w:val="21"/>
          <w:highlight w:val="none"/>
          <w14:textFill>
            <w14:solidFill>
              <w14:schemeClr w14:val="tx1"/>
            </w14:solidFill>
          </w14:textFill>
        </w:rPr>
        <w:t xml:space="preserve">投标人不具备招标文件规定的投标人资格条件的</w:t>
      </w:r>
      <w:r>
        <w:rPr>
          <w:rFonts w:hint="eastAsia" w:ascii="宋体" w:hAnsi="宋体" w:cs="宋体"/>
          <w:b/>
          <w:bCs/>
          <w:color w:val="000000" w:themeColor="text1"/>
          <w:szCs w:val="21"/>
          <w:highlight w:val="none"/>
          <w14:textFill>
            <w14:solidFill>
              <w14:schemeClr w14:val="tx1"/>
            </w14:solidFill>
          </w14:textFill>
        </w:rPr>
        <w:t xml:space="preserve">，应在资格审查时按照无效投标处理。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29.3已经进行资格预审的，可以不再对投标人资格进行审查，资格预审合格的投标人在评标阶段资格发生变化的，应当通知采购方。</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7" w:name="_Toc107246248"/>
      <w:r>
        <w:rPr>
          <w:rFonts w:hint="eastAsia" w:ascii="宋体" w:hAnsi="宋体" w:cs="宋体"/>
          <w:color w:val="000000" w:themeColor="text1"/>
          <w:highlight w:val="none"/>
          <w14:textFill>
            <w14:solidFill>
              <w14:schemeClr w14:val="tx1"/>
            </w14:solidFill>
          </w14:textFill>
        </w:rPr>
        <w:t xml:space="preserve">30.评标</w:t>
      </w:r>
      <w:bookmarkEnd w:id="195"/>
      <w:r/>
      <w:bookmarkEnd w:id="196"/>
      <w:r/>
      <w:bookmarkEnd w:id="197"/>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8" w:name="_Toc107246249"/>
      <w:r/>
      <w:bookmarkStart w:id="199" w:name="_Toc104560870"/>
      <w:r/>
      <w:bookmarkStart w:id="200" w:name="_Toc103848555"/>
      <w:r>
        <w:rPr>
          <w:rFonts w:hint="eastAsia" w:ascii="宋体" w:hAnsi="宋体" w:cs="宋体"/>
          <w:color w:val="000000" w:themeColor="text1"/>
          <w:highlight w:val="none"/>
          <w14:textFill>
            <w14:solidFill>
              <w14:schemeClr w14:val="tx1"/>
            </w14:solidFill>
          </w14:textFill>
        </w:rPr>
        <w:t xml:space="preserve">30.1评标委员会</w:t>
      </w:r>
      <w:bookmarkEnd w:id="198"/>
      <w:r/>
      <w:bookmarkEnd w:id="199"/>
      <w:r/>
      <w:bookmarkEnd w:id="200"/>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30.1.1评标委员会成员组成见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，负责具体评标事务，并独立履行职责。</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1" w:name="_Toc103848556"/>
      <w:r/>
      <w:bookmarkStart w:id="202" w:name="_Toc104560871"/>
      <w:r/>
      <w:bookmarkStart w:id="203" w:name="_Toc107246250"/>
      <w:r>
        <w:rPr>
          <w:rFonts w:hint="eastAsia" w:ascii="宋体" w:hAnsi="宋体" w:cs="宋体"/>
          <w:color w:val="000000" w:themeColor="text1"/>
          <w:highlight w:val="none"/>
          <w14:textFill>
            <w14:solidFill>
              <w14:schemeClr w14:val="tx1"/>
            </w14:solidFill>
          </w14:textFill>
        </w:rPr>
        <w:t xml:space="preserve">30.2</w:t>
      </w:r>
      <w:bookmarkEnd w:id="201"/>
      <w:r/>
      <w:bookmarkEnd w:id="202"/>
      <w:r>
        <w:rPr>
          <w:rFonts w:hint="eastAsia" w:ascii="宋体" w:hAnsi="宋体" w:cs="宋体"/>
          <w:color w:val="000000" w:themeColor="text1"/>
          <w:highlight w:val="none"/>
          <w14:textFill>
            <w14:solidFill>
              <w14:schemeClr w14:val="tx1"/>
            </w14:solidFill>
          </w14:textFill>
        </w:rPr>
        <w:t xml:space="preserve">符合性审查</w:t>
      </w:r>
      <w:bookmarkEnd w:id="203"/>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30.2.3投标文件有下列情况之一的，在符合性检查时按照无效投标处理：</w:t>
      </w:r>
      <w:bookmarkEnd w:id="194"/>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04" w:name="_Toc107246251"/>
      <w:r/>
      <w:bookmarkStart w:id="205" w:name="_Toc103848557"/>
      <w:r/>
      <w:bookmarkStart w:id="206" w:name="_Toc104560872"/>
      <w:r>
        <w:rPr>
          <w:rFonts w:hint="eastAsia" w:ascii="宋体" w:hAnsi="宋体" w:cs="宋体"/>
          <w:bCs/>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（2）投标人未按照招标文件要求上传电子投标文件的；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（3）同一投标人提交两个（含两个）以上不同的投标报价的；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（4）投标文件未按照招标文件要求签署或盖章的；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（5）不具备招标文件中规定的资格要求的；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（6）报价超过招标文件中规定的预算金额或者最高限价的；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（7）投标文件含有采购人不能接受的附加条件的；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（8）投标文件内容不全或不符合招标文件中规定的其他实质性要求的；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（9）现行法律、法规、规章和招标文件规定的其他无效情形。</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30.3投标文件澄清</w:t>
      </w:r>
      <w:bookmarkEnd w:id="204"/>
      <w:r/>
      <w:bookmarkEnd w:id="205"/>
      <w:r/>
      <w:bookmarkEnd w:id="206"/>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7" w:name="_Toc107246252"/>
      <w:r>
        <w:rPr>
          <w:rFonts w:hint="eastAsia" w:ascii="宋体" w:hAnsi="宋体" w:cs="宋体"/>
          <w:color w:val="000000" w:themeColor="text1"/>
          <w:highlight w:val="none"/>
          <w14:textFill>
            <w14:solidFill>
              <w14:schemeClr w14:val="tx1"/>
            </w14:solidFill>
          </w14:textFill>
        </w:rPr>
        <w:t xml:space="preserve">30.4</w:t>
      </w:r>
      <w:bookmarkEnd w:id="207"/>
      <w:r>
        <w:rPr>
          <w:rFonts w:hint="eastAsia" w:ascii="宋体" w:hAnsi="宋体" w:cs="宋体"/>
          <w:color w:val="000000" w:themeColor="text1"/>
          <w:highlight w:val="none"/>
          <w14:textFill>
            <w14:solidFill>
              <w14:schemeClr w14:val="tx1"/>
            </w14:solidFill>
          </w14:textFill>
        </w:rPr>
        <w:t xml:space="preserve">报价修正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8" w:name="_Toc103848558"/>
      <w:r/>
      <w:bookmarkStart w:id="209" w:name="_Toc104560873"/>
      <w:r/>
      <w:bookmarkStart w:id="210" w:name="_Toc107246253"/>
      <w:r>
        <w:rPr>
          <w:rFonts w:hint="eastAsia" w:ascii="宋体" w:hAnsi="宋体" w:cs="宋体"/>
          <w:color w:val="000000" w:themeColor="text1"/>
          <w:highlight w:val="none"/>
          <w14:textFill>
            <w14:solidFill>
              <w14:schemeClr w14:val="tx1"/>
            </w14:solidFill>
          </w14:textFill>
        </w:rPr>
        <w:t xml:space="preserve">30.5同品牌多家投标人处理原则</w:t>
      </w:r>
      <w:bookmarkEnd w:id="208"/>
      <w:r/>
      <w:bookmarkEnd w:id="209"/>
      <w:r/>
      <w:bookmarkEnd w:id="21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。多家投标人提供的核心产品品牌相同的，按前两款规定处理。</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1" w:name="_Toc107246254"/>
      <w:r/>
      <w:bookmarkStart w:id="212" w:name="_Toc103848559"/>
      <w:r/>
      <w:bookmarkStart w:id="213" w:name="_Toc104560874"/>
      <w:r>
        <w:rPr>
          <w:rFonts w:hint="eastAsia" w:ascii="宋体" w:hAnsi="宋体" w:cs="宋体"/>
          <w:color w:val="000000" w:themeColor="text1"/>
          <w:highlight w:val="none"/>
          <w14:textFill>
            <w14:solidFill>
              <w14:schemeClr w14:val="tx1"/>
            </w14:solidFill>
          </w14:textFill>
        </w:rPr>
        <w:t xml:space="preserve">30.6比较与评价</w:t>
      </w:r>
      <w:bookmarkEnd w:id="211"/>
      <w:r/>
      <w:bookmarkEnd w:id="212"/>
      <w:r/>
      <w:bookmarkEnd w:id="21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4" w:name="_Toc107246255"/>
      <w:r>
        <w:rPr>
          <w:rFonts w:hint="eastAsia" w:ascii="宋体" w:hAnsi="宋体" w:cs="宋体"/>
          <w:color w:val="000000" w:themeColor="text1"/>
          <w:highlight w:val="none"/>
          <w14:textFill>
            <w14:solidFill>
              <w14:schemeClr w14:val="tx1"/>
            </w14:solidFill>
          </w14:textFill>
        </w:rPr>
        <w:t xml:space="preserve">30.7编写评标报告</w:t>
      </w:r>
      <w:bookmarkEnd w:id="214"/>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30.7.1评标委员会根据全体评标成员签字的原始评标记录和评标结果编写评标报告。</w:t>
      </w:r>
      <w:r/>
    </w:p>
    <w:p>
      <w:pPr>
        <w:pStyle w:val="853"/>
        <w:ind w:left="0" w:right="210" w:firstLine="373"/>
        <w:spacing w:line="360" w:lineRule="auto"/>
        <w:tabs>
          <w:tab w:val="left" w:pos="5882" w:leader="none"/>
        </w:tabs>
        <w:rPr>
          <w:rFonts w:hint="eastAsia" w:ascii="宋体" w:hAnsi="宋体" w:cs="宋体"/>
          <w:color w:val="000000" w:themeColor="text1"/>
          <w:highlight w:val="none"/>
          <w14:textFill>
            <w14:solidFill>
              <w14:schemeClr w14:val="tx1"/>
            </w14:solidFill>
          </w14:textFill>
        </w:rPr>
      </w:pPr>
      <w:r/>
      <w:bookmarkStart w:id="215" w:name="_Toc103848561"/>
      <w:r/>
      <w:bookmarkStart w:id="216" w:name="_Toc107246256"/>
      <w:r/>
      <w:bookmarkStart w:id="217" w:name="_Toc104560876"/>
      <w:r>
        <w:rPr>
          <w:rFonts w:hint="eastAsia" w:ascii="宋体" w:hAnsi="宋体" w:cs="宋体"/>
          <w:color w:val="000000" w:themeColor="text1"/>
          <w:highlight w:val="none"/>
          <w14:textFill>
            <w14:solidFill>
              <w14:schemeClr w14:val="tx1"/>
            </w14:solidFill>
          </w14:textFill>
        </w:rPr>
        <w:t xml:space="preserve">30.8评标过程的保密</w:t>
      </w:r>
      <w:bookmarkEnd w:id="215"/>
      <w:r/>
      <w:bookmarkEnd w:id="216"/>
      <w:r/>
      <w:bookmarkEnd w:id="217"/>
      <w:r>
        <w:rPr>
          <w:rFonts w:hint="eastAsia" w:ascii="宋体" w:hAnsi="宋体" w:cs="宋体"/>
          <w:color w:val="000000" w:themeColor="text1"/>
          <w:highlight w:val="none"/>
          <w14:textFill>
            <w14:solidFill>
              <w14:schemeClr w14:val="tx1"/>
            </w14:solidFill>
          </w14:textFill>
        </w:rPr>
        <w:tab/>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30.8.3有关人员对评标情况以及在评标过程中获悉的国家秘密、商业秘密负有保密责任。</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8" w:name="_Toc107246257"/>
      <w:r>
        <w:rPr>
          <w:rFonts w:hint="eastAsia" w:ascii="宋体" w:hAnsi="宋体" w:cs="宋体"/>
          <w:color w:val="000000" w:themeColor="text1"/>
          <w:highlight w:val="none"/>
          <w14:textFill>
            <w14:solidFill>
              <w14:schemeClr w14:val="tx1"/>
            </w14:solidFill>
          </w14:textFill>
        </w:rPr>
        <w:t xml:space="preserve">六．确定中标</w:t>
      </w:r>
      <w:bookmarkEnd w:id="218"/>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9" w:name="_Toc103848563"/>
      <w:r/>
      <w:bookmarkStart w:id="220" w:name="_Toc104560878"/>
      <w:r/>
      <w:bookmarkStart w:id="221" w:name="_Toc107246258"/>
      <w:r>
        <w:rPr>
          <w:rFonts w:hint="eastAsia" w:ascii="宋体" w:hAnsi="宋体" w:cs="宋体"/>
          <w:color w:val="000000" w:themeColor="text1"/>
          <w:highlight w:val="none"/>
          <w14:textFill>
            <w14:solidFill>
              <w14:schemeClr w14:val="tx1"/>
            </w14:solidFill>
          </w14:textFill>
        </w:rPr>
        <w:t xml:space="preserve">31.确定中标</w:t>
      </w:r>
      <w:bookmarkEnd w:id="219"/>
      <w:r/>
      <w:bookmarkEnd w:id="220"/>
      <w:r>
        <w:rPr>
          <w:rFonts w:hint="eastAsia" w:ascii="宋体" w:hAnsi="宋体" w:cs="宋体"/>
          <w:color w:val="000000" w:themeColor="text1"/>
          <w:highlight w:val="none"/>
          <w14:textFill>
            <w14:solidFill>
              <w14:schemeClr w14:val="tx1"/>
            </w14:solidFill>
          </w14:textFill>
        </w:rPr>
        <w:t xml:space="preserve">人</w:t>
      </w:r>
      <w:bookmarkEnd w:id="221"/>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000000" w:themeColor="text1"/>
          <w:szCs w:val="21"/>
          <w:highlight w:val="none"/>
          <w:lang w:val="zh-CN"/>
          <w14:textFill>
            <w14:solidFill>
              <w14:schemeClr w14:val="tx1"/>
            </w14:solidFill>
          </w14:textFill>
        </w:rPr>
      </w:pPr>
      <w:r/>
      <w:bookmarkStart w:id="222" w:name="_Toc107246259"/>
      <w:r/>
      <w:bookmarkStart w:id="223" w:name="_Toc104560879"/>
      <w:r/>
      <w:bookmarkStart w:id="224" w:name="_Toc103848564"/>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名单将省级以上财政部门指定的媒体上公告中标结果，中标公告期为1个工作日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公告媒体</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公告的同时向中标人发出中标通知书。</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可</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32.中标通知书</w:t>
      </w:r>
      <w:bookmarkEnd w:id="222"/>
      <w:r/>
      <w:bookmarkEnd w:id="223"/>
      <w:r/>
      <w:bookmarkEnd w:id="224"/>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32.3</w:t>
      </w:r>
      <w:bookmarkStart w:id="225" w:name="_Toc103848560"/>
      <w:r/>
      <w:bookmarkStart w:id="226" w:name="_Toc104560875"/>
      <w:r>
        <w:rPr>
          <w:rFonts w:hint="eastAsia" w:ascii="宋体" w:hAnsi="宋体" w:cs="宋体"/>
          <w:color w:val="000000" w:themeColor="text1"/>
          <w:szCs w:val="21"/>
          <w:highlight w:val="none"/>
          <w14:textFill>
            <w14:solidFill>
              <w14:schemeClr w14:val="tx1"/>
            </w14:solidFill>
          </w14:textFill>
        </w:rPr>
        <w:t xml:space="preserve">中标通知书发出后，中标人无正当理由不得放弃中标，否则将依法承担法律责任。</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7" w:name="_Toc107246260"/>
      <w:r>
        <w:rPr>
          <w:rFonts w:hint="eastAsia" w:ascii="宋体" w:hAnsi="宋体" w:cs="宋体"/>
          <w:color w:val="000000" w:themeColor="text1"/>
          <w:highlight w:val="none"/>
          <w14:textFill>
            <w14:solidFill>
              <w14:schemeClr w14:val="tx1"/>
            </w14:solidFill>
          </w14:textFill>
        </w:rPr>
        <w:t xml:space="preserve">33.废标</w:t>
      </w:r>
      <w:bookmarkEnd w:id="225"/>
      <w:r/>
      <w:bookmarkEnd w:id="226"/>
      <w:r/>
      <w:bookmarkEnd w:id="227"/>
      <w:r/>
      <w:r/>
    </w:p>
    <w:p>
      <w:pPr>
        <w:ind w:firstLine="316"/>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★33.1出现下列情形之一的，应予废标：</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（4）因重大变故，采购任务取消的。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33.2废标后，采购人将废标理由通知所有投标人。</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8" w:name="_Toc104560880"/>
      <w:r/>
      <w:bookmarkStart w:id="229" w:name="_Toc103848565"/>
      <w:r/>
      <w:bookmarkStart w:id="230" w:name="_Toc107246261"/>
      <w:r/>
      <w:bookmarkStart w:id="231" w:name="_Toc16938553"/>
      <w:r/>
      <w:bookmarkStart w:id="232" w:name="_Toc513029237"/>
      <w:r/>
      <w:bookmarkStart w:id="233" w:name="_Toc20823309"/>
      <w:r>
        <w:rPr>
          <w:rFonts w:hint="eastAsia" w:ascii="宋体" w:hAnsi="宋体" w:cs="宋体"/>
          <w:color w:val="000000" w:themeColor="text1"/>
          <w:highlight w:val="none"/>
          <w14:textFill>
            <w14:solidFill>
              <w14:schemeClr w14:val="tx1"/>
            </w14:solidFill>
          </w14:textFill>
        </w:rPr>
        <w:t xml:space="preserve">34.签订合同</w:t>
      </w:r>
      <w:bookmarkEnd w:id="228"/>
      <w:r/>
      <w:bookmarkEnd w:id="229"/>
      <w:r/>
      <w:bookmarkEnd w:id="23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853"/>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4" w:name="_Toc107246262"/>
      <w:r/>
      <w:bookmarkStart w:id="235" w:name="_Toc103848567"/>
      <w:r/>
      <w:bookmarkStart w:id="236" w:name="_Toc104560881"/>
      <w:r>
        <w:rPr>
          <w:rFonts w:hint="eastAsia" w:ascii="宋体" w:hAnsi="宋体" w:cs="宋体"/>
          <w:color w:val="000000" w:themeColor="text1"/>
          <w:szCs w:val="21"/>
          <w:highlight w:val="none"/>
          <w14:textFill>
            <w14:solidFill>
              <w14:schemeClr w14:val="tx1"/>
            </w14:solidFill>
          </w14:textFill>
        </w:rPr>
        <w:t xml:space="preserve">35.履约保证金</w:t>
      </w:r>
      <w:bookmarkEnd w:id="234"/>
      <w:r/>
      <w:bookmarkEnd w:id="235"/>
      <w:r/>
      <w:bookmarkEnd w:id="236"/>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35.1本项目是否缴纳履约保证金见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35.2</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35.3中标人没有按照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的规定提交履约保证金的，视为放弃中标，其投标保证金不予退还。</w:t>
      </w:r>
      <w:bookmarkEnd w:id="231"/>
      <w:r/>
      <w:bookmarkEnd w:id="232"/>
      <w:r/>
      <w:bookmarkEnd w:id="233"/>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37" w:name="_Toc107246263"/>
      <w:r>
        <w:rPr>
          <w:rFonts w:hint="eastAsia" w:ascii="宋体" w:hAnsi="宋体" w:cs="宋体"/>
          <w:color w:val="000000" w:themeColor="text1"/>
          <w:highlight w:val="none"/>
          <w14:textFill>
            <w14:solidFill>
              <w14:schemeClr w14:val="tx1"/>
            </w14:solidFill>
          </w14:textFill>
        </w:rPr>
        <w:t xml:space="preserve">七．</w:t>
      </w:r>
      <w:bookmarkStart w:id="238" w:name="_Toc103848569"/>
      <w:r>
        <w:rPr>
          <w:rFonts w:hint="eastAsia" w:ascii="宋体" w:hAnsi="宋体" w:cs="宋体"/>
          <w:color w:val="000000" w:themeColor="text1"/>
          <w:highlight w:val="none"/>
          <w14:textFill>
            <w14:solidFill>
              <w14:schemeClr w14:val="tx1"/>
            </w14:solidFill>
          </w14:textFill>
        </w:rPr>
        <w:t xml:space="preserve">询问与质疑</w:t>
      </w:r>
      <w:bookmarkEnd w:id="237"/>
      <w:r/>
      <w:bookmarkEnd w:id="238"/>
      <w:r/>
      <w:r/>
    </w:p>
    <w:p>
      <w:pPr>
        <w:pStyle w:val="853"/>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9" w:name="_Toc102117305"/>
      <w:r/>
      <w:bookmarkStart w:id="240" w:name="_Toc107246264"/>
      <w:r/>
      <w:bookmarkStart w:id="241" w:name="_Toc104560883"/>
      <w:r>
        <w:rPr>
          <w:rFonts w:hint="eastAsia" w:ascii="宋体" w:hAnsi="宋体" w:cs="宋体"/>
          <w:color w:val="000000" w:themeColor="text1"/>
          <w:szCs w:val="21"/>
          <w:highlight w:val="none"/>
          <w14:textFill>
            <w14:solidFill>
              <w14:schemeClr w14:val="tx1"/>
            </w14:solidFill>
          </w14:textFill>
        </w:rPr>
        <w:t xml:space="preserve">36.询问</w:t>
      </w:r>
      <w:bookmarkEnd w:id="239"/>
      <w:r/>
      <w:bookmarkEnd w:id="240"/>
      <w:r/>
      <w:bookmarkEnd w:id="241"/>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36.1供应商对政府采购活动事项有疑问的，可依法提出询问，并按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36.2采购方对供应商依法提出的询问，在3个工作日内作出答复，但答复的内容不得涉及商业秘密。</w:t>
      </w:r>
      <w:r/>
    </w:p>
    <w:p>
      <w:pPr>
        <w:pStyle w:val="853"/>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2" w:name="_Toc107246265"/>
      <w:r/>
      <w:bookmarkStart w:id="243" w:name="_Toc102117306"/>
      <w:r/>
      <w:bookmarkStart w:id="244" w:name="_Toc104560884"/>
      <w:r>
        <w:rPr>
          <w:rFonts w:hint="eastAsia" w:ascii="宋体" w:hAnsi="宋体" w:cs="宋体"/>
          <w:color w:val="000000" w:themeColor="text1"/>
          <w:szCs w:val="21"/>
          <w:highlight w:val="none"/>
          <w14:textFill>
            <w14:solidFill>
              <w14:schemeClr w14:val="tx1"/>
            </w14:solidFill>
          </w14:textFill>
        </w:rPr>
        <w:t xml:space="preserve">37.质疑</w:t>
      </w:r>
      <w:bookmarkEnd w:id="242"/>
      <w:r/>
      <w:bookmarkEnd w:id="243"/>
      <w:r/>
      <w:bookmarkEnd w:id="244"/>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37.3质疑函应使用财政部制定的范本文件。</w:t>
      </w:r>
      <w:r/>
    </w:p>
    <w:p>
      <w:pPr>
        <w:pStyle w:val="853"/>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45" w:name="_Toc107246266"/>
      <w:r>
        <w:rPr>
          <w:rFonts w:hint="eastAsia" w:ascii="宋体" w:hAnsi="宋体" w:cs="宋体"/>
          <w:color w:val="000000" w:themeColor="text1"/>
          <w:highlight w:val="none"/>
          <w14:textFill>
            <w14:solidFill>
              <w14:schemeClr w14:val="tx1"/>
            </w14:solidFill>
          </w14:textFill>
        </w:rPr>
        <w:t xml:space="preserve">八．其他</w:t>
      </w:r>
      <w:bookmarkEnd w:id="245"/>
      <w:r/>
      <w:r/>
    </w:p>
    <w:p>
      <w:pPr>
        <w:pStyle w:val="853"/>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6" w:name="_Toc107246267"/>
      <w:r/>
      <w:bookmarkStart w:id="247" w:name="_Toc104560886"/>
      <w:r/>
      <w:bookmarkStart w:id="248" w:name="_Toc103848572"/>
      <w:r>
        <w:rPr>
          <w:rFonts w:hint="eastAsia" w:ascii="宋体" w:hAnsi="宋体" w:cs="宋体"/>
          <w:color w:val="000000" w:themeColor="text1"/>
          <w:szCs w:val="21"/>
          <w:highlight w:val="none"/>
          <w14:textFill>
            <w14:solidFill>
              <w14:schemeClr w14:val="tx1"/>
            </w14:solidFill>
          </w14:textFill>
        </w:rPr>
        <w:t xml:space="preserve">38.招标代理服务费</w:t>
      </w:r>
      <w:bookmarkEnd w:id="246"/>
      <w:r/>
      <w:bookmarkEnd w:id="247"/>
      <w:r/>
      <w:bookmarkEnd w:id="248"/>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38.1中标人是否交纳投招标代理服务费及相关要求见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853"/>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9" w:name="_Toc104560887"/>
      <w:r/>
      <w:bookmarkStart w:id="250" w:name="_Toc107246268"/>
      <w:r/>
      <w:bookmarkStart w:id="251" w:name="_Toc103848573"/>
      <w:r>
        <w:rPr>
          <w:rFonts w:hint="eastAsia" w:ascii="宋体" w:hAnsi="宋体" w:cs="宋体"/>
          <w:color w:val="000000" w:themeColor="text1"/>
          <w:szCs w:val="21"/>
          <w:highlight w:val="none"/>
          <w14:textFill>
            <w14:solidFill>
              <w14:schemeClr w14:val="tx1"/>
            </w14:solidFill>
          </w14:textFill>
        </w:rPr>
        <w:t xml:space="preserve">39.其他规定</w:t>
      </w:r>
      <w:bookmarkEnd w:id="249"/>
      <w:r/>
      <w:bookmarkEnd w:id="250"/>
      <w:r/>
      <w:bookmarkEnd w:id="251"/>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39.1投标文件的其他规定见</w:t>
      </w:r>
      <w:r>
        <w:rPr>
          <w:rFonts w:hint="eastAsia" w:ascii="宋体" w:hAnsi="宋体" w:cs="宋体"/>
          <w:b/>
          <w:color w:val="000000" w:themeColor="text1"/>
          <w:szCs w:val="21"/>
          <w:highlight w:val="none"/>
          <w14:textFill>
            <w14:solidFill>
              <w14:schemeClr w14:val="tx1"/>
            </w14:solidFill>
          </w14:textFill>
        </w:rPr>
        <w:t xml:space="preserve">投标人须知前附</w:t>
      </w:r>
      <w:r>
        <w:rPr>
          <w:rFonts w:hint="eastAsia" w:ascii="宋体" w:hAnsi="宋体" w:cs="宋体"/>
          <w:color w:val="000000" w:themeColor="text1"/>
          <w:szCs w:val="21"/>
          <w:highlight w:val="none"/>
          <w14:textFill>
            <w14:solidFill>
              <w14:schemeClr w14:val="tx1"/>
            </w14:solidFill>
          </w14:textFill>
        </w:rPr>
        <w:t xml:space="preserve">表。</w:t>
      </w:r>
      <w:r/>
    </w:p>
    <w:p>
      <w:pPr>
        <w:pStyle w:val="853"/>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52" w:name="_Toc103848574"/>
      <w:r/>
      <w:bookmarkStart w:id="253" w:name="_Toc107246269"/>
      <w:r/>
      <w:bookmarkStart w:id="254" w:name="_Toc104560888"/>
      <w:r>
        <w:rPr>
          <w:rFonts w:hint="eastAsia" w:ascii="宋体" w:hAnsi="宋体" w:cs="宋体"/>
          <w:color w:val="000000" w:themeColor="text1"/>
          <w:szCs w:val="21"/>
          <w:highlight w:val="none"/>
          <w14:textFill>
            <w14:solidFill>
              <w14:schemeClr w14:val="tx1"/>
            </w14:solidFill>
          </w14:textFill>
        </w:rPr>
        <w:t xml:space="preserve">40.文件解释权</w:t>
      </w:r>
      <w:bookmarkEnd w:id="252"/>
      <w:r/>
      <w:bookmarkEnd w:id="253"/>
      <w:r/>
      <w:bookmarkEnd w:id="254"/>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40.1本招标文件的解释权归采购人（或采购代理机构）所有。</w:t>
      </w:r>
      <w:bookmarkEnd w:id="183"/>
      <w:r/>
      <w:r/>
    </w:p>
    <w:p>
      <w:pPr>
        <w:pStyle w:val="893"/>
        <w:numPr>
          <w:ilvl w:val="0"/>
          <w:numId w:val="2"/>
        </w:numPr>
        <w:ind w:firstLine="567"/>
        <w:rPr>
          <w:rFonts w:hint="eastAsia" w:ascii="宋体" w:hAnsi="宋体" w:cs="宋体"/>
          <w:color w:val="000000" w:themeColor="text1"/>
          <w:highlight w:val="none"/>
          <w14:textFill>
            <w14:solidFill>
              <w14:schemeClr w14:val="tx1"/>
            </w14:solidFill>
          </w14:textFill>
        </w:rPr>
        <w:sectPr>
          <w:footerReference w:type="default" r:id="rId15"/>
          <w:footnotePr/>
          <w:endnotePr/>
          <w:type w:val="nextPage"/>
          <w:pgSz w:w="11906" w:h="16838" w:orient="portrait"/>
          <w:pgMar w:top="1440" w:right="1698" w:bottom="1440" w:left="1588" w:header="851" w:footer="992" w:gutter="0"/>
          <w:cols w:num="1" w:sep="0" w:space="720" w:equalWidth="1"/>
          <w:docGrid w:linePitch="360"/>
        </w:sectPr>
      </w:pPr>
      <w:r/>
      <w:bookmarkStart w:id="255" w:name="_Toc91836563"/>
      <w:r/>
      <w:r/>
    </w:p>
    <w:p>
      <w:pPr>
        <w:pStyle w:val="893"/>
        <w:numPr>
          <w:ilvl w:val="0"/>
          <w:numId w:val="2"/>
        </w:numPr>
        <w:ind w:firstLine="567"/>
        <w:rPr>
          <w:rFonts w:hint="eastAsia" w:ascii="宋体" w:hAnsi="宋体" w:cs="宋体"/>
          <w:color w:val="000000" w:themeColor="text1"/>
          <w:highlight w:val="none"/>
          <w14:textFill>
            <w14:solidFill>
              <w14:schemeClr w14:val="tx1"/>
            </w14:solidFill>
          </w14:textFill>
        </w:rPr>
      </w:pPr>
      <w:r/>
      <w:bookmarkStart w:id="256" w:name="_Toc107246270"/>
      <w:r>
        <w:rPr>
          <w:rFonts w:hint="eastAsia" w:ascii="宋体" w:hAnsi="宋体" w:cs="宋体"/>
          <w:color w:val="000000" w:themeColor="text1"/>
          <w:highlight w:val="none"/>
          <w14:textFill>
            <w14:solidFill>
              <w14:schemeClr w14:val="tx1"/>
            </w14:solidFill>
          </w14:textFill>
        </w:rPr>
        <w:t xml:space="preserve">政府采购合同条款</w:t>
      </w:r>
      <w:bookmarkEnd w:id="255"/>
      <w:r>
        <w:rPr>
          <w:rFonts w:hint="eastAsia" w:ascii="宋体" w:hAnsi="宋体" w:cs="宋体"/>
          <w:color w:val="000000" w:themeColor="text1"/>
          <w:highlight w:val="none"/>
          <w14:textFill>
            <w14:solidFill>
              <w14:schemeClr w14:val="tx1"/>
            </w14:solidFill>
          </w14:textFill>
        </w:rPr>
        <w:t xml:space="preserve">及格式</w:t>
      </w:r>
      <w:bookmarkEnd w:id="256"/>
      <w:r/>
      <w:r/>
    </w:p>
    <w:p>
      <w:pPr>
        <w:pStyle w:val="870"/>
        <w:ind w:left="3824"/>
        <w:spacing w:before="117"/>
        <w:rPr>
          <w:rFonts w:hint="default" w:ascii="Times New Roman" w:hAnsi="Times New Roman" w:eastAsia="宋体" w:cs="Times New Roman"/>
          <w:color w:val="000000" w:themeColor="text1"/>
          <w:sz w:val="32"/>
          <w:szCs w:val="32"/>
          <w:highlight w:val="none"/>
          <w:lang w:eastAsia="zh-CN"/>
          <w14:textFill>
            <w14:solidFill>
              <w14:schemeClr w14:val="tx1"/>
            </w14:solidFill>
          </w14:textFill>
        </w:rPr>
        <w:outlineLvl w:val="0"/>
      </w:pPr>
      <w:r>
        <w:rPr>
          <w:rFonts w:hint="default" w:ascii="Times New Roman" w:hAnsi="Times New Roman" w:eastAsia="宋体" w:cs="Times New Roman"/>
          <w:b/>
          <w:bCs/>
          <w:color w:val="000000" w:themeColor="text1"/>
          <w:spacing w:val="11"/>
          <w:sz w:val="32"/>
          <w:szCs w:val="32"/>
          <w:highlight w:val="none"/>
          <w:lang w:eastAsia="zh-CN"/>
          <w14:textFill>
            <w14:solidFill>
              <w14:schemeClr w14:val="tx1"/>
            </w14:solidFill>
          </w14:textFill>
        </w:rPr>
        <w:t xml:space="preserve">设备采购合同</w:t>
      </w:r>
      <w:r/>
    </w:p>
    <w:p>
      <w:pPr>
        <w:pStyle w:val="870"/>
        <w:ind w:left="83"/>
        <w:keepLines w:val="0"/>
        <w:keepNext w:val="0"/>
        <w:pageBreakBefore w:val="0"/>
        <w:spacing w:before="6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b/>
          <w:bCs/>
          <w:color w:val="000000" w:themeColor="text1"/>
          <w:spacing w:val="3"/>
          <w:highlight w:val="none"/>
          <w:lang w:eastAsia="zh-CN"/>
          <w14:textFill>
            <w14:solidFill>
              <w14:schemeClr w14:val="tx1"/>
            </w14:solidFill>
          </w14:textFill>
        </w:rPr>
        <w:t xml:space="preserve">甲方：南京鼓楼医院</w:t>
      </w:r>
      <w:r/>
    </w:p>
    <w:p>
      <w:pPr>
        <w:pStyle w:val="870"/>
        <w:ind w:left="76"/>
        <w:keepLines w:val="0"/>
        <w:keepNext w:val="0"/>
        <w:pageBreakBefore w:val="0"/>
        <w:spacing w:before="11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b/>
          <w:bCs/>
          <w:color w:val="000000" w:themeColor="text1"/>
          <w:spacing w:val="2"/>
          <w:highlight w:val="none"/>
          <w:lang w:eastAsia="zh-CN"/>
          <w14:textFill>
            <w14:solidFill>
              <w14:schemeClr w14:val="tx1"/>
            </w14:solidFill>
          </w14:textFill>
        </w:rPr>
        <w:t xml:space="preserve">乙方：中标供应商</w:t>
      </w:r>
      <w:r/>
    </w:p>
    <w:p>
      <w:pPr>
        <w:pStyle w:val="870"/>
        <w:ind w:left="15" w:right="166" w:firstLine="1"/>
        <w:keepLines w:val="0"/>
        <w:keepNext w:val="0"/>
        <w:pageBreakBefore w:val="0"/>
        <w:spacing w:before="10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经（招标日期招标代理公司）公开招标（招标编号：项目编号），就乙方销售给甲</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方（使用</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科室）设备，特订立本合同。</w:t>
      </w:r>
      <w:r/>
    </w:p>
    <w:p>
      <w:pPr>
        <w:pStyle w:val="870"/>
        <w:ind w:left="58"/>
        <w:keepLines w:val="0"/>
        <w:keepNext w:val="0"/>
        <w:pageBreakBefore w:val="0"/>
        <w:spacing w:before="110" w:line="276" w:lineRule="auto"/>
        <w:widowControl w:val="off"/>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8"/>
          <w:highlight w:val="none"/>
          <w14:textFill>
            <w14:solidFill>
              <w14:schemeClr w14:val="tx1"/>
            </w14:solidFill>
          </w14:textFill>
        </w:rPr>
        <w:t xml:space="preserve">一、产品信息：</w:t>
      </w:r>
      <w:r/>
    </w:p>
    <w:tbl>
      <w:tblPr>
        <w:tblStyle w:val="116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04"/>
        <w:gridCol w:w="842"/>
        <w:gridCol w:w="879"/>
        <w:gridCol w:w="680"/>
        <w:gridCol w:w="575"/>
        <w:gridCol w:w="573"/>
        <w:gridCol w:w="699"/>
        <w:gridCol w:w="932"/>
        <w:gridCol w:w="913"/>
        <w:gridCol w:w="680"/>
        <w:gridCol w:w="573"/>
        <w:gridCol w:w="580"/>
      </w:tblGrid>
      <w:tr>
        <w:trPr>
          <w:trHeight w:val="567"/>
        </w:trPr>
        <w:tc>
          <w:tcPr>
            <w:tcW w:w="408" w:type="pct"/>
            <w:textDirection w:val="lrTb"/>
            <w:noWrap w:val="false"/>
          </w:tcPr>
          <w:p>
            <w:pPr>
              <w:pStyle w:val="1167"/>
              <w:ind w:left="26"/>
              <w:keepLines w:val="0"/>
              <w:keepNext w:val="0"/>
              <w:pageBreakBefore w:val="0"/>
              <w:spacing w:before="146" w:line="276" w:lineRule="auto"/>
              <w:widowControl w:val="off"/>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2"/>
                <w:highlight w:val="none"/>
                <w14:textFill>
                  <w14:solidFill>
                    <w14:schemeClr w14:val="tx1"/>
                  </w14:solidFill>
                </w14:textFill>
              </w:rPr>
              <w:t xml:space="preserve">设备名称</w:t>
            </w:r>
            <w:r/>
          </w:p>
        </w:tc>
        <w:tc>
          <w:tcPr>
            <w:tcW w:w="488" w:type="pct"/>
            <w:textDirection w:val="lrTb"/>
            <w:noWrap w:val="false"/>
          </w:tcPr>
          <w:p>
            <w:pPr>
              <w:pStyle w:val="1167"/>
              <w:ind w:left="292"/>
              <w:keepLines w:val="0"/>
              <w:keepNext w:val="0"/>
              <w:pageBreakBefore w:val="0"/>
              <w:spacing w:before="146" w:line="276" w:lineRule="auto"/>
              <w:widowControl w:val="off"/>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6"/>
                <w:highlight w:val="none"/>
                <w14:textFill>
                  <w14:solidFill>
                    <w14:schemeClr w14:val="tx1"/>
                  </w14:solidFill>
                </w14:textFill>
              </w:rPr>
              <w:t xml:space="preserve">品牌</w:t>
            </w:r>
            <w:r/>
          </w:p>
        </w:tc>
        <w:tc>
          <w:tcPr>
            <w:tcW w:w="509" w:type="pct"/>
            <w:textDirection w:val="lrTb"/>
            <w:noWrap w:val="false"/>
          </w:tcPr>
          <w:p>
            <w:pPr>
              <w:pStyle w:val="1167"/>
              <w:ind w:left="129"/>
              <w:keepLines w:val="0"/>
              <w:keepNext w:val="0"/>
              <w:pageBreakBefore w:val="0"/>
              <w:spacing w:before="155" w:line="276" w:lineRule="auto"/>
              <w:widowControl w:val="off"/>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2"/>
                <w:highlight w:val="none"/>
                <w14:textFill>
                  <w14:solidFill>
                    <w14:schemeClr w14:val="tx1"/>
                  </w14:solidFill>
                </w14:textFill>
              </w:rPr>
              <w:t xml:space="preserve">规格型号</w:t>
            </w:r>
            <w:r/>
          </w:p>
        </w:tc>
        <w:tc>
          <w:tcPr>
            <w:tcW w:w="394" w:type="pct"/>
            <w:textDirection w:val="lrTb"/>
            <w:noWrap w:val="false"/>
          </w:tcPr>
          <w:p>
            <w:pPr>
              <w:pStyle w:val="1167"/>
              <w:ind w:left="19"/>
              <w:keepLines w:val="0"/>
              <w:keepNext w:val="0"/>
              <w:pageBreakBefore w:val="0"/>
              <w:spacing w:before="159" w:line="276" w:lineRule="auto"/>
              <w:widowControl w:val="off"/>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2"/>
                <w:highlight w:val="none"/>
                <w14:textFill>
                  <w14:solidFill>
                    <w14:schemeClr w14:val="tx1"/>
                  </w14:solidFill>
                </w14:textFill>
              </w:rPr>
              <w:t xml:space="preserve">注册证号</w:t>
            </w:r>
            <w:r/>
          </w:p>
        </w:tc>
        <w:tc>
          <w:tcPr>
            <w:tcW w:w="333" w:type="pct"/>
            <w:textDirection w:val="lrTb"/>
            <w:noWrap w:val="false"/>
          </w:tcPr>
          <w:p>
            <w:pPr>
              <w:pStyle w:val="1167"/>
              <w:ind w:left="140"/>
              <w:keepLines w:val="0"/>
              <w:keepNext w:val="0"/>
              <w:pageBreakBefore w:val="0"/>
              <w:spacing w:before="156" w:line="276" w:lineRule="auto"/>
              <w:widowControl w:val="off"/>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2"/>
                <w:highlight w:val="none"/>
                <w14:textFill>
                  <w14:solidFill>
                    <w14:schemeClr w14:val="tx1"/>
                  </w14:solidFill>
                </w14:textFill>
              </w:rPr>
              <w:t xml:space="preserve">产地</w:t>
            </w:r>
            <w:r/>
          </w:p>
        </w:tc>
        <w:tc>
          <w:tcPr>
            <w:tcW w:w="332" w:type="pct"/>
            <w:textDirection w:val="lrTb"/>
            <w:noWrap w:val="false"/>
          </w:tcPr>
          <w:p>
            <w:pPr>
              <w:pStyle w:val="1167"/>
              <w:ind w:left="121"/>
              <w:keepLines w:val="0"/>
              <w:keepNext w:val="0"/>
              <w:pageBreakBefore w:val="0"/>
              <w:spacing w:before="146" w:line="276" w:lineRule="auto"/>
              <w:widowControl w:val="off"/>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3"/>
                <w:highlight w:val="none"/>
                <w14:textFill>
                  <w14:solidFill>
                    <w14:schemeClr w14:val="tx1"/>
                  </w14:solidFill>
                </w14:textFill>
              </w:rPr>
              <w:t xml:space="preserve">单位</w:t>
            </w:r>
            <w:r/>
          </w:p>
        </w:tc>
        <w:tc>
          <w:tcPr>
            <w:tcW w:w="405" w:type="pct"/>
            <w:textDirection w:val="lrTb"/>
            <w:noWrap w:val="false"/>
          </w:tcPr>
          <w:p>
            <w:pPr>
              <w:pStyle w:val="1167"/>
              <w:ind w:left="202"/>
              <w:keepLines w:val="0"/>
              <w:keepNext w:val="0"/>
              <w:pageBreakBefore w:val="0"/>
              <w:spacing w:before="146" w:line="276" w:lineRule="auto"/>
              <w:widowControl w:val="off"/>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3"/>
                <w:highlight w:val="none"/>
                <w14:textFill>
                  <w14:solidFill>
                    <w14:schemeClr w14:val="tx1"/>
                  </w14:solidFill>
                </w14:textFill>
              </w:rPr>
              <w:t xml:space="preserve">数量</w:t>
            </w:r>
            <w:r/>
          </w:p>
        </w:tc>
        <w:tc>
          <w:tcPr>
            <w:tcW w:w="540" w:type="pct"/>
            <w:textDirection w:val="lrTb"/>
            <w:noWrap w:val="false"/>
          </w:tcPr>
          <w:p>
            <w:pPr>
              <w:pStyle w:val="1167"/>
              <w:ind w:left="163"/>
              <w:keepLines w:val="0"/>
              <w:keepNext w:val="0"/>
              <w:pageBreakBefore w:val="0"/>
              <w:spacing w:before="137" w:line="276" w:lineRule="auto"/>
              <w:widowControl w:val="off"/>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13"/>
                <w:highlight w:val="none"/>
                <w14:textFill>
                  <w14:solidFill>
                    <w14:schemeClr w14:val="tx1"/>
                  </w14:solidFill>
                </w14:textFill>
              </w:rPr>
              <w:t xml:space="preserve">单价(元)</w:t>
            </w:r>
            <w:r/>
          </w:p>
        </w:tc>
        <w:tc>
          <w:tcPr>
            <w:tcW w:w="529" w:type="pct"/>
            <w:textDirection w:val="lrTb"/>
            <w:noWrap w:val="false"/>
          </w:tcPr>
          <w:p>
            <w:pPr>
              <w:pStyle w:val="1167"/>
              <w:ind w:left="144"/>
              <w:keepLines w:val="0"/>
              <w:keepNext w:val="0"/>
              <w:pageBreakBefore w:val="0"/>
              <w:spacing w:before="147" w:line="276" w:lineRule="auto"/>
              <w:widowControl w:val="off"/>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13"/>
                <w:highlight w:val="none"/>
                <w14:textFill>
                  <w14:solidFill>
                    <w14:schemeClr w14:val="tx1"/>
                  </w14:solidFill>
                </w14:textFill>
              </w:rPr>
              <w:t xml:space="preserve">合计(元)</w:t>
            </w:r>
            <w:r/>
          </w:p>
        </w:tc>
        <w:tc>
          <w:tcPr>
            <w:tcW w:w="394" w:type="pct"/>
            <w:textDirection w:val="lrTb"/>
            <w:noWrap w:val="false"/>
          </w:tcPr>
          <w:p>
            <w:pPr>
              <w:pStyle w:val="1167"/>
              <w:ind w:left="206"/>
              <w:keepLines w:val="0"/>
              <w:keepNext w:val="0"/>
              <w:pageBreakBefore w:val="0"/>
              <w:spacing w:before="157" w:line="276" w:lineRule="auto"/>
              <w:widowControl w:val="off"/>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3"/>
                <w:highlight w:val="none"/>
                <w14:textFill>
                  <w14:solidFill>
                    <w14:schemeClr w14:val="tx1"/>
                  </w14:solidFill>
                </w14:textFill>
              </w:rPr>
              <w:t xml:space="preserve">备注</w:t>
            </w:r>
            <w:r/>
          </w:p>
        </w:tc>
        <w:tc>
          <w:tcPr>
            <w:tcW w:w="332" w:type="pct"/>
            <w:textDirection w:val="lrTb"/>
            <w:noWrap w:val="false"/>
          </w:tcPr>
          <w:p>
            <w:pPr>
              <w:pStyle w:val="1167"/>
              <w:ind w:left="56"/>
              <w:keepLines w:val="0"/>
              <w:keepNext w:val="0"/>
              <w:pageBreakBefore w:val="0"/>
              <w:spacing w:before="156" w:line="276" w:lineRule="auto"/>
              <w:widowControl w:val="off"/>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2"/>
                <w:highlight w:val="none"/>
                <w14:textFill>
                  <w14:solidFill>
                    <w14:schemeClr w14:val="tx1"/>
                  </w14:solidFill>
                </w14:textFill>
              </w:rPr>
              <w:t xml:space="preserve">预算号</w:t>
            </w:r>
            <w:r/>
          </w:p>
        </w:tc>
        <w:tc>
          <w:tcPr>
            <w:tcW w:w="336" w:type="pct"/>
            <w:textDirection w:val="lrTb"/>
            <w:noWrap w:val="false"/>
          </w:tcPr>
          <w:p>
            <w:pPr>
              <w:pStyle w:val="1167"/>
              <w:ind w:left="147" w:right="46" w:hanging="92"/>
              <w:keepLines w:val="0"/>
              <w:keepNext w:val="0"/>
              <w:pageBreakBefore w:val="0"/>
              <w:spacing w:before="47" w:line="276" w:lineRule="auto"/>
              <w:widowControl w:val="off"/>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spacing w:val="-17"/>
                <w:highlight w:val="none"/>
                <w14:textFill>
                  <w14:solidFill>
                    <w14:schemeClr w14:val="tx1"/>
                  </w14:solidFill>
                </w14:textFill>
              </w:rPr>
              <w:t xml:space="preserve">OA申请</w:t>
            </w:r>
            <w:r>
              <w:rPr>
                <w:rFonts w:hint="default" w:ascii="Times New Roman" w:hAnsi="Times New Roman" w:eastAsia="宋体" w:cs="Times New Roman"/>
                <w:color w:val="000000" w:themeColor="text1"/>
                <w:spacing w:val="-3"/>
                <w:highlight w:val="none"/>
                <w14:textFill>
                  <w14:solidFill>
                    <w14:schemeClr w14:val="tx1"/>
                  </w14:solidFill>
                </w14:textFill>
              </w:rPr>
              <w:t xml:space="preserve">单号</w:t>
            </w:r>
            <w:r/>
          </w:p>
        </w:tc>
      </w:tr>
      <w:tr>
        <w:trPr>
          <w:trHeight w:val="567"/>
        </w:trPr>
        <w:tc>
          <w:tcPr>
            <w:tcW w:w="408" w:type="pct"/>
            <w:textDirection w:val="lrTb"/>
            <w:noWrap w:val="false"/>
          </w:tcPr>
          <w:p>
            <w:pPr>
              <w:keepLines w:val="0"/>
              <w:keepNext w:val="0"/>
              <w:pageBreakBefore w:val="0"/>
              <w:spacing w:line="276" w:lineRule="auto"/>
              <w:widowControl w:val="off"/>
              <w:rPr>
                <w:rFonts w:hint="default" w:ascii="Times New Roman" w:hAnsi="Times New Roman" w:eastAsia="宋体" w:cs="Times New Roman"/>
                <w:color w:val="000000" w:themeColor="text1"/>
                <w:sz w:val="16"/>
                <w:szCs w:val="16"/>
                <w:highlight w:val="none"/>
                <w14:textFill>
                  <w14:solidFill>
                    <w14:schemeClr w14:val="tx1"/>
                  </w14:solidFill>
                </w14:textFill>
              </w:rPr>
            </w:pPr>
            <w:r>
              <w:rPr>
                <w:rFonts w:hint="default" w:ascii="Times New Roman" w:hAnsi="Times New Roman" w:eastAsia="宋体" w:cs="Times New Roman"/>
                <w:color w:val="000000" w:themeColor="text1"/>
                <w:sz w:val="16"/>
                <w:szCs w:val="16"/>
                <w:highlight w:val="none"/>
                <w14:textFill>
                  <w14:solidFill>
                    <w14:schemeClr w14:val="tx1"/>
                  </w14:solidFill>
                </w14:textFill>
              </w:rPr>
            </w:r>
            <w:r/>
          </w:p>
        </w:tc>
        <w:tc>
          <w:tcPr>
            <w:tcW w:w="488" w:type="pct"/>
            <w:textDirection w:val="lrTb"/>
            <w:noWrap w:val="false"/>
          </w:tcPr>
          <w:p>
            <w:pPr>
              <w:keepLines w:val="0"/>
              <w:keepNext w:val="0"/>
              <w:pageBreakBefore w:val="0"/>
              <w:spacing w:line="276" w:lineRule="auto"/>
              <w:widowControl w:val="off"/>
              <w:rPr>
                <w:rFonts w:hint="default" w:ascii="Times New Roman" w:hAnsi="Times New Roman" w:eastAsia="宋体" w:cs="Times New Roman"/>
                <w:color w:val="000000" w:themeColor="text1"/>
                <w:sz w:val="16"/>
                <w:szCs w:val="16"/>
                <w:highlight w:val="none"/>
                <w14:textFill>
                  <w14:solidFill>
                    <w14:schemeClr w14:val="tx1"/>
                  </w14:solidFill>
                </w14:textFill>
              </w:rPr>
            </w:pPr>
            <w:r>
              <w:rPr>
                <w:rFonts w:hint="default" w:ascii="Times New Roman" w:hAnsi="Times New Roman" w:eastAsia="宋体" w:cs="Times New Roman"/>
                <w:color w:val="000000" w:themeColor="text1"/>
                <w:sz w:val="16"/>
                <w:szCs w:val="16"/>
                <w:highlight w:val="none"/>
                <w14:textFill>
                  <w14:solidFill>
                    <w14:schemeClr w14:val="tx1"/>
                  </w14:solidFill>
                </w14:textFill>
              </w:rPr>
            </w:r>
            <w:r/>
          </w:p>
        </w:tc>
        <w:tc>
          <w:tcPr>
            <w:tcW w:w="509" w:type="pct"/>
            <w:textDirection w:val="lrTb"/>
            <w:noWrap w:val="false"/>
          </w:tcPr>
          <w:p>
            <w:pPr>
              <w:keepLines w:val="0"/>
              <w:keepNext w:val="0"/>
              <w:pageBreakBefore w:val="0"/>
              <w:spacing w:line="276" w:lineRule="auto"/>
              <w:widowControl w:val="off"/>
              <w:rPr>
                <w:rFonts w:hint="default" w:ascii="Times New Roman" w:hAnsi="Times New Roman" w:eastAsia="宋体" w:cs="Times New Roman"/>
                <w:color w:val="000000" w:themeColor="text1"/>
                <w:sz w:val="16"/>
                <w:szCs w:val="16"/>
                <w:highlight w:val="none"/>
                <w14:textFill>
                  <w14:solidFill>
                    <w14:schemeClr w14:val="tx1"/>
                  </w14:solidFill>
                </w14:textFill>
              </w:rPr>
            </w:pPr>
            <w:r>
              <w:rPr>
                <w:rFonts w:hint="default" w:ascii="Times New Roman" w:hAnsi="Times New Roman" w:eastAsia="宋体" w:cs="Times New Roman"/>
                <w:color w:val="000000" w:themeColor="text1"/>
                <w:sz w:val="16"/>
                <w:szCs w:val="16"/>
                <w:highlight w:val="none"/>
                <w14:textFill>
                  <w14:solidFill>
                    <w14:schemeClr w14:val="tx1"/>
                  </w14:solidFill>
                </w14:textFill>
              </w:rPr>
            </w:r>
            <w:r/>
          </w:p>
        </w:tc>
        <w:tc>
          <w:tcPr>
            <w:tcW w:w="394" w:type="pct"/>
            <w:textDirection w:val="lrTb"/>
            <w:noWrap w:val="false"/>
          </w:tcPr>
          <w:p>
            <w:pPr>
              <w:keepLines w:val="0"/>
              <w:keepNext w:val="0"/>
              <w:pageBreakBefore w:val="0"/>
              <w:spacing w:line="276" w:lineRule="auto"/>
              <w:widowControl w:val="off"/>
              <w:rPr>
                <w:rFonts w:hint="default" w:ascii="Times New Roman" w:hAnsi="Times New Roman" w:eastAsia="宋体" w:cs="Times New Roman"/>
                <w:color w:val="000000" w:themeColor="text1"/>
                <w:sz w:val="16"/>
                <w:szCs w:val="16"/>
                <w:highlight w:val="none"/>
                <w14:textFill>
                  <w14:solidFill>
                    <w14:schemeClr w14:val="tx1"/>
                  </w14:solidFill>
                </w14:textFill>
              </w:rPr>
            </w:pPr>
            <w:r>
              <w:rPr>
                <w:rFonts w:hint="default" w:ascii="Times New Roman" w:hAnsi="Times New Roman" w:eastAsia="宋体" w:cs="Times New Roman"/>
                <w:color w:val="000000" w:themeColor="text1"/>
                <w:sz w:val="16"/>
                <w:szCs w:val="16"/>
                <w:highlight w:val="none"/>
                <w14:textFill>
                  <w14:solidFill>
                    <w14:schemeClr w14:val="tx1"/>
                  </w14:solidFill>
                </w14:textFill>
              </w:rPr>
            </w:r>
            <w:r/>
          </w:p>
        </w:tc>
        <w:tc>
          <w:tcPr>
            <w:tcW w:w="333" w:type="pct"/>
            <w:textDirection w:val="lrTb"/>
            <w:noWrap w:val="false"/>
          </w:tcPr>
          <w:p>
            <w:pPr>
              <w:keepLines w:val="0"/>
              <w:keepNext w:val="0"/>
              <w:pageBreakBefore w:val="0"/>
              <w:spacing w:line="276" w:lineRule="auto"/>
              <w:widowControl w:val="off"/>
              <w:rPr>
                <w:rFonts w:hint="default" w:ascii="Times New Roman" w:hAnsi="Times New Roman" w:eastAsia="宋体" w:cs="Times New Roman"/>
                <w:color w:val="000000" w:themeColor="text1"/>
                <w:sz w:val="16"/>
                <w:szCs w:val="16"/>
                <w:highlight w:val="none"/>
                <w14:textFill>
                  <w14:solidFill>
                    <w14:schemeClr w14:val="tx1"/>
                  </w14:solidFill>
                </w14:textFill>
              </w:rPr>
            </w:pPr>
            <w:r>
              <w:rPr>
                <w:rFonts w:hint="default" w:ascii="Times New Roman" w:hAnsi="Times New Roman" w:eastAsia="宋体" w:cs="Times New Roman"/>
                <w:color w:val="000000" w:themeColor="text1"/>
                <w:sz w:val="16"/>
                <w:szCs w:val="16"/>
                <w:highlight w:val="none"/>
                <w14:textFill>
                  <w14:solidFill>
                    <w14:schemeClr w14:val="tx1"/>
                  </w14:solidFill>
                </w14:textFill>
              </w:rPr>
            </w:r>
            <w:r/>
          </w:p>
        </w:tc>
        <w:tc>
          <w:tcPr>
            <w:tcW w:w="332" w:type="pct"/>
            <w:textDirection w:val="lrTb"/>
            <w:noWrap w:val="false"/>
          </w:tcPr>
          <w:p>
            <w:pPr>
              <w:keepLines w:val="0"/>
              <w:keepNext w:val="0"/>
              <w:pageBreakBefore w:val="0"/>
              <w:spacing w:line="276" w:lineRule="auto"/>
              <w:widowControl w:val="off"/>
              <w:rPr>
                <w:rFonts w:hint="default" w:ascii="Times New Roman" w:hAnsi="Times New Roman" w:eastAsia="宋体" w:cs="Times New Roman"/>
                <w:color w:val="000000" w:themeColor="text1"/>
                <w:sz w:val="16"/>
                <w:szCs w:val="16"/>
                <w:highlight w:val="none"/>
                <w14:textFill>
                  <w14:solidFill>
                    <w14:schemeClr w14:val="tx1"/>
                  </w14:solidFill>
                </w14:textFill>
              </w:rPr>
            </w:pPr>
            <w:r>
              <w:rPr>
                <w:rFonts w:hint="default" w:ascii="Times New Roman" w:hAnsi="Times New Roman" w:eastAsia="宋体" w:cs="Times New Roman"/>
                <w:color w:val="000000" w:themeColor="text1"/>
                <w:sz w:val="16"/>
                <w:szCs w:val="16"/>
                <w:highlight w:val="none"/>
                <w14:textFill>
                  <w14:solidFill>
                    <w14:schemeClr w14:val="tx1"/>
                  </w14:solidFill>
                </w14:textFill>
              </w:rPr>
            </w:r>
            <w:r/>
          </w:p>
        </w:tc>
        <w:tc>
          <w:tcPr>
            <w:tcW w:w="405" w:type="pct"/>
            <w:textDirection w:val="lrTb"/>
            <w:noWrap w:val="false"/>
          </w:tcPr>
          <w:p>
            <w:pPr>
              <w:keepLines w:val="0"/>
              <w:keepNext w:val="0"/>
              <w:pageBreakBefore w:val="0"/>
              <w:spacing w:line="276" w:lineRule="auto"/>
              <w:widowControl w:val="off"/>
              <w:rPr>
                <w:rFonts w:hint="default" w:ascii="Times New Roman" w:hAnsi="Times New Roman" w:eastAsia="宋体" w:cs="Times New Roman"/>
                <w:color w:val="000000" w:themeColor="text1"/>
                <w:sz w:val="16"/>
                <w:szCs w:val="16"/>
                <w:highlight w:val="none"/>
                <w14:textFill>
                  <w14:solidFill>
                    <w14:schemeClr w14:val="tx1"/>
                  </w14:solidFill>
                </w14:textFill>
              </w:rPr>
            </w:pPr>
            <w:r>
              <w:rPr>
                <w:rFonts w:hint="default" w:ascii="Times New Roman" w:hAnsi="Times New Roman" w:eastAsia="宋体" w:cs="Times New Roman"/>
                <w:color w:val="000000" w:themeColor="text1"/>
                <w:sz w:val="16"/>
                <w:szCs w:val="16"/>
                <w:highlight w:val="none"/>
                <w14:textFill>
                  <w14:solidFill>
                    <w14:schemeClr w14:val="tx1"/>
                  </w14:solidFill>
                </w14:textFill>
              </w:rPr>
            </w:r>
            <w:r/>
          </w:p>
        </w:tc>
        <w:tc>
          <w:tcPr>
            <w:tcW w:w="540" w:type="pct"/>
            <w:textDirection w:val="lrTb"/>
            <w:noWrap w:val="false"/>
          </w:tcPr>
          <w:p>
            <w:pPr>
              <w:keepLines w:val="0"/>
              <w:keepNext w:val="0"/>
              <w:pageBreakBefore w:val="0"/>
              <w:spacing w:line="276" w:lineRule="auto"/>
              <w:widowControl w:val="off"/>
              <w:rPr>
                <w:rFonts w:hint="default" w:ascii="Times New Roman" w:hAnsi="Times New Roman" w:eastAsia="宋体" w:cs="Times New Roman"/>
                <w:color w:val="000000" w:themeColor="text1"/>
                <w:sz w:val="16"/>
                <w:szCs w:val="16"/>
                <w:highlight w:val="none"/>
                <w14:textFill>
                  <w14:solidFill>
                    <w14:schemeClr w14:val="tx1"/>
                  </w14:solidFill>
                </w14:textFill>
              </w:rPr>
            </w:pPr>
            <w:r>
              <w:rPr>
                <w:rFonts w:hint="default" w:ascii="Times New Roman" w:hAnsi="Times New Roman" w:eastAsia="宋体" w:cs="Times New Roman"/>
                <w:color w:val="000000" w:themeColor="text1"/>
                <w:sz w:val="16"/>
                <w:szCs w:val="16"/>
                <w:highlight w:val="none"/>
                <w14:textFill>
                  <w14:solidFill>
                    <w14:schemeClr w14:val="tx1"/>
                  </w14:solidFill>
                </w14:textFill>
              </w:rPr>
            </w:r>
            <w:r/>
          </w:p>
        </w:tc>
        <w:tc>
          <w:tcPr>
            <w:tcW w:w="529" w:type="pct"/>
            <w:textDirection w:val="lrTb"/>
            <w:noWrap w:val="false"/>
          </w:tcPr>
          <w:p>
            <w:pPr>
              <w:keepLines w:val="0"/>
              <w:keepNext w:val="0"/>
              <w:pageBreakBefore w:val="0"/>
              <w:spacing w:line="276" w:lineRule="auto"/>
              <w:widowControl w:val="off"/>
              <w:rPr>
                <w:rFonts w:hint="default" w:ascii="Times New Roman" w:hAnsi="Times New Roman" w:eastAsia="宋体" w:cs="Times New Roman"/>
                <w:color w:val="000000" w:themeColor="text1"/>
                <w:sz w:val="16"/>
                <w:szCs w:val="16"/>
                <w:highlight w:val="none"/>
                <w14:textFill>
                  <w14:solidFill>
                    <w14:schemeClr w14:val="tx1"/>
                  </w14:solidFill>
                </w14:textFill>
              </w:rPr>
            </w:pPr>
            <w:r>
              <w:rPr>
                <w:rFonts w:hint="default" w:ascii="Times New Roman" w:hAnsi="Times New Roman" w:eastAsia="宋体" w:cs="Times New Roman"/>
                <w:color w:val="000000" w:themeColor="text1"/>
                <w:sz w:val="16"/>
                <w:szCs w:val="16"/>
                <w:highlight w:val="none"/>
                <w14:textFill>
                  <w14:solidFill>
                    <w14:schemeClr w14:val="tx1"/>
                  </w14:solidFill>
                </w14:textFill>
              </w:rPr>
            </w:r>
            <w:r/>
          </w:p>
        </w:tc>
        <w:tc>
          <w:tcPr>
            <w:tcW w:w="394" w:type="pct"/>
            <w:textDirection w:val="lrTb"/>
            <w:noWrap w:val="false"/>
          </w:tcPr>
          <w:p>
            <w:pPr>
              <w:keepLines w:val="0"/>
              <w:keepNext w:val="0"/>
              <w:pageBreakBefore w:val="0"/>
              <w:spacing w:line="276" w:lineRule="auto"/>
              <w:widowControl w:val="off"/>
              <w:rPr>
                <w:rFonts w:hint="default" w:ascii="Times New Roman" w:hAnsi="Times New Roman" w:eastAsia="宋体" w:cs="Times New Roman"/>
                <w:color w:val="000000" w:themeColor="text1"/>
                <w:sz w:val="16"/>
                <w:szCs w:val="16"/>
                <w:highlight w:val="none"/>
                <w:lang w:eastAsia="zh-CN"/>
                <w14:textFill>
                  <w14:solidFill>
                    <w14:schemeClr w14:val="tx1"/>
                  </w14:solidFill>
                </w14:textFill>
              </w:rPr>
            </w:pPr>
            <w:r>
              <w:rPr>
                <w:rFonts w:hint="default" w:ascii="Times New Roman" w:hAnsi="Times New Roman" w:eastAsia="宋体" w:cs="Times New Roman"/>
                <w:color w:val="000000" w:themeColor="text1"/>
                <w:sz w:val="16"/>
                <w:szCs w:val="16"/>
                <w:highlight w:val="none"/>
                <w:lang w:eastAsia="zh-CN"/>
                <w14:textFill>
                  <w14:solidFill>
                    <w14:schemeClr w14:val="tx1"/>
                  </w14:solidFill>
                </w14:textFill>
              </w:rPr>
            </w:r>
            <w:r/>
          </w:p>
        </w:tc>
        <w:tc>
          <w:tcPr>
            <w:tcW w:w="332" w:type="pct"/>
            <w:textDirection w:val="lrTb"/>
            <w:noWrap w:val="false"/>
          </w:tcPr>
          <w:p>
            <w:pPr>
              <w:keepLines w:val="0"/>
              <w:keepNext w:val="0"/>
              <w:pageBreakBefore w:val="0"/>
              <w:spacing w:line="276" w:lineRule="auto"/>
              <w:widowControl w:val="off"/>
              <w:rPr>
                <w:rFonts w:hint="default" w:ascii="Times New Roman" w:hAnsi="Times New Roman" w:eastAsia="宋体" w:cs="Times New Roman"/>
                <w:color w:val="000000" w:themeColor="text1"/>
                <w:sz w:val="16"/>
                <w:szCs w:val="16"/>
                <w:highlight w:val="none"/>
                <w14:textFill>
                  <w14:solidFill>
                    <w14:schemeClr w14:val="tx1"/>
                  </w14:solidFill>
                </w14:textFill>
              </w:rPr>
            </w:pPr>
            <w:r>
              <w:rPr>
                <w:rFonts w:hint="default" w:ascii="Times New Roman" w:hAnsi="Times New Roman" w:eastAsia="宋体" w:cs="Times New Roman"/>
                <w:color w:val="000000" w:themeColor="text1"/>
                <w:sz w:val="16"/>
                <w:szCs w:val="16"/>
                <w:highlight w:val="none"/>
                <w14:textFill>
                  <w14:solidFill>
                    <w14:schemeClr w14:val="tx1"/>
                  </w14:solidFill>
                </w14:textFill>
              </w:rPr>
            </w:r>
            <w:r/>
          </w:p>
        </w:tc>
        <w:tc>
          <w:tcPr>
            <w:tcW w:w="336" w:type="pct"/>
            <w:textDirection w:val="lrTb"/>
            <w:noWrap w:val="false"/>
          </w:tcPr>
          <w:p>
            <w:pPr>
              <w:keepLines w:val="0"/>
              <w:keepNext w:val="0"/>
              <w:pageBreakBefore w:val="0"/>
              <w:spacing w:line="276" w:lineRule="auto"/>
              <w:widowControl w:val="off"/>
              <w:rPr>
                <w:rFonts w:hint="default" w:ascii="Times New Roman" w:hAnsi="Times New Roman" w:eastAsia="宋体" w:cs="Times New Roman"/>
                <w:color w:val="000000" w:themeColor="text1"/>
                <w:sz w:val="16"/>
                <w:szCs w:val="16"/>
                <w:highlight w:val="none"/>
                <w14:textFill>
                  <w14:solidFill>
                    <w14:schemeClr w14:val="tx1"/>
                  </w14:solidFill>
                </w14:textFill>
              </w:rPr>
            </w:pPr>
            <w:r>
              <w:rPr>
                <w:rFonts w:hint="default" w:ascii="Times New Roman" w:hAnsi="Times New Roman" w:eastAsia="宋体" w:cs="Times New Roman"/>
                <w:color w:val="000000" w:themeColor="text1"/>
                <w:sz w:val="16"/>
                <w:szCs w:val="16"/>
                <w:highlight w:val="none"/>
                <w14:textFill>
                  <w14:solidFill>
                    <w14:schemeClr w14:val="tx1"/>
                  </w14:solidFill>
                </w14:textFill>
              </w:rPr>
            </w:r>
            <w:r/>
          </w:p>
        </w:tc>
      </w:tr>
      <w:tr>
        <w:trPr>
          <w:trHeight w:val="567"/>
        </w:trPr>
        <w:tc>
          <w:tcPr>
            <w:gridSpan w:val="12"/>
            <w:tcW w:w="5000" w:type="pct"/>
            <w:textDirection w:val="lrTb"/>
            <w:noWrap w:val="false"/>
          </w:tcPr>
          <w:p>
            <w:pPr>
              <w:pStyle w:val="1167"/>
              <w:ind w:left="48"/>
              <w:keepLines w:val="0"/>
              <w:keepNext w:val="0"/>
              <w:pageBreakBefore w:val="0"/>
              <w:spacing w:before="147"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总计（大写</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人民币元整     </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                                                                    小写：元</w:t>
            </w:r>
            <w:r/>
          </w:p>
        </w:tc>
      </w:tr>
    </w:tbl>
    <w:p>
      <w:pPr>
        <w:pStyle w:val="870"/>
        <w:ind w:left="15" w:right="166"/>
        <w:keepLines w:val="0"/>
        <w:keepNext w:val="0"/>
        <w:pageBreakBefore w:val="0"/>
        <w:spacing w:before="1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注：上述价格含设备制造、包装、仓储、运输、安装及验收合格之前及保修</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期内备品、备件发生的</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所有含税费用，以及包装拆除物的清理费用。</w:t>
      </w:r>
      <w:r/>
    </w:p>
    <w:p>
      <w:pPr>
        <w:pStyle w:val="870"/>
        <w:ind w:left="15"/>
        <w:keepLines w:val="0"/>
        <w:keepNext w:val="0"/>
        <w:pageBreakBefore w:val="0"/>
        <w:spacing w:before="9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合同为固定单价合同，合同价款不因国家税率变更而更改。</w:t>
      </w:r>
      <w:r/>
    </w:p>
    <w:p>
      <w:pPr>
        <w:pStyle w:val="870"/>
        <w:ind w:left="18"/>
        <w:keepLines w:val="0"/>
        <w:keepNext w:val="0"/>
        <w:pageBreakBefore w:val="0"/>
        <w:spacing w:before="167"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8"/>
          <w:highlight w:val="none"/>
          <w:lang w:eastAsia="zh-CN"/>
          <w14:textFill>
            <w14:solidFill>
              <w14:schemeClr w14:val="tx1"/>
            </w14:solidFill>
          </w14:textFill>
        </w:rPr>
        <w:t xml:space="preserve">二、付款方式：</w:t>
      </w:r>
      <w:r/>
    </w:p>
    <w:p>
      <w:pPr>
        <w:pStyle w:val="870"/>
        <w:ind w:left="31"/>
        <w:keepLines w:val="0"/>
        <w:keepNext w:val="0"/>
        <w:pageBreakBefore w:val="0"/>
        <w:spacing w:before="80"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outlineLvl w:val="1"/>
      </w:pPr>
      <w:r>
        <w:rPr>
          <w:rFonts w:hint="default" w:ascii="Times New Roman" w:hAnsi="Times New Roman" w:eastAsia="宋体" w:cs="Times New Roman"/>
          <w:b/>
          <w:bCs/>
          <w:color w:val="000000" w:themeColor="text1"/>
          <w:spacing w:val="7"/>
          <w:highlight w:val="none"/>
          <w:lang w:eastAsia="zh-CN"/>
          <w14:textFill>
            <w14:solidFill>
              <w14:schemeClr w14:val="tx1"/>
            </w14:solidFill>
          </w14:textFill>
        </w:rPr>
        <w:t xml:space="preserve">1.响应的付款条件。</w:t>
      </w:r>
      <w:r/>
    </w:p>
    <w:p>
      <w:pPr>
        <w:pStyle w:val="870"/>
        <w:ind w:left="17"/>
        <w:keepLines w:val="0"/>
        <w:keepNext w:val="0"/>
        <w:pageBreakBefore w:val="0"/>
        <w:spacing w:before="8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2.特别提示条款：发票上所列品名与型号必须与合同所列品名与型号完全一致；否则由此引起的一</w:t>
      </w:r>
      <w:r>
        <w:rPr>
          <w:rFonts w:hint="default" w:ascii="Times New Roman" w:hAnsi="Times New Roman" w:eastAsia="宋体" w:cs="Times New Roman"/>
          <w:color w:val="000000" w:themeColor="text1"/>
          <w:spacing w:val="-4"/>
          <w:highlight w:val="none"/>
          <w:lang w:eastAsia="zh-CN"/>
          <w14:textFill>
            <w14:solidFill>
              <w14:schemeClr w14:val="tx1"/>
            </w14:solidFill>
          </w14:textFill>
        </w:rPr>
        <w:t xml:space="preserve">切责任由乙方负责。</w:t>
      </w:r>
      <w:r/>
    </w:p>
    <w:p>
      <w:pPr>
        <w:pStyle w:val="870"/>
        <w:ind w:left="55"/>
        <w:keepLines w:val="0"/>
        <w:keepNext w:val="0"/>
        <w:pageBreakBefore w:val="0"/>
        <w:spacing w:before="200"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三、交付方式</w:t>
      </w:r>
      <w:r/>
    </w:p>
    <w:p>
      <w:pPr>
        <w:pStyle w:val="870"/>
        <w:ind w:left="31"/>
        <w:keepLines w:val="0"/>
        <w:keepNext w:val="0"/>
        <w:pageBreakBefore w:val="0"/>
        <w:spacing w:before="160"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b/>
          <w:bCs/>
          <w:color w:val="000000" w:themeColor="text1"/>
          <w:spacing w:val="8"/>
          <w:highlight w:val="none"/>
          <w:lang w:eastAsia="zh-CN"/>
          <w14:textFill>
            <w14:solidFill>
              <w14:schemeClr w14:val="tx1"/>
            </w14:solidFill>
          </w14:textFill>
        </w:rPr>
        <w:t xml:space="preserve">1.交货时间：</w:t>
      </w:r>
      <w:r>
        <w:rPr>
          <w:rFonts w:hint="default" w:ascii="Times New Roman" w:hAnsi="Times New Roman" w:eastAsia="宋体" w:cs="Times New Roman"/>
          <w:b/>
          <w:bCs/>
          <w:color w:val="000000" w:themeColor="text1"/>
          <w:spacing w:val="8"/>
          <w:highlight w:val="none"/>
          <w:u w:val="single"/>
          <w:lang w:eastAsia="zh-CN"/>
          <w14:textFill>
            <w14:solidFill>
              <w14:schemeClr w14:val="tx1"/>
            </w14:solidFill>
          </w14:textFill>
        </w:rPr>
        <w:t xml:space="preserve">响应的到货时间</w:t>
      </w:r>
      <w:r>
        <w:rPr>
          <w:rFonts w:hint="default" w:ascii="Times New Roman" w:hAnsi="Times New Roman" w:eastAsia="宋体" w:cs="Times New Roman"/>
          <w:b/>
          <w:bCs/>
          <w:color w:val="000000" w:themeColor="text1"/>
          <w:spacing w:val="8"/>
          <w:highlight w:val="none"/>
          <w:lang w:eastAsia="zh-CN"/>
          <w14:textFill>
            <w14:solidFill>
              <w14:schemeClr w14:val="tx1"/>
            </w14:solidFill>
          </w14:textFill>
        </w:rPr>
        <w:t xml:space="preserve">。交货地点：</w:t>
      </w:r>
      <w:r>
        <w:rPr>
          <w:rFonts w:hint="default" w:ascii="Times New Roman" w:hAnsi="Times New Roman" w:eastAsia="宋体" w:cs="Times New Roman"/>
          <w:b/>
          <w:bCs/>
          <w:color w:val="000000" w:themeColor="text1"/>
          <w:spacing w:val="8"/>
          <w:highlight w:val="none"/>
          <w:u w:val="single"/>
          <w:lang w:eastAsia="zh-CN"/>
          <w14:textFill>
            <w14:solidFill>
              <w14:schemeClr w14:val="tx1"/>
            </w14:solidFill>
          </w14:textFill>
        </w:rPr>
        <w:t xml:space="preserve">响应的交</w:t>
      </w:r>
      <w:r>
        <w:rPr>
          <w:rFonts w:hint="default" w:ascii="Times New Roman" w:hAnsi="Times New Roman" w:eastAsia="宋体" w:cs="Times New Roman"/>
          <w:b/>
          <w:bCs/>
          <w:color w:val="000000" w:themeColor="text1"/>
          <w:spacing w:val="7"/>
          <w:highlight w:val="none"/>
          <w:u w:val="single"/>
          <w:lang w:eastAsia="zh-CN"/>
          <w14:textFill>
            <w14:solidFill>
              <w14:schemeClr w14:val="tx1"/>
            </w14:solidFill>
          </w14:textFill>
        </w:rPr>
        <w:t xml:space="preserve">货地点</w:t>
      </w:r>
      <w:r>
        <w:rPr>
          <w:rFonts w:hint="default" w:ascii="Times New Roman" w:hAnsi="Times New Roman" w:eastAsia="宋体" w:cs="Times New Roman"/>
          <w:b/>
          <w:bCs/>
          <w:color w:val="000000" w:themeColor="text1"/>
          <w:spacing w:val="7"/>
          <w:highlight w:val="none"/>
          <w:lang w:eastAsia="zh-CN"/>
          <w14:textFill>
            <w14:solidFill>
              <w14:schemeClr w14:val="tx1"/>
            </w14:solidFill>
          </w14:textFill>
        </w:rPr>
        <w:t xml:space="preserve">。</w:t>
      </w:r>
      <w:r/>
    </w:p>
    <w:p>
      <w:pPr>
        <w:pStyle w:val="870"/>
        <w:ind w:right="100"/>
        <w:keepLines w:val="0"/>
        <w:keepNext w:val="0"/>
        <w:pageBreakBefore w:val="0"/>
        <w:spacing w:before="135"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b/>
          <w:bCs/>
          <w:color w:val="000000" w:themeColor="text1"/>
          <w:spacing w:val="10"/>
          <w:highlight w:val="none"/>
          <w:lang w:eastAsia="zh-CN"/>
          <w14:textFill>
            <w14:solidFill>
              <w14:schemeClr w14:val="tx1"/>
            </w14:solidFill>
          </w14:textFill>
        </w:rPr>
        <w:t xml:space="preserve">2.特别提醒条款：设备到货前，乙方至少提前三天通知甲方医用物资保障处库管人员（</w:t>
      </w:r>
      <w:r>
        <w:rPr>
          <w:rFonts w:hint="default" w:ascii="Times New Roman" w:hAnsi="Times New Roman" w:eastAsia="宋体" w:cs="Times New Roman"/>
          <w:b/>
          <w:bCs/>
          <w:color w:val="000000" w:themeColor="text1"/>
          <w:spacing w:val="9"/>
          <w:highlight w:val="none"/>
          <w:lang w:eastAsia="zh-CN"/>
          <w14:textFill>
            <w14:solidFill>
              <w14:schemeClr w14:val="tx1"/>
            </w14:solidFill>
          </w14:textFill>
        </w:rPr>
        <w:t xml:space="preserve">联系人</w:t>
      </w:r>
      <w:r>
        <w:rPr>
          <w:rFonts w:hint="default" w:ascii="Times New Roman" w:hAnsi="Times New Roman" w:eastAsia="宋体" w:cs="Times New Roman"/>
          <w:b/>
          <w:bCs/>
          <w:color w:val="000000" w:themeColor="text1"/>
          <w:spacing w:val="12"/>
          <w:highlight w:val="none"/>
          <w:lang w:eastAsia="zh-CN"/>
          <w14:textFill>
            <w14:solidFill>
              <w14:schemeClr w14:val="tx1"/>
            </w14:solidFill>
          </w14:textFill>
        </w:rPr>
        <w:t xml:space="preserve">：，电话：</w:t>
      </w:r>
      <w:r>
        <w:rPr>
          <w:rFonts w:hint="default" w:ascii="Times New Roman" w:hAnsi="Times New Roman" w:eastAsia="宋体" w:cs="Times New Roman"/>
          <w:b/>
          <w:bCs/>
          <w:color w:val="000000" w:themeColor="text1"/>
          <w:spacing w:val="16"/>
          <w:highlight w:val="none"/>
          <w:lang w:eastAsia="zh-CN"/>
          <w14:textFill>
            <w14:solidFill>
              <w14:schemeClr w14:val="tx1"/>
            </w14:solidFill>
          </w14:textFill>
        </w:rPr>
        <w:t xml:space="preserve">），</w:t>
      </w:r>
      <w:r>
        <w:rPr>
          <w:rFonts w:hint="default" w:ascii="Times New Roman" w:hAnsi="Times New Roman" w:eastAsia="宋体" w:cs="Times New Roman"/>
          <w:b/>
          <w:bCs/>
          <w:color w:val="000000" w:themeColor="text1"/>
          <w:spacing w:val="12"/>
          <w:highlight w:val="none"/>
          <w:lang w:eastAsia="zh-CN"/>
          <w14:textFill>
            <w14:solidFill>
              <w14:schemeClr w14:val="tx1"/>
            </w14:solidFill>
          </w14:textFill>
        </w:rPr>
        <w:t xml:space="preserve">以便甲方安排好相关收货工作。设备到达甲方医</w:t>
      </w:r>
      <w:r>
        <w:rPr>
          <w:rFonts w:hint="default" w:ascii="Times New Roman" w:hAnsi="Times New Roman" w:eastAsia="宋体" w:cs="Times New Roman"/>
          <w:b/>
          <w:bCs/>
          <w:color w:val="000000" w:themeColor="text1"/>
          <w:spacing w:val="9"/>
          <w:highlight w:val="none"/>
          <w:lang w:eastAsia="zh-CN"/>
          <w14:textFill>
            <w14:solidFill>
              <w14:schemeClr w14:val="tx1"/>
            </w14:solidFill>
          </w14:textFill>
        </w:rPr>
        <w:t xml:space="preserve">院时，乙方代表必须随机到达，由乙方负责卸货并运至甲方指定的地点，待设备搬运完毕后</w:t>
      </w:r>
      <w:r>
        <w:rPr>
          <w:rFonts w:hint="default" w:ascii="Times New Roman" w:hAnsi="Times New Roman" w:eastAsia="宋体" w:cs="Times New Roman"/>
          <w:b/>
          <w:bCs/>
          <w:color w:val="000000" w:themeColor="text1"/>
          <w:spacing w:val="13"/>
          <w:highlight w:val="none"/>
          <w:lang w:eastAsia="zh-CN"/>
          <w14:textFill>
            <w14:solidFill>
              <w14:schemeClr w14:val="tx1"/>
            </w14:solidFill>
          </w14:textFill>
        </w:rPr>
        <w:t xml:space="preserve">,甲乙双方办理交接手续。如未按上述规定执行，造成的一切后果全部</w:t>
      </w:r>
      <w:r>
        <w:rPr>
          <w:rFonts w:hint="default" w:ascii="Times New Roman" w:hAnsi="Times New Roman" w:eastAsia="宋体" w:cs="Times New Roman"/>
          <w:b/>
          <w:bCs/>
          <w:color w:val="000000" w:themeColor="text1"/>
          <w:spacing w:val="12"/>
          <w:highlight w:val="none"/>
          <w:lang w:eastAsia="zh-CN"/>
          <w14:textFill>
            <w14:solidFill>
              <w14:schemeClr w14:val="tx1"/>
            </w14:solidFill>
          </w14:textFill>
        </w:rPr>
        <w:t xml:space="preserve">由乙方承担。</w:t>
      </w:r>
      <w:r/>
    </w:p>
    <w:p>
      <w:pPr>
        <w:pStyle w:val="870"/>
        <w:ind w:left="75"/>
        <w:keepLines w:val="0"/>
        <w:keepNext w:val="0"/>
        <w:pageBreakBefore w:val="0"/>
        <w:spacing w:before="10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5"/>
          <w:highlight w:val="none"/>
          <w:lang w:eastAsia="zh-CN"/>
          <w14:textFill>
            <w14:solidFill>
              <w14:schemeClr w14:val="tx1"/>
            </w14:solidFill>
          </w14:textFill>
        </w:rPr>
        <w:t xml:space="preserve">四、保证条款</w:t>
      </w:r>
      <w:r/>
    </w:p>
    <w:p>
      <w:pPr>
        <w:pStyle w:val="870"/>
        <w:ind w:left="15" w:right="166" w:firstLine="16"/>
        <w:keepLines w:val="0"/>
        <w:keepNext w:val="0"/>
        <w:pageBreakBefore w:val="0"/>
        <w:spacing w:before="4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1.乙方保证向甲方提供的设备满足中国国家标准及相关行业标准</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。根据国家规定，如需要提供3C认证证书和标记的设备及有关配置，必须提供上述证书和标记。</w:t>
      </w:r>
      <w:r/>
    </w:p>
    <w:p>
      <w:pPr>
        <w:pStyle w:val="870"/>
        <w:ind w:left="15" w:right="166" w:firstLine="2"/>
        <w:keepLines w:val="0"/>
        <w:keepNext w:val="0"/>
        <w:pageBreakBefore w:val="0"/>
        <w:spacing w:before="99" w:line="276" w:lineRule="auto"/>
        <w:widowControl w:val="off"/>
        <w:rPr>
          <w:rFonts w:hint="default" w:ascii="Times New Roman" w:hAnsi="Times New Roman" w:eastAsia="宋体" w:cs="Times New Roman"/>
          <w:color w:val="000000" w:themeColor="text1"/>
          <w:spacing w:val="-2"/>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2.乙方保证所提供医疗器械产品注册证真实有效；所提供设备上的中文品名、型号及产品说明书所注适用范围与医疗器械产品注册证所标明的完全一致；医疗设备上的铭牌必</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须标注医疗器械注册证</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号，否则由此引起的一切责任由乙方负责。</w:t>
      </w:r>
      <w:r/>
    </w:p>
    <w:p>
      <w:pPr>
        <w:pStyle w:val="870"/>
        <w:ind w:left="15" w:right="166" w:firstLine="2"/>
        <w:keepLines w:val="0"/>
        <w:keepNext w:val="0"/>
        <w:pageBreakBefore w:val="0"/>
        <w:spacing w:before="9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3.乙方保证所供设备是全新、未使用过的原包装产品。乙方承诺其提供的</w:t>
      </w:r>
      <w:r>
        <w:rPr>
          <w:rFonts w:hint="default" w:ascii="Times New Roman" w:hAnsi="Times New Roman" w:eastAsia="宋体" w:cs="Times New Roman"/>
          <w:color w:val="000000" w:themeColor="text1"/>
          <w:highlight w:val="none"/>
          <w:u w:val="single"/>
          <w:lang w:eastAsia="zh-CN"/>
          <w14:textFill>
            <w14:solidFill>
              <w14:schemeClr w14:val="tx1"/>
            </w14:solidFill>
          </w14:textFill>
        </w:rPr>
        <w:t xml:space="preserve">响应的生产日期</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（对于医疗器械产品，产品的生产日期为产品标签或说明书上标明的生产日期，若在产</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品标签或说明书上同</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时标明了生产日期，则其标明的生产日期必须一致；对于非医疗器械产品，乙</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方应提供材料证明其生产日期不早于合同约定的日期并经甲方认可）。乙方须保证所供产品质量合格，不得弄虚作假、</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不得提供假冒伪劣产品或任意提供合同外产品，如果设备的质量或</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规格或实际生产日期与合同不符</w:t>
      </w:r>
      <w:r>
        <w:rPr>
          <w:rFonts w:hint="default" w:ascii="Times New Roman" w:hAnsi="Times New Roman" w:eastAsia="宋体" w:cs="Times New Roman"/>
          <w:color w:val="000000" w:themeColor="text1"/>
          <w:spacing w:val="4"/>
          <w:highlight w:val="none"/>
          <w:lang w:eastAsia="zh-CN"/>
          <w14:textFill>
            <w14:solidFill>
              <w14:schemeClr w14:val="tx1"/>
            </w14:solidFill>
          </w14:textFill>
        </w:rPr>
        <w:t xml:space="preserve">,或被证实设备有缺陷（包括潜在的缺陷或使用不符合要求的材料等），</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乙方应在接到甲方通知后5</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个工作日内更换成达标设备，其费用由乙方负担。同时，甲方有权要求延长</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设备的保修期。由于设备质量问题引起的医疗事故和法律纠纷，乙方承担全部的</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法律和经济责任。</w:t>
      </w:r>
      <w:r/>
    </w:p>
    <w:p>
      <w:pPr>
        <w:pStyle w:val="870"/>
        <w:ind w:left="8" w:hanging="8"/>
        <w:keepLines w:val="0"/>
        <w:keepNext w:val="0"/>
        <w:pageBreakBefore w:val="0"/>
        <w:spacing w:before="3"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4.乙方保证本协议下全部事项符合合同签</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订时国家法律法规及政策性文件（包括但不限于《中华人</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民共和国产品质量法》及国家药品监督管理局的相关规</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定等），否则由此引起的一切责任由乙方负</w:t>
      </w:r>
      <w:r>
        <w:rPr>
          <w:rFonts w:hint="default" w:ascii="Times New Roman" w:hAnsi="Times New Roman" w:eastAsia="宋体" w:cs="Times New Roman"/>
          <w:color w:val="000000" w:themeColor="text1"/>
          <w:spacing w:val="-13"/>
          <w:highlight w:val="none"/>
          <w:lang w:eastAsia="zh-CN"/>
          <w14:textFill>
            <w14:solidFill>
              <w14:schemeClr w14:val="tx1"/>
            </w14:solidFill>
          </w14:textFill>
        </w:rPr>
        <w:t xml:space="preserve">责。</w:t>
      </w:r>
      <w:r/>
    </w:p>
    <w:p>
      <w:pPr>
        <w:pStyle w:val="870"/>
        <w:ind w:right="110" w:firstLine="5"/>
        <w:keepLines w:val="0"/>
        <w:keepNext w:val="0"/>
        <w:pageBreakBefore w:val="0"/>
        <w:spacing w:before="3"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5.乙方保证提供的商品或服务在本合同签订之前不存在任何法律纠纷与权利瑕疵，乙方具有对所提供产品及服务的完整的处分权，且甲方在使用该商品或服务以及其中的任何一</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部分时，不侵犯任何</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的专利权、商标权、工业设计权或其他知识产权，如收到来自第三方的侵权诉</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讼或索赔，所有责任</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及由此造成的损失由乙方承担。</w:t>
      </w:r>
      <w:r/>
    </w:p>
    <w:p>
      <w:pPr>
        <w:pStyle w:val="870"/>
        <w:ind w:left="19" w:right="110" w:hanging="16"/>
        <w:keepLines w:val="0"/>
        <w:keepNext w:val="0"/>
        <w:pageBreakBefore w:val="0"/>
        <w:spacing w:before="38"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6.本协议的签订或履行不违反以乙方为一方或</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约束乙方自身的任何重大合同或协议，否则由此引起</w:t>
      </w:r>
      <w:r>
        <w:rPr>
          <w:rFonts w:hint="default" w:ascii="Times New Roman" w:hAnsi="Times New Roman" w:eastAsia="宋体" w:cs="Times New Roman"/>
          <w:color w:val="000000" w:themeColor="text1"/>
          <w:spacing w:val="-5"/>
          <w:highlight w:val="none"/>
          <w:lang w:eastAsia="zh-CN"/>
          <w14:textFill>
            <w14:solidFill>
              <w14:schemeClr w14:val="tx1"/>
            </w14:solidFill>
          </w14:textFill>
        </w:rPr>
        <w:t xml:space="preserve">的一切责任由乙方负责。</w:t>
      </w:r>
      <w:r/>
    </w:p>
    <w:p>
      <w:pPr>
        <w:pStyle w:val="870"/>
        <w:ind w:left="5"/>
        <w:keepLines w:val="0"/>
        <w:keepNext w:val="0"/>
        <w:pageBreakBefore w:val="0"/>
        <w:spacing w:before="160"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五、安装调试</w:t>
      </w:r>
      <w:r/>
    </w:p>
    <w:p>
      <w:pPr>
        <w:pStyle w:val="870"/>
        <w:ind w:left="18"/>
        <w:keepLines w:val="0"/>
        <w:keepNext w:val="0"/>
        <w:pageBreakBefore w:val="0"/>
        <w:spacing w:before="77"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1.乙方免费提前为甲方提供设备安装图纸，并充分协助甲方做好机房的准备工作（如必要的话）。</w:t>
      </w:r>
      <w:r/>
    </w:p>
    <w:p>
      <w:pPr>
        <w:pStyle w:val="870"/>
        <w:ind w:left="6" w:right="159" w:hanging="2"/>
        <w:keepLines w:val="0"/>
        <w:keepNext w:val="0"/>
        <w:pageBreakBefore w:val="0"/>
        <w:spacing w:before="28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2.设备安装时，乙方负责设备的免费安装和调试，但乙方必须事先与甲方的医用物资保障处联系，并与医用物资保障处共同参与，否则引起的一切责任由乙方承担</w:t>
      </w:r>
      <w:r/>
    </w:p>
    <w:p>
      <w:pPr>
        <w:pStyle w:val="870"/>
        <w:ind w:left="43"/>
        <w:keepLines w:val="0"/>
        <w:keepNext w:val="0"/>
        <w:pageBreakBefore w:val="0"/>
        <w:spacing w:before="110"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六、质量验收</w:t>
      </w:r>
      <w:r/>
    </w:p>
    <w:p>
      <w:pPr>
        <w:pStyle w:val="870"/>
        <w:ind w:left="6" w:right="110" w:firstLine="11"/>
        <w:keepLines w:val="0"/>
        <w:keepNext w:val="0"/>
        <w:pageBreakBefore w:val="0"/>
        <w:spacing w:before="166"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1.设备安装调试后，乙方应配合甲方按厂方技术参数、国家标准等进行质量验收，时间由甲乙双方商定，乙方免费派工程师到达现场协助验收工作。若甲乙双方对</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验收结果存在分歧，甲方有权委托</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国内具有相关资质的单位对该设备进行质量检测，费用由乙方承担。</w:t>
      </w:r>
      <w:r/>
    </w:p>
    <w:p>
      <w:pPr>
        <w:pStyle w:val="870"/>
        <w:ind w:left="6" w:right="110" w:hanging="2"/>
        <w:keepLines w:val="0"/>
        <w:keepNext w:val="0"/>
        <w:pageBreakBefore w:val="0"/>
        <w:spacing w:before="17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2.乙方所供设备如验收不合格，根据甲方的要求，乙方必须无条件换货或退货，由此引起的一切损</w:t>
      </w:r>
      <w:r>
        <w:rPr>
          <w:rFonts w:hint="default" w:ascii="Times New Roman" w:hAnsi="Times New Roman" w:eastAsia="宋体" w:cs="Times New Roman"/>
          <w:color w:val="000000" w:themeColor="text1"/>
          <w:spacing w:val="-6"/>
          <w:highlight w:val="none"/>
          <w:lang w:eastAsia="zh-CN"/>
          <w14:textFill>
            <w14:solidFill>
              <w14:schemeClr w14:val="tx1"/>
            </w14:solidFill>
          </w14:textFill>
        </w:rPr>
        <w:t xml:space="preserve">失由乙方承担。</w:t>
      </w:r>
      <w:r/>
    </w:p>
    <w:p>
      <w:pPr>
        <w:pStyle w:val="870"/>
        <w:keepLines w:val="0"/>
        <w:keepNext w:val="0"/>
        <w:pageBreakBefore w:val="0"/>
        <w:spacing w:before="13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七、维保条款</w:t>
      </w:r>
      <w:r/>
    </w:p>
    <w:p>
      <w:pPr>
        <w:pStyle w:val="870"/>
        <w:ind w:left="1" w:right="8" w:firstLine="16"/>
        <w:keepLines w:val="0"/>
        <w:keepNext w:val="0"/>
        <w:pageBreakBefore w:val="0"/>
        <w:spacing w:before="236"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b/>
          <w:bCs/>
          <w:color w:val="000000" w:themeColor="text1"/>
          <w:spacing w:val="9"/>
          <w:highlight w:val="none"/>
          <w:lang w:eastAsia="zh-CN"/>
          <w14:textFill>
            <w14:solidFill>
              <w14:schemeClr w14:val="tx1"/>
            </w14:solidFill>
          </w14:textFill>
        </w:rPr>
        <w:t xml:space="preserve">1.乙方提供的</w:t>
      </w:r>
      <w:r>
        <w:rPr>
          <w:rFonts w:hint="default" w:ascii="Times New Roman" w:hAnsi="Times New Roman" w:eastAsia="宋体" w:cs="Times New Roman"/>
          <w:b/>
          <w:bCs/>
          <w:color w:val="000000" w:themeColor="text1"/>
          <w:spacing w:val="9"/>
          <w:highlight w:val="none"/>
          <w:u w:val="single"/>
          <w:lang w:eastAsia="zh-CN"/>
          <w14:textFill>
            <w14:solidFill>
              <w14:schemeClr w14:val="tx1"/>
            </w14:solidFill>
          </w14:textFill>
        </w:rPr>
        <w:t xml:space="preserve">响应的保修期限</w:t>
      </w:r>
      <w:r>
        <w:rPr>
          <w:rFonts w:hint="default" w:ascii="Times New Roman" w:hAnsi="Times New Roman" w:eastAsia="宋体" w:cs="Times New Roman"/>
          <w:b/>
          <w:bCs/>
          <w:color w:val="000000" w:themeColor="text1"/>
          <w:spacing w:val="9"/>
          <w:highlight w:val="none"/>
          <w:lang w:eastAsia="zh-CN"/>
          <w14:textFill>
            <w14:solidFill>
              <w14:schemeClr w14:val="tx1"/>
            </w14:solidFill>
          </w14:textFill>
        </w:rPr>
        <w:t xml:space="preserve">，保修期自设备验收合格之日起计算，保修范围包括合同中所有</w:t>
      </w:r>
      <w:r>
        <w:rPr>
          <w:rFonts w:hint="default" w:ascii="Times New Roman" w:hAnsi="Times New Roman" w:eastAsia="宋体" w:cs="Times New Roman"/>
          <w:b/>
          <w:bCs/>
          <w:color w:val="000000" w:themeColor="text1"/>
          <w:spacing w:val="10"/>
          <w:highlight w:val="none"/>
          <w:lang w:eastAsia="zh-CN"/>
          <w14:textFill>
            <w14:solidFill>
              <w14:schemeClr w14:val="tx1"/>
            </w14:solidFill>
          </w14:textFill>
        </w:rPr>
        <w:t xml:space="preserve">配置（单独列明保修期限的配置或附件除外</w:t>
      </w:r>
      <w:r>
        <w:rPr>
          <w:rFonts w:hint="default" w:ascii="Times New Roman" w:hAnsi="Times New Roman" w:eastAsia="宋体" w:cs="Times New Roman"/>
          <w:b/>
          <w:bCs/>
          <w:color w:val="000000" w:themeColor="text1"/>
          <w:spacing w:val="9"/>
          <w:highlight w:val="none"/>
          <w:lang w:eastAsia="zh-CN"/>
          <w14:textFill>
            <w14:solidFill>
              <w14:schemeClr w14:val="tx1"/>
            </w14:solidFill>
          </w14:textFill>
        </w:rPr>
        <w:t xml:space="preserve">），保修期外故障待修复后只收配件费，免收上门</w:t>
      </w:r>
      <w:r>
        <w:rPr>
          <w:rFonts w:hint="default" w:ascii="Times New Roman" w:hAnsi="Times New Roman" w:eastAsia="宋体" w:cs="Times New Roman"/>
          <w:b/>
          <w:bCs/>
          <w:color w:val="000000" w:themeColor="text1"/>
          <w:spacing w:val="7"/>
          <w:highlight w:val="none"/>
          <w:lang w:eastAsia="zh-CN"/>
          <w14:textFill>
            <w14:solidFill>
              <w14:schemeClr w14:val="tx1"/>
            </w14:solidFill>
          </w14:textFill>
        </w:rPr>
        <w:t xml:space="preserve">费、人工费。乙方确保设备保修期内开机率≥95%，如设备故障停机率超过5%（一年按365天计</w:t>
      </w:r>
      <w:r>
        <w:rPr>
          <w:rFonts w:hint="default" w:ascii="Times New Roman" w:hAnsi="Times New Roman" w:eastAsia="宋体" w:cs="Times New Roman"/>
          <w:b/>
          <w:bCs/>
          <w:color w:val="000000" w:themeColor="text1"/>
          <w:spacing w:val="9"/>
          <w:highlight w:val="none"/>
          <w:lang w:eastAsia="zh-CN"/>
          <w14:textFill>
            <w14:solidFill>
              <w14:schemeClr w14:val="tx1"/>
            </w14:solidFill>
          </w14:textFill>
        </w:rPr>
        <w:t xml:space="preserve">算，每年18天），每超过一天，保修期延长两周。保修期外乙方对本设备终身负责维修。</w:t>
      </w:r>
      <w:r/>
    </w:p>
    <w:p>
      <w:pPr>
        <w:pStyle w:val="870"/>
        <w:ind w:left="2" w:firstLine="1"/>
        <w:keepLines w:val="0"/>
        <w:keepNext w:val="0"/>
        <w:pageBreakBefore w:val="0"/>
        <w:spacing w:before="21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2．如设备发生故障，乙方在接到甲方报修电话后1小时之内响应，3小时内到达甲方现场（若无维修</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站点，24小时内到达现场</w:t>
      </w:r>
      <w:r>
        <w:rPr>
          <w:rFonts w:hint="default" w:ascii="Times New Roman" w:hAnsi="Times New Roman" w:eastAsia="宋体" w:cs="Times New Roman"/>
          <w:color w:val="000000" w:themeColor="text1"/>
          <w:spacing w:val="5"/>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48小时内修复或免费提供备用机，否则甲方可自行采取必要的措施，由此产生的风险和费用由乙方承担。如有特殊情况，乙方应立即电话通知甲方不能响应的原因，在</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获得甲方同意后，才可推迟响应时间。</w:t>
      </w:r>
      <w:r/>
    </w:p>
    <w:p>
      <w:pPr>
        <w:pStyle w:val="870"/>
        <w:ind w:left="6"/>
        <w:keepLines w:val="0"/>
        <w:keepNext w:val="0"/>
        <w:pageBreakBefore w:val="0"/>
        <w:spacing w:before="13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3．保修期内每年</w:t>
      </w:r>
      <w:r>
        <w:rPr>
          <w:rFonts w:hint="default" w:ascii="Times New Roman" w:hAnsi="Times New Roman" w:eastAsia="宋体" w:cs="Times New Roman"/>
          <w:color w:val="000000" w:themeColor="text1"/>
          <w:spacing w:val="-2"/>
          <w:highlight w:val="none"/>
          <w:u w:val="single"/>
          <w:lang w:eastAsia="zh-CN"/>
          <w14:textFill>
            <w14:solidFill>
              <w14:schemeClr w14:val="tx1"/>
            </w14:solidFill>
          </w14:textFill>
        </w:rPr>
        <w:t xml:space="preserve">响应的维护次数</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次定期维护，并经甲方工程师签字确认，留档备查。</w:t>
      </w:r>
      <w:r/>
    </w:p>
    <w:p>
      <w:pPr>
        <w:pStyle w:val="870"/>
        <w:ind w:left="1" w:right="110" w:hanging="1"/>
        <w:keepLines w:val="0"/>
        <w:keepNext w:val="0"/>
        <w:pageBreakBefore w:val="0"/>
        <w:spacing w:before="7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4.无论在保修期内还是保修期外，乙方必须上门维</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修，出保后的维修，只收取配件成本费，免收上门费、人工费和其他工时杂费。乙方工程师至甲方维修本设备，必须事先</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与甲方医用物资保障处取</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得联系，并做相应登记，在维修过程中与甲方工程师共同完成维修工作，</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否则引起的一切责任由乙</w:t>
      </w:r>
      <w:r>
        <w:rPr>
          <w:rFonts w:hint="default" w:ascii="Times New Roman" w:hAnsi="Times New Roman" w:eastAsia="宋体" w:cs="Times New Roman"/>
          <w:color w:val="000000" w:themeColor="text1"/>
          <w:spacing w:val="-8"/>
          <w:highlight w:val="none"/>
          <w:lang w:eastAsia="zh-CN"/>
          <w14:textFill>
            <w14:solidFill>
              <w14:schemeClr w14:val="tx1"/>
            </w14:solidFill>
          </w14:textFill>
        </w:rPr>
        <w:t xml:space="preserve">方负责。</w:t>
      </w:r>
      <w:r/>
    </w:p>
    <w:p>
      <w:pPr>
        <w:pStyle w:val="870"/>
        <w:ind w:left="6"/>
        <w:keepLines w:val="0"/>
        <w:keepNext w:val="0"/>
        <w:pageBreakBefore w:val="0"/>
        <w:spacing w:before="9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5．如设备软件升级，乙方负责免费软件升级，保证软件为最新、最</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高版本。</w:t>
      </w:r>
      <w:r/>
    </w:p>
    <w:p>
      <w:pPr>
        <w:pStyle w:val="870"/>
        <w:ind w:left="3"/>
        <w:keepLines w:val="0"/>
        <w:keepNext w:val="0"/>
        <w:pageBreakBefore w:val="0"/>
        <w:spacing w:before="15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6．如有设备具有远程维修诊断功能，乙方负责免</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费为甲方安装。</w:t>
      </w:r>
      <w:r/>
    </w:p>
    <w:p>
      <w:pPr>
        <w:pStyle w:val="870"/>
        <w:ind w:right="32" w:firstLine="7"/>
        <w:keepLines w:val="0"/>
        <w:keepNext w:val="0"/>
        <w:pageBreakBefore w:val="0"/>
        <w:spacing w:before="59" w:line="276" w:lineRule="auto"/>
        <w:widowControl w:val="off"/>
        <w:rPr>
          <w:rFonts w:hint="default" w:ascii="Times New Roman" w:hAnsi="Times New Roman" w:eastAsia="宋体" w:cs="Times New Roman"/>
          <w:color w:val="000000" w:themeColor="text1"/>
          <w:spacing w:val="-3"/>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7．乙方需在交货后五个工作日内免费提供全套资料并加盖公章，含产品合</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格证、出厂计量合格证(</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强检设备）、操作手册、维修手册（含详细电路图）、海关报关单（</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进口设备）、商检合格证明(</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进口设备）、使用许可证明文件（如有），如技术资料不全，甲方有权不支付货</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款或退货，因此产</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生的损失由乙方自行承担。</w:t>
      </w:r>
      <w:r/>
    </w:p>
    <w:p>
      <w:pPr>
        <w:pStyle w:val="870"/>
        <w:ind w:right="32" w:firstLine="7"/>
        <w:keepLines w:val="0"/>
        <w:keepNext w:val="0"/>
        <w:pageBreakBefore w:val="0"/>
        <w:spacing w:before="5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8．技术培训：在安装过程中或安装结束后，乙方工程师或有关人员有义务对甲方工程师和操作人员</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进行现场维修、保养、操作培训并提供快捷操作指南（过塑后封好，挂在设</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备上</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解答甲方人员</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提出的问题。必要时提供正规培训班培训，确保操作人员掌握完成日常工作所需</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的基本操作方法为</w:t>
      </w:r>
      <w:r>
        <w:rPr>
          <w:rFonts w:hint="default" w:ascii="Times New Roman" w:hAnsi="Times New Roman" w:eastAsia="宋体" w:cs="Times New Roman"/>
          <w:color w:val="000000" w:themeColor="text1"/>
          <w:spacing w:val="4"/>
          <w:highlight w:val="none"/>
          <w:lang w:eastAsia="zh-CN"/>
          <w14:textFill>
            <w14:solidFill>
              <w14:schemeClr w14:val="tx1"/>
            </w14:solidFill>
          </w14:textFill>
        </w:rPr>
        <w:t xml:space="preserve">止，工程师掌握基本的维护保养操作技术为止。详见乙方的承诺书。</w:t>
      </w:r>
      <w:r/>
    </w:p>
    <w:p>
      <w:pPr>
        <w:pStyle w:val="870"/>
        <w:ind w:firstLine="1"/>
        <w:keepLines w:val="0"/>
        <w:keepNext w:val="0"/>
        <w:pageBreakBefore w:val="0"/>
        <w:spacing w:before="58"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9．如乙方提供的设备设有维修软件密码，乙方保证无条件地为甲方永久免费打开，直至最</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底层维修</w:t>
      </w:r>
      <w:r>
        <w:rPr>
          <w:rFonts w:hint="default" w:ascii="Times New Roman" w:hAnsi="Times New Roman" w:eastAsia="宋体" w:cs="Times New Roman"/>
          <w:color w:val="000000" w:themeColor="text1"/>
          <w:spacing w:val="-9"/>
          <w:highlight w:val="none"/>
          <w:lang w:eastAsia="zh-CN"/>
          <w14:textFill>
            <w14:solidFill>
              <w14:schemeClr w14:val="tx1"/>
            </w14:solidFill>
          </w14:textFill>
        </w:rPr>
        <w:t xml:space="preserve">模式。</w:t>
      </w:r>
      <w:r/>
    </w:p>
    <w:p>
      <w:pPr>
        <w:pStyle w:val="870"/>
        <w:ind w:left="1" w:right="110" w:firstLine="16"/>
        <w:keepLines w:val="0"/>
        <w:keepNext w:val="0"/>
        <w:pageBreakBefore w:val="0"/>
        <w:spacing w:before="57"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10．若该设备涉及网络问题，甲方只负责提供一个网络接口，设备内部的局域网建设由乙方负责提</w:t>
      </w:r>
      <w:r>
        <w:rPr>
          <w:rFonts w:hint="default" w:ascii="Times New Roman" w:hAnsi="Times New Roman" w:eastAsia="宋体" w:cs="Times New Roman"/>
          <w:color w:val="000000" w:themeColor="text1"/>
          <w:spacing w:val="-11"/>
          <w:highlight w:val="none"/>
          <w:lang w:eastAsia="zh-CN"/>
          <w14:textFill>
            <w14:solidFill>
              <w14:schemeClr w14:val="tx1"/>
            </w14:solidFill>
          </w14:textFill>
        </w:rPr>
        <w:t xml:space="preserve">供。</w:t>
      </w:r>
      <w:r/>
    </w:p>
    <w:p>
      <w:pPr>
        <w:pStyle w:val="870"/>
        <w:ind w:right="110" w:firstLine="17"/>
        <w:keepLines w:val="0"/>
        <w:keepNext w:val="0"/>
        <w:pageBreakBefore w:val="0"/>
        <w:spacing w:before="117"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11．乙方须免费开放所投产品的所有输入输出接口，并能与采购人现有网络及信</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息系统对接，如接入第三方系统产生费用，该费用由乙方承担。</w:t>
      </w:r>
      <w:r/>
    </w:p>
    <w:p>
      <w:pPr>
        <w:pStyle w:val="870"/>
        <w:ind w:left="45"/>
        <w:keepLines w:val="0"/>
        <w:keepNext w:val="0"/>
        <w:pageBreakBefore w:val="0"/>
        <w:spacing w:before="11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outlineLvl w:val="2"/>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八、各方的权利与义务</w:t>
      </w:r>
      <w:r/>
    </w:p>
    <w:p>
      <w:pPr>
        <w:pStyle w:val="870"/>
        <w:ind w:left="47"/>
        <w:keepLines w:val="0"/>
        <w:keepNext w:val="0"/>
        <w:pageBreakBefore w:val="0"/>
        <w:spacing w:before="10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（一）甲方权利义务</w:t>
      </w:r>
      <w:r/>
    </w:p>
    <w:p>
      <w:pPr>
        <w:pStyle w:val="870"/>
        <w:ind w:left="58"/>
        <w:keepLines w:val="0"/>
        <w:keepNext w:val="0"/>
        <w:pageBreakBefore w:val="0"/>
        <w:spacing w:before="85"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1.按合同约定支付货款。</w:t>
      </w:r>
      <w:r/>
    </w:p>
    <w:p>
      <w:pPr>
        <w:pStyle w:val="870"/>
        <w:ind w:left="47"/>
        <w:keepLines w:val="0"/>
        <w:keepNext w:val="0"/>
        <w:pageBreakBefore w:val="0"/>
        <w:spacing w:before="118"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（二）乙方权利义务</w:t>
      </w:r>
      <w:r/>
    </w:p>
    <w:p>
      <w:pPr>
        <w:pStyle w:val="870"/>
        <w:ind w:left="19" w:right="110" w:hanging="1"/>
        <w:keepLines w:val="0"/>
        <w:keepNext w:val="0"/>
        <w:pageBreakBefore w:val="0"/>
        <w:spacing w:before="5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1.负责并自行承担设备（物资）采购过程中的所有报价风险。本合同一经签订，乙方任何原因导致</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的报价漏项、缺项等的后果均由乙方自行承担。</w:t>
      </w:r>
      <w:r/>
    </w:p>
    <w:p>
      <w:pPr>
        <w:pStyle w:val="870"/>
        <w:ind w:left="4"/>
        <w:keepLines w:val="0"/>
        <w:keepNext w:val="0"/>
        <w:pageBreakBefore w:val="0"/>
        <w:spacing w:before="26"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2.保证所供产品符合合同要求，不得弄虚作假、不得提供假冒伪劣产品</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或任意提供合同外产品。</w:t>
      </w:r>
      <w:r/>
    </w:p>
    <w:p>
      <w:pPr>
        <w:pStyle w:val="870"/>
        <w:ind w:left="23" w:right="110" w:hanging="17"/>
        <w:keepLines w:val="0"/>
        <w:keepNext w:val="0"/>
        <w:pageBreakBefore w:val="0"/>
        <w:spacing w:before="8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3.服从甲方的规章制度和现场管理，并按照</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合同要求办理相关设备（物资）的到货验收手续。本合</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同采购设备（物资）未办理验收交接手续前，相关资产的风险由乙方承担。</w:t>
      </w:r>
      <w:r/>
    </w:p>
    <w:p>
      <w:pPr>
        <w:pStyle w:val="870"/>
        <w:ind w:right="110"/>
        <w:keepLines w:val="0"/>
        <w:keepNext w:val="0"/>
        <w:pageBreakBefore w:val="0"/>
        <w:spacing w:before="3"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4.完善安全质量保证措施，乙方自行承担其履行合</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同过程产生的所有费用和造成的任何财产和人身损失。乙方及乙方所有员工必须履行安全责任义务，按规范流程提供商品或</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服务。如因乙方及其员</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工安全责任或义务履行不到位，引起甲方或合同外其他方人身伤害、机器损</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毁以及财产损失等，由乙方承担一切后果及责任（包括但不限于赔偿责任及由此对甲方、合同外其他方造成的影响等）。</w:t>
      </w:r>
      <w:r/>
    </w:p>
    <w:p>
      <w:pPr>
        <w:pStyle w:val="870"/>
        <w:ind w:left="7"/>
        <w:keepLines w:val="0"/>
        <w:keepNext w:val="0"/>
        <w:pageBreakBefore w:val="0"/>
        <w:spacing w:before="12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九、违约责任</w:t>
      </w:r>
      <w:r/>
    </w:p>
    <w:p>
      <w:pPr>
        <w:pStyle w:val="870"/>
        <w:ind w:right="110" w:firstLine="17"/>
        <w:keepLines w:val="0"/>
        <w:keepNext w:val="0"/>
        <w:pageBreakBefore w:val="0"/>
        <w:spacing w:before="25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1.自本协议生效之日起，双方应严格依约履行。若任何一方违反本协议规定，应赔偿由此给其他方</w:t>
      </w:r>
      <w:r>
        <w:rPr>
          <w:rFonts w:hint="default" w:ascii="Times New Roman" w:hAnsi="Times New Roman" w:eastAsia="宋体" w:cs="Times New Roman"/>
          <w:color w:val="000000" w:themeColor="text1"/>
          <w:spacing w:val="-6"/>
          <w:highlight w:val="none"/>
          <w:lang w:eastAsia="zh-CN"/>
          <w14:textFill>
            <w14:solidFill>
              <w14:schemeClr w14:val="tx1"/>
            </w14:solidFill>
          </w14:textFill>
        </w:rPr>
        <w:t xml:space="preserve">造成的损失。</w:t>
      </w:r>
      <w:r/>
    </w:p>
    <w:p>
      <w:pPr>
        <w:pStyle w:val="870"/>
        <w:ind w:left="19" w:right="17" w:hanging="15"/>
        <w:keepLines w:val="0"/>
        <w:keepNext w:val="0"/>
        <w:pageBreakBefore w:val="0"/>
        <w:spacing w:before="132"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2.如果乙方没有按照合同规定时间交货的，每逾期一日，乙</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方应按逾期交付货物价款总值的1%计算</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,向甲方支付逾期交货违约金，但该违约金总额不超过合同总金额的30%。乙方延</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期交货10日以上的</w:t>
      </w:r>
      <w:r>
        <w:rPr>
          <w:rFonts w:hint="default" w:ascii="Times New Roman" w:hAnsi="Times New Roman" w:eastAsia="宋体" w:cs="Times New Roman"/>
          <w:color w:val="000000" w:themeColor="text1"/>
          <w:spacing w:val="5"/>
          <w:highlight w:val="none"/>
          <w:lang w:eastAsia="zh-CN"/>
          <w14:textFill>
            <w14:solidFill>
              <w14:schemeClr w14:val="tx1"/>
            </w14:solidFill>
          </w14:textFill>
        </w:rPr>
        <w:t xml:space="preserve">,则视为乙方不能交货，甲方有权因此解除本</w:t>
      </w:r>
      <w:r>
        <w:rPr>
          <w:rFonts w:hint="default" w:ascii="Times New Roman" w:hAnsi="Times New Roman" w:eastAsia="宋体" w:cs="Times New Roman"/>
          <w:color w:val="000000" w:themeColor="text1"/>
          <w:spacing w:val="4"/>
          <w:highlight w:val="none"/>
          <w:lang w:eastAsia="zh-CN"/>
          <w14:textFill>
            <w14:solidFill>
              <w14:schemeClr w14:val="tx1"/>
            </w14:solidFill>
          </w14:textFill>
        </w:rPr>
        <w:t xml:space="preserve">合同。</w:t>
      </w:r>
      <w:r/>
    </w:p>
    <w:p>
      <w:pPr>
        <w:pStyle w:val="870"/>
        <w:ind w:left="6"/>
        <w:keepLines w:val="0"/>
        <w:keepNext w:val="0"/>
        <w:pageBreakBefore w:val="0"/>
        <w:spacing w:before="16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3.乙方向甲方提供假冒伪劣产品的，乙方按本批次所购产品金额的10倍向甲方支付违约金。</w:t>
      </w:r>
      <w:r/>
    </w:p>
    <w:p>
      <w:pPr>
        <w:pStyle w:val="870"/>
        <w:ind w:left="1" w:right="110" w:hanging="1"/>
        <w:keepLines w:val="0"/>
        <w:keepNext w:val="0"/>
        <w:pageBreakBefore w:val="0"/>
        <w:spacing w:before="20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4.乙方对本合同所约定的设备价格负责，如果产生与设备价值、成本相关的任何法律纠纷由乙方承</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担，甲方不承担任何相关法律责任。</w:t>
      </w:r>
      <w:r/>
    </w:p>
    <w:p>
      <w:pPr>
        <w:pStyle w:val="870"/>
        <w:ind w:left="2" w:right="110" w:firstLine="3"/>
        <w:keepLines w:val="0"/>
        <w:keepNext w:val="0"/>
        <w:pageBreakBefore w:val="0"/>
        <w:spacing w:before="22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5.如乙方的违约行为致使任何第三方（包括但不限于任何人身财产权利）权利被侵害，第三方向甲</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方索偿后，甲方有权向乙方追偿，并加收合同总金额的30%的违约金。</w:t>
      </w:r>
      <w:r/>
    </w:p>
    <w:p>
      <w:pPr>
        <w:pStyle w:val="870"/>
        <w:ind w:left="1" w:firstLine="1"/>
        <w:keepLines w:val="0"/>
        <w:keepNext w:val="0"/>
        <w:pageBreakBefore w:val="0"/>
        <w:spacing w:before="22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6.乙方其他违约行为的，乙方按照自本合同生效之日起至违约事项尚未消除期间甲方向乙方购货总</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额的30%计算，向甲方支付违约金。如果乙方违约，在收到甲方通知后的10日内没有</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或拒不承担违约责任的，则甲方有权从尚未支付乙方的购货价款中扣回违约金。</w:t>
      </w:r>
      <w:r/>
    </w:p>
    <w:p>
      <w:pPr>
        <w:pStyle w:val="870"/>
        <w:ind w:left="7" w:right="110"/>
        <w:keepLines w:val="0"/>
        <w:keepNext w:val="0"/>
        <w:pageBreakBefore w:val="0"/>
        <w:spacing w:before="147"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7.因乙方的违约行为给甲方造成损失的（包括所有直接和间接损失），如果违约金不足以补</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偿该损失部分的，甲方有权继续要求乙方赔偿甲方所有实际损</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失，并保留申诉的权利。</w:t>
      </w:r>
      <w:r/>
    </w:p>
    <w:p>
      <w:pPr>
        <w:pStyle w:val="870"/>
        <w:ind w:left="19" w:right="110" w:hanging="17"/>
        <w:keepLines w:val="0"/>
        <w:keepNext w:val="0"/>
        <w:pageBreakBefore w:val="0"/>
        <w:spacing w:before="140"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8.以上各项违约事项相互独立，各项违约金可叠加给付，支付违约金并不影响乙方继续履行本协议</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的其他各项义务（包括但不限于在甲方要求下继续履行本协议、赔偿损失等义务）。</w:t>
      </w:r>
      <w:r/>
    </w:p>
    <w:p>
      <w:pPr>
        <w:pStyle w:val="870"/>
        <w:ind w:left="2" w:right="110"/>
        <w:keepLines w:val="0"/>
        <w:keepNext w:val="0"/>
        <w:pageBreakBefore w:val="0"/>
        <w:spacing w:before="137"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9.乙方若违反本协议第二条第二款、第三条、第四条、第九条第二至五款、第十条、第十三条及第</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十四条均视为对本协议的重大违约，甲方随时有权书面通知乙方立即</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解除本协议。</w:t>
      </w:r>
      <w:r/>
    </w:p>
    <w:p>
      <w:pPr>
        <w:pStyle w:val="870"/>
        <w:ind w:left="2"/>
        <w:keepLines w:val="0"/>
        <w:keepNext w:val="0"/>
        <w:pageBreakBefore w:val="0"/>
        <w:spacing w:before="179" w:line="276" w:lineRule="auto"/>
        <w:widowControl w:val="off"/>
        <w:rPr>
          <w:rFonts w:hint="default" w:ascii="Times New Roman" w:hAnsi="Times New Roman" w:eastAsia="宋体" w:cs="Times New Roman"/>
          <w:color w:val="000000" w:themeColor="text1"/>
          <w:spacing w:val="-2"/>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十、廉洁条款</w:t>
      </w:r>
      <w:r/>
    </w:p>
    <w:p>
      <w:pPr>
        <w:pStyle w:val="870"/>
        <w:ind w:left="2"/>
        <w:keepLines w:val="0"/>
        <w:keepNext w:val="0"/>
        <w:pageBreakBefore w:val="0"/>
        <w:spacing w:before="17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甲乙双方须遵守《南京鼓楼医院物资购销廉洁条例》，条例内容如下：</w:t>
      </w:r>
      <w:r/>
    </w:p>
    <w:p>
      <w:pPr>
        <w:pStyle w:val="870"/>
        <w:ind w:left="4" w:right="112" w:hanging="1"/>
        <w:keepLines w:val="0"/>
        <w:keepNext w:val="0"/>
        <w:pageBreakBefore w:val="0"/>
        <w:spacing w:before="18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为进一步加强医疗卫生行风建设，规范医疗卫生机构购销行为，有效</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防范商业贿赂行为，营造公平</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交易、诚实守信的购销环境，南京鼓楼医院特制定本条例，以资合同各方共同遵守：</w:t>
      </w:r>
      <w:r/>
    </w:p>
    <w:p>
      <w:pPr>
        <w:pStyle w:val="870"/>
        <w:ind w:left="17"/>
        <w:keepLines w:val="0"/>
        <w:keepNext w:val="0"/>
        <w:pageBreakBefore w:val="0"/>
        <w:spacing w:before="9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1.合同各方按照《民法典》及购销廉洁条例约定购销药品、医用设备、医用耗材及行政办公物资等</w:t>
      </w:r>
      <w:r>
        <w:rPr>
          <w:rFonts w:hint="default" w:ascii="Times New Roman" w:hAnsi="Times New Roman" w:eastAsia="宋体" w:cs="Times New Roman"/>
          <w:color w:val="000000" w:themeColor="text1"/>
          <w:position w:val="-1"/>
          <w:highlight w:val="none"/>
          <w:lang w:eastAsia="zh-CN"/>
          <w14:textFill>
            <w14:solidFill>
              <w14:schemeClr w14:val="tx1"/>
            </w14:solidFill>
          </w14:textFill>
        </w:rPr>
        <w:t xml:space="preserve">。</w:t>
      </w:r>
      <w:r/>
    </w:p>
    <w:p>
      <w:pPr>
        <w:pStyle w:val="870"/>
        <w:ind w:left="5" w:right="112" w:hanging="2"/>
        <w:keepLines w:val="0"/>
        <w:keepNext w:val="0"/>
        <w:pageBreakBefore w:val="0"/>
        <w:spacing w:before="9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2.甲方应当严格执行产品购销合同验收、入库制度，对采购产品及发票进行查验，不得违反有关规</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定进行合同外采购、违价采购或从非规定渠道采购。</w:t>
      </w:r>
      <w:r/>
    </w:p>
    <w:p>
      <w:pPr>
        <w:pStyle w:val="870"/>
        <w:ind w:left="1" w:right="112" w:firstLine="3"/>
        <w:keepLines w:val="0"/>
        <w:keepNext w:val="0"/>
        <w:pageBreakBefore w:val="0"/>
        <w:spacing w:before="4"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3.甲方严禁接受乙方以任何名义、形式给予的回扣，不得将接受捐赠资助与采购挂钩。甲方工作人员不得参加乙方安排并支付费用的营业性娱乐场所的娱乐活动，不得以任</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何形式向乙方索要现金、</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有价证券、支付凭证和贵重礼品等。被迫接受乙方给予的钱物，应予退还</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，无法退还的，有责任如</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实向纪检监察部门反映情况。</w:t>
      </w:r>
      <w:r/>
    </w:p>
    <w:p>
      <w:pPr>
        <w:pStyle w:val="870"/>
        <w:ind w:right="112"/>
        <w:keepLines w:val="0"/>
        <w:keepNext w:val="0"/>
        <w:pageBreakBefore w:val="0"/>
        <w:spacing w:before="1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4.甲方严禁利用任何途径和方式，为乙方统计医师个人及临床科室有关产品用量信息，或为乙方统</w:t>
      </w:r>
      <w:r>
        <w:rPr>
          <w:rFonts w:hint="default" w:ascii="Times New Roman" w:hAnsi="Times New Roman" w:eastAsia="宋体" w:cs="Times New Roman"/>
          <w:color w:val="000000" w:themeColor="text1"/>
          <w:spacing w:val="-6"/>
          <w:highlight w:val="none"/>
          <w:lang w:eastAsia="zh-CN"/>
          <w14:textFill>
            <w14:solidFill>
              <w14:schemeClr w14:val="tx1"/>
            </w14:solidFill>
          </w14:textFill>
        </w:rPr>
        <w:t xml:space="preserve">计提供便利。</w:t>
      </w:r>
      <w:r/>
    </w:p>
    <w:p>
      <w:pPr>
        <w:pStyle w:val="870"/>
        <w:ind w:right="112" w:firstLine="4"/>
        <w:keepLines w:val="0"/>
        <w:keepNext w:val="0"/>
        <w:pageBreakBefore w:val="0"/>
        <w:spacing w:before="58"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5.乙方不得以回扣、宴请等方式影响甲方工作人员采购或使用产品的选择权，不得在学术活动中提</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供旅游、超标准支付食宿费用。</w:t>
      </w:r>
      <w:r/>
    </w:p>
    <w:p>
      <w:pPr>
        <w:pStyle w:val="870"/>
        <w:ind w:left="2" w:right="112"/>
        <w:keepLines w:val="0"/>
        <w:keepNext w:val="0"/>
        <w:pageBreakBefore w:val="0"/>
        <w:spacing w:before="5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6.乙方指定销售代表必须在工作时间到甲方指定地点联系商谈，不得到住院部、门诊部、医技科室等推销产品，不得借故到甲方相关领导、部门负责人及相关工作人员家</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中访谈并提供任何好处费等</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w:t>
      </w:r>
      <w:r/>
    </w:p>
    <w:p>
      <w:pPr>
        <w:pStyle w:val="870"/>
        <w:ind w:left="4" w:right="112" w:firstLine="1"/>
        <w:keepLines w:val="0"/>
        <w:keepNext w:val="0"/>
        <w:pageBreakBefore w:val="0"/>
        <w:spacing w:before="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7.乙方承诺其公司法定代表人、实际控制人或者股东中无南京鼓楼医院处级以上干部，且无医</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院处</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级以上干部配偶、子女、子女配偶、子女配偶的父母，或者与其同</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城生活来往密切、有借贷关系或</w:t>
      </w:r>
      <w:r>
        <w:rPr>
          <w:rFonts w:hint="default" w:ascii="Times New Roman" w:hAnsi="Times New Roman" w:eastAsia="宋体" w:cs="Times New Roman"/>
          <w:color w:val="000000" w:themeColor="text1"/>
          <w:spacing w:val="-5"/>
          <w:highlight w:val="none"/>
          <w:lang w:eastAsia="zh-CN"/>
          <w14:textFill>
            <w14:solidFill>
              <w14:schemeClr w14:val="tx1"/>
            </w14:solidFill>
          </w14:textFill>
        </w:rPr>
        <w:t xml:space="preserve">照护关系的亲属等。</w:t>
      </w:r>
      <w:r/>
    </w:p>
    <w:p>
      <w:pPr>
        <w:pStyle w:val="870"/>
        <w:ind w:left="4" w:right="112" w:hanging="3"/>
        <w:keepLines w:val="0"/>
        <w:keepNext w:val="0"/>
        <w:pageBreakBefore w:val="0"/>
        <w:spacing w:before="8"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8.乙方如违反本廉洁条例，一经发现，甲方有权</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终止购销合同，并向上级主管部门报告。如乙方被</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列入商业贿赂不良记录，则严格按照国家相关规定处理。</w:t>
      </w:r>
      <w:r/>
    </w:p>
    <w:p>
      <w:pPr>
        <w:pStyle w:val="870"/>
        <w:ind w:left="1"/>
        <w:keepLines w:val="0"/>
        <w:keepNext w:val="0"/>
        <w:pageBreakBefore w:val="0"/>
        <w:spacing w:before="160"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9.本廉洁条例在产品购销过程中，合同各方均需严格遵守。</w:t>
      </w:r>
      <w:r/>
    </w:p>
    <w:p>
      <w:pPr>
        <w:pStyle w:val="870"/>
        <w:ind w:left="17"/>
        <w:keepLines w:val="0"/>
        <w:keepNext w:val="0"/>
        <w:pageBreakBefore w:val="0"/>
        <w:spacing w:before="13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10.本条例由南京鼓楼医院负责解释。</w:t>
      </w:r>
      <w:r/>
    </w:p>
    <w:p>
      <w:pPr>
        <w:pStyle w:val="870"/>
        <w:ind w:left="17"/>
        <w:keepLines w:val="0"/>
        <w:keepNext w:val="0"/>
        <w:pageBreakBefore w:val="0"/>
        <w:spacing w:before="137"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11.本条例自即日起施行。</w:t>
      </w:r>
      <w:r/>
    </w:p>
    <w:p>
      <w:pPr>
        <w:pStyle w:val="870"/>
        <w:ind w:left="1"/>
        <w:keepLines w:val="0"/>
        <w:keepNext w:val="0"/>
        <w:pageBreakBefore w:val="0"/>
        <w:spacing w:before="137"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十一、合同的解除条款</w:t>
      </w:r>
      <w:r/>
    </w:p>
    <w:p>
      <w:pPr>
        <w:pStyle w:val="870"/>
        <w:ind w:left="36" w:right="161" w:hanging="35"/>
        <w:keepLines w:val="0"/>
        <w:keepNext w:val="0"/>
        <w:pageBreakBefore w:val="0"/>
        <w:spacing w:before="96"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本合同第九条下解约事由与法定解约事由出现后，解约方有</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权提前三个工作日书面通知对方解约，</w:t>
      </w:r>
      <w:r>
        <w:rPr>
          <w:rFonts w:hint="default" w:ascii="Times New Roman" w:hAnsi="Times New Roman" w:eastAsia="宋体" w:cs="Times New Roman"/>
          <w:color w:val="000000" w:themeColor="text1"/>
          <w:spacing w:val="-5"/>
          <w:highlight w:val="none"/>
          <w:lang w:eastAsia="zh-CN"/>
          <w14:textFill>
            <w14:solidFill>
              <w14:schemeClr w14:val="tx1"/>
            </w14:solidFill>
          </w14:textFill>
        </w:rPr>
        <w:t xml:space="preserve">自通知送达之日起，本合同解除。</w:t>
      </w:r>
      <w:r/>
    </w:p>
    <w:p>
      <w:pPr>
        <w:pStyle w:val="870"/>
        <w:ind w:left="1"/>
        <w:keepLines w:val="0"/>
        <w:keepNext w:val="0"/>
        <w:pageBreakBefore w:val="0"/>
        <w:spacing w:before="17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十二、争端解决</w:t>
      </w:r>
      <w:r/>
    </w:p>
    <w:p>
      <w:pPr>
        <w:pStyle w:val="870"/>
        <w:ind w:left="1" w:right="112" w:hanging="1"/>
        <w:keepLines w:val="0"/>
        <w:keepNext w:val="0"/>
        <w:pageBreakBefore w:val="0"/>
        <w:spacing w:before="198"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双方应本着友好协商的原则，解决与本合同有关的一切争议。如一方不愿协商或协商开始后30日内</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无法解决，应提交甲方所在地人民法院裁决。</w:t>
      </w:r>
      <w:r/>
    </w:p>
    <w:p>
      <w:pPr>
        <w:pStyle w:val="870"/>
        <w:ind w:left="1"/>
        <w:keepLines w:val="0"/>
        <w:keepNext w:val="0"/>
        <w:pageBreakBefore w:val="0"/>
        <w:spacing w:before="17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十三、保密条款</w:t>
      </w:r>
      <w:r/>
    </w:p>
    <w:p>
      <w:pPr>
        <w:pStyle w:val="870"/>
        <w:ind w:left="18" w:right="112" w:hanging="1"/>
        <w:keepLines w:val="0"/>
        <w:keepNext w:val="0"/>
        <w:pageBreakBefore w:val="0"/>
        <w:spacing w:before="9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1.双方及其雇员对于本协议的签订、本协议的内容、本协议的履行以及因履行本协议而获知的甲方</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的技术、商务、管理（及甲方患者的）等相关信息应承担保密义务。未经甲方书面同意，乙方不得</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向任何第三方泄露以上相关信息。法律、行政法规另有规定者除外。</w:t>
      </w:r>
      <w:r/>
    </w:p>
    <w:p>
      <w:pPr>
        <w:pStyle w:val="870"/>
        <w:ind w:left="3"/>
        <w:keepLines w:val="0"/>
        <w:keepNext w:val="0"/>
        <w:pageBreakBefore w:val="0"/>
        <w:spacing w:before="98"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2.双方应确保己方人员遵守本条约定保密义务，否则由此产生的一切后</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果由违约方承担责任。</w:t>
      </w:r>
      <w:r/>
    </w:p>
    <w:p>
      <w:pPr>
        <w:pStyle w:val="870"/>
        <w:ind w:left="5"/>
        <w:keepLines w:val="0"/>
        <w:keepNext w:val="0"/>
        <w:pageBreakBefore w:val="0"/>
        <w:spacing w:before="25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3.本条约定在本协议解除、终止或被认为无效后仍然有效。</w:t>
      </w:r>
      <w:r/>
    </w:p>
    <w:p>
      <w:pPr>
        <w:pStyle w:val="870"/>
        <w:ind w:right="112"/>
        <w:keepLines w:val="0"/>
        <w:keepNext w:val="0"/>
        <w:pageBreakBefore w:val="0"/>
        <w:spacing w:before="158"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十四、双方及其雇员均不得在采购全流程中从事违法犯罪和违背公序良俗</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活动；乙方向甲方提供的产品或服务中不得存有违背社会主义意识形态相关内容，否则甲方有权</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终止合同。</w:t>
      </w:r>
      <w:r/>
    </w:p>
    <w:p>
      <w:pPr>
        <w:pStyle w:val="870"/>
        <w:ind w:left="1"/>
        <w:keepLines w:val="0"/>
        <w:keepNext w:val="0"/>
        <w:pageBreakBefore w:val="0"/>
        <w:spacing w:before="7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十五、其他条款</w:t>
      </w:r>
      <w:r/>
    </w:p>
    <w:p>
      <w:pPr>
        <w:pStyle w:val="870"/>
        <w:ind w:left="17"/>
        <w:keepLines w:val="0"/>
        <w:keepNext w:val="0"/>
        <w:pageBreakBefore w:val="0"/>
        <w:spacing w:before="198"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1.本合同有效期自双方签署之日起，至合同下设备保修期结束之日止。</w:t>
      </w:r>
      <w:r/>
    </w:p>
    <w:p>
      <w:pPr>
        <w:pStyle w:val="870"/>
        <w:ind w:right="112"/>
        <w:keepLines w:val="0"/>
        <w:keepNext w:val="0"/>
        <w:pageBreakBefore w:val="0"/>
        <w:spacing w:before="138"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注意条款：本合同到期后，经甲方要求，乙方仍需履行本协议下维保义务，</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按照本协议下约定有偿</w:t>
      </w:r>
      <w:r>
        <w:rPr>
          <w:rFonts w:hint="default" w:ascii="Times New Roman" w:hAnsi="Times New Roman" w:eastAsia="宋体" w:cs="Times New Roman"/>
          <w:color w:val="000000" w:themeColor="text1"/>
          <w:spacing w:val="-6"/>
          <w:highlight w:val="none"/>
          <w:lang w:eastAsia="zh-CN"/>
          <w14:textFill>
            <w14:solidFill>
              <w14:schemeClr w14:val="tx1"/>
            </w14:solidFill>
          </w14:textFill>
        </w:rPr>
        <w:t xml:space="preserve">提供维保服务。</w:t>
      </w:r>
      <w:r/>
    </w:p>
    <w:p>
      <w:pPr>
        <w:pStyle w:val="870"/>
        <w:ind w:left="3"/>
        <w:keepLines w:val="0"/>
        <w:keepNext w:val="0"/>
        <w:pageBreakBefore w:val="0"/>
        <w:spacing w:before="159"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2.本合同生效方式有两种，由甲方任一选择：</w:t>
      </w:r>
      <w:r/>
    </w:p>
    <w:p>
      <w:pPr>
        <w:pStyle w:val="870"/>
        <w:ind w:left="2" w:right="54" w:firstLine="4"/>
        <w:keepLines w:val="0"/>
        <w:keepNext w:val="0"/>
        <w:pageBreakBefore w:val="0"/>
        <w:spacing w:before="118"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（1）签署纸质合同：纸质合同一式叁份，甲方执贰份，乙方执壹份，经双方签</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字盖章并加盖骑缝章</w:t>
      </w:r>
      <w:r>
        <w:rPr>
          <w:rFonts w:hint="default" w:ascii="Times New Roman" w:hAnsi="Times New Roman" w:eastAsia="宋体" w:cs="Times New Roman"/>
          <w:color w:val="000000" w:themeColor="text1"/>
          <w:spacing w:val="-12"/>
          <w:highlight w:val="none"/>
          <w:lang w:eastAsia="zh-CN"/>
          <w14:textFill>
            <w14:solidFill>
              <w14:schemeClr w14:val="tx1"/>
            </w14:solidFill>
          </w14:textFill>
        </w:rPr>
        <w:t xml:space="preserve">后生效；</w:t>
      </w:r>
      <w:r/>
    </w:p>
    <w:p>
      <w:pPr>
        <w:pStyle w:val="870"/>
        <w:ind w:right="67" w:firstLine="5"/>
        <w:keepLines w:val="0"/>
        <w:keepNext w:val="0"/>
        <w:pageBreakBefore w:val="0"/>
        <w:spacing w:before="4"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（2）签署电子合同，双方在甲方指定的电子化采</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购平台上采用电子签章的方式进行签署，经双方电</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子签字或签章后生效。乙方应当妥善保管好其登录甲方电子化采购平台的账</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户及密码，乙方一旦签</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字或签章，即视为签字或签章操作人有权利代表乙方签署协议且已经全面阅</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读协议条款，代表乙方</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认可并接受协议的全部权利义务项。双方确认，该电子签章与手写签名或者</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盖章具有同等的法律效</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力，任何一方不得仅以电子签章的形式为由否定电子合同的法律效力。签署</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电子合同的，双方不再</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签署纸质合同，甲方完成电子签后的合同经电子化采购平台内部回传方式电</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子送达至乙方个人账户</w:t>
      </w:r>
      <w:r>
        <w:rPr>
          <w:rFonts w:hint="default" w:ascii="Times New Roman" w:hAnsi="Times New Roman" w:eastAsia="宋体" w:cs="Times New Roman"/>
          <w:color w:val="000000" w:themeColor="text1"/>
          <w:position w:val="-1"/>
          <w:highlight w:val="none"/>
          <w:lang w:eastAsia="zh-CN"/>
          <w14:textFill>
            <w14:solidFill>
              <w14:schemeClr w14:val="tx1"/>
            </w14:solidFill>
          </w14:textFill>
        </w:rPr>
        <w:t xml:space="preserve">。</w:t>
      </w:r>
      <w:r/>
    </w:p>
    <w:p>
      <w:pPr>
        <w:pStyle w:val="870"/>
        <w:ind w:left="1" w:right="55" w:hanging="1"/>
        <w:keepLines w:val="0"/>
        <w:keepNext w:val="0"/>
        <w:pageBreakBefore w:val="0"/>
        <w:spacing w:before="3"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双方确认，电子签章生成的签署证明以及存储的与本合同签署相关的全部电子数</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据(包括但不限于实</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名认证记录、签署过程日志、区块链存证记录等)为本合同的有效组成部分。</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如发生争议，该等电子</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数据可作为确定双方权利义务及认定案件事实的原始证据和有效依据，双方对此均予以认</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可。</w:t>
      </w:r>
      <w:r/>
    </w:p>
    <w:p>
      <w:pPr>
        <w:pStyle w:val="870"/>
        <w:ind w:left="1" w:right="164" w:firstLine="3"/>
        <w:keepLines w:val="0"/>
        <w:keepNext w:val="0"/>
        <w:pageBreakBefore w:val="0"/>
        <w:spacing w:before="6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3.本项目招标文件、投标文件、合同及其</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附件、其他承诺为本项目不可分割的组成部分，具有同等</w:t>
      </w:r>
      <w:r>
        <w:rPr>
          <w:rFonts w:hint="default" w:ascii="Times New Roman" w:hAnsi="Times New Roman" w:eastAsia="宋体" w:cs="Times New Roman"/>
          <w:color w:val="000000" w:themeColor="text1"/>
          <w:spacing w:val="-2"/>
          <w:highlight w:val="none"/>
          <w:lang w:eastAsia="zh-CN"/>
          <w14:textFill>
            <w14:solidFill>
              <w14:schemeClr w14:val="tx1"/>
            </w14:solidFill>
          </w14:textFill>
        </w:rPr>
        <w:t xml:space="preserve">法律效力，双方均不可撤销地认同并遵守各附件约定的内容。</w:t>
      </w:r>
      <w:r/>
    </w:p>
    <w:p>
      <w:pPr>
        <w:pStyle w:val="870"/>
        <w:ind w:left="1" w:right="164" w:hanging="1"/>
        <w:keepLines w:val="0"/>
        <w:keepNext w:val="0"/>
        <w:pageBreakBefore w:val="0"/>
        <w:spacing w:before="121" w:line="276" w:lineRule="auto"/>
        <w:widowControl w:val="off"/>
        <w:rPr>
          <w:rFonts w:hint="default"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4.本合同适用的语言文字为汉语文字，本合同适用法</w:t>
      </w:r>
      <w:r>
        <w:rPr>
          <w:rFonts w:hint="default" w:ascii="Times New Roman" w:hAnsi="Times New Roman" w:eastAsia="宋体" w:cs="Times New Roman"/>
          <w:color w:val="000000" w:themeColor="text1"/>
          <w:highlight w:val="none"/>
          <w:lang w:eastAsia="zh-CN"/>
          <w14:textFill>
            <w14:solidFill>
              <w14:schemeClr w14:val="tx1"/>
            </w14:solidFill>
          </w14:textFill>
        </w:rPr>
        <w:t xml:space="preserve">律法规为中华人民共和国及其区域内相关法律</w:t>
      </w:r>
      <w:r>
        <w:rPr>
          <w:rFonts w:hint="default" w:ascii="Times New Roman" w:hAnsi="Times New Roman" w:eastAsia="宋体" w:cs="Times New Roman"/>
          <w:color w:val="000000" w:themeColor="text1"/>
          <w:spacing w:val="-3"/>
          <w:highlight w:val="none"/>
          <w:lang w:eastAsia="zh-CN"/>
          <w14:textFill>
            <w14:solidFill>
              <w14:schemeClr w14:val="tx1"/>
            </w14:solidFill>
          </w14:textFill>
        </w:rPr>
        <w:t xml:space="preserve">法规，本合同条款解释语言以中文为准。</w:t>
      </w:r>
      <w:r/>
    </w:p>
    <w:p>
      <w:pPr>
        <w:keepLines w:val="0"/>
        <w:keepNext w:val="0"/>
        <w:pageBreakBefore w:val="0"/>
        <w:spacing w:line="276" w:lineRule="auto"/>
        <w:widowControl w:val="off"/>
        <w:rPr>
          <w:rFonts w:hint="default" w:ascii="Times New Roman" w:hAnsi="Times New Roman" w:eastAsia="宋体" w:cs="Times New Roman"/>
          <w:color w:val="000000" w:themeColor="text1"/>
          <w:spacing w:val="-1"/>
          <w:highlight w:val="none"/>
          <w:lang w:eastAsia="zh-CN"/>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t xml:space="preserve">5.合同签署地点：南京市鼓楼区。</w:t>
      </w:r>
      <w:r>
        <w:rPr>
          <w:rFonts w:hint="default" w:ascii="Times New Roman" w:hAnsi="Times New Roman" w:eastAsia="宋体" w:cs="Times New Roman"/>
          <w:color w:val="000000" w:themeColor="text1"/>
          <w:spacing w:val="-1"/>
          <w:highlight w:val="none"/>
          <w:lang w:eastAsia="zh-CN"/>
          <w14:textFill>
            <w14:solidFill>
              <w14:schemeClr w14:val="tx1"/>
            </w14:solidFill>
          </w14:textFill>
        </w:rPr>
        <w:br/>
      </w:r>
      <w:r/>
    </w:p>
    <w:tbl>
      <w:tblPr>
        <w:tblStyle w:val="89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432"/>
        <w:gridCol w:w="4404"/>
      </w:tblGrid>
      <w:tr>
        <w:trPr/>
        <w:tc>
          <w:tcPr>
            <w:tcW w:w="4998" w:type="dxa"/>
            <w:textDirection w:val="lrTb"/>
            <w:noWrap w:val="false"/>
          </w:tcPr>
          <w:p>
            <w:pPr>
              <w:keepLines w:val="0"/>
              <w:keepNext w:val="0"/>
              <w:pageBreakBefore w:val="0"/>
              <w:spacing w:line="276" w:lineRule="auto"/>
              <w:widowControl w:val="off"/>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甲方：</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南京鼓楼医院</w:t>
            </w:r>
            <w:r>
              <w:rPr>
                <w:rFonts w:hint="default" w:ascii="Times New Roman" w:hAnsi="Times New Roman" w:cs="Times New Roman"/>
                <w:b/>
                <w:bCs/>
                <w:color w:val="000000" w:themeColor="text1"/>
                <w:sz w:val="21"/>
                <w:szCs w:val="21"/>
                <w:highlight w:val="none"/>
                <w14:textFill>
                  <w14:solidFill>
                    <w14:schemeClr w14:val="tx1"/>
                  </w14:solidFill>
                </w14:textFill>
              </w:rPr>
              <w:t xml:space="preserve">（盖章）</w:t>
            </w:r>
            <w:r/>
          </w:p>
        </w:tc>
        <w:tc>
          <w:tcPr>
            <w:tcW w:w="4999" w:type="dxa"/>
            <w:textDirection w:val="lrTb"/>
            <w:noWrap w:val="false"/>
          </w:tcPr>
          <w:p>
            <w:pPr>
              <w:keepLines w:val="0"/>
              <w:keepNext w:val="0"/>
              <w:pageBreakBefore w:val="0"/>
              <w:spacing w:line="276" w:lineRule="auto"/>
              <w:widowControl w:val="off"/>
              <w:tabs>
                <w:tab w:val="left" w:pos="420" w:leader="none"/>
              </w:tabs>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乙方：</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r>
              <w:rPr>
                <w:rFonts w:hint="default" w:ascii="Times New Roman" w:hAnsi="Times New Roman" w:cs="Times New Roman"/>
                <w:b/>
                <w:bCs/>
                <w:color w:val="000000" w:themeColor="text1"/>
                <w:sz w:val="21"/>
                <w:szCs w:val="21"/>
                <w:highlight w:val="none"/>
                <w14:textFill>
                  <w14:solidFill>
                    <w14:schemeClr w14:val="tx1"/>
                  </w14:solidFill>
                </w14:textFill>
              </w:rPr>
              <w:t xml:space="preserve">（盖章）</w:t>
            </w:r>
            <w:r/>
          </w:p>
        </w:tc>
      </w:tr>
      <w:tr>
        <w:trPr/>
        <w:tc>
          <w:tcPr>
            <w:tcW w:w="4998" w:type="dxa"/>
            <w:textDirection w:val="lrTb"/>
            <w:noWrap w:val="false"/>
          </w:tcPr>
          <w:p>
            <w:pPr>
              <w:keepLines w:val="0"/>
              <w:keepNext w:val="0"/>
              <w:pageBreakBefore w:val="0"/>
              <w:spacing w:line="276" w:lineRule="auto"/>
              <w:widowControl w:val="off"/>
              <w:rPr>
                <w:rFonts w:hint="default" w:ascii="Times New Roman" w:hAnsi="Times New Roman" w:cs="Times New Roman"/>
                <w:b/>
                <w:bCs/>
                <w:color w:val="000000" w:themeColor="text1"/>
                <w:sz w:val="21"/>
                <w:szCs w:val="21"/>
                <w:highlight w:val="none"/>
                <w:u w:val="singl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地址：</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南京市中山路321号</w:t>
            </w:r>
            <w:r/>
          </w:p>
        </w:tc>
        <w:tc>
          <w:tcPr>
            <w:tcW w:w="4999" w:type="dxa"/>
            <w:textDirection w:val="lrTb"/>
            <w:noWrap w:val="false"/>
          </w:tcPr>
          <w:p>
            <w:pPr>
              <w:keepLines w:val="0"/>
              <w:keepNext w:val="0"/>
              <w:pageBreakBefore w:val="0"/>
              <w:spacing w:line="276" w:lineRule="auto"/>
              <w:widowControl w:val="off"/>
              <w:rPr>
                <w:rFonts w:hint="default" w:ascii="Times New Roman" w:hAnsi="Times New Roman" w:cs="Times New Roman"/>
                <w:b/>
                <w:bCs/>
                <w:color w:val="000000" w:themeColor="text1"/>
                <w:sz w:val="21"/>
                <w:szCs w:val="21"/>
                <w:highlight w:val="none"/>
                <w:u w:val="singl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地址：</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keepLines w:val="0"/>
              <w:keepNext w:val="0"/>
              <w:pageBreakBefore w:val="0"/>
              <w:spacing w:line="276" w:lineRule="auto"/>
              <w:widowControl w:val="off"/>
              <w:rPr>
                <w:rFonts w:hint="default" w:ascii="Times New Roman" w:hAnsi="Times New Roman" w:cs="Times New Roman" w:eastAsiaTheme="minorEastAsia"/>
                <w:b/>
                <w:bCs/>
                <w:color w:val="000000" w:themeColor="text1"/>
                <w:sz w:val="21"/>
                <w:szCs w:val="21"/>
                <w:highlight w:val="none"/>
                <w:u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邮编：</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210008</w:t>
            </w:r>
            <w:r>
              <w:rPr>
                <w:rFonts w:hint="default" w:ascii="Times New Roman" w:hAnsi="Times New Roman" w:cs="Times New Roman"/>
                <w:b/>
                <w:bCs/>
                <w:color w:val="000000" w:themeColor="text1"/>
                <w:sz w:val="21"/>
                <w:szCs w:val="21"/>
                <w:highlight w:val="none"/>
                <w:u w:val="none"/>
                <w:lang w:val="en-US" w:eastAsia="zh-CN"/>
                <w14:textFill>
                  <w14:solidFill>
                    <w14:schemeClr w14:val="tx1"/>
                  </w14:solidFill>
                </w14:textFill>
              </w:rPr>
              <w:t xml:space="preserve">    </w:t>
            </w:r>
            <w:r>
              <w:rPr>
                <w:rFonts w:hint="default" w:ascii="Times New Roman" w:hAnsi="Times New Roman" w:cs="Times New Roman"/>
                <w:b/>
                <w:bCs/>
                <w:color w:val="000000" w:themeColor="text1"/>
                <w:sz w:val="21"/>
                <w:szCs w:val="21"/>
                <w:highlight w:val="none"/>
                <w14:textFill>
                  <w14:solidFill>
                    <w14:schemeClr w14:val="tx1"/>
                  </w14:solidFill>
                </w14:textFill>
              </w:rPr>
              <w:t xml:space="preserve">电话：</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025-83106666</w:t>
            </w:r>
            <w:r/>
          </w:p>
        </w:tc>
        <w:tc>
          <w:tcPr>
            <w:tcW w:w="4999" w:type="dxa"/>
            <w:textDirection w:val="lrTb"/>
            <w:noWrap w:val="false"/>
          </w:tcPr>
          <w:p>
            <w:pPr>
              <w:keepLines w:val="0"/>
              <w:keepNext w:val="0"/>
              <w:pageBreakBefore w:val="0"/>
              <w:spacing w:line="276" w:lineRule="auto"/>
              <w:widowControl w:val="off"/>
              <w:rPr>
                <w:rFonts w:hint="default" w:ascii="Times New Roman" w:hAnsi="Times New Roman" w:cs="Times New Roman"/>
                <w:b/>
                <w:bCs/>
                <w:color w:val="000000" w:themeColor="text1"/>
                <w:sz w:val="21"/>
                <w:szCs w:val="21"/>
                <w:highlight w:val="none"/>
                <w:u w:val="singl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邮编：</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keepLines w:val="0"/>
              <w:keepNext w:val="0"/>
              <w:pageBreakBefore w:val="0"/>
              <w:spacing w:line="276" w:lineRule="auto"/>
              <w:widowControl w:val="off"/>
              <w:tabs>
                <w:tab w:val="left" w:pos="420" w:leader="none"/>
              </w:tabs>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法定代表人或授权代表：</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r/>
          </w:p>
        </w:tc>
        <w:tc>
          <w:tcPr>
            <w:tcW w:w="4999" w:type="dxa"/>
            <w:textDirection w:val="lrTb"/>
            <w:noWrap w:val="false"/>
          </w:tcPr>
          <w:p>
            <w:pPr>
              <w:keepLines w:val="0"/>
              <w:keepNext w:val="0"/>
              <w:pageBreakBefore w:val="0"/>
              <w:spacing w:line="276" w:lineRule="auto"/>
              <w:widowControl w:val="off"/>
              <w:rPr>
                <w:rFonts w:hint="default" w:ascii="Times New Roman" w:hAnsi="Times New Roman" w:cs="Times New Roman"/>
                <w:b/>
                <w:bCs/>
                <w:color w:val="000000" w:themeColor="text1"/>
                <w:sz w:val="21"/>
                <w:szCs w:val="21"/>
                <w:highlight w:val="none"/>
                <w:u w:val="singl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传真：</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keepLines w:val="0"/>
              <w:keepNext w:val="0"/>
              <w:pageBreakBefore w:val="0"/>
              <w:spacing w:line="276" w:lineRule="auto"/>
              <w:widowControl w:val="off"/>
              <w:tabs>
                <w:tab w:val="left" w:pos="420" w:leader="none"/>
              </w:tabs>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 xml:space="preserve">采购</w:t>
            </w:r>
            <w:r>
              <w:rPr>
                <w:rFonts w:hint="default" w:ascii="Times New Roman" w:hAnsi="Times New Roman" w:cs="Times New Roman"/>
                <w:b/>
                <w:bCs/>
                <w:color w:val="000000" w:themeColor="text1"/>
                <w:sz w:val="21"/>
                <w:szCs w:val="21"/>
                <w:highlight w:val="none"/>
                <w14:textFill>
                  <w14:solidFill>
                    <w14:schemeClr w14:val="tx1"/>
                  </w14:solidFill>
                </w14:textFill>
              </w:rPr>
              <w:t xml:space="preserve">分管院领导：</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r/>
          </w:p>
        </w:tc>
        <w:tc>
          <w:tcPr>
            <w:tcW w:w="4999" w:type="dxa"/>
            <w:textDirection w:val="lrTb"/>
            <w:noWrap w:val="false"/>
          </w:tcPr>
          <w:p>
            <w:pPr>
              <w:keepLines w:val="0"/>
              <w:keepNext w:val="0"/>
              <w:pageBreakBefore w:val="0"/>
              <w:spacing w:line="276" w:lineRule="auto"/>
              <w:widowControl w:val="off"/>
              <w:rPr>
                <w:rFonts w:hint="default" w:ascii="Times New Roman" w:hAnsi="Times New Roman" w:cs="Times New Roman"/>
                <w:b/>
                <w:bCs/>
                <w:color w:val="000000" w:themeColor="text1"/>
                <w:sz w:val="21"/>
                <w:szCs w:val="21"/>
                <w:highlight w:val="none"/>
                <w:u w:val="singl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电话（手机）：</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keepLines w:val="0"/>
              <w:keepNext w:val="0"/>
              <w:pageBreakBefore w:val="0"/>
              <w:spacing w:line="276" w:lineRule="auto"/>
              <w:widowControl w:val="off"/>
              <w:rPr>
                <w:rFonts w:hint="default" w:ascii="Times New Roman" w:hAnsi="Times New Roman" w:cs="Times New Roman"/>
                <w:b/>
                <w:bCs/>
                <w:color w:val="000000" w:themeColor="text1"/>
                <w:sz w:val="21"/>
                <w:szCs w:val="21"/>
                <w:highlight w:val="none"/>
                <w:u w:val="single"/>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 xml:space="preserve">项目主管部门</w:t>
            </w:r>
            <w:r>
              <w:rPr>
                <w:rFonts w:hint="default" w:ascii="Times New Roman" w:hAnsi="Times New Roman" w:cs="Times New Roman"/>
                <w:b/>
                <w:bCs/>
                <w:color w:val="000000" w:themeColor="text1"/>
                <w:sz w:val="21"/>
                <w:szCs w:val="21"/>
                <w:highlight w:val="none"/>
                <w14:textFill>
                  <w14:solidFill>
                    <w14:schemeClr w14:val="tx1"/>
                  </w14:solidFill>
                </w14:textFill>
              </w:rPr>
              <w:t xml:space="preserve">分管院领导：</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r/>
          </w:p>
        </w:tc>
        <w:tc>
          <w:tcPr>
            <w:tcW w:w="4999" w:type="dxa"/>
            <w:textDirection w:val="lrTb"/>
            <w:noWrap w:val="false"/>
          </w:tcPr>
          <w:p>
            <w:pPr>
              <w:keepLines w:val="0"/>
              <w:keepNext w:val="0"/>
              <w:pageBreakBefore w:val="0"/>
              <w:spacing w:line="276" w:lineRule="auto"/>
              <w:widowControl w:val="off"/>
              <w:rPr>
                <w:rFonts w:hint="default" w:ascii="Times New Roman" w:hAnsi="Times New Roman" w:cs="Times New Roman"/>
                <w:b/>
                <w:bCs/>
                <w:color w:val="000000" w:themeColor="text1"/>
                <w:sz w:val="21"/>
                <w:szCs w:val="21"/>
                <w:highlight w:val="none"/>
                <w:u w:val="single"/>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 xml:space="preserve">授权代表及手机</w:t>
            </w:r>
            <w:r>
              <w:rPr>
                <w:rFonts w:hint="default" w:ascii="Times New Roman" w:hAnsi="Times New Roman" w:cs="Times New Roman"/>
                <w:b/>
                <w:bCs/>
                <w:color w:val="000000" w:themeColor="text1"/>
                <w:sz w:val="21"/>
                <w:szCs w:val="21"/>
                <w:highlight w:val="none"/>
                <w14:textFill>
                  <w14:solidFill>
                    <w14:schemeClr w14:val="tx1"/>
                  </w14:solidFill>
                </w14:textFill>
              </w:rPr>
              <w:t xml:space="preserve">：</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keepLines w:val="0"/>
              <w:keepNext w:val="0"/>
              <w:pageBreakBefore w:val="0"/>
              <w:spacing w:line="276" w:lineRule="auto"/>
              <w:widowControl w:val="off"/>
              <w:tabs>
                <w:tab w:val="left" w:pos="420" w:leader="none"/>
              </w:tabs>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医用物资采购中心负责人：</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r/>
          </w:p>
        </w:tc>
        <w:tc>
          <w:tcPr>
            <w:tcW w:w="4999" w:type="dxa"/>
            <w:textDirection w:val="lrTb"/>
            <w:noWrap w:val="false"/>
          </w:tcPr>
          <w:p>
            <w:pPr>
              <w:keepLines w:val="0"/>
              <w:keepNext w:val="0"/>
              <w:pageBreakBefore w:val="0"/>
              <w:spacing w:line="276" w:lineRule="auto"/>
              <w:widowControl w:val="off"/>
              <w:rPr>
                <w:rFonts w:hint="default" w:ascii="Times New Roman" w:hAnsi="Times New Roman" w:cs="Times New Roman"/>
                <w:b/>
                <w:bCs/>
                <w:color w:val="000000" w:themeColor="text1"/>
                <w:sz w:val="21"/>
                <w:szCs w:val="21"/>
                <w:highlight w:val="none"/>
                <w:u w:val="single"/>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t xml:space="preserve">法定代表人</w:t>
            </w:r>
            <w:r>
              <w:rPr>
                <w:rFonts w:hint="default" w:ascii="Times New Roman" w:hAnsi="Times New Roman" w:cs="Times New Roman"/>
                <w:b/>
                <w:bCs/>
                <w:color w:val="000000" w:themeColor="text1"/>
                <w:sz w:val="21"/>
                <w:szCs w:val="21"/>
                <w:highlight w:val="none"/>
                <w14:textFill>
                  <w14:solidFill>
                    <w14:schemeClr w14:val="tx1"/>
                  </w14:solidFill>
                </w14:textFill>
              </w:rPr>
              <w:t xml:space="preserve">：</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r/>
          </w:p>
        </w:tc>
      </w:tr>
      <w:tr>
        <w:trPr/>
        <w:tc>
          <w:tcPr>
            <w:tcW w:w="4998" w:type="dxa"/>
            <w:textDirection w:val="lrTb"/>
            <w:noWrap w:val="false"/>
          </w:tcPr>
          <w:p>
            <w:pPr>
              <w:keepLines w:val="0"/>
              <w:keepNext w:val="0"/>
              <w:pageBreakBefore w:val="0"/>
              <w:spacing w:line="276" w:lineRule="auto"/>
              <w:widowControl w:val="off"/>
              <w:tabs>
                <w:tab w:val="left" w:pos="420" w:leader="none"/>
              </w:tabs>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日期：</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r/>
          </w:p>
        </w:tc>
        <w:tc>
          <w:tcPr>
            <w:tcW w:w="4999" w:type="dxa"/>
            <w:textDirection w:val="lrTb"/>
            <w:noWrap w:val="false"/>
          </w:tcPr>
          <w:p>
            <w:pPr>
              <w:keepLines w:val="0"/>
              <w:keepNext w:val="0"/>
              <w:pageBreakBefore w:val="0"/>
              <w:spacing w:line="276" w:lineRule="auto"/>
              <w:widowControl w:val="off"/>
              <w:tabs>
                <w:tab w:val="left" w:pos="420" w:leader="none"/>
              </w:tabs>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日期：</w:t>
            </w:r>
            <w:r>
              <w:rPr>
                <w:rFonts w:hint="default" w:ascii="Times New Roman" w:hAnsi="Times New Roman" w:cs="Times New Roman"/>
                <w:b/>
                <w:bCs/>
                <w:color w:val="000000" w:themeColor="text1"/>
                <w:sz w:val="21"/>
                <w:szCs w:val="21"/>
                <w:highlight w:val="none"/>
                <w:u w:val="single"/>
                <w14:textFill>
                  <w14:solidFill>
                    <w14:schemeClr w14:val="tx1"/>
                  </w14:solidFill>
                </w14:textFill>
              </w:rPr>
              <w:t xml:space="preserve">                       </w:t>
            </w:r>
            <w:r/>
          </w:p>
        </w:tc>
      </w:tr>
    </w:tbl>
    <w:p>
      <w:pPr>
        <w:keepLines w:val="0"/>
        <w:keepNext w:val="0"/>
        <w:pageBreakBefore w:val="0"/>
        <w:spacing w:line="276" w:lineRule="auto"/>
        <w:widowControl w:val="off"/>
        <w:rPr>
          <w:rFonts w:hint="default" w:ascii="Times New Roman" w:hAnsi="Times New Roman" w:cs="Times New Roman"/>
          <w:b/>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pacing w:val="-1"/>
          <w:highlight w:val="none"/>
          <w:lang w:eastAsia="zh-CN"/>
          <w14:textFill>
            <w14:solidFill>
              <w14:schemeClr w14:val="tx1"/>
            </w14:solidFill>
          </w14:textFill>
        </w:rPr>
        <w:br/>
      </w:r>
      <w:r>
        <w:rPr>
          <w:rFonts w:hint="default" w:ascii="Times New Roman" w:hAnsi="Times New Roman" w:cs="Times New Roman"/>
          <w:b/>
          <w:bCs/>
          <w:color w:val="000000" w:themeColor="text1"/>
          <w:sz w:val="21"/>
          <w:szCs w:val="21"/>
          <w:highlight w:val="none"/>
          <w14:textFill>
            <w14:solidFill>
              <w14:schemeClr w14:val="tx1"/>
            </w14:solidFill>
          </w14:textFill>
        </w:rPr>
        <w:t xml:space="preserve">附件一：</w:t>
      </w:r>
      <w:r>
        <w:rPr>
          <w:rFonts w:hint="default" w:ascii="Times New Roman" w:hAnsi="Times New Roman" w:cs="Times New Roman"/>
          <w:b/>
          <w:color w:val="000000" w:themeColor="text1"/>
          <w:sz w:val="21"/>
          <w:szCs w:val="21"/>
          <w:highlight w:val="none"/>
          <w14:textFill>
            <w14:solidFill>
              <w14:schemeClr w14:val="tx1"/>
            </w14:solidFill>
          </w14:textFill>
        </w:rPr>
        <w:t xml:space="preserve">南京鼓楼医院医疗设备安装（含维修）单位消防、安全生产、治安管理承诺书</w:t>
      </w:r>
      <w:r/>
    </w:p>
    <w:p>
      <w:pPr>
        <w:pStyle w:val="871"/>
        <w:ind w:left="0" w:firstLine="0"/>
        <w:keepLines w:val="0"/>
        <w:keepNext w:val="0"/>
        <w:pageBreakBefore w:val="0"/>
        <w:spacing w:line="276" w:lineRule="auto"/>
        <w:widowControl w:val="off"/>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附件二：医疗设备供应商验收须知</w:t>
      </w:r>
      <w:r/>
    </w:p>
    <w:p>
      <w:pPr>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br w:type="page" w:clear="all"/>
      </w:r>
      <w:r/>
    </w:p>
    <w:p>
      <w:pPr>
        <w:spacing w:line="440" w:lineRule="exact"/>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附件一：</w:t>
      </w:r>
      <w:r/>
    </w:p>
    <w:p>
      <w:pPr>
        <w:pStyle w:val="893"/>
        <w:keepLines w:val="0"/>
        <w:keepNext w:val="0"/>
        <w:pageBreakBefore w:val="0"/>
        <w:spacing w:before="0" w:after="0" w:line="276" w:lineRule="auto"/>
        <w:widowControl w:val="off"/>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南京鼓楼医院</w:t>
      </w:r>
      <w:r>
        <w:rPr>
          <w:rFonts w:hint="default" w:ascii="Times New Roman" w:hAnsi="Times New Roman" w:eastAsia="宋体" w:cs="Times New Roman"/>
          <w:color w:val="000000" w:themeColor="text1"/>
          <w:sz w:val="21"/>
          <w:szCs w:val="21"/>
          <w:highlight w:val="none"/>
          <w14:textFill>
            <w14:solidFill>
              <w14:schemeClr w14:val="tx1"/>
            </w14:solidFill>
          </w14:textFill>
        </w:rPr>
        <w:br/>
      </w:r>
      <w:r>
        <w:rPr>
          <w:rFonts w:hint="default" w:ascii="Times New Roman" w:hAnsi="Times New Roman" w:eastAsia="宋体" w:cs="Times New Roman"/>
          <w:color w:val="000000" w:themeColor="text1"/>
          <w:sz w:val="21"/>
          <w:szCs w:val="21"/>
          <w:highlight w:val="none"/>
          <w14:textFill>
            <w14:solidFill>
              <w14:schemeClr w14:val="tx1"/>
            </w14:solidFill>
          </w14:textFill>
        </w:rPr>
        <w:t xml:space="preserve">医疗设备安装（含维修）单位消防、安全生产、治安管理承诺书</w:t>
      </w:r>
      <w:r/>
    </w:p>
    <w:p>
      <w:pPr>
        <w:ind w:firstLine="420"/>
        <w:keepLines w:val="0"/>
        <w:keepNext w:val="0"/>
        <w:pageBreakBefore w:val="0"/>
        <w:spacing w:line="276" w:lineRule="auto"/>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医疗设备安装（含维修）单位的消防、安全生产、治安管理工作责任人在南京鼓楼医院医用物资保障处的指导下，全面负责本单位在南京鼓楼医院相关医疗设备安装（含维修）期间的消防、安全生产和治安防范工作，履行下列职责：</w:t>
      </w:r>
      <w:r/>
    </w:p>
    <w:p>
      <w:pPr>
        <w:ind w:firstLine="420"/>
        <w:keepLines w:val="0"/>
        <w:keepNext w:val="0"/>
        <w:pageBreakBefore w:val="0"/>
        <w:spacing w:line="276" w:lineRule="auto"/>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一、贯彻执行消防法规、建筑法规、安全治安管理有关法律法规，自觉接受南京鼓楼医院医用物资保障处的安全管理领导。</w:t>
      </w:r>
      <w:r/>
    </w:p>
    <w:p>
      <w:pPr>
        <w:ind w:firstLine="420"/>
        <w:keepLines w:val="0"/>
        <w:keepNext w:val="0"/>
        <w:pageBreakBefore w:val="0"/>
        <w:spacing w:line="276" w:lineRule="auto"/>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二、医疗设备安装（含维修）管理必须坚持“安全第一、预防为主”的方针，医疗设备安装（含维修）单位的法定代表人对本单位在南京鼓楼医院的安全生产负责。</w:t>
      </w:r>
      <w:r/>
    </w:p>
    <w:p>
      <w:pPr>
        <w:ind w:firstLine="420"/>
        <w:keepLines w:val="0"/>
        <w:keepNext w:val="0"/>
        <w:pageBreakBefore w:val="0"/>
        <w:spacing w:line="276" w:lineRule="auto"/>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三、医疗设备安装（含维修）单位必须依法加强对医疗设备安全施工的管理，执行安全生产责任制度，采取有效措施，防止伤亡和其他安全生产责任事故的发生。</w:t>
      </w:r>
      <w:r/>
    </w:p>
    <w:p>
      <w:pPr>
        <w:ind w:firstLine="420"/>
        <w:keepLines w:val="0"/>
        <w:keepNext w:val="0"/>
        <w:pageBreakBefore w:val="0"/>
        <w:spacing w:line="276" w:lineRule="auto"/>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四、医疗设备安装（含维修）单位应当建立健全劳动安全生产教育培训制度，加强对职工安全生产的教育和培训，未经安全生产教育培训人员不得上岗作业。</w:t>
      </w:r>
      <w:r/>
    </w:p>
    <w:p>
      <w:pPr>
        <w:ind w:firstLine="420"/>
        <w:keepLines w:val="0"/>
        <w:keepNext w:val="0"/>
        <w:pageBreakBefore w:val="0"/>
        <w:spacing w:line="276" w:lineRule="auto"/>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五、医疗设备安装（含维修）的施工人员在南京鼓楼医院施工过程中，应当遵守有关安全生产的法律、法规和建筑行业、医疗设备行业的安全规章（规程），不得违章指挥或违章作业。</w:t>
      </w:r>
      <w:r/>
    </w:p>
    <w:p>
      <w:pPr>
        <w:ind w:firstLine="420"/>
        <w:keepLines w:val="0"/>
        <w:keepNext w:val="0"/>
        <w:pageBreakBefore w:val="0"/>
        <w:spacing w:line="276" w:lineRule="auto"/>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r/>
    </w:p>
    <w:p>
      <w:pPr>
        <w:ind w:firstLine="420"/>
        <w:keepLines w:val="0"/>
        <w:keepNext w:val="0"/>
        <w:pageBreakBefore w:val="0"/>
        <w:spacing w:line="276" w:lineRule="auto"/>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七、严格管理动火程序，因医疗设备安装（含维修）需动用电焊及氧焊或其他产生明火的工程，事先需到南京鼓楼医院保卫处开具动火审批手续并采取防范措施后方能实施。</w:t>
      </w:r>
      <w:r/>
    </w:p>
    <w:p>
      <w:pPr>
        <w:ind w:firstLine="420"/>
        <w:keepLines w:val="0"/>
        <w:keepNext w:val="0"/>
        <w:pageBreakBefore w:val="0"/>
        <w:spacing w:line="276" w:lineRule="auto"/>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八、医疗设备安装（含维修）单位应加强对在南京鼓楼医院施工的工程人员的管理，并将在我院施工的所有工作人员名单上报到南京鼓楼医院医用物资保障处备案，接受院方动态监督。</w:t>
      </w:r>
      <w:r/>
    </w:p>
    <w:p>
      <w:pPr>
        <w:ind w:firstLine="420"/>
        <w:keepLines w:val="0"/>
        <w:keepNext w:val="0"/>
        <w:pageBreakBefore w:val="0"/>
        <w:spacing w:line="276" w:lineRule="auto"/>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r/>
    </w:p>
    <w:p>
      <w:pPr>
        <w:ind w:firstLine="420"/>
        <w:keepLines w:val="0"/>
        <w:keepNext w:val="0"/>
        <w:pageBreakBefore w:val="0"/>
        <w:spacing w:line="276" w:lineRule="auto"/>
        <w:widowControl w:val="off"/>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十、在您签名（盖章）前，请认真阅读以上规定，签字（盖章）后，表示已同意遵守南京鼓楼医院有关消防、安全生产、治安保卫规定，南京鼓楼医院对本制度有最终解释权。</w:t>
      </w:r>
      <w:r/>
    </w:p>
    <w:tbl>
      <w:tblPr>
        <w:tblStyle w:val="896"/>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26"/>
        <w:gridCol w:w="2861"/>
      </w:tblGrid>
      <w:tr>
        <w:trPr>
          <w:jc w:val="right"/>
        </w:trPr>
        <w:tc>
          <w:tcPr>
            <w:tcW w:w="4226" w:type="dxa"/>
            <w:textDirection w:val="lrTb"/>
            <w:noWrap w:val="false"/>
          </w:tcPr>
          <w:p>
            <w:pPr>
              <w:ind w:firstLine="420"/>
              <w:jc w:val="right"/>
              <w:spacing w:line="440" w:lineRule="exact"/>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医疗设备安装（含维修）单位（章）：</w:t>
            </w:r>
            <w:r/>
          </w:p>
        </w:tc>
        <w:tc>
          <w:tcPr>
            <w:tcW w:w="2861" w:type="dxa"/>
            <w:textDirection w:val="lrTb"/>
            <w:noWrap w:val="false"/>
          </w:tcPr>
          <w:p>
            <w:pPr>
              <w:ind w:firstLine="420"/>
              <w:spacing w:line="440" w:lineRule="exact"/>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right"/>
        </w:trPr>
        <w:tc>
          <w:tcPr>
            <w:tcW w:w="4226" w:type="dxa"/>
            <w:textDirection w:val="lrTb"/>
            <w:noWrap w:val="false"/>
          </w:tcPr>
          <w:p>
            <w:pPr>
              <w:ind w:firstLine="420"/>
              <w:jc w:val="right"/>
              <w:spacing w:line="440" w:lineRule="exact"/>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法定代表人（签字）：</w:t>
            </w:r>
            <w:r/>
          </w:p>
        </w:tc>
        <w:tc>
          <w:tcPr>
            <w:tcW w:w="2861" w:type="dxa"/>
            <w:textDirection w:val="lrTb"/>
            <w:noWrap w:val="false"/>
          </w:tcPr>
          <w:p>
            <w:pPr>
              <w:ind w:firstLine="420"/>
              <w:spacing w:line="440" w:lineRule="exact"/>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r>
            <w:r/>
          </w:p>
        </w:tc>
      </w:tr>
      <w:tr>
        <w:trPr>
          <w:jc w:val="right"/>
        </w:trPr>
        <w:tc>
          <w:tcPr>
            <w:tcW w:w="4226" w:type="dxa"/>
            <w:textDirection w:val="lrTb"/>
            <w:noWrap w:val="false"/>
          </w:tcPr>
          <w:p>
            <w:pPr>
              <w:ind w:firstLine="420"/>
              <w:jc w:val="right"/>
              <w:spacing w:line="440" w:lineRule="exact"/>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日期：</w:t>
            </w:r>
            <w:r/>
          </w:p>
        </w:tc>
        <w:tc>
          <w:tcPr>
            <w:tcW w:w="2861" w:type="dxa"/>
            <w:textDirection w:val="lrTb"/>
            <w:noWrap w:val="false"/>
          </w:tcPr>
          <w:p>
            <w:pPr>
              <w:spacing w:line="440" w:lineRule="exact"/>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 xml:space="preserve">       年      月     日</w:t>
            </w:r>
            <w:r/>
          </w:p>
        </w:tc>
      </w:tr>
    </w:tbl>
    <w:p>
      <w:pP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br w:type="page" w:clear="all"/>
      </w:r>
      <w:r/>
    </w:p>
    <w:p>
      <w:pPr>
        <w:spacing w:line="640" w:lineRule="exact"/>
        <w:rPr>
          <w:rFonts w:hint="default" w:ascii="Times New Roman" w:hAnsi="Times New Roman" w:cs="Times New Roman"/>
          <w:b/>
          <w:bCs/>
          <w:color w:val="000000" w:themeColor="text1"/>
          <w:sz w:val="21"/>
          <w:szCs w:val="21"/>
          <w:highlight w:val="none"/>
          <w14:textFill>
            <w14:solidFill>
              <w14:schemeClr w14:val="tx1"/>
            </w14:solidFill>
          </w14:textFill>
        </w:rPr>
      </w:pPr>
      <w:r>
        <w:rPr>
          <w:rFonts w:hint="default" w:ascii="Times New Roman" w:hAnsi="Times New Roman" w:cs="Times New Roman"/>
          <w:b/>
          <w:bCs/>
          <w:color w:val="000000" w:themeColor="text1"/>
          <w:sz w:val="21"/>
          <w:szCs w:val="21"/>
          <w:highlight w:val="none"/>
          <w14:textFill>
            <w14:solidFill>
              <w14:schemeClr w14:val="tx1"/>
            </w14:solidFill>
          </w14:textFill>
        </w:rPr>
        <w:t xml:space="preserve">附件二：</w:t>
      </w:r>
      <w:r/>
    </w:p>
    <w:p>
      <w:pPr>
        <w:ind w:firstLine="422"/>
        <w:jc w:val="center"/>
        <w:keepLines w:val="0"/>
        <w:keepNext w:val="0"/>
        <w:pageBreakBefore w:val="0"/>
        <w:spacing w:line="276" w:lineRule="auto"/>
        <w:widowControl w:val="off"/>
        <w:rPr>
          <w:rFonts w:hint="default" w:ascii="Times New Roman" w:hAnsi="Times New Roman" w:cs="Times New Roman"/>
          <w:b/>
          <w:color w:val="000000" w:themeColor="text1"/>
          <w:szCs w:val="24"/>
          <w:highlight w:val="none"/>
          <w14:textFill>
            <w14:solidFill>
              <w14:schemeClr w14:val="tx1"/>
            </w14:solidFill>
          </w14:textFill>
        </w:rPr>
      </w:pPr>
      <w:r>
        <w:rPr>
          <w:rFonts w:hint="default" w:ascii="Times New Roman" w:hAnsi="Times New Roman" w:cs="Times New Roman"/>
          <w:b/>
          <w:color w:val="000000" w:themeColor="text1"/>
          <w:szCs w:val="24"/>
          <w:highlight w:val="none"/>
          <w14:textFill>
            <w14:solidFill>
              <w14:schemeClr w14:val="tx1"/>
            </w14:solidFill>
          </w14:textFill>
        </w:rPr>
        <w:t xml:space="preserve">医疗设备供应商验收须知</w:t>
      </w:r>
      <w:r/>
    </w:p>
    <w:p>
      <w:pPr>
        <w:ind w:firstLine="420"/>
        <w:keepLines w:val="0"/>
        <w:keepNext w:val="0"/>
        <w:pageBreakBefore w:val="0"/>
        <w:spacing w:line="276" w:lineRule="auto"/>
        <w:widowControl w:val="off"/>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 xml:space="preserve">医疗设备采购合同是验收环节的最关键和最核心文件，甲乙双方都应严格遵守合同各项条款，现将医疗设备合同验收关键点告知如下，请大家供货之前做好自查工作：</w:t>
      </w:r>
      <w:r/>
    </w:p>
    <w:p>
      <w:pPr>
        <w:ind w:firstLine="420"/>
        <w:keepLines w:val="0"/>
        <w:keepNext w:val="0"/>
        <w:pageBreakBefore w:val="0"/>
        <w:spacing w:line="276" w:lineRule="auto"/>
        <w:widowControl w:val="off"/>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 xml:space="preserve">1.核对设备名称、品牌、规格型号、注册证号、产地及配置（设备铭牌有关信息与注册证、报关单信息一致）与合同约定条款一致；</w:t>
      </w:r>
      <w:r/>
    </w:p>
    <w:p>
      <w:pPr>
        <w:ind w:firstLine="420"/>
        <w:keepLines w:val="0"/>
        <w:keepNext w:val="0"/>
        <w:pageBreakBefore w:val="0"/>
        <w:spacing w:line="276" w:lineRule="auto"/>
        <w:widowControl w:val="off"/>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 xml:space="preserve">2.提前3天联系医用物资保障处，按要求将设备送达医院指定地点（供应商代表必须到场确认外包装无破损，不接受快递直接送货），设备安装完成后免费、及时清理包装纸箱、木箱等拆除物；</w:t>
      </w:r>
      <w:r/>
    </w:p>
    <w:p>
      <w:pPr>
        <w:ind w:firstLine="420"/>
        <w:keepLines w:val="0"/>
        <w:keepNext w:val="0"/>
        <w:pageBreakBefore w:val="0"/>
        <w:spacing w:line="276" w:lineRule="auto"/>
        <w:widowControl w:val="off"/>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 xml:space="preserve">3.按合同约定到货时间或医院要求时间提供设备；</w:t>
      </w:r>
      <w:r/>
    </w:p>
    <w:p>
      <w:pPr>
        <w:ind w:firstLine="420"/>
        <w:keepLines w:val="0"/>
        <w:keepNext w:val="0"/>
        <w:pageBreakBefore w:val="0"/>
        <w:spacing w:line="276" w:lineRule="auto"/>
        <w:widowControl w:val="off"/>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 xml:space="preserve">4.医疗设备出厂日期必须满足合同约定条款；</w:t>
      </w:r>
      <w:r/>
    </w:p>
    <w:p>
      <w:pPr>
        <w:ind w:firstLine="420"/>
        <w:jc w:val="left"/>
        <w:keepLines w:val="0"/>
        <w:keepNext w:val="0"/>
        <w:pageBreakBefore w:val="0"/>
        <w:spacing w:line="276" w:lineRule="auto"/>
        <w:widowControl w:val="off"/>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 xml:space="preserve">5.设备安装后，提供医疗设备参数、性能检测合格报告，如果原厂无检测能力，医院委托国内具有相关资质的单位进行检测，按照合同约定费用由供应商承担，否则不予验收；</w:t>
      </w:r>
      <w:r/>
    </w:p>
    <w:p>
      <w:pPr>
        <w:ind w:firstLine="420"/>
        <w:keepLines w:val="0"/>
        <w:keepNext w:val="0"/>
        <w:pageBreakBefore w:val="0"/>
        <w:spacing w:line="276" w:lineRule="auto"/>
        <w:widowControl w:val="off"/>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 xml:space="preserve">6.认真履行合同中关于设备开机率及维护情况的条款（与支付中期款、尾款挂钩）。</w:t>
      </w:r>
      <w:r/>
    </w:p>
    <w:tbl>
      <w:tblPr>
        <w:tblStyle w:val="896"/>
        <w:tblW w:w="6378"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268"/>
        <w:gridCol w:w="4110"/>
      </w:tblGrid>
      <w:tr>
        <w:trPr>
          <w:jc w:val="right"/>
          <w:trHeight w:val="624"/>
        </w:trPr>
        <w:tc>
          <w:tcPr>
            <w:tcW w:w="2268" w:type="dxa"/>
            <w:textDirection w:val="lrTb"/>
            <w:noWrap w:val="false"/>
          </w:tcPr>
          <w:p>
            <w:pPr>
              <w:ind w:firstLine="420"/>
              <w:jc w:val="right"/>
              <w:spacing w:line="440" w:lineRule="exact"/>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 xml:space="preserve">公司名称：</w:t>
            </w:r>
            <w:r/>
          </w:p>
        </w:tc>
        <w:tc>
          <w:tcPr>
            <w:tcW w:w="4110" w:type="dxa"/>
            <w:textDirection w:val="lrTb"/>
            <w:noWrap w:val="false"/>
          </w:tcPr>
          <w:p>
            <w:pPr>
              <w:ind w:firstLine="1785"/>
              <w:spacing w:line="440" w:lineRule="exact"/>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 xml:space="preserve">（盖章）</w:t>
            </w:r>
            <w:r/>
          </w:p>
        </w:tc>
      </w:tr>
      <w:tr>
        <w:trPr>
          <w:jc w:val="right"/>
          <w:trHeight w:val="624"/>
        </w:trPr>
        <w:tc>
          <w:tcPr>
            <w:tcW w:w="2268" w:type="dxa"/>
            <w:textDirection w:val="lrTb"/>
            <w:noWrap w:val="false"/>
          </w:tcPr>
          <w:p>
            <w:pPr>
              <w:ind w:firstLine="420"/>
              <w:jc w:val="right"/>
              <w:spacing w:line="440" w:lineRule="exact"/>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 xml:space="preserve">法定代表人：</w:t>
            </w:r>
            <w:r/>
          </w:p>
        </w:tc>
        <w:tc>
          <w:tcPr>
            <w:tcW w:w="4110" w:type="dxa"/>
            <w:textDirection w:val="lrTb"/>
            <w:noWrap w:val="false"/>
          </w:tcPr>
          <w:p>
            <w:pPr>
              <w:spacing w:line="440" w:lineRule="exact"/>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r>
            <w:r/>
          </w:p>
        </w:tc>
      </w:tr>
      <w:tr>
        <w:trPr>
          <w:jc w:val="right"/>
          <w:trHeight w:val="624"/>
        </w:trPr>
        <w:tc>
          <w:tcPr>
            <w:tcW w:w="2268" w:type="dxa"/>
            <w:textDirection w:val="lrTb"/>
            <w:noWrap w:val="false"/>
          </w:tcPr>
          <w:p>
            <w:pPr>
              <w:ind w:firstLine="420"/>
              <w:jc w:val="right"/>
              <w:spacing w:line="440" w:lineRule="exact"/>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t xml:space="preserve">日    期：</w:t>
            </w:r>
            <w:r/>
          </w:p>
        </w:tc>
        <w:tc>
          <w:tcPr>
            <w:tcW w:w="4110" w:type="dxa"/>
            <w:textDirection w:val="lrTb"/>
            <w:noWrap w:val="false"/>
          </w:tcPr>
          <w:p>
            <w:pPr>
              <w:spacing w:line="440" w:lineRule="exact"/>
              <w:rPr>
                <w:rFonts w:hint="default" w:ascii="Times New Roman" w:hAnsi="Times New Roman" w:cs="Times New Roman"/>
                <w:color w:val="000000" w:themeColor="text1"/>
                <w:szCs w:val="24"/>
                <w:highlight w:val="none"/>
                <w14:textFill>
                  <w14:solidFill>
                    <w14:schemeClr w14:val="tx1"/>
                  </w14:solidFill>
                </w14:textFill>
              </w:rPr>
            </w:pPr>
            <w:r>
              <w:rPr>
                <w:rFonts w:hint="default" w:ascii="Times New Roman" w:hAnsi="Times New Roman" w:cs="Times New Roman"/>
                <w:color w:val="000000" w:themeColor="text1"/>
                <w:szCs w:val="24"/>
                <w:highlight w:val="none"/>
                <w14:textFill>
                  <w14:solidFill>
                    <w14:schemeClr w14:val="tx1"/>
                  </w14:solidFill>
                </w14:textFill>
              </w:rPr>
            </w:r>
            <w:r/>
          </w:p>
        </w:tc>
      </w:tr>
    </w:tbl>
    <w:p>
      <w:pPr>
        <w:pStyle w:val="871"/>
        <w:ind w:left="0" w:firstLine="422"/>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r>
      <w:r/>
    </w:p>
    <w:p>
      <w:pPr>
        <w:rPr>
          <w:rFonts w:hint="default" w:ascii="Times New Roman" w:hAnsi="Times New Roman" w:eastAsia="宋体" w:cs="Times New Roman"/>
          <w:color w:val="000000" w:themeColor="text1"/>
          <w:sz w:val="21"/>
          <w:szCs w:val="22"/>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2"/>
          <w:highlight w:val="none"/>
          <w:lang w:val="en-US" w:eastAsia="zh-CN" w:bidi="ar-SA"/>
          <w14:textFill>
            <w14:solidFill>
              <w14:schemeClr w14:val="tx1"/>
            </w14:solidFill>
          </w14:textFill>
        </w:rPr>
        <w:br w:type="page" w:clear="all"/>
      </w:r>
      <w:r/>
    </w:p>
    <w:p>
      <w:pPr>
        <w:ind w:left="142" w:firstLine="211"/>
        <w:jc w:val="center"/>
        <w:spacing w:line="276" w:lineRule="auto"/>
        <w:rPr>
          <w:rFonts w:hint="default" w:ascii="Times New Roman" w:hAnsi="Times New Roman" w:cs="Times New Roman"/>
          <w:b/>
          <w:color w:val="000000" w:themeColor="text1"/>
          <w:highlight w:val="none"/>
          <w14:textFill>
            <w14:solidFill>
              <w14:schemeClr w14:val="tx1"/>
            </w14:solidFill>
          </w14:textFill>
        </w:rPr>
      </w:pPr>
      <w:r>
        <w:rPr>
          <w:rFonts w:hint="default" w:ascii="Times New Roman" w:hAnsi="Times New Roman" w:cs="Times New Roman"/>
          <w:b/>
          <w:color w:val="000000" w:themeColor="text1"/>
          <w:highlight w:val="none"/>
          <w14:textFill>
            <w14:solidFill>
              <w14:schemeClr w14:val="tx1"/>
            </w14:solidFill>
          </w14:textFill>
        </w:rPr>
        <w:t xml:space="preserve">售后</w:t>
      </w:r>
      <w:r>
        <w:rPr>
          <w:rFonts w:hint="default" w:ascii="Times New Roman" w:hAnsi="Times New Roman" w:cs="Times New Roman"/>
          <w:b/>
          <w:color w:val="000000" w:themeColor="text1"/>
          <w:szCs w:val="21"/>
          <w:highlight w:val="none"/>
          <w14:textFill>
            <w14:solidFill>
              <w14:schemeClr w14:val="tx1"/>
            </w14:solidFill>
          </w14:textFill>
        </w:rPr>
        <w:t xml:space="preserve">服务</w:t>
      </w:r>
      <w:r>
        <w:rPr>
          <w:rFonts w:hint="default" w:ascii="Times New Roman" w:hAnsi="Times New Roman" w:cs="Times New Roman"/>
          <w:b/>
          <w:color w:val="000000" w:themeColor="text1"/>
          <w:highlight w:val="none"/>
          <w14:textFill>
            <w14:solidFill>
              <w14:schemeClr w14:val="tx1"/>
            </w14:solidFill>
          </w14:textFill>
        </w:rPr>
        <w:t xml:space="preserve">条款</w:t>
      </w:r>
      <w:r/>
    </w:p>
    <w:p>
      <w:pPr>
        <w:ind w:left="142" w:firstLine="221"/>
        <w:jc w:val="left"/>
        <w:spacing w:line="276" w:lineRule="auto"/>
        <w:rPr>
          <w:rFonts w:hint="default" w:ascii="Times New Roman" w:hAnsi="Times New Roman" w:cs="Times New Roman"/>
          <w:b/>
          <w:color w:val="000000" w:themeColor="text1"/>
          <w:sz w:val="22"/>
          <w:szCs w:val="24"/>
          <w:highlight w:val="none"/>
          <w14:textFill>
            <w14:solidFill>
              <w14:schemeClr w14:val="tx1"/>
            </w14:solidFill>
          </w14:textFill>
        </w:rPr>
      </w:pPr>
      <w:r>
        <w:rPr>
          <w:rFonts w:hint="default" w:ascii="Times New Roman" w:hAnsi="Times New Roman" w:cs="Times New Roman"/>
          <w:b/>
          <w:color w:val="000000" w:themeColor="text1"/>
          <w:sz w:val="22"/>
          <w:szCs w:val="24"/>
          <w:highlight w:val="none"/>
          <w14:textFill>
            <w14:solidFill>
              <w14:schemeClr w14:val="tx1"/>
            </w14:solidFill>
          </w14:textFill>
        </w:rPr>
        <w:t xml:space="preserve">甲方：南京鼓楼医院    乙方：设备供应商</w:t>
      </w:r>
      <w:r/>
    </w:p>
    <w:p>
      <w:pPr>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szCs w:val="21"/>
          <w:highlight w:val="none"/>
          <w:u w:val="single"/>
          <w14:textFill>
            <w14:solidFill>
              <w14:schemeClr w14:val="tx1"/>
            </w14:solidFill>
          </w14:textFill>
        </w:rPr>
      </w:pPr>
      <w:r>
        <w:rPr>
          <w:rFonts w:hint="eastAsia" w:ascii="Times New Roman" w:hAnsi="Times New Roman" w:cs="Times New Roman" w:eastAsiaTheme="minorEastAsia"/>
          <w:color w:val="000000" w:themeColor="text1"/>
          <w:sz w:val="21"/>
          <w:szCs w:val="21"/>
          <w:highlight w:val="none"/>
          <w:lang w:val="en-US" w:eastAsia="zh-CN" w:bidi="ar-SA"/>
          <w14:textFill>
            <w14:solidFill>
              <w14:schemeClr w14:val="tx1"/>
            </w14:solidFill>
          </w14:textFill>
        </w:rPr>
        <w:t xml:space="preserve">1．</w:t>
      </w:r>
      <w:r>
        <w:rPr>
          <w:rFonts w:hint="default" w:ascii="Times New Roman" w:hAnsi="Times New Roman" w:cs="Times New Roman"/>
          <w:color w:val="000000" w:themeColor="text1"/>
          <w:sz w:val="21"/>
          <w:highlight w:val="none"/>
          <w14:textFill>
            <w14:solidFill>
              <w14:schemeClr w14:val="tx1"/>
            </w14:solidFill>
          </w14:textFill>
        </w:rPr>
        <w:t xml:space="preserve">乙方免费提前为甲方提供设备安装图纸，并充分协助甲方做好机房的准备工作（如必要的话）。</w:t>
      </w:r>
      <w:r/>
    </w:p>
    <w:p>
      <w:pPr>
        <w:pStyle w:val="1138"/>
        <w:numPr>
          <w:ilvl w:val="0"/>
          <w:numId w:val="0"/>
        </w:numPr>
        <w:ind w:left="360" w:hanging="360"/>
        <w:spacing w:line="276" w:lineRule="auto"/>
        <w:tabs>
          <w:tab w:val="left" w:pos="360" w:leader="none"/>
        </w:tabs>
        <w:rPr>
          <w:rFonts w:hint="default" w:ascii="Times New Roman" w:hAnsi="Times New Roman" w:cs="Times New Roman"/>
          <w:b/>
          <w:bCs/>
          <w:color w:val="000000" w:themeColor="text1"/>
          <w:szCs w:val="21"/>
          <w:highlight w:val="none"/>
          <w:u w:val="single"/>
          <w14:textFill>
            <w14:solidFill>
              <w14:schemeClr w14:val="tx1"/>
            </w14:solidFill>
          </w14:textFill>
        </w:rPr>
      </w:pPr>
      <w:r>
        <w:rPr>
          <w:rFonts w:hint="eastAsia" w:ascii="Times New Roman" w:hAnsi="Times New Roman" w:cs="Times New Roman" w:eastAsiaTheme="minorEastAsia"/>
          <w:b/>
          <w:bCs/>
          <w:color w:val="000000" w:themeColor="text1"/>
          <w:sz w:val="21"/>
          <w:szCs w:val="21"/>
          <w:highlight w:val="none"/>
          <w:lang w:val="en-US" w:eastAsia="zh-CN" w:bidi="ar-SA"/>
          <w14:textFill>
            <w14:solidFill>
              <w14:schemeClr w14:val="tx1"/>
            </w14:solidFill>
          </w14:textFill>
        </w:rPr>
        <w:t xml:space="preserve">2．</w:t>
      </w:r>
      <w:r>
        <w:rPr>
          <w:rFonts w:hint="default" w:ascii="Times New Roman" w:hAnsi="Times New Roman" w:cs="Times New Roman"/>
          <w:color w:val="000000" w:themeColor="text1"/>
          <w:sz w:val="21"/>
          <w:highlight w:val="none"/>
          <w14:textFill>
            <w14:solidFill>
              <w14:schemeClr w14:val="tx1"/>
            </w14:solidFill>
          </w14:textFill>
        </w:rPr>
        <w:t xml:space="preserve">所有医疗设备必须提供符合国家标准的电源线，插头制式必须为中国标准制式，保证安全接地，不接受欧标、美标等制式电源线。</w:t>
      </w:r>
      <w:r/>
    </w:p>
    <w:p>
      <w:pPr>
        <w:pStyle w:val="1138"/>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3．</w:t>
      </w:r>
      <w:r>
        <w:rPr>
          <w:rFonts w:hint="default" w:ascii="Times New Roman" w:hAnsi="Times New Roman" w:cs="Times New Roman"/>
          <w:color w:val="000000" w:themeColor="text1"/>
          <w:sz w:val="21"/>
          <w:highlight w:val="none"/>
          <w14:textFill>
            <w14:solidFill>
              <w14:schemeClr w14:val="tx1"/>
            </w14:solidFill>
          </w14:textFill>
        </w:rPr>
        <w:t xml:space="preserve">设备安装时，乙方负责设备的免费安装和调试，但乙方必须事先与甲方的医用物资保障处联系，并与医用物资保障处共同参与，否则引起的一切责任由乙方承担。</w:t>
      </w:r>
      <w:r/>
    </w:p>
    <w:p>
      <w:pPr>
        <w:pStyle w:val="1138"/>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4．</w:t>
      </w:r>
      <w:r>
        <w:rPr>
          <w:rFonts w:hint="default" w:ascii="Times New Roman" w:hAnsi="Times New Roman" w:cs="Times New Roman"/>
          <w:color w:val="000000" w:themeColor="text1"/>
          <w:sz w:val="21"/>
          <w:highlight w:val="none"/>
          <w14:textFill>
            <w14:solidFill>
              <w14:schemeClr w14:val="tx1"/>
            </w14:solidFill>
          </w14:textFill>
        </w:rPr>
        <w:t xml:space="preserve">乙方逾期交付货物的，每逾期一天，乙方向甲方偿付货款总额1%的滞纳金，如乙方逾期交货达10天，甲方有权解除合同或双方协商赔偿方式。</w:t>
      </w:r>
      <w:r/>
    </w:p>
    <w:p>
      <w:pPr>
        <w:pStyle w:val="1138"/>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5．</w:t>
      </w:r>
      <w:r>
        <w:rPr>
          <w:rFonts w:hint="default" w:ascii="Times New Roman" w:hAnsi="Times New Roman" w:cs="Times New Roman"/>
          <w:color w:val="000000" w:themeColor="text1"/>
          <w:sz w:val="21"/>
          <w:highlight w:val="none"/>
          <w14:textFill>
            <w14:solidFill>
              <w14:schemeClr w14:val="tx1"/>
            </w14:solidFill>
          </w14:textFill>
        </w:rPr>
        <w:t xml:space="preserve">装机所产生的垃圾必须摆放整齐，不得有影响工作人员、病人及家属安全通过的行为。公司在装机后24小时内必须完成对包装拆除物的清理。因包装拆除物原因引起的医疗事故和纠纷，由公司承担全部法律和经济责任。</w:t>
      </w:r>
      <w:r/>
    </w:p>
    <w:p>
      <w:pPr>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6．</w:t>
      </w:r>
      <w:r>
        <w:rPr>
          <w:rFonts w:hint="default" w:ascii="Times New Roman" w:hAnsi="Times New Roman" w:cs="Times New Roman"/>
          <w:color w:val="000000" w:themeColor="text1"/>
          <w:sz w:val="21"/>
          <w:highlight w:val="none"/>
          <w14:textFill>
            <w14:solidFill>
              <w14:schemeClr w14:val="tx1"/>
            </w14:solidFill>
          </w14:textFill>
        </w:rPr>
        <w:t xml:space="preserve">设备安装、调试结束后，甲方对设备进行验收（时间由甲、乙双方商定），乙方免费派工程师到达现场协助验收工作。保修期自甲方验收合格之日算起</w:t>
      </w:r>
      <w:r>
        <w:rPr>
          <w:rFonts w:hint="default" w:ascii="Times New Roman" w:hAnsi="Times New Roman" w:cs="Times New Roman"/>
          <w:color w:val="000000" w:themeColor="text1"/>
          <w:sz w:val="21"/>
          <w:szCs w:val="21"/>
          <w:highlight w:val="none"/>
          <w14:textFill>
            <w14:solidFill>
              <w14:schemeClr w14:val="tx1"/>
            </w14:solidFill>
          </w14:textFill>
        </w:rPr>
        <w:t xml:space="preserve">，保修期外故障待修复后只收配件费，免收上门费、人工费</w:t>
      </w:r>
      <w:r>
        <w:rPr>
          <w:rFonts w:hint="default" w:ascii="Times New Roman" w:hAnsi="Times New Roman" w:cs="Times New Roman"/>
          <w:color w:val="000000" w:themeColor="text1"/>
          <w:sz w:val="21"/>
          <w:highlight w:val="none"/>
          <w14:textFill>
            <w14:solidFill>
              <w14:schemeClr w14:val="tx1"/>
            </w14:solidFill>
          </w14:textFill>
        </w:rPr>
        <w:t xml:space="preserve">。</w:t>
      </w:r>
      <w:r/>
    </w:p>
    <w:p>
      <w:pPr>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7．</w:t>
      </w:r>
      <w:r>
        <w:rPr>
          <w:rFonts w:hint="default" w:ascii="Times New Roman" w:hAnsi="Times New Roman" w:cs="Times New Roman"/>
          <w:color w:val="000000" w:themeColor="text1"/>
          <w:sz w:val="21"/>
          <w:highlight w:val="none"/>
          <w14:textFill>
            <w14:solidFill>
              <w14:schemeClr w14:val="tx1"/>
            </w14:solidFill>
          </w14:textFill>
        </w:rPr>
        <w:t xml:space="preserve">上述设备免费保修</w:t>
      </w:r>
      <w:r>
        <w:rPr>
          <w:rFonts w:hint="default" w:ascii="Times New Roman" w:hAnsi="Times New Roman" w:cs="Times New Roman"/>
          <w:color w:val="000000" w:themeColor="text1"/>
          <w:sz w:val="21"/>
          <w:highlight w:val="none"/>
          <w:u w:val="single"/>
          <w14:textFill>
            <w14:solidFill>
              <w14:schemeClr w14:val="tx1"/>
            </w14:solidFill>
          </w14:textFill>
        </w:rPr>
        <w:t xml:space="preserve"> 标书里需填好 </w:t>
      </w:r>
      <w:r>
        <w:rPr>
          <w:rFonts w:hint="default" w:ascii="Times New Roman" w:hAnsi="Times New Roman" w:cs="Times New Roman"/>
          <w:color w:val="000000" w:themeColor="text1"/>
          <w:sz w:val="21"/>
          <w:highlight w:val="none"/>
          <w14:textFill>
            <w14:solidFill>
              <w14:schemeClr w14:val="tx1"/>
            </w14:solidFill>
          </w14:textFill>
        </w:rPr>
        <w:t xml:space="preserve">年，保修范围包括合同中所有配置。并确保设备保修期内开机率≥95%，如设备故障停机率超过5%（一年按365天计算，每年18天），每超过一天，保修期延长两周。保修期外乙方对本设备终身负责维修。</w:t>
      </w:r>
      <w:r/>
    </w:p>
    <w:p>
      <w:pPr>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8．</w:t>
      </w:r>
      <w:r>
        <w:rPr>
          <w:rFonts w:hint="default" w:ascii="Times New Roman" w:hAnsi="Times New Roman" w:cs="Times New Roman"/>
          <w:color w:val="000000" w:themeColor="text1"/>
          <w:sz w:val="21"/>
          <w:highlight w:val="none"/>
          <w14:textFill>
            <w14:solidFill>
              <w14:schemeClr w14:val="tx1"/>
            </w14:solidFill>
          </w14:textFill>
        </w:rPr>
        <w:t xml:space="preserve">如设备发生故障，乙方在接到甲方报修电话后1小时之内响应，3小时内到达甲方现场（若无维修站点，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9．</w:t>
      </w:r>
      <w:r>
        <w:rPr>
          <w:rFonts w:hint="default" w:ascii="Times New Roman" w:hAnsi="Times New Roman" w:cs="Times New Roman"/>
          <w:color w:val="000000" w:themeColor="text1"/>
          <w:sz w:val="21"/>
          <w:highlight w:val="none"/>
          <w14:textFill>
            <w14:solidFill>
              <w14:schemeClr w14:val="tx1"/>
            </w14:solidFill>
          </w14:textFill>
        </w:rPr>
        <w:t xml:space="preserve">保修期内每年肆次定期维护，并经甲方工程师签字确认，留档备查。</w:t>
      </w:r>
      <w:r/>
    </w:p>
    <w:p>
      <w:pPr>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10．</w:t>
      </w:r>
      <w:r>
        <w:rPr>
          <w:rFonts w:hint="default" w:ascii="Times New Roman" w:hAnsi="Times New Roman" w:cs="Times New Roman"/>
          <w:color w:val="000000" w:themeColor="text1"/>
          <w:sz w:val="21"/>
          <w:highlight w:val="none"/>
          <w14:textFill>
            <w14:solidFill>
              <w14:schemeClr w14:val="tx1"/>
            </w14:solidFill>
          </w14:textFill>
        </w:rPr>
        <w:t xml:space="preserve">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r/>
    </w:p>
    <w:p>
      <w:pPr>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11．</w:t>
      </w:r>
      <w:r>
        <w:rPr>
          <w:rFonts w:hint="default" w:ascii="Times New Roman" w:hAnsi="Times New Roman" w:cs="Times New Roman"/>
          <w:color w:val="000000" w:themeColor="text1"/>
          <w:sz w:val="21"/>
          <w:highlight w:val="none"/>
          <w14:textFill>
            <w14:solidFill>
              <w14:schemeClr w14:val="tx1"/>
            </w14:solidFill>
          </w14:textFill>
        </w:rPr>
        <w:t xml:space="preserve">如设备软件升级，乙方负责免费软件升级，保证软件为最新、最高版本。</w:t>
      </w:r>
      <w:r/>
    </w:p>
    <w:p>
      <w:pPr>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12．</w:t>
      </w:r>
      <w:r>
        <w:rPr>
          <w:rFonts w:hint="default" w:ascii="Times New Roman" w:hAnsi="Times New Roman" w:cs="Times New Roman"/>
          <w:color w:val="000000" w:themeColor="text1"/>
          <w:sz w:val="21"/>
          <w:highlight w:val="none"/>
          <w14:textFill>
            <w14:solidFill>
              <w14:schemeClr w14:val="tx1"/>
            </w14:solidFill>
          </w14:textFill>
        </w:rPr>
        <w:t xml:space="preserve">如有设备具有远程维修诊断功能，乙方负责免费为甲方安装。</w:t>
      </w:r>
      <w:r/>
    </w:p>
    <w:p>
      <w:pPr>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13．</w:t>
      </w:r>
      <w:r>
        <w:rPr>
          <w:rFonts w:hint="default" w:ascii="Times New Roman" w:hAnsi="Times New Roman" w:cs="Times New Roman"/>
          <w:color w:val="000000" w:themeColor="text1"/>
          <w:sz w:val="21"/>
          <w:highlight w:val="none"/>
          <w14:textFill>
            <w14:solidFill>
              <w14:schemeClr w14:val="tx1"/>
            </w14:solidFill>
          </w14:textFill>
        </w:rPr>
        <w:t xml:space="preserve">乙方需在交货后五个工作日内免费提供全套资料，含产品合格证（国产设备）、出厂计量合格证（强检设备）、操作手册、维修手册（含详细电路图）、海关报关单（进口设备）、商检合格证明（进口设备），如技术资料不全，甲方有权不支付货款或退货，因此产生的损失由乙方自行承担。</w:t>
      </w:r>
      <w:r/>
    </w:p>
    <w:p>
      <w:pPr>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14．</w:t>
      </w:r>
      <w:r>
        <w:rPr>
          <w:rFonts w:hint="default" w:ascii="Times New Roman" w:hAnsi="Times New Roman" w:cs="Times New Roman"/>
          <w:color w:val="000000" w:themeColor="text1"/>
          <w:sz w:val="21"/>
          <w:highlight w:val="none"/>
          <w14:textFill>
            <w14:solidFill>
              <w14:schemeClr w14:val="tx1"/>
            </w14:solidFill>
          </w14:textFill>
        </w:rPr>
        <w:t xml:space="preserve">技术培训：在安装过程中或安装结束后，乙方工程师或有关人员有义务对甲方工程师和操作人员进行现场维修、保养、操作培训并提供快捷操作指南</w:t>
      </w:r>
      <w:r>
        <w:rPr>
          <w:rFonts w:hint="default" w:ascii="Times New Roman" w:hAnsi="Times New Roman" w:cs="Times New Roman"/>
          <w:b/>
          <w:color w:val="000000" w:themeColor="text1"/>
          <w:sz w:val="21"/>
          <w:highlight w:val="none"/>
          <w14:textFill>
            <w14:solidFill>
              <w14:schemeClr w14:val="tx1"/>
            </w14:solidFill>
          </w14:textFill>
        </w:rPr>
        <w:t xml:space="preserve">（过塑封好，挂在设备上）</w:t>
      </w:r>
      <w:r>
        <w:rPr>
          <w:rFonts w:hint="default" w:ascii="Times New Roman" w:hAnsi="Times New Roman" w:cs="Times New Roman"/>
          <w:color w:val="000000" w:themeColor="text1"/>
          <w:sz w:val="21"/>
          <w:highlight w:val="none"/>
          <w14:textFill>
            <w14:solidFill>
              <w14:schemeClr w14:val="tx1"/>
            </w14:solidFill>
          </w14:textFill>
        </w:rPr>
        <w:t xml:space="preserve">，解答甲方人员提出的问题。必要时提供正规培训班培训，确保操作人员掌握完成日常工作所需的基本操作方法为止，工程师掌握基本的维护保养操作技术为止。详见乙方公司承诺书。</w:t>
      </w:r>
      <w:r/>
    </w:p>
    <w:p>
      <w:pPr>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15．</w:t>
      </w:r>
      <w:r>
        <w:rPr>
          <w:rFonts w:hint="default" w:ascii="Times New Roman" w:hAnsi="Times New Roman" w:cs="Times New Roman"/>
          <w:color w:val="000000" w:themeColor="text1"/>
          <w:sz w:val="21"/>
          <w:highlight w:val="none"/>
          <w14:textFill>
            <w14:solidFill>
              <w14:schemeClr w14:val="tx1"/>
            </w14:solidFill>
          </w14:textFill>
        </w:rPr>
        <w:t xml:space="preserve">如乙方提供的设备设有维修软件密码，乙方保证无条件地为甲方永久免费打开。</w:t>
      </w:r>
      <w:r/>
    </w:p>
    <w:p>
      <w:pPr>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16．</w:t>
      </w:r>
      <w:r>
        <w:rPr>
          <w:rFonts w:hint="default" w:ascii="Times New Roman" w:hAnsi="Times New Roman" w:cs="Times New Roman"/>
          <w:color w:val="000000" w:themeColor="text1"/>
          <w:sz w:val="21"/>
          <w:highlight w:val="none"/>
          <w14:textFill>
            <w14:solidFill>
              <w14:schemeClr w14:val="tx1"/>
            </w14:solidFill>
          </w14:textFill>
        </w:rPr>
        <w:t xml:space="preserve">如果产生与设备价值、成本相关的任何法律纠纷由供应商承担，采购人不承担任何相关法律责任。</w:t>
      </w:r>
      <w:r/>
    </w:p>
    <w:p>
      <w:pPr>
        <w:numPr>
          <w:ilvl w:val="0"/>
          <w:numId w:val="0"/>
        </w:numPr>
        <w:ind w:left="360" w:hanging="360"/>
        <w:spacing w:line="276" w:lineRule="auto"/>
        <w:tabs>
          <w:tab w:val="left" w:pos="360" w:leader="none"/>
        </w:tabs>
        <w:rPr>
          <w:rFonts w:hint="default" w:ascii="Times New Roman" w:hAnsi="Times New Roman" w:cs="Times New Roman"/>
          <w:color w:val="000000" w:themeColor="text1"/>
          <w:sz w:val="21"/>
          <w:highlight w:val="none"/>
          <w14:textFill>
            <w14:solidFill>
              <w14:schemeClr w14:val="tx1"/>
            </w14:solidFill>
          </w14:textFill>
        </w:rPr>
      </w:pPr>
      <w:r>
        <w:rPr>
          <w:rFonts w:hint="eastAsia" w:ascii="Times New Roman" w:hAnsi="Times New Roman" w:cs="Times New Roman" w:eastAsiaTheme="minorEastAsia"/>
          <w:color w:val="000000" w:themeColor="text1"/>
          <w:sz w:val="21"/>
          <w:szCs w:val="22"/>
          <w:highlight w:val="none"/>
          <w:lang w:val="en-US" w:eastAsia="zh-CN" w:bidi="ar-SA"/>
          <w14:textFill>
            <w14:solidFill>
              <w14:schemeClr w14:val="tx1"/>
            </w14:solidFill>
          </w14:textFill>
        </w:rPr>
        <w:t xml:space="preserve">17．</w:t>
      </w:r>
      <w:r>
        <w:rPr>
          <w:rFonts w:hint="default" w:ascii="Times New Roman" w:hAnsi="Times New Roman" w:cs="Times New Roman"/>
          <w:color w:val="000000" w:themeColor="text1"/>
          <w:sz w:val="21"/>
          <w:highlight w:val="none"/>
          <w14:textFill>
            <w14:solidFill>
              <w14:schemeClr w14:val="tx1"/>
            </w14:solidFill>
          </w14:textFill>
        </w:rPr>
        <w:t xml:space="preserve">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p>
    <w:p>
      <w:pPr>
        <w:rPr>
          <w:color w:val="000000" w:themeColor="text1"/>
          <w:highlight w:val="none"/>
          <w14:textFill>
            <w14:solidFill>
              <w14:schemeClr w14:val="tx1"/>
            </w14:solidFill>
          </w14:textFill>
        </w:rPr>
      </w:pPr>
      <w:r>
        <w:rPr>
          <w:rFonts w:hint="eastAsia"/>
          <w:color w:val="000000" w:themeColor="text1"/>
          <w:sz w:val="21"/>
          <w:highlight w:val="none"/>
          <w14:textFill>
            <w14:solidFill>
              <w14:schemeClr w14:val="tx1"/>
            </w14:solidFill>
          </w14:textFill>
        </w:rPr>
        <w:br w:type="page" w:clear="all"/>
      </w:r>
      <w:r/>
    </w:p>
    <w:p>
      <w:pPr>
        <w:pStyle w:val="893"/>
        <w:ind w:firstLine="569"/>
        <w:rPr>
          <w:rFonts w:hint="eastAsia" w:ascii="宋体" w:hAnsi="宋体" w:cs="宋体"/>
          <w:color w:val="000000" w:themeColor="text1"/>
          <w:sz w:val="21"/>
          <w:szCs w:val="21"/>
          <w:highlight w:val="none"/>
          <w14:textFill>
            <w14:solidFill>
              <w14:schemeClr w14:val="tx1"/>
            </w14:solidFill>
          </w14:textFill>
        </w:rPr>
      </w:pPr>
      <w:r/>
      <w:bookmarkStart w:id="257" w:name="_Toc91836564"/>
      <w:r/>
      <w:bookmarkStart w:id="258" w:name="_Toc107246271"/>
      <w:r>
        <w:rPr>
          <w:rFonts w:hint="eastAsia" w:ascii="宋体" w:hAnsi="宋体" w:cs="宋体"/>
          <w:color w:val="000000" w:themeColor="text1"/>
          <w:highlight w:val="none"/>
          <w14:textFill>
            <w14:solidFill>
              <w14:schemeClr w14:val="tx1"/>
            </w14:solidFill>
          </w14:textFill>
        </w:rPr>
        <w:t xml:space="preserve">第四章 采购需求</w:t>
      </w:r>
      <w:bookmarkEnd w:id="257"/>
      <w:r/>
      <w:bookmarkEnd w:id="258"/>
      <w:r/>
      <w:bookmarkStart w:id="259" w:name="_Hlk93775766"/>
      <w:r/>
      <w:r/>
    </w:p>
    <w:p>
      <w:p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一、设备名称：</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颞下颌手术系统</w:t>
      </w:r>
      <w:r/>
    </w:p>
    <w:p>
      <w:pP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二、数    量：</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1套</w:t>
      </w:r>
      <w:r/>
    </w:p>
    <w:p>
      <w:pPr>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三、用途：用于关节镜下完成颞下颌关节微创手术，解决颞下颌关节紊乱、颞下颌关节骨病等疑难病症</w:t>
      </w:r>
      <w:r/>
    </w:p>
    <w:p>
      <w:pPr>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1"/>
          <w:szCs w:val="21"/>
          <w:highlight w:val="none"/>
          <w14:textFill>
            <w14:solidFill>
              <w14:schemeClr w14:val="tx1"/>
            </w14:solidFill>
          </w14:textFill>
        </w:rPr>
        <w:t xml:space="preserve">、主要功能</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及参数</w:t>
      </w:r>
      <w:r>
        <w:rPr>
          <w:rFonts w:hint="eastAsia" w:ascii="宋体" w:hAnsi="宋体" w:eastAsia="宋体" w:cs="宋体"/>
          <w:b/>
          <w:bCs/>
          <w:color w:val="000000" w:themeColor="text1"/>
          <w:sz w:val="21"/>
          <w:szCs w:val="21"/>
          <w:highlight w:val="none"/>
          <w14:textFill>
            <w14:solidFill>
              <w14:schemeClr w14:val="tx1"/>
            </w14:solidFill>
          </w14:textFill>
        </w:rPr>
        <w:t xml:space="preserve">要求：</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1、4K摄像主机</w:t>
      </w:r>
      <w:r>
        <w:rPr>
          <w:rFonts w:hint="eastAsia" w:ascii="宋体" w:hAnsi="宋体" w:eastAsia="宋体" w:cs="宋体"/>
          <w:color w:val="000000" w:themeColor="text1"/>
          <w:sz w:val="21"/>
          <w:szCs w:val="21"/>
          <w:highlight w:val="none"/>
          <w:lang w:val="en-US" w:eastAsia="zh-CN"/>
          <w14:textFill>
            <w14:solidFill>
              <w14:schemeClr w14:val="tx1"/>
            </w14:solidFill>
          </w14:textFill>
        </w:rPr>
        <w:br/>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.1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摄像系统输出分辨率≥4K（≥3840×2160p）</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 主机面板≥3.5英寸触摸屏，可设置白平衡、拍照、录像自动、快门亮度、变焦级别等</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 主机可选择白光模式和近红外光成像模式</w:t>
      </w:r>
      <w:r>
        <w:rPr>
          <w:rFonts w:hint="eastAsia" w:ascii="宋体" w:hAnsi="宋体" w:eastAsia="宋体" w:cs="宋体"/>
          <w:color w:val="000000" w:themeColor="text1"/>
          <w:sz w:val="21"/>
          <w:szCs w:val="21"/>
          <w:highlight w:val="none"/>
          <w:lang w:val="en-US" w:eastAsia="zh-CN"/>
          <w14:textFill>
            <w14:solidFill>
              <w14:schemeClr w14:val="tx1"/>
            </w14:solidFill>
          </w14:textFill>
        </w:rPr>
        <w:br/>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 具备≥2个HDMI接口</w:t>
      </w:r>
      <w:r>
        <w:rPr>
          <w:rFonts w:hint="eastAsia" w:ascii="宋体" w:hAnsi="宋体" w:eastAsia="宋体" w:cs="宋体"/>
          <w:color w:val="000000" w:themeColor="text1"/>
          <w:sz w:val="21"/>
          <w:szCs w:val="21"/>
          <w:highlight w:val="none"/>
          <w:lang w:val="en-US" w:eastAsia="zh-CN"/>
          <w14:textFill>
            <w14:solidFill>
              <w14:schemeClr w14:val="tx1"/>
            </w14:solidFill>
          </w14:textFill>
        </w:rPr>
        <w:br/>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 摄像主机输出色彩深度≥10 bit，帧率≥60帧/秒</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 可实现白光、荧光及合光模式下成像，光源模式可控制切换</w:t>
      </w:r>
      <w:r>
        <w:rPr>
          <w:rFonts w:hint="eastAsia" w:ascii="宋体" w:hAnsi="宋体" w:eastAsia="宋体" w:cs="宋体"/>
          <w:color w:val="000000" w:themeColor="text1"/>
          <w:sz w:val="21"/>
          <w:szCs w:val="21"/>
          <w:highlight w:val="none"/>
          <w:lang w:val="en-US" w:eastAsia="zh-CN"/>
          <w14:textFill>
            <w14:solidFill>
              <w14:schemeClr w14:val="tx1"/>
            </w14:solidFill>
          </w14:textFill>
        </w:rPr>
        <w:br/>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2、4K摄像头</w:t>
      </w:r>
      <w:r>
        <w:rPr>
          <w:rFonts w:hint="eastAsia" w:ascii="宋体" w:hAnsi="宋体" w:eastAsia="宋体" w:cs="宋体"/>
          <w:color w:val="000000" w:themeColor="text1"/>
          <w:sz w:val="21"/>
          <w:szCs w:val="21"/>
          <w:highlight w:val="none"/>
          <w:lang w:val="en-US" w:eastAsia="zh-CN"/>
          <w14:textFill>
            <w14:solidFill>
              <w14:schemeClr w14:val="tx1"/>
            </w14:solidFill>
          </w14:textFill>
        </w:rPr>
        <w:br/>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.1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采集分辨率≥4K（≥3840×2160p）</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2.2 摄像头图像传感器具备≥3个CMOS芯片</w:t>
      </w:r>
      <w:r/>
    </w:p>
    <w:p>
      <w:pPr>
        <w:ind w:firstLine="420"/>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2.3 摄像头可选分体式或一体式，支持光学接口数量≥4种</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2.4 摄像头控制按键≥4个，可自定义设置其遥控功能，如拍照、白平衡、刻录视频、数字变焦等</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br/>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▲2.5 摄像头具备荧光功能</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br/>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ab/>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3、冷光源</w:t>
      </w:r>
      <w:r>
        <w:rPr>
          <w:rFonts w:hint="eastAsia" w:ascii="宋体" w:hAnsi="宋体" w:eastAsia="宋体" w:cs="宋体"/>
          <w:color w:val="000000" w:themeColor="text1"/>
          <w:sz w:val="21"/>
          <w:szCs w:val="21"/>
          <w:highlight w:val="none"/>
          <w:lang w:val="en-US" w:eastAsia="zh-CN"/>
          <w14:textFill>
            <w14:solidFill>
              <w14:schemeClr w14:val="tx1"/>
            </w14:solidFill>
          </w14:textFill>
        </w:rPr>
        <w:br/>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.1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具备≥300W独立LED冷光源</w:t>
      </w:r>
      <w:r>
        <w:rPr>
          <w:rFonts w:hint="eastAsia" w:ascii="宋体" w:hAnsi="宋体" w:eastAsia="宋体" w:cs="宋体"/>
          <w:color w:val="000000" w:themeColor="text1"/>
          <w:sz w:val="21"/>
          <w:szCs w:val="21"/>
          <w:highlight w:val="none"/>
          <w:lang w:val="en-US" w:eastAsia="zh-CN"/>
          <w14:textFill>
            <w14:solidFill>
              <w14:schemeClr w14:val="tx1"/>
            </w14:solidFill>
          </w14:textFill>
        </w:rPr>
        <w:br/>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光源主机带有光纤感应装置，无光纤插入，不能进入发光工作模式</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3.3 主机面板≥3.5英寸液晶触摸屏，可显示当前参数并进行参数调节</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光源使用寿命≥30000小时</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4、显示器</w:t>
      </w:r>
      <w:r>
        <w:rPr>
          <w:rFonts w:hint="eastAsia" w:ascii="宋体" w:hAnsi="宋体" w:eastAsia="宋体" w:cs="宋体"/>
          <w:color w:val="000000" w:themeColor="text1"/>
          <w:sz w:val="21"/>
          <w:szCs w:val="21"/>
          <w:highlight w:val="none"/>
          <w:lang w:val="en-US" w:eastAsia="zh-CN"/>
          <w14:textFill>
            <w14:solidFill>
              <w14:schemeClr w14:val="tx1"/>
            </w14:solidFill>
          </w14:textFill>
        </w:rPr>
        <w:br/>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.1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屏幕尺寸≥32英寸，分辨率≥3840×2160p</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4.2 可按偏好设置画面的RGB、亮度、对比度等参数</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4.3 输入输出具有HDMI、DVI等数字接口</w:t>
      </w:r>
      <w:r>
        <w:rPr>
          <w:rFonts w:hint="eastAsia" w:ascii="宋体" w:hAnsi="宋体" w:eastAsia="宋体" w:cs="宋体"/>
          <w:color w:val="000000" w:themeColor="text1"/>
          <w:sz w:val="21"/>
          <w:szCs w:val="21"/>
          <w:highlight w:val="none"/>
          <w:lang w:val="en-US" w:eastAsia="zh-CN"/>
          <w14:textFill>
            <w14:solidFill>
              <w14:schemeClr w14:val="tx1"/>
            </w14:solidFill>
          </w14:textFill>
        </w:rPr>
        <w:br/>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5、关节镜及附件</w:t>
      </w:r>
      <w:r>
        <w:rPr>
          <w:rFonts w:hint="eastAsia" w:ascii="宋体" w:hAnsi="宋体" w:eastAsia="宋体" w:cs="宋体"/>
          <w:color w:val="000000" w:themeColor="text1"/>
          <w:sz w:val="21"/>
          <w:szCs w:val="21"/>
          <w:highlight w:val="none"/>
          <w:lang w:val="en-US" w:eastAsia="zh-CN"/>
          <w14:textFill>
            <w14:solidFill>
              <w14:schemeClr w14:val="tx1"/>
            </w14:solidFill>
          </w14:textFill>
        </w:rPr>
        <w:br/>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.1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配置与摄像主机原厂的2.3 mm/0°关节镜及附件，4.0 mm/0°关节镜及附件</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5.2 接口为激光焊接，非粘胶式</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5.3 关节镜可高温高压消毒，具备≥3种光纤转接头</w:t>
      </w:r>
      <w:r/>
    </w:p>
    <w:p>
      <w:pPr>
        <w:pStyle w:val="895"/>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6、配置至少包含：4K摄像系统（含主机、摄像头、光源、显示器、刻录机）、2.3mm/0°及4.0mm/0°关节镜及附件、等离子射频手术系统、台车（请提供详细配置清单）</w:t>
      </w:r>
      <w:r/>
    </w:p>
    <w:p>
      <w:pPr>
        <w:ind w:left="42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1"/>
          <w:szCs w:val="21"/>
          <w:highlight w:val="none"/>
          <w14:textFill>
            <w14:solidFill>
              <w14:schemeClr w14:val="tx1"/>
            </w14:solidFill>
          </w14:textFill>
        </w:rPr>
        <w:t xml:space="preserve">、★商务条款</w:t>
      </w:r>
      <w:r/>
    </w:p>
    <w:p>
      <w:pPr>
        <w:pStyle w:val="1163"/>
        <w:numPr>
          <w:ilvl w:val="0"/>
          <w:numId w:val="0"/>
        </w:numPr>
        <w:ind w:left="0" w:firstLine="422"/>
        <w:spacing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b/>
          <w:bCs/>
          <w:color w:val="000000" w:themeColor="text1"/>
          <w:sz w:val="21"/>
          <w:szCs w:val="21"/>
          <w:highlight w:val="none"/>
          <w14:textFill>
            <w14:solidFill>
              <w14:schemeClr w14:val="tx1"/>
            </w14:solidFill>
          </w14:textFill>
        </w:rPr>
        <w:t xml:space="preserve">交货地点：南京鼓楼医院（南京</w:t>
      </w:r>
      <w:r>
        <w:rPr>
          <w:rFonts w:hint="eastAsia" w:ascii="宋体" w:hAnsi="宋体" w:cs="宋体"/>
          <w:b/>
          <w:bCs/>
          <w:color w:val="000000" w:themeColor="text1"/>
          <w:szCs w:val="21"/>
          <w:highlight w:val="none"/>
          <w14:textFill>
            <w14:solidFill>
              <w14:schemeClr w14:val="tx1"/>
            </w14:solidFill>
          </w14:textFill>
        </w:rPr>
        <w:t xml:space="preserve">市中山路321号）指定地点</w:t>
      </w:r>
      <w:r/>
    </w:p>
    <w:p>
      <w:pPr>
        <w:pStyle w:val="1163"/>
        <w:numPr>
          <w:ilvl w:val="0"/>
          <w:numId w:val="0"/>
        </w:numPr>
        <w:ind w:left="0" w:firstLine="422"/>
        <w:spacing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cs="宋体"/>
          <w:b/>
          <w:bCs/>
          <w:color w:val="000000" w:themeColor="text1"/>
          <w:szCs w:val="21"/>
          <w:highlight w:val="none"/>
          <w14:textFill>
            <w14:solidFill>
              <w14:schemeClr w14:val="tx1"/>
            </w14:solidFill>
          </w14:textFill>
        </w:rPr>
        <w:t xml:space="preserve">交货期：接到医用物资保障处通知之日起60个日历日内</w:t>
      </w:r>
      <w:r/>
    </w:p>
    <w:p>
      <w:pPr>
        <w:pStyle w:val="1163"/>
        <w:numPr>
          <w:ilvl w:val="0"/>
          <w:numId w:val="0"/>
        </w:numPr>
        <w:ind w:left="0" w:firstLine="422"/>
        <w:spacing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cs="宋体"/>
          <w:b/>
          <w:bCs/>
          <w:color w:val="000000" w:themeColor="text1"/>
          <w:szCs w:val="21"/>
          <w:highlight w:val="none"/>
          <w14:textFill>
            <w14:solidFill>
              <w14:schemeClr w14:val="tx1"/>
            </w14:solidFill>
          </w14:textFill>
        </w:rPr>
        <w:t xml:space="preserve">付款方式：合同生效，乙方向甲方财务处缴纳合同总额的10%作为合同履约保证金；货到验收合格，甲方收到乙方开具的发票后一次性付清全款；设备正常使用一年后甲方无息退还乙方履约保证金。设备验收时，乙方须向甲方提供实收货物的合法有效全额发票，如果乙方未提供，则甲方有权拒绝支付该部分费用，因此产生的一切损失由乙方自行承担。</w:t>
      </w:r>
      <w:r/>
    </w:p>
    <w:p>
      <w:pPr>
        <w:pStyle w:val="1163"/>
        <w:numPr>
          <w:ilvl w:val="0"/>
          <w:numId w:val="0"/>
        </w:numPr>
        <w:ind w:left="0" w:firstLine="422"/>
        <w:spacing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4.</w:t>
      </w:r>
      <w:r>
        <w:rPr>
          <w:rFonts w:ascii="宋体" w:hAnsi="宋体" w:cs="宋体"/>
          <w:b/>
          <w:bCs/>
          <w:color w:val="000000" w:themeColor="text1"/>
          <w:szCs w:val="21"/>
          <w:highlight w:val="none"/>
          <w14:textFill>
            <w14:solidFill>
              <w14:schemeClr w14:val="tx1"/>
            </w14:solidFill>
          </w14:textFill>
        </w:rPr>
        <w:t xml:space="preserve">质保</w:t>
      </w:r>
      <w:r>
        <w:rPr>
          <w:rFonts w:hint="eastAsia" w:ascii="宋体" w:hAnsi="宋体" w:cs="宋体"/>
          <w:b/>
          <w:bCs/>
          <w:color w:val="000000" w:themeColor="text1"/>
          <w:szCs w:val="21"/>
          <w:highlight w:val="none"/>
          <w14:textFill>
            <w14:solidFill>
              <w14:schemeClr w14:val="tx1"/>
            </w14:solidFill>
          </w14:textFill>
        </w:rPr>
        <w:t xml:space="preserve">期限：设备整机质保不少于</w:t>
      </w:r>
      <w:r>
        <w:rPr>
          <w:rFonts w:hint="eastAsia" w:ascii="宋体" w:hAnsi="宋体" w:cs="宋体"/>
          <w:b/>
          <w:bCs/>
          <w:color w:val="000000" w:themeColor="text1"/>
          <w:szCs w:val="21"/>
          <w:highlight w:val="none"/>
          <w:lang w:val="en-US" w:eastAsia="zh-CN"/>
          <w14:textFill>
            <w14:solidFill>
              <w14:schemeClr w14:val="tx1"/>
            </w14:solidFill>
          </w14:textFill>
        </w:rPr>
        <w:t xml:space="preserve">3</w:t>
      </w:r>
      <w:r>
        <w:rPr>
          <w:rFonts w:hint="eastAsia" w:ascii="宋体" w:hAnsi="宋体" w:cs="宋体"/>
          <w:b/>
          <w:bCs/>
          <w:color w:val="000000" w:themeColor="text1"/>
          <w:szCs w:val="21"/>
          <w:highlight w:val="none"/>
          <w14:textFill>
            <w14:solidFill>
              <w14:schemeClr w14:val="tx1"/>
            </w14:solidFill>
          </w14:textFill>
        </w:rPr>
        <w:t xml:space="preserve">年。</w:t>
      </w:r>
      <w:r/>
    </w:p>
    <w:p>
      <w:pPr>
        <w:pStyle w:val="1163"/>
        <w:numPr>
          <w:ilvl w:val="0"/>
          <w:numId w:val="0"/>
        </w:numPr>
        <w:ind w:left="0" w:firstLine="422"/>
        <w:spacing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5.</w:t>
      </w:r>
      <w:r>
        <w:rPr>
          <w:rFonts w:ascii="宋体" w:hAnsi="宋体" w:cs="宋体"/>
          <w:b/>
          <w:bCs/>
          <w:color w:val="000000" w:themeColor="text1"/>
          <w:szCs w:val="21"/>
          <w:highlight w:val="none"/>
          <w14:textFill>
            <w14:solidFill>
              <w14:schemeClr w14:val="tx1"/>
            </w14:solidFill>
          </w14:textFill>
        </w:rPr>
        <w:t xml:space="preserve">出厂日期</w:t>
      </w:r>
      <w:r>
        <w:rPr>
          <w:rFonts w:hint="eastAsia" w:ascii="宋体" w:hAnsi="宋体" w:cs="宋体"/>
          <w:b/>
          <w:bCs/>
          <w:color w:val="000000" w:themeColor="text1"/>
          <w:szCs w:val="21"/>
          <w:highlight w:val="none"/>
          <w14:textFill>
            <w14:solidFill>
              <w14:schemeClr w14:val="tx1"/>
            </w14:solidFill>
          </w14:textFill>
        </w:rPr>
        <w:t xml:space="preserve">：2025年6月1日之后生产</w:t>
      </w:r>
      <w:r/>
    </w:p>
    <w:p>
      <w:pPr>
        <w:pStyle w:val="1163"/>
        <w:numPr>
          <w:ilvl w:val="0"/>
          <w:numId w:val="0"/>
        </w:numPr>
        <w:ind w:left="0" w:firstLine="422"/>
        <w:spacing w:line="360" w:lineRule="auto"/>
        <w:widowControl/>
        <w:rPr>
          <w:rFonts w:hint="eastAsia" w:ascii="宋体" w:hAnsi="宋体" w:cs="宋体"/>
          <w:b/>
          <w:bCs/>
          <w:color w:val="000000" w:themeColor="text1"/>
          <w:szCs w:val="21"/>
          <w:highlight w:val="none"/>
          <w:lang w:eastAsia="zh-CN"/>
          <w14:textFill>
            <w14:solidFill>
              <w14:schemeClr w14:val="tx1"/>
            </w14:solidFill>
          </w14:textFill>
        </w:rPr>
      </w:pP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6.</w:t>
      </w:r>
      <w:r>
        <w:rPr>
          <w:rFonts w:ascii="宋体" w:hAnsi="宋体" w:cs="宋体"/>
          <w:b/>
          <w:bCs/>
          <w:color w:val="000000" w:themeColor="text1"/>
          <w:szCs w:val="21"/>
          <w:highlight w:val="none"/>
          <w14:textFill>
            <w14:solidFill>
              <w14:schemeClr w14:val="tx1"/>
            </w14:solidFill>
          </w14:textFill>
        </w:rPr>
        <w:t xml:space="preserve">投标时需</w:t>
      </w:r>
      <w:r>
        <w:rPr>
          <w:rFonts w:hint="eastAsia" w:ascii="宋体" w:hAnsi="宋体" w:cs="宋体"/>
          <w:b/>
          <w:bCs/>
          <w:color w:val="000000" w:themeColor="text1"/>
          <w:szCs w:val="21"/>
          <w:highlight w:val="none"/>
          <w14:textFill>
            <w14:solidFill>
              <w14:schemeClr w14:val="tx1"/>
            </w14:solidFill>
          </w14:textFill>
        </w:rPr>
        <w:t xml:space="preserve">在投标文件中</w:t>
      </w:r>
      <w:r>
        <w:rPr>
          <w:rFonts w:ascii="宋体" w:hAnsi="宋体" w:cs="宋体"/>
          <w:b/>
          <w:bCs/>
          <w:color w:val="000000" w:themeColor="text1"/>
          <w:szCs w:val="21"/>
          <w:highlight w:val="none"/>
          <w14:textFill>
            <w14:solidFill>
              <w14:schemeClr w14:val="tx1"/>
            </w14:solidFill>
          </w14:textFill>
        </w:rPr>
        <w:t xml:space="preserve">提供所投产品具体的配置清单（包括但不仅限于硬件、软件部分）</w:t>
      </w:r>
      <w:r>
        <w:rPr>
          <w:rFonts w:hint="eastAsia" w:ascii="宋体" w:hAnsi="宋体" w:cs="宋体"/>
          <w:b/>
          <w:bCs/>
          <w:color w:val="000000" w:themeColor="text1"/>
          <w:szCs w:val="21"/>
          <w:highlight w:val="none"/>
          <w:lang w:eastAsia="zh-CN"/>
          <w14:textFill>
            <w14:solidFill>
              <w14:schemeClr w14:val="tx1"/>
            </w14:solidFill>
          </w14:textFill>
        </w:rPr>
        <w:t xml:space="preserve">。</w:t>
      </w:r>
      <w:r/>
    </w:p>
    <w:p>
      <w:pPr>
        <w:pStyle w:val="1163"/>
        <w:numPr>
          <w:ilvl w:val="0"/>
          <w:numId w:val="0"/>
        </w:numPr>
        <w:ind w:left="0" w:firstLine="422"/>
        <w:spacing w:line="360" w:lineRule="auto"/>
        <w:widowControl/>
        <w:rPr>
          <w:rFonts w:hint="default" w:ascii="宋体" w:hAnsi="宋体" w:cs="宋体"/>
          <w:b/>
          <w:bCs/>
          <w:color w:val="000000" w:themeColor="text1"/>
          <w:szCs w:val="21"/>
          <w:highlight w:val="none"/>
          <w:lang w:val="en-US" w:eastAsia="zh-CN"/>
          <w14:textFill>
            <w14:solidFill>
              <w14:schemeClr w14:val="tx1"/>
            </w14:solidFill>
          </w14:textFill>
        </w:rPr>
      </w:pPr>
      <w:r>
        <w:rPr>
          <w:rFonts w:hint="default" w:ascii="宋体" w:hAnsi="宋体" w:cs="宋体"/>
          <w:b/>
          <w:bCs/>
          <w:color w:val="000000" w:themeColor="text1"/>
          <w:szCs w:val="21"/>
          <w:highlight w:val="none"/>
          <w:lang w:val="en-US" w:eastAsia="zh-CN"/>
          <w14:textFill>
            <w14:solidFill>
              <w14:schemeClr w14:val="tx1"/>
            </w14:solidFill>
          </w14:textFill>
        </w:rPr>
      </w:r>
      <w:r/>
    </w:p>
    <w:p>
      <w:pPr>
        <w:numPr>
          <w:ilvl w:val="0"/>
          <w:numId w:val="0"/>
        </w:num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numPr>
          <w:ilvl w:val="0"/>
          <w:numId w:val="0"/>
        </w:num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numPr>
          <w:ilvl w:val="0"/>
          <w:numId w:val="0"/>
        </w:num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numPr>
          <w:ilvl w:val="0"/>
          <w:numId w:val="0"/>
        </w:num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numPr>
          <w:ilvl w:val="0"/>
          <w:numId w:val="0"/>
        </w:num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End w:id="259"/>
      <w:r/>
      <w:r/>
    </w:p>
    <w:p>
      <w:pPr>
        <w:pStyle w:val="893"/>
        <w:ind w:firstLine="569"/>
        <w:spacing w:line="480" w:lineRule="auto"/>
        <w:rPr>
          <w:rFonts w:hint="eastAsia" w:ascii="宋体" w:hAnsi="宋体" w:cs="宋体"/>
          <w:color w:val="000000" w:themeColor="text1"/>
          <w:highlight w:val="none"/>
          <w14:textFill>
            <w14:solidFill>
              <w14:schemeClr w14:val="tx1"/>
            </w14:solidFill>
          </w14:textFill>
        </w:rPr>
      </w:pPr>
      <w:r/>
      <w:bookmarkStart w:id="260" w:name="_Toc107246272"/>
      <w:r>
        <w:rPr>
          <w:rFonts w:hint="eastAsia" w:ascii="宋体" w:hAnsi="宋体" w:cs="宋体"/>
          <w:color w:val="000000" w:themeColor="text1"/>
          <w:highlight w:val="none"/>
          <w14:textFill>
            <w14:solidFill>
              <w14:schemeClr w14:val="tx1"/>
            </w14:solidFill>
          </w14:textFill>
        </w:rPr>
        <w:t xml:space="preserve">第五章 评标方法与评标标准</w:t>
      </w:r>
      <w:bookmarkEnd w:id="260"/>
      <w:r/>
      <w:r/>
    </w:p>
    <w:p>
      <w:pPr>
        <w:contextualSpacing/>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一、评标方法</w:t>
      </w:r>
      <w:r/>
    </w:p>
    <w:p>
      <w:pPr>
        <w:contextualSpacing/>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评委会将对确定为实质性响应采购文件要求的投标文件进行评价和比较，评标采用综合评估法。</w:t>
      </w:r>
      <w:r/>
    </w:p>
    <w:p>
      <w:pPr>
        <w:contextualSpacing/>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二、评标标准</w:t>
      </w:r>
      <w:r/>
    </w:p>
    <w:p>
      <w:pPr>
        <w:contextualSpacing/>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本项目采用综合评分法确定中标候选人。评标委员会将按下列评分办法和标准进行评分，总分值为100分。</w:t>
      </w:r>
      <w:r/>
    </w:p>
    <w:tbl>
      <w:tblPr>
        <w:tblStyle w:val="863"/>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6599"/>
        <w:gridCol w:w="890"/>
      </w:tblGrid>
      <w:tr>
        <w:trPr>
          <w:jc w:val="center"/>
          <w:trHeight w:val="562"/>
        </w:trPr>
        <w:tc>
          <w:tcPr>
            <w:tcW w:w="757" w:type="pct"/>
            <w:vAlign w:val="bottom"/>
            <w:textDirection w:val="lrTb"/>
            <w:noWrap w:val="false"/>
          </w:tcPr>
          <w:p>
            <w:pPr>
              <w:contextualSpacing/>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评审因素</w:t>
            </w:r>
            <w:r/>
          </w:p>
        </w:tc>
        <w:tc>
          <w:tcPr>
            <w:tcW w:w="3738" w:type="pct"/>
            <w:vAlign w:val="bottom"/>
            <w:textDirection w:val="lrTb"/>
            <w:noWrap w:val="false"/>
          </w:tcPr>
          <w:p>
            <w:pPr>
              <w:contextualSpacing/>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评审标准</w:t>
            </w:r>
            <w:r/>
          </w:p>
        </w:tc>
        <w:tc>
          <w:tcPr>
            <w:tcW w:w="504" w:type="pct"/>
            <w:vAlign w:val="bottom"/>
            <w:textDirection w:val="lrTb"/>
            <w:noWrap w:val="false"/>
          </w:tcPr>
          <w:p>
            <w:pPr>
              <w:contextualSpacing/>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分值</w:t>
            </w:r>
            <w:r/>
          </w:p>
        </w:tc>
      </w:tr>
      <w:tr>
        <w:trPr>
          <w:jc w:val="center"/>
          <w:trHeight w:val="1536"/>
        </w:trPr>
        <w:tc>
          <w:tcPr>
            <w:tcW w:w="757" w:type="pct"/>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价格部分</w:t>
            </w:r>
            <w:r/>
          </w:p>
        </w:tc>
        <w:tc>
          <w:tcPr>
            <w:tcW w:w="3738"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价格分采用低价优先法计算，即满足招标文件实质性要求且投标价格最低的投标报价为评标基准价，其价格分为满分30分。价格分按照下列公式计算：投标报价得分=（评标基准价/投标报价）×30（小数点保留两位）。</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注：投标报价超出采购预算的，按无效投标处理。</w:t>
            </w:r>
            <w:r/>
          </w:p>
        </w:tc>
        <w:tc>
          <w:tcPr>
            <w:tcW w:w="504" w:type="pct"/>
            <w:vAlign w:val="center"/>
            <w:textDirection w:val="lrTb"/>
            <w:noWrap w:val="false"/>
          </w:tcPr>
          <w:p>
            <w:pPr>
              <w:contextualSpacing/>
              <w:jc w:val="center"/>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30</w:t>
            </w:r>
            <w:r/>
          </w:p>
        </w:tc>
      </w:tr>
      <w:tr>
        <w:trPr>
          <w:jc w:val="center"/>
          <w:trHeight w:val="1100"/>
        </w:trPr>
        <w:tc>
          <w:tcPr>
            <w:tcW w:w="757"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技术要求</w:t>
            </w:r>
            <w:r/>
          </w:p>
        </w:tc>
        <w:tc>
          <w:tcPr>
            <w:tcW w:w="3738"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全部满足招标文件第四章“采购需求”“四、主要功能及参数要求：”</w:t>
            </w:r>
            <w:r>
              <w:rPr>
                <w:rFonts w:hint="eastAsia" w:ascii="宋体" w:hAnsi="宋体" w:cs="宋体"/>
                <w:color w:val="000000" w:themeColor="text1"/>
                <w:szCs w:val="21"/>
                <w:highlight w:val="none"/>
                <w:lang w:val="en-US" w:eastAsia="zh-CN"/>
                <w14:textFill>
                  <w14:solidFill>
                    <w14:schemeClr w14:val="tx1"/>
                  </w14:solidFill>
                </w14:textFill>
              </w:rPr>
              <w:t xml:space="preserve">的，</w:t>
            </w:r>
            <w:r>
              <w:rPr>
                <w:rFonts w:hint="eastAsia" w:ascii="宋体" w:hAnsi="宋体" w:cs="宋体"/>
                <w:color w:val="000000" w:themeColor="text1"/>
                <w:szCs w:val="21"/>
                <w:highlight w:val="none"/>
                <w14:textFill>
                  <w14:solidFill>
                    <w14:schemeClr w14:val="tx1"/>
                  </w14:solidFill>
                </w14:textFill>
              </w:rPr>
              <w:t xml:space="preserve">得</w:t>
            </w:r>
            <w:r>
              <w:rPr>
                <w:rFonts w:hint="eastAsia" w:ascii="宋体" w:hAnsi="宋体" w:cs="宋体"/>
                <w:color w:val="000000" w:themeColor="text1"/>
                <w:szCs w:val="21"/>
                <w:highlight w:val="none"/>
                <w:lang w:val="en-US" w:eastAsia="zh-CN"/>
                <w14:textFill>
                  <w14:solidFill>
                    <w14:schemeClr w14:val="tx1"/>
                  </w14:solidFill>
                </w14:textFill>
              </w:rPr>
              <w:t xml:space="preserve">31</w:t>
            </w:r>
            <w:r>
              <w:rPr>
                <w:rFonts w:hint="eastAsia" w:ascii="宋体" w:hAnsi="宋体" w:cs="宋体"/>
                <w:color w:val="000000" w:themeColor="text1"/>
                <w:szCs w:val="21"/>
                <w:highlight w:val="none"/>
                <w14:textFill>
                  <w14:solidFill>
                    <w14:schemeClr w14:val="tx1"/>
                  </w14:solidFill>
                </w14:textFill>
              </w:rPr>
              <w:t xml:space="preserve">分，正偏离不加分，加注“★”号指标为必须满足项，如有负偏离将作为无效投标；加注“▲”指标为重要指标</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共计4项</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，有1项负偏离扣</w:t>
            </w:r>
            <w:r>
              <w:rPr>
                <w:rFonts w:hint="eastAsia" w:ascii="宋体" w:hAnsi="宋体" w:cs="宋体"/>
                <w:color w:val="000000" w:themeColor="text1"/>
                <w:szCs w:val="21"/>
                <w:highlight w:val="none"/>
                <w:lang w:val="en-US" w:eastAsia="zh-CN"/>
                <w14:textFill>
                  <w14:solidFill>
                    <w14:schemeClr w14:val="tx1"/>
                  </w14:solidFill>
                </w14:textFill>
              </w:rPr>
              <w:t xml:space="preserve">3.5</w:t>
            </w:r>
            <w:r>
              <w:rPr>
                <w:rFonts w:hint="eastAsia" w:ascii="宋体" w:hAnsi="宋体" w:cs="宋体"/>
                <w:color w:val="000000" w:themeColor="text1"/>
                <w:szCs w:val="21"/>
                <w:highlight w:val="none"/>
                <w14:textFill>
                  <w14:solidFill>
                    <w14:schemeClr w14:val="tx1"/>
                  </w14:solidFill>
                </w14:textFill>
              </w:rPr>
              <w:t xml:space="preserve">分，非“★”、“▲”指标</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共计17项</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有1项负偏离扣</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分。响应文件</w:t>
            </w:r>
            <w:r>
              <w:rPr>
                <w:rFonts w:ascii="宋体" w:hAnsi="宋体" w:cs="宋体"/>
                <w:color w:val="000000" w:themeColor="text1"/>
                <w:szCs w:val="21"/>
                <w:highlight w:val="none"/>
                <w14:textFill>
                  <w14:solidFill>
                    <w14:schemeClr w14:val="tx1"/>
                  </w14:solidFill>
                </w14:textFill>
              </w:rPr>
              <w:t xml:space="preserve">加注“▲”符号和加注“★”符号的参数以及一般参数里明确要求提供证明材料的必须提供技术证明材料，</w:t>
            </w:r>
            <w:r>
              <w:rPr>
                <w:rFonts w:hint="eastAsia" w:ascii="宋体" w:hAnsi="宋体" w:cs="宋体"/>
                <w:color w:val="000000" w:themeColor="text1"/>
                <w:szCs w:val="21"/>
                <w:highlight w:val="none"/>
                <w14:textFill>
                  <w14:solidFill>
                    <w14:schemeClr w14:val="tx1"/>
                  </w14:solidFill>
                </w14:textFill>
              </w:rPr>
              <w:t xml:space="preserve">证明材料可为产品说明书、注册证、第三方检测报告等技术支持资料</w:t>
            </w:r>
            <w:r>
              <w:rPr>
                <w:rFonts w:ascii="宋体" w:hAnsi="宋体" w:cs="宋体"/>
                <w:color w:val="000000" w:themeColor="text1"/>
                <w:szCs w:val="21"/>
                <w:highlight w:val="none"/>
                <w14:textFill>
                  <w14:solidFill>
                    <w14:schemeClr w14:val="tx1"/>
                  </w14:solidFill>
                </w14:textFill>
              </w:rPr>
              <w:t xml:space="preserve">（注：功能参数应进行明显标注，采用如箭头、标红或下划线等标注方式，</w:t>
            </w:r>
            <w:r>
              <w:rPr>
                <w:rFonts w:hint="eastAsia" w:ascii="宋体" w:hAnsi="宋体" w:cs="宋体"/>
                <w:color w:val="000000" w:themeColor="text1"/>
                <w:szCs w:val="21"/>
                <w:highlight w:val="none"/>
                <w14:textFill>
                  <w14:solidFill>
                    <w14:schemeClr w14:val="tx1"/>
                  </w14:solidFill>
                </w14:textFill>
              </w:rPr>
              <w:t xml:space="preserve">并在投标文件技术</w:t>
            </w:r>
            <w:r>
              <w:rPr>
                <w:rFonts w:hint="eastAsia" w:ascii="宋体" w:hAnsi="宋体" w:cs="宋体"/>
                <w:color w:val="000000" w:themeColor="text1"/>
                <w:szCs w:val="21"/>
                <w:highlight w:val="none"/>
                <w:lang w:val="en-US" w:eastAsia="zh-CN"/>
                <w14:textFill>
                  <w14:solidFill>
                    <w14:schemeClr w14:val="tx1"/>
                  </w14:solidFill>
                </w14:textFill>
              </w:rPr>
              <w:t xml:space="preserve">条款</w:t>
            </w:r>
            <w:r>
              <w:rPr>
                <w:rFonts w:hint="eastAsia" w:ascii="宋体" w:hAnsi="宋体" w:cs="宋体"/>
                <w:color w:val="000000" w:themeColor="text1"/>
                <w:szCs w:val="21"/>
                <w:highlight w:val="none"/>
                <w14:textFill>
                  <w14:solidFill>
                    <w14:schemeClr w14:val="tx1"/>
                  </w14:solidFill>
                </w14:textFill>
              </w:rPr>
              <w:t xml:space="preserve">偏离表备注栏中标注相应证明文件页码，</w:t>
            </w:r>
            <w:r>
              <w:rPr>
                <w:rFonts w:ascii="宋体" w:hAnsi="宋体" w:cs="宋体"/>
                <w:color w:val="000000" w:themeColor="text1"/>
                <w:szCs w:val="21"/>
                <w:highlight w:val="none"/>
                <w14:textFill>
                  <w14:solidFill>
                    <w14:schemeClr w14:val="tx1"/>
                  </w14:solidFill>
                </w14:textFill>
              </w:rPr>
              <w:t xml:space="preserve">方便评委查看）</w:t>
            </w:r>
            <w:r>
              <w:rPr>
                <w:rFonts w:hint="eastAsia" w:ascii="宋体" w:hAnsi="宋体" w:cs="宋体"/>
                <w:color w:val="000000" w:themeColor="text1"/>
                <w:szCs w:val="21"/>
                <w:highlight w:val="none"/>
                <w14:textFill>
                  <w14:solidFill>
                    <w14:schemeClr w14:val="tx1"/>
                  </w14:solidFill>
                </w14:textFill>
              </w:rPr>
              <w:t xml:space="preserve">，未按要求提供的，评委有权认定为负偏离或不满足。</w:t>
            </w:r>
            <w:r/>
          </w:p>
          <w:p>
            <w:pPr>
              <w:contextualSpacing/>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★本项得0分或经评委会评议负偏离过多可能实质性影响使用的，将判定为实质性不符合招标要求，做无效投标处理。</w:t>
            </w:r>
            <w:r/>
          </w:p>
        </w:tc>
        <w:tc>
          <w:tcPr>
            <w:tcW w:w="504" w:type="pct"/>
            <w:vAlign w:val="center"/>
            <w:textDirection w:val="lrTb"/>
            <w:noWrap w:val="false"/>
          </w:tcPr>
          <w:p>
            <w:pPr>
              <w:contextualSpacing/>
              <w:jc w:val="center"/>
              <w:spacing w:line="360" w:lineRule="auto"/>
              <w:rPr>
                <w:rFonts w:hint="default" w:ascii="宋体" w:hAnsi="宋体" w:cs="宋体"/>
                <w:color w:val="000000" w:themeColor="text1"/>
                <w:szCs w:val="21"/>
                <w:highlight w:val="none"/>
                <w:lang w:val="en-US"/>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31</w:t>
            </w:r>
            <w:r/>
          </w:p>
        </w:tc>
      </w:tr>
      <w:tr>
        <w:trPr>
          <w:jc w:val="center"/>
          <w:trHeight w:val="1974"/>
        </w:trPr>
        <w:tc>
          <w:tcPr>
            <w:tcW w:w="757" w:type="pct"/>
            <w:vAlign w:val="center"/>
            <w:textDirection w:val="lrTb"/>
            <w:noWrap w:val="false"/>
          </w:tcPr>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质保要求</w:t>
            </w:r>
            <w:r/>
          </w:p>
        </w:tc>
        <w:tc>
          <w:tcPr>
            <w:tcW w:w="3738"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满足招标文件免费</w:t>
            </w:r>
            <w:r>
              <w:rPr>
                <w:rFonts w:hint="eastAsia" w:ascii="宋体" w:hAnsi="宋体" w:cs="宋体"/>
                <w:color w:val="000000" w:themeColor="text1"/>
                <w:szCs w:val="21"/>
                <w:highlight w:val="none"/>
                <w:lang w:val="en-US" w:eastAsia="zh-CN"/>
                <w14:textFill>
                  <w14:solidFill>
                    <w14:schemeClr w14:val="tx1"/>
                  </w14:solidFill>
                </w14:textFill>
              </w:rPr>
              <w:t xml:space="preserve">整机</w:t>
            </w:r>
            <w:r>
              <w:rPr>
                <w:rFonts w:hint="eastAsia" w:ascii="宋体" w:hAnsi="宋体" w:cs="宋体"/>
                <w:color w:val="000000" w:themeColor="text1"/>
                <w:szCs w:val="21"/>
                <w:highlight w:val="none"/>
                <w14:textFill>
                  <w14:solidFill>
                    <w14:schemeClr w14:val="tx1"/>
                  </w14:solidFill>
                </w14:textFill>
              </w:rPr>
              <w:t xml:space="preserve">保修（3年）要求的基础上，每增加1年保修加2分，满分</w:t>
            </w:r>
            <w:r>
              <w:rPr>
                <w:rFonts w:hint="eastAsia" w:ascii="宋体" w:hAnsi="宋体" w:cs="宋体"/>
                <w:color w:val="000000" w:themeColor="text1"/>
                <w:szCs w:val="21"/>
                <w:highlight w:val="none"/>
                <w:lang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分，须提供承诺函，格式自拟。（若投标文件中出现前后不一致的情况，以最低免费质保期作为评分依据）</w:t>
            </w:r>
            <w:r/>
          </w:p>
        </w:tc>
        <w:tc>
          <w:tcPr>
            <w:tcW w:w="504" w:type="pct"/>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w:t>
            </w:r>
            <w:r/>
          </w:p>
        </w:tc>
      </w:tr>
      <w:tr>
        <w:trPr>
          <w:jc w:val="center"/>
          <w:trHeight w:val="2278"/>
        </w:trPr>
        <w:tc>
          <w:tcPr>
            <w:tcW w:w="757" w:type="pct"/>
            <w:vAlign w:val="center"/>
            <w:textDirection w:val="lrTb"/>
            <w:noWrap w:val="false"/>
          </w:tcPr>
          <w:p>
            <w:pPr>
              <w:jc w:val="center"/>
              <w:spacing w:line="360" w:lineRule="auto"/>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业绩</w:t>
            </w:r>
            <w:r/>
          </w:p>
        </w:tc>
        <w:tc>
          <w:tcPr>
            <w:tcW w:w="3738" w:type="pct"/>
            <w:vAlign w:val="center"/>
            <w:textDirection w:val="lrTb"/>
            <w:noWrap w:val="false"/>
          </w:tcPr>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2023年1月1日（含）以来（时间以合同签订时间为准），投标人或者制造商(含制造商其他代理商)具有同品牌同型号产品的成功案例。每提供一个有效成功案例得3分，同一采购方不重复计分，本项最高得9分，未提供不得分（一份有效业绩需包含完整无缺漏的合同，其中合同关键信息如：品牌、型号、合同双方名称、公章、签订时间等信息需清晰可见无遮挡涂改）。</w:t>
            </w:r>
            <w:r/>
          </w:p>
        </w:tc>
        <w:tc>
          <w:tcPr>
            <w:tcW w:w="504" w:type="pct"/>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9</w:t>
            </w:r>
            <w:r/>
          </w:p>
        </w:tc>
      </w:tr>
      <w:tr>
        <w:trPr>
          <w:jc w:val="center"/>
          <w:trHeight w:val="0"/>
        </w:trPr>
        <w:tc>
          <w:tcPr>
            <w:tcW w:w="757"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项目实施方案</w:t>
            </w:r>
            <w:r/>
          </w:p>
        </w:tc>
        <w:tc>
          <w:tcPr>
            <w:tcW w:w="3738"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评委根据投标人提供的项目实施方案综合评分（每项内容逐条阐述）</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1.货物的包装与运输（4分）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（1）内容全面合理、针对性及操作性强的，得4分；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（4）内容较差、缺乏针对性及操作性的，得1分；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（5）未提供方案的不得分。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2.供货进度保证及协调配合措施（4分）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（1）内容全面合理、针对性及操作性强的，得4分；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（4）内容较差、缺乏针对性及操作性的，得1分；</w:t>
            </w:r>
            <w:r/>
          </w:p>
          <w:p>
            <w:pPr>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（5）未提供方案的不得分。</w:t>
            </w:r>
            <w:r/>
          </w:p>
          <w:p>
            <w:pPr>
              <w:contextualSpacing/>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default" w:ascii="宋体" w:hAnsi="宋体" w:eastAsia="宋体" w:cs="宋体"/>
                <w:color w:val="000000" w:themeColor="text1"/>
                <w:szCs w:val="21"/>
                <w:highlight w:val="none"/>
                <w:lang w:val="en-US" w:eastAsia="zh-CN"/>
                <w14:textFill>
                  <w14:solidFill>
                    <w14:schemeClr w14:val="tx1"/>
                  </w14:solidFill>
                </w14:textFill>
              </w:rPr>
            </w:r>
            <w:r/>
          </w:p>
        </w:tc>
        <w:tc>
          <w:tcPr>
            <w:tcW w:w="504" w:type="pct"/>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8</w:t>
            </w:r>
            <w:r/>
          </w:p>
        </w:tc>
      </w:tr>
      <w:tr>
        <w:trPr>
          <w:jc w:val="center"/>
          <w:trHeight w:val="0"/>
        </w:trPr>
        <w:tc>
          <w:tcPr>
            <w:tcW w:w="757" w:type="pct"/>
            <w:vAlign w:val="center"/>
            <w:textDirection w:val="lrTb"/>
            <w:noWrap w:val="false"/>
          </w:tcPr>
          <w:p>
            <w:pPr>
              <w:jc w:val="center"/>
              <w:spacing w:line="360" w:lineRule="auto"/>
              <w:rPr>
                <w:rFonts w:hint="eastAsia" w:ascii="宋体" w:hAnsi="宋体" w:cs="宋体"/>
                <w:color w:val="000000" w:themeColor="text1"/>
                <w:spacing w:val="-2"/>
                <w:szCs w:val="21"/>
                <w:highlight w:val="none"/>
                <w14:textFill>
                  <w14:solidFill>
                    <w14:schemeClr w14:val="tx1"/>
                  </w14:solidFill>
                </w14:textFill>
              </w:rPr>
            </w:pPr>
            <w:r>
              <w:rPr>
                <w:rFonts w:hint="eastAsia" w:ascii="宋体" w:hAnsi="宋体" w:cs="宋体"/>
                <w:color w:val="000000" w:themeColor="text1"/>
                <w:spacing w:val="-2"/>
                <w:szCs w:val="21"/>
                <w:highlight w:val="none"/>
                <w14:textFill>
                  <w14:solidFill>
                    <w14:schemeClr w14:val="tx1"/>
                  </w14:solidFill>
                </w14:textFill>
              </w:rPr>
              <w:t xml:space="preserve">售后服务方案</w:t>
            </w:r>
            <w:r/>
          </w:p>
        </w:tc>
        <w:tc>
          <w:tcPr>
            <w:tcW w:w="3738" w:type="pct"/>
            <w:vAlign w:val="center"/>
            <w:textDirection w:val="lrTb"/>
            <w:noWrap w:val="false"/>
          </w:tcPr>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评委根据投标人提供的售后服务方案综合评分（每项内容逐条阐述）</w:t>
            </w:r>
            <w:r/>
          </w:p>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1.故障解决及应急维护方案（</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（1）内容全面合理、针对性及操作性强的，得4分；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（4）内容较差、缺乏针对性及操作性的，得1分；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（5）未提供方案的不得分。</w:t>
            </w:r>
            <w:r/>
          </w:p>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2.预防性维护方案（</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（1）内容全面合理、针对性及操作性强的，得4分；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（4）内容较差、缺乏针对性及操作性的，得1分；</w:t>
            </w:r>
            <w:r/>
          </w:p>
          <w:p>
            <w:pPr>
              <w:contextualSpacing/>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（5）未提供方案的不得分。</w:t>
            </w:r>
            <w:r/>
          </w:p>
          <w:p>
            <w:pPr>
              <w:contextualSpacing/>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504" w:type="pct"/>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8</w:t>
            </w:r>
            <w:r/>
          </w:p>
        </w:tc>
      </w:tr>
      <w:tr>
        <w:trPr>
          <w:jc w:val="center"/>
          <w:trHeight w:val="0"/>
        </w:trPr>
        <w:tc>
          <w:tcPr>
            <w:tcW w:w="757" w:type="pct"/>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培训方案</w:t>
            </w:r>
            <w:r/>
          </w:p>
        </w:tc>
        <w:tc>
          <w:tcPr>
            <w:tcW w:w="3738" w:type="pct"/>
            <w:vAlign w:val="center"/>
            <w:textDirection w:val="lrTb"/>
            <w:noWrap w:val="false"/>
          </w:tcPr>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评委根据投标人提供的项目培训方案评分（每项内容逐条阐述）：</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1.培训内容及安排（</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（1）内容全面合理、针对性及操作性强的，得4分；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（4）内容较差、缺乏针对性及操作性的，得1分；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（5）未提供方案的不得分。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2.培训师资力量（</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（1）内容全面合理、针对性及操作性强的，得4分；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（2）内容较合理、针对性及操作性较强的，得3分；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（3）内容一般、针对性及操作性一般的，得2分；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（4）内容较差、缺乏针对性及操作性的，得1分；</w:t>
            </w:r>
            <w:r/>
          </w:p>
          <w:p>
            <w:pPr>
              <w:contextualSpacing/>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（5）未提供方案的不得分。</w:t>
            </w:r>
            <w:r/>
          </w:p>
        </w:tc>
        <w:tc>
          <w:tcPr>
            <w:tcW w:w="504" w:type="pct"/>
            <w:vAlign w:val="center"/>
            <w:textDirection w:val="lrTb"/>
            <w:noWrap w:val="false"/>
          </w:tcPr>
          <w:p>
            <w:pPr>
              <w:contextualSpacing/>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8</w:t>
            </w:r>
            <w:r/>
          </w:p>
        </w:tc>
      </w:tr>
    </w:tbl>
    <w:p>
      <w:pPr>
        <w:spacing w:line="360" w:lineRule="auto"/>
        <w:rPr>
          <w:rStyle w:val="1152"/>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373"/>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bookmarkStart w:id="261" w:name="_Toc91836565"/>
      <w:r>
        <w:rPr>
          <w:rFonts w:hint="eastAsia" w:ascii="宋体" w:hAnsi="宋体" w:cs="宋体"/>
          <w:color w:val="000000" w:themeColor="text1"/>
          <w:szCs w:val="21"/>
          <w:highlight w:val="none"/>
          <w14:textFill>
            <w14:solidFill>
              <w14:schemeClr w14:val="tx1"/>
            </w14:solidFill>
          </w14:textFill>
        </w:rPr>
        <w:t xml:space="preserve">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1、对于未预留份额专门面向中小企业采购的采购项目，以及预留份额项目中的非预留部分采购包，对小微企业报价给予</w:t>
      </w:r>
      <w:r>
        <w:rPr>
          <w:rFonts w:hint="eastAsia" w:ascii="宋体" w:hAnsi="宋体" w:cs="宋体"/>
          <w:color w:val="000000" w:themeColor="text1"/>
          <w:szCs w:val="21"/>
          <w:highlight w:val="none"/>
          <w:u w:val="single"/>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10、关于无线局域网认证产品政府采购清单中的产品，优先采购的具体规定（如涉及）___/__。</w:t>
      </w:r>
      <w:r/>
    </w:p>
    <w:p>
      <w:pPr>
        <w:jc w:val="left"/>
        <w:widowControl/>
        <w:rPr>
          <w:rFonts w:hint="eastAsia" w:ascii="宋体" w:hAnsi="宋体" w:cs="宋体"/>
          <w:b/>
          <w:bCs/>
          <w:color w:val="000000" w:themeColor="text1"/>
          <w:sz w:val="32"/>
          <w:szCs w:val="32"/>
          <w:highlight w:val="none"/>
          <w14:textFill>
            <w14:solidFill>
              <w14:schemeClr w14:val="tx1"/>
            </w14:solidFill>
          </w14:textFill>
        </w:rPr>
      </w:pPr>
      <w:r/>
      <w:bookmarkStart w:id="262" w:name="_Toc107246273"/>
      <w:r>
        <w:rPr>
          <w:rFonts w:ascii="宋体" w:hAnsi="宋体" w:cs="宋体"/>
          <w:color w:val="000000" w:themeColor="text1"/>
          <w:highlight w:val="none"/>
          <w14:textFill>
            <w14:solidFill>
              <w14:schemeClr w14:val="tx1"/>
            </w14:solidFill>
          </w14:textFill>
        </w:rPr>
        <w:br w:type="page" w:clear="all"/>
      </w:r>
      <w:r/>
    </w:p>
    <w:p>
      <w:pPr>
        <w:pStyle w:val="893"/>
        <w:ind w:firstLine="56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第六章 </w:t>
      </w:r>
      <w:bookmarkEnd w:id="261"/>
      <w:r>
        <w:rPr>
          <w:rFonts w:hint="eastAsia" w:ascii="宋体" w:hAnsi="宋体" w:cs="宋体"/>
          <w:color w:val="000000" w:themeColor="text1"/>
          <w:highlight w:val="none"/>
          <w14:textFill>
            <w14:solidFill>
              <w14:schemeClr w14:val="tx1"/>
            </w14:solidFill>
          </w14:textFill>
        </w:rPr>
        <w:t xml:space="preserve">投标文件格式</w:t>
      </w:r>
      <w:bookmarkEnd w:id="262"/>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注：请投标人按照以下文件的要求格式、内容，顺序制作投标文件，并请编制目录及页码，否则可能将影响对投标文件的评价。</w:t>
      </w:r>
      <w:r/>
    </w:p>
    <w:p>
      <w:pPr>
        <w:pStyle w:val="1129"/>
        <w:ind w:firstLine="0"/>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bookmarkStart w:id="263" w:name="_Toc96347900"/>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0"/>
          <w:szCs w:val="60"/>
          <w:highlight w:val="none"/>
          <w14:textFill>
            <w14:solidFill>
              <w14:schemeClr w14:val="tx1"/>
            </w14:solidFill>
          </w14:textFill>
        </w:rPr>
        <w:t xml:space="preserve">附件</w:t>
      </w:r>
      <w:r/>
    </w:p>
    <w:p>
      <w:pPr>
        <w:pStyle w:val="875"/>
        <w:jc w:val="center"/>
        <w:spacing w:line="360" w:lineRule="auto"/>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r>
      <w:r/>
    </w:p>
    <w:p>
      <w:pPr>
        <w:pStyle w:val="875"/>
        <w:jc w:val="center"/>
        <w:spacing w:line="360" w:lineRule="auto"/>
        <w:rPr>
          <w:rFonts w:hint="eastAsia" w:hAnsi="宋体" w:eastAsia="宋体" w:cs="宋体"/>
          <w:b/>
          <w:color w:val="000000" w:themeColor="text1"/>
          <w:sz w:val="56"/>
          <w:szCs w:val="56"/>
          <w:highlight w:val="none"/>
          <w:lang w:eastAsia="zh-CN"/>
          <w14:textFill>
            <w14:solidFill>
              <w14:schemeClr w14:val="tx1"/>
            </w14:solidFill>
          </w14:textFill>
        </w:rPr>
      </w:pPr>
      <w:r>
        <w:rPr>
          <w:rFonts w:hint="eastAsia" w:hAnsi="宋体" w:cs="宋体"/>
          <w:b/>
          <w:color w:val="000000" w:themeColor="text1"/>
          <w:sz w:val="56"/>
          <w:szCs w:val="56"/>
          <w:highlight w:val="none"/>
          <w:lang w:eastAsia="zh-CN"/>
          <w14:textFill>
            <w14:solidFill>
              <w14:schemeClr w14:val="tx1"/>
            </w14:solidFill>
          </w14:textFill>
        </w:rPr>
        <w:t xml:space="preserve">南京鼓楼医院颞下颌手术系统采购项目</w:t>
      </w:r>
      <w:r/>
    </w:p>
    <w:p>
      <w:pPr>
        <w:pStyle w:val="875"/>
        <w:jc w:val="center"/>
        <w:spacing w:line="360" w:lineRule="auto"/>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75"/>
        <w:jc w:val="center"/>
        <w:spacing w:line="360" w:lineRule="auto"/>
        <w:rPr>
          <w:rFonts w:hint="eastAsia" w:hAnsi="宋体" w:cs="宋体"/>
          <w:b/>
          <w:color w:val="000000" w:themeColor="text1"/>
          <w:sz w:val="84"/>
          <w:szCs w:val="84"/>
          <w:highlight w:val="none"/>
          <w14:textFill>
            <w14:solidFill>
              <w14:schemeClr w14:val="tx1"/>
            </w14:solidFill>
          </w14:textFill>
        </w:rPr>
      </w:pPr>
      <w:r/>
      <w:bookmarkStart w:id="264" w:name="_Toc100905255"/>
      <w:r>
        <w:rPr>
          <w:rFonts w:hint="eastAsia" w:hAnsi="宋体" w:cs="宋体"/>
          <w:b/>
          <w:color w:val="000000" w:themeColor="text1"/>
          <w:sz w:val="84"/>
          <w:szCs w:val="84"/>
          <w:highlight w:val="none"/>
          <w14:textFill>
            <w14:solidFill>
              <w14:schemeClr w14:val="tx1"/>
            </w14:solidFill>
          </w14:textFill>
        </w:rPr>
        <w:t xml:space="preserve">投 标 文 件</w:t>
      </w:r>
      <w:bookmarkEnd w:id="264"/>
      <w:r/>
      <w:r/>
    </w:p>
    <w:p>
      <w:pPr>
        <w:pStyle w:val="875"/>
        <w:ind w:firstLine="418"/>
        <w:spacing w:line="360" w:lineRule="auto"/>
        <w:rPr>
          <w:rFonts w:hint="eastAsia" w:hAnsi="宋体" w:eastAsia="宋体" w:cs="宋体"/>
          <w:color w:val="000000" w:themeColor="text1"/>
          <w:sz w:val="28"/>
          <w:szCs w:val="28"/>
          <w:highlight w:val="none"/>
          <w:lang w:eastAsia="zh-CN"/>
          <w14:textFill>
            <w14:solidFill>
              <w14:schemeClr w14:val="tx1"/>
            </w14:solidFill>
          </w14:textFill>
        </w:rPr>
      </w:pPr>
      <w:r>
        <w:rPr>
          <w:rFonts w:hint="eastAsia" w:hAnsi="宋体" w:cs="宋体"/>
          <w:b/>
          <w:color w:val="000000" w:themeColor="text1"/>
          <w:sz w:val="40"/>
          <w:szCs w:val="40"/>
          <w:highlight w:val="none"/>
          <w14:textFill>
            <w14:solidFill>
              <w14:schemeClr w14:val="tx1"/>
            </w14:solidFill>
          </w14:textFill>
        </w:rPr>
        <w:t xml:space="preserve">项目编号：</w:t>
      </w:r>
      <w:r>
        <w:rPr>
          <w:rFonts w:hint="eastAsia" w:hAnsi="宋体" w:cs="宋体"/>
          <w:b/>
          <w:color w:val="000000" w:themeColor="text1"/>
          <w:sz w:val="40"/>
          <w:szCs w:val="40"/>
          <w:highlight w:val="none"/>
          <w:lang w:eastAsia="zh-CN"/>
          <w14:textFill>
            <w14:solidFill>
              <w14:schemeClr w14:val="tx1"/>
            </w14:solidFill>
          </w14:textFill>
        </w:rPr>
        <w:t xml:space="preserve">JSZC-320100-JITC-G2026-0218</w:t>
      </w:r>
      <w:r/>
    </w:p>
    <w:p>
      <w:pPr>
        <w:pStyle w:val="875"/>
        <w:spacing w:line="360" w:lineRule="auto"/>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75"/>
        <w:spacing w:line="360" w:lineRule="auto"/>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75"/>
        <w:spacing w:line="360" w:lineRule="auto"/>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875"/>
        <w:jc w:val="center"/>
        <w:spacing w:line="360" w:lineRule="auto"/>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24"/>
          <w:highlight w:val="none"/>
          <w14:textFill>
            <w14:solidFill>
              <w14:schemeClr w14:val="tx1"/>
            </w14:solidFill>
          </w14:textFill>
        </w:rPr>
        <w:t xml:space="preserve">供应商名称：</w:t>
      </w:r>
      <w:r>
        <w:rPr>
          <w:rFonts w:hint="eastAsia" w:hAnsi="宋体" w:cs="宋体"/>
          <w:b/>
          <w:color w:val="000000" w:themeColor="text1"/>
          <w:sz w:val="32"/>
          <w:szCs w:val="32"/>
          <w:highlight w:val="none"/>
          <w14:textFill>
            <w14:solidFill>
              <w14:schemeClr w14:val="tx1"/>
            </w14:solidFill>
          </w14:textFill>
        </w:rPr>
        <w:t xml:space="preserve">_____________________</w:t>
      </w:r>
      <w:r/>
    </w:p>
    <w:p>
      <w:pPr>
        <w:pStyle w:val="875"/>
        <w:jc w:val="center"/>
        <w:spacing w:line="360" w:lineRule="auto"/>
        <w:rPr>
          <w:rFonts w:hint="eastAsia" w:hAnsi="宋体" w:cs="宋体"/>
          <w:b/>
          <w:color w:val="000000" w:themeColor="text1"/>
          <w:sz w:val="32"/>
          <w:szCs w:val="32"/>
          <w:highlight w:val="none"/>
          <w:u w:val="singl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地址：_____________________</w:t>
      </w:r>
      <w:r/>
    </w:p>
    <w:p>
      <w:pPr>
        <w:pStyle w:val="875"/>
        <w:jc w:val="center"/>
        <w:spacing w:line="360" w:lineRule="auto"/>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联系人及联系方式：_____________________</w:t>
      </w:r>
      <w:r/>
    </w:p>
    <w:p>
      <w:pPr>
        <w:jc w:val="cente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二O   年  月  日</w:t>
      </w:r>
      <w:r>
        <w:rPr>
          <w:rFonts w:hint="eastAsia" w:ascii="宋体" w:hAnsi="宋体" w:cs="宋体"/>
          <w:b/>
          <w:color w:val="000000" w:themeColor="text1"/>
          <w:highlight w:val="none"/>
          <w14:textFill>
            <w14:solidFill>
              <w14:schemeClr w14:val="tx1"/>
            </w14:solidFill>
          </w14:textFill>
        </w:rPr>
        <w:br w:type="page" w:clear="all"/>
      </w:r>
      <w:r/>
    </w:p>
    <w:p>
      <w:pPr>
        <w:jc w:val="cente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spacing w:line="360" w:lineRule="auto"/>
        <w:rPr>
          <w:rFonts w:hint="eastAsia"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目录</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（供应商应根据投标文件顺序，自拟格式）</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 w:val="28"/>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bookmarkEnd w:id="263"/>
      <w:r/>
      <w:r/>
    </w:p>
    <w:p>
      <w:pPr>
        <w:pStyle w:val="893"/>
        <w:ind w:left="601" w:firstLine="425"/>
        <w:spacing w:before="0"/>
        <w:rPr>
          <w:rFonts w:hint="eastAsia" w:ascii="宋体" w:hAnsi="宋体" w:cs="宋体"/>
          <w:color w:val="000000" w:themeColor="text1"/>
          <w:sz w:val="28"/>
          <w:szCs w:val="24"/>
          <w:highlight w:val="none"/>
          <w14:textFill>
            <w14:solidFill>
              <w14:schemeClr w14:val="tx1"/>
            </w14:solidFill>
          </w14:textFill>
        </w:rPr>
      </w:pPr>
      <w:r>
        <w:rPr>
          <w:rFonts w:ascii="宋体" w:hAnsi="宋体" w:cs="宋体"/>
          <w:color w:val="000000" w:themeColor="text1"/>
          <w:sz w:val="28"/>
          <w:szCs w:val="24"/>
          <w:highlight w:val="none"/>
          <w14:textFill>
            <w14:solidFill>
              <w14:schemeClr w14:val="tx1"/>
            </w14:solidFill>
          </w14:textFill>
        </w:rPr>
        <w:t xml:space="preserve">一、</w:t>
      </w:r>
      <w:bookmarkStart w:id="265" w:name="_Toc104560897"/>
      <w:r/>
      <w:bookmarkStart w:id="266" w:name="_Toc107246274"/>
      <w:r/>
      <w:bookmarkStart w:id="267" w:name="_Toc103848582"/>
      <w:r/>
      <w:bookmarkStart w:id="268" w:name="_Toc104560893"/>
      <w:r>
        <w:rPr>
          <w:rFonts w:hint="eastAsia" w:ascii="宋体" w:hAnsi="宋体" w:cs="宋体"/>
          <w:color w:val="000000" w:themeColor="text1"/>
          <w:sz w:val="28"/>
          <w:szCs w:val="24"/>
          <w:highlight w:val="none"/>
          <w14:textFill>
            <w14:solidFill>
              <w14:schemeClr w14:val="tx1"/>
            </w14:solidFill>
          </w14:textFill>
        </w:rPr>
        <w:t xml:space="preserve">价格及商务部分</w:t>
      </w:r>
      <w:bookmarkEnd w:id="265"/>
      <w:r/>
      <w:bookmarkEnd w:id="266"/>
      <w:r/>
      <w:bookmarkEnd w:id="267"/>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93"/>
        <w:spacing w:before="0" w:line="280" w:lineRule="exact"/>
        <w:rPr>
          <w:rFonts w:hint="eastAsia" w:ascii="宋体" w:hAnsi="宋体" w:cs="宋体"/>
          <w:color w:val="000000" w:themeColor="text1"/>
          <w:sz w:val="28"/>
          <w:szCs w:val="24"/>
          <w:highlight w:val="none"/>
          <w14:textFill>
            <w14:solidFill>
              <w14:schemeClr w14:val="tx1"/>
            </w14:solidFill>
          </w14:textFill>
        </w:rPr>
      </w:pPr>
      <w:r/>
      <w:bookmarkStart w:id="269" w:name="_Toc107246275"/>
      <w:r>
        <w:rPr>
          <w:rFonts w:hint="eastAsia" w:ascii="宋体" w:hAnsi="宋体" w:cs="宋体"/>
          <w:b w:val="0"/>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8"/>
          <w:szCs w:val="24"/>
          <w:highlight w:val="none"/>
          <w14:textFill>
            <w14:solidFill>
              <w14:schemeClr w14:val="tx1"/>
            </w14:solidFill>
          </w14:textFill>
        </w:rPr>
        <w:t xml:space="preserve">投标函</w:t>
      </w:r>
      <w:bookmarkEnd w:id="268"/>
      <w:r/>
      <w:bookmarkEnd w:id="269"/>
      <w:r/>
      <w:r/>
    </w:p>
    <w:p>
      <w:pPr>
        <w:ind w:firstLine="420"/>
        <w:spacing w:line="360" w:lineRule="exact"/>
        <w:rPr>
          <w:rFonts w:hint="eastAsia" w:ascii="宋体" w:hAnsi="宋体" w:cs="宋体"/>
          <w:color w:val="000000" w:themeColor="text1"/>
          <w:szCs w:val="21"/>
          <w:highlight w:val="none"/>
          <w14:textFill>
            <w14:solidFill>
              <w14:schemeClr w14:val="tx1"/>
            </w14:solidFill>
          </w14:textFill>
        </w:rPr>
      </w:pPr>
      <w:r/>
      <w:bookmarkStart w:id="270" w:name="_Toc103848580"/>
      <w:r/>
      <w:bookmarkStart w:id="271" w:name="_Toc96347902"/>
      <w:r>
        <w:rPr>
          <w:rFonts w:hint="eastAsia" w:ascii="宋体" w:hAnsi="宋体" w:cs="宋体"/>
          <w:color w:val="000000" w:themeColor="text1"/>
          <w:szCs w:val="21"/>
          <w:highlight w:val="none"/>
          <w:u w:val="single"/>
          <w14:textFill>
            <w14:solidFill>
              <w14:schemeClr w14:val="tx1"/>
            </w14:solidFill>
          </w14:textFill>
        </w:rPr>
        <w:t xml:space="preserve">南京鼓楼医院</w:t>
      </w:r>
      <w:r>
        <w:rPr>
          <w:rFonts w:hint="eastAsia" w:ascii="宋体" w:hAnsi="宋体" w:cs="宋体"/>
          <w:color w:val="000000" w:themeColor="text1"/>
          <w:szCs w:val="21"/>
          <w:highlight w:val="none"/>
          <w14:textFill>
            <w14:solidFill>
              <w14:schemeClr w14:val="tx1"/>
            </w14:solidFill>
          </w14:textFill>
        </w:rPr>
        <w:t xml:space="preserve">（采购人）：</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(投标人全称)   </w:t>
      </w:r>
      <w:r>
        <w:rPr>
          <w:rFonts w:hint="eastAsia" w:ascii="宋体" w:hAnsi="宋体" w:cs="宋体"/>
          <w:color w:val="000000" w:themeColor="text1"/>
          <w:szCs w:val="21"/>
          <w:highlight w:val="none"/>
          <w14:textFill>
            <w14:solidFill>
              <w14:schemeClr w14:val="tx1"/>
            </w14:solidFill>
          </w14:textFill>
        </w:rPr>
        <w:t xml:space="preserve">授权</w:t>
      </w:r>
      <w:r>
        <w:rPr>
          <w:rFonts w:hint="eastAsia" w:ascii="宋体" w:hAnsi="宋体" w:cs="宋体"/>
          <w:color w:val="000000" w:themeColor="text1"/>
          <w:szCs w:val="21"/>
          <w:highlight w:val="none"/>
          <w:u w:val="single"/>
          <w14:textFill>
            <w14:solidFill>
              <w14:schemeClr w14:val="tx1"/>
            </w14:solidFill>
          </w14:textFill>
        </w:rPr>
        <w:t xml:space="preserve">    （授权代表姓名）   （职位） </w:t>
      </w:r>
      <w:r>
        <w:rPr>
          <w:rFonts w:hint="eastAsia" w:ascii="宋体" w:hAnsi="宋体" w:cs="宋体"/>
          <w:color w:val="000000" w:themeColor="text1"/>
          <w:szCs w:val="21"/>
          <w:highlight w:val="none"/>
          <w14:textFill>
            <w14:solidFill>
              <w14:schemeClr w14:val="tx1"/>
            </w14:solidFill>
          </w14:textFill>
        </w:rPr>
        <w:t xml:space="preserve">为全权代表，参加贵方组织的</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南京鼓楼医院颞下颌手术系统采购项目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JSZC-320100-JITC-G2026-0218</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投标的有关活动，并对此项目进行投标。</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为此：</w:t>
      </w:r>
      <w:r/>
    </w:p>
    <w:p>
      <w:pPr>
        <w:pStyle w:val="891"/>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1、我方将按采购文件的规定履行全部责任和义务。</w:t>
      </w:r>
      <w:r/>
    </w:p>
    <w:p>
      <w:pPr>
        <w:pStyle w:val="891"/>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2、我方已详细审查全部采购文件，我们完全理解并同意</w:t>
      </w:r>
      <w:r>
        <w:rPr>
          <w:rFonts w:hint="eastAsia" w:ascii="宋体" w:hAnsi="宋体" w:cs="宋体"/>
          <w:color w:val="000000" w:themeColor="text1"/>
          <w:szCs w:val="21"/>
          <w:highlight w:val="none"/>
          <w14:textFill>
            <w14:solidFill>
              <w14:schemeClr w14:val="tx1"/>
            </w14:solidFill>
          </w14:textFill>
        </w:rPr>
        <w:t xml:space="preserve">放弃对采购文件提出质疑或争议的权利。</w:t>
      </w:r>
      <w:r/>
    </w:p>
    <w:p>
      <w:pPr>
        <w:pStyle w:val="891"/>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3、本投标有效期为自投标日起</w:t>
      </w:r>
      <w:r>
        <w:rPr>
          <w:rFonts w:hint="eastAsia" w:ascii="宋体" w:hAnsi="宋体" w:cs="宋体"/>
          <w:color w:val="000000" w:themeColor="text1"/>
          <w:szCs w:val="21"/>
          <w:highlight w:val="none"/>
          <w:u w:val="single"/>
          <w14:textFill>
            <w14:solidFill>
              <w14:schemeClr w14:val="tx1"/>
            </w14:solidFill>
          </w14:textFill>
        </w:rPr>
        <w:t xml:space="preserve">90日历天</w:t>
      </w:r>
      <w:r>
        <w:rPr>
          <w:rFonts w:hint="eastAsia" w:ascii="宋体" w:hAnsi="宋体" w:cs="宋体"/>
          <w:color w:val="000000" w:themeColor="text1"/>
          <w:szCs w:val="21"/>
          <w:highlight w:val="none"/>
          <w14:textFill>
            <w14:solidFill>
              <w14:schemeClr w14:val="tx1"/>
            </w14:solidFill>
          </w14:textFill>
        </w:rPr>
        <w:t xml:space="preserve">。</w:t>
      </w:r>
      <w:r/>
    </w:p>
    <w:p>
      <w:pPr>
        <w:pStyle w:val="891"/>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4、如果在规定的递交投标文件截止时间后，我方在投标有效期内撤销投标文件，投标保证金将不予退还。</w:t>
      </w:r>
      <w:r/>
    </w:p>
    <w:p>
      <w:pPr>
        <w:pStyle w:val="891"/>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5、我方同意贵方查询或调查我们提交的与本投标文件有关的声明、文件和资料，并同意在贵方的要求下提供相关文件或证书的原件及其他相关书面材料。</w:t>
      </w:r>
      <w:r/>
    </w:p>
    <w:p>
      <w:pPr>
        <w:pStyle w:val="891"/>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6、我方在法律和财务上独立、合法运作并独立于采购方，与采购人为本项目所委托的咨询单位或其附属机构没有直接或间接的任何关联。</w:t>
      </w:r>
      <w:r/>
    </w:p>
    <w:p>
      <w:pPr>
        <w:pStyle w:val="891"/>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91"/>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891"/>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与本投标有关的一切往来通讯请寄：</w:t>
      </w:r>
      <w:r/>
    </w:p>
    <w:p>
      <w:pPr>
        <w:pStyle w:val="891"/>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91"/>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91"/>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91"/>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91"/>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固定电话：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91"/>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邮箱：</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91"/>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91"/>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法定代表人或其授权代表（签字或盖章）：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891"/>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pStyle w:val="870"/>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93"/>
        <w:ind w:firstLine="569"/>
        <w:spacing w:before="0"/>
        <w:rPr>
          <w:rFonts w:hint="eastAsia" w:ascii="宋体" w:hAnsi="宋体" w:cs="宋体"/>
          <w:bCs w:val="0"/>
          <w:color w:val="000000" w:themeColor="text1"/>
          <w:sz w:val="24"/>
          <w:szCs w:val="24"/>
          <w:highlight w:val="none"/>
          <w14:textFill>
            <w14:solidFill>
              <w14:schemeClr w14:val="tx1"/>
            </w14:solidFill>
          </w14:textFill>
        </w:rPr>
      </w:pPr>
      <w:r/>
      <w:bookmarkStart w:id="272" w:name="_Toc103848583"/>
      <w:r/>
      <w:bookmarkStart w:id="273" w:name="_Toc104560898"/>
      <w:r/>
      <w:bookmarkStart w:id="274" w:name="_Toc107246276"/>
      <w:r>
        <w:rPr>
          <w:rFonts w:hint="eastAsia" w:ascii="宋体" w:hAnsi="宋体" w:cs="宋体"/>
          <w:bCs w:val="0"/>
          <w:color w:val="000000" w:themeColor="text1"/>
          <w:sz w:val="24"/>
          <w:szCs w:val="24"/>
          <w:highlight w:val="none"/>
          <w14:textFill>
            <w14:solidFill>
              <w14:schemeClr w14:val="tx1"/>
            </w14:solidFill>
          </w14:textFill>
        </w:rPr>
        <w:t xml:space="preserve">（2）</w:t>
      </w:r>
      <w:bookmarkEnd w:id="272"/>
      <w:r/>
      <w:bookmarkEnd w:id="273"/>
      <w:r>
        <w:rPr>
          <w:rFonts w:hint="eastAsia" w:ascii="宋体" w:hAnsi="宋体" w:cs="宋体"/>
          <w:bCs w:val="0"/>
          <w:color w:val="000000" w:themeColor="text1"/>
          <w:sz w:val="24"/>
          <w:szCs w:val="24"/>
          <w:highlight w:val="none"/>
          <w14:textFill>
            <w14:solidFill>
              <w14:schemeClr w14:val="tx1"/>
            </w14:solidFill>
          </w14:textFill>
        </w:rPr>
        <w:t xml:space="preserve">法定代表人（非法人单位负责人）身份证明</w:t>
      </w:r>
      <w:bookmarkEnd w:id="274"/>
      <w:r/>
      <w:r/>
    </w:p>
    <w:p>
      <w:pPr>
        <w:pStyle w:val="870"/>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870"/>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870"/>
        <w:ind w:firstLine="420"/>
        <w:tabs>
          <w:tab w:val="left" w:pos="4228"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投标人名</w:t>
      </w:r>
      <w:r>
        <w:rPr>
          <w:rFonts w:hint="eastAsia" w:ascii="宋体" w:hAnsi="宋体" w:cs="宋体"/>
          <w:color w:val="000000" w:themeColor="text1"/>
          <w:spacing w:val="-3"/>
          <w:highlight w:val="none"/>
          <w14:textFill>
            <w14:solidFill>
              <w14:schemeClr w14:val="tx1"/>
            </w14:solidFill>
          </w14:textFill>
        </w:rPr>
        <w:t xml:space="preserve">称</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70"/>
        <w:ind w:firstLine="420"/>
        <w:spacing w:before="170"/>
        <w:tabs>
          <w:tab w:val="left" w:pos="2712" w:leader="none"/>
          <w:tab w:val="left" w:pos="4183" w:leader="none"/>
          <w:tab w:val="left" w:pos="5652" w:leader="none"/>
          <w:tab w:val="left" w:pos="7169"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姓名</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性别</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spacing w:val="-3"/>
          <w:highlight w:val="none"/>
          <w14:textFill>
            <w14:solidFill>
              <w14:schemeClr w14:val="tx1"/>
            </w14:solidFill>
          </w14:textFill>
        </w:rPr>
        <w:t xml:space="preserve">龄</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1"/>
          <w:highlight w:val="none"/>
          <w14:textFill>
            <w14:solidFill>
              <w14:schemeClr w14:val="tx1"/>
            </w14:solidFill>
          </w14:textFill>
        </w:rPr>
        <w:t xml:space="preserve">职</w:t>
      </w:r>
      <w:r>
        <w:rPr>
          <w:rFonts w:hint="eastAsia" w:ascii="宋体" w:hAnsi="宋体" w:cs="宋体"/>
          <w:color w:val="000000" w:themeColor="text1"/>
          <w:spacing w:val="-3"/>
          <w:highlight w:val="none"/>
          <w14:textFill>
            <w14:solidFill>
              <w14:schemeClr w14:val="tx1"/>
            </w14:solidFill>
          </w14:textFill>
        </w:rPr>
        <w:t xml:space="preserve">务</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70"/>
        <w:ind w:firstLine="420"/>
        <w:spacing w:before="173"/>
        <w:tabs>
          <w:tab w:val="left" w:pos="3132"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系</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投标人</w:t>
      </w:r>
      <w:r>
        <w:rPr>
          <w:rFonts w:hint="eastAsia" w:ascii="宋体" w:hAnsi="宋体" w:cs="宋体"/>
          <w:color w:val="000000" w:themeColor="text1"/>
          <w:spacing w:val="-3"/>
          <w:highlight w:val="none"/>
          <w14:textFill>
            <w14:solidFill>
              <w14:schemeClr w14:val="tx1"/>
            </w14:solidFill>
          </w14:textFill>
        </w:rPr>
        <w:t xml:space="preserve">名</w:t>
      </w:r>
      <w:r>
        <w:rPr>
          <w:rFonts w:hint="eastAsia" w:ascii="宋体" w:hAnsi="宋体" w:cs="宋体"/>
          <w:color w:val="000000" w:themeColor="text1"/>
          <w:highlight w:val="none"/>
          <w14:textFill>
            <w14:solidFill>
              <w14:schemeClr w14:val="tx1"/>
            </w14:solidFill>
          </w14:textFill>
        </w:rPr>
        <w:t xml:space="preserve">称</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spacing w:val="-3"/>
          <w:highlight w:val="none"/>
          <w14:textFill>
            <w14:solidFill>
              <w14:schemeClr w14:val="tx1"/>
            </w14:solidFill>
          </w14:textFill>
        </w:rPr>
        <w:t xml:space="preserve">法定</w:t>
      </w:r>
      <w:r>
        <w:rPr>
          <w:rFonts w:hint="eastAsia" w:ascii="宋体" w:hAnsi="宋体" w:cs="宋体"/>
          <w:color w:val="000000" w:themeColor="text1"/>
          <w:highlight w:val="none"/>
          <w14:textFill>
            <w14:solidFill>
              <w14:schemeClr w14:val="tx1"/>
            </w14:solidFill>
          </w14:textFill>
        </w:rPr>
        <w:t xml:space="preserve">代表</w:t>
      </w:r>
      <w:r>
        <w:rPr>
          <w:rFonts w:hint="eastAsia" w:ascii="宋体" w:hAnsi="宋体" w:cs="宋体"/>
          <w:color w:val="000000" w:themeColor="text1"/>
          <w:spacing w:val="-3"/>
          <w:highlight w:val="none"/>
          <w14:textFill>
            <w14:solidFill>
              <w14:schemeClr w14:val="tx1"/>
            </w14:solidFill>
          </w14:textFill>
        </w:rPr>
        <w:t xml:space="preserve">人/非法人单位负责人。</w:t>
      </w:r>
      <w:r/>
    </w:p>
    <w:p>
      <w:pPr>
        <w:pStyle w:val="870"/>
        <w:ind w:firstLine="420"/>
        <w:spacing w:before="17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特此证明。</w:t>
      </w:r>
      <w:r/>
    </w:p>
    <w:p>
      <w:pPr>
        <w:pStyle w:val="870"/>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70"/>
        <w:ind w:left="1260" w:firstLine="478"/>
        <w:spacing w:before="10"/>
        <w:rPr>
          <w:rFonts w:hint="eastAsia" w:ascii="宋体" w:hAnsi="宋体" w:cs="宋体"/>
          <w:color w:val="000000" w:themeColor="text1"/>
          <w:sz w:val="27"/>
          <w:highlight w:val="none"/>
          <w14:textFill>
            <w14:solidFill>
              <w14:schemeClr w14:val="tx1"/>
            </w14:solidFill>
          </w14:textFill>
        </w:rPr>
      </w:pPr>
      <w:r>
        <w:rPr>
          <w:rFonts w:hint="eastAsia" w:ascii="宋体" w:hAnsi="宋体" w:cs="宋体"/>
          <w:color w:val="000000" w:themeColor="text1"/>
          <w:sz w:val="27"/>
          <w:highlight w:val="none"/>
          <w14:textFill>
            <w14:solidFill>
              <w14:schemeClr w14:val="tx1"/>
            </w14:solidFill>
          </w14:textFill>
        </w:rPr>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附：法定代表人（非法人单位负责人）有效期内的身份证复印件（正反面）</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86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70"/>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70"/>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70"/>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70"/>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870"/>
        <w:ind w:left="1260" w:firstLine="389"/>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pStyle w:val="870"/>
        <w:ind w:left="1260" w:firstLine="3060"/>
        <w:tabs>
          <w:tab w:val="left" w:pos="7977"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3"/>
          <w:highlight w:val="none"/>
          <w14:textFill>
            <w14:solidFill>
              <w14:schemeClr w14:val="tx1"/>
            </w14:solidFill>
          </w14:textFill>
        </w:rPr>
        <w:t xml:space="preserve">投标人名称（公章）</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891"/>
        <w:ind w:firstLine="372"/>
        <w:jc w:val="righ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3"/>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bookmarkStart w:id="275" w:name="_Toc104560899"/>
      <w:r/>
      <w:bookmarkStart w:id="276" w:name="_Toc103848584"/>
      <w:r/>
      <w:bookmarkStart w:id="277" w:name="_Toc107246277"/>
      <w:r>
        <w:rPr>
          <w:rFonts w:hint="eastAsia" w:ascii="宋体" w:hAnsi="宋体" w:cs="宋体"/>
          <w:bCs w:val="0"/>
          <w:color w:val="000000" w:themeColor="text1"/>
          <w:sz w:val="24"/>
          <w:szCs w:val="24"/>
          <w:highlight w:val="none"/>
          <w14:textFill>
            <w14:solidFill>
              <w14:schemeClr w14:val="tx1"/>
            </w14:solidFill>
          </w14:textFill>
        </w:rPr>
        <w:t xml:space="preserve">（3）授权委托书</w:t>
      </w:r>
      <w:r/>
    </w:p>
    <w:p>
      <w:pPr>
        <w:pStyle w:val="893"/>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（3-1）法定代表人授权委托书</w:t>
      </w:r>
      <w:bookmarkEnd w:id="275"/>
      <w:r/>
      <w:bookmarkEnd w:id="276"/>
      <w:r/>
      <w:bookmarkEnd w:id="277"/>
      <w:r>
        <w:rPr>
          <w:rFonts w:hint="eastAsia" w:ascii="宋体" w:hAnsi="宋体" w:cs="宋体"/>
          <w:bCs w:val="0"/>
          <w:color w:val="000000" w:themeColor="text1"/>
          <w:sz w:val="24"/>
          <w:szCs w:val="24"/>
          <w:highlight w:val="none"/>
          <w14:textFill>
            <w14:solidFill>
              <w14:schemeClr w14:val="tx1"/>
            </w14:solidFill>
          </w14:textFill>
        </w:rPr>
        <w:t xml:space="preserve">（适用于法人/非法人）</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本授权书声明：注册于</w:t>
      </w:r>
      <w:r>
        <w:rPr>
          <w:rFonts w:hint="eastAsia" w:ascii="宋体" w:hAnsi="宋体" w:cs="宋体"/>
          <w:color w:val="000000" w:themeColor="text1"/>
          <w:szCs w:val="21"/>
          <w:highlight w:val="none"/>
          <w:u w:val="single"/>
          <w14:textFill>
            <w14:solidFill>
              <w14:schemeClr w14:val="tx1"/>
            </w14:solidFill>
          </w14:textFill>
        </w:rPr>
        <w:t xml:space="preserve">（国家或地区的名称）</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的在法定代表人（签字或盖章）处签字的</w:t>
      </w:r>
      <w:r>
        <w:rPr>
          <w:rFonts w:hint="eastAsia" w:ascii="宋体" w:hAnsi="宋体" w:cs="宋体"/>
          <w:color w:val="000000" w:themeColor="text1"/>
          <w:szCs w:val="21"/>
          <w:highlight w:val="none"/>
          <w:u w:val="single"/>
          <w14:textFill>
            <w14:solidFill>
              <w14:schemeClr w14:val="tx1"/>
            </w14:solidFill>
          </w14:textFill>
        </w:rPr>
        <w:t xml:space="preserve">   （法定代表人姓名、职务）   </w:t>
      </w:r>
      <w:r>
        <w:rPr>
          <w:rFonts w:hint="eastAsia" w:ascii="宋体" w:hAnsi="宋体" w:cs="宋体"/>
          <w:color w:val="000000" w:themeColor="text1"/>
          <w:szCs w:val="21"/>
          <w:highlight w:val="none"/>
          <w14:textFill>
            <w14:solidFill>
              <w14:schemeClr w14:val="tx1"/>
            </w14:solidFill>
          </w14:textFill>
        </w:rPr>
        <w:t xml:space="preserve">代表本单位授权 </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（授权代表的姓名、职务）（身份证号码：             ）</w:t>
      </w:r>
      <w:r>
        <w:rPr>
          <w:rFonts w:hint="eastAsia" w:ascii="宋体" w:hAnsi="宋体" w:cs="宋体"/>
          <w:color w:val="000000" w:themeColor="text1"/>
          <w:szCs w:val="21"/>
          <w:highlight w:val="none"/>
          <w14:textFill>
            <w14:solidFill>
              <w14:schemeClr w14:val="tx1"/>
            </w14:solidFill>
          </w14:textFill>
        </w:rPr>
        <w:t xml:space="preserve">为本单位的合法代理人，就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南京鼓楼医院颞下颌手术系统采购项目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JSZC-320100-JITC-G2026-0218</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以本单位名义处理一切与之相关的事务，其后果由我单位承担。</w:t>
      </w:r>
      <w:r/>
    </w:p>
    <w:p>
      <w:pPr>
        <w:ind w:firstLine="420"/>
        <w:spacing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法定代表人（签字或盖章）： </w:t>
      </w:r>
      <w:r/>
    </w:p>
    <w:p>
      <w:pPr>
        <w:pStyle w:val="891"/>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891"/>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附：法定代表人有效期内的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86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70"/>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w:t>
      </w:r>
      <w:r>
        <w:rPr>
          <w:rFonts w:hint="eastAsia" w:ascii="宋体" w:hAnsi="宋体" w:cs="宋体"/>
          <w:color w:val="000000" w:themeColor="text1"/>
          <w:highlight w:val="none"/>
          <w14:textFill>
            <w14:solidFill>
              <w14:schemeClr w14:val="tx1"/>
            </w14:solidFill>
          </w14:textFill>
        </w:rPr>
        <w:t xml:space="preserve">（正反面）</w:t>
      </w:r>
      <w:r/>
    </w:p>
    <w:tbl>
      <w:tblPr>
        <w:tblStyle w:val="863"/>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70"/>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91"/>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 </w:t>
      </w:r>
      <w:r/>
    </w:p>
    <w:p>
      <w:pPr>
        <w:pStyle w:val="891"/>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891"/>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278" w:name="_Toc107246279"/>
      <w:r/>
      <w:bookmarkStart w:id="279" w:name="_Toc104560895"/>
      <w:r/>
      <w:r/>
    </w:p>
    <w:p>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93"/>
        <w:ind w:firstLine="426"/>
        <w:spacing w:before="0"/>
        <w:rPr>
          <w:rFonts w:hint="eastAsia" w:ascii="宋体" w:hAnsi="宋体" w:cs="宋体"/>
          <w:bCs w:val="0"/>
          <w:color w:val="000000" w:themeColor="text1"/>
          <w:sz w:val="21"/>
          <w:szCs w:val="24"/>
          <w:highlight w:val="none"/>
          <w14:textFill>
            <w14:solidFill>
              <w14:schemeClr w14:val="tx1"/>
            </w14:solidFill>
          </w14:textFill>
        </w:rPr>
      </w:pPr>
      <w:r/>
      <w:bookmarkStart w:id="280" w:name="_Toc104560900"/>
      <w:r/>
      <w:bookmarkStart w:id="281" w:name="_Toc103848585"/>
      <w:r/>
      <w:bookmarkStart w:id="282" w:name="_Toc107246278"/>
      <w:r>
        <w:rPr>
          <w:rFonts w:hint="eastAsia" w:ascii="宋体" w:hAnsi="宋体" w:cs="宋体"/>
          <w:bCs w:val="0"/>
          <w:color w:val="000000" w:themeColor="text1"/>
          <w:sz w:val="24"/>
          <w:szCs w:val="24"/>
          <w:highlight w:val="none"/>
          <w14:textFill>
            <w14:solidFill>
              <w14:schemeClr w14:val="tx1"/>
            </w14:solidFill>
          </w14:textFill>
        </w:rPr>
        <w:t xml:space="preserve">（3-2）授权委托书（适用于自然人投标）</w:t>
      </w:r>
      <w:bookmarkEnd w:id="280"/>
      <w:r/>
      <w:bookmarkEnd w:id="281"/>
      <w:r/>
      <w:bookmarkEnd w:id="282"/>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本授权书声明：我</w:t>
      </w:r>
      <w:r>
        <w:rPr>
          <w:rFonts w:hint="eastAsia" w:ascii="宋体" w:hAnsi="宋体" w:cs="宋体"/>
          <w:color w:val="000000" w:themeColor="text1"/>
          <w:szCs w:val="21"/>
          <w:highlight w:val="none"/>
          <w:u w:val="single"/>
          <w14:textFill>
            <w14:solidFill>
              <w14:schemeClr w14:val="tx1"/>
            </w14:solidFill>
          </w14:textFill>
        </w:rPr>
        <w:t xml:space="preserve">    （姓名）    </w:t>
      </w:r>
      <w:r>
        <w:rPr>
          <w:rFonts w:hint="eastAsia" w:ascii="宋体" w:hAnsi="宋体" w:cs="宋体"/>
          <w:color w:val="000000" w:themeColor="text1"/>
          <w:szCs w:val="21"/>
          <w:highlight w:val="none"/>
          <w14:textFill>
            <w14:solidFill>
              <w14:schemeClr w14:val="tx1"/>
            </w14:solidFill>
          </w14:textFill>
        </w:rPr>
        <w:t xml:space="preserve">系自然人，现授权在授权代表（签字）处签字的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（授权代表的姓名）（身份证号码：             ）</w:t>
      </w:r>
      <w:r>
        <w:rPr>
          <w:rFonts w:hint="eastAsia" w:ascii="宋体" w:hAnsi="宋体" w:cs="宋体"/>
          <w:color w:val="000000" w:themeColor="text1"/>
          <w:szCs w:val="21"/>
          <w:highlight w:val="none"/>
          <w14:textFill>
            <w14:solidFill>
              <w14:schemeClr w14:val="tx1"/>
            </w14:solidFill>
          </w14:textFill>
        </w:rPr>
        <w:t xml:space="preserve">为本人的合法代理人，就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南京鼓楼医院颞下颌手术系统采购项目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JSZC-320100-JITC-G2026-0218</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，以本人名义处理一切与之相关的事务，其后果由我本人承担。</w:t>
      </w:r>
      <w:r/>
    </w:p>
    <w:p>
      <w:pPr>
        <w:ind w:firstLine="420"/>
        <w:spacing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自然人姓名（签字）：  </w:t>
      </w:r>
      <w:r/>
    </w:p>
    <w:p>
      <w:pPr>
        <w:pStyle w:val="891"/>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46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891"/>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w:t>
      </w:r>
      <w:r>
        <w:rPr>
          <w:rFonts w:hint="eastAsia" w:ascii="宋体" w:hAnsi="宋体" w:cs="宋体"/>
          <w:color w:val="000000" w:themeColor="text1"/>
          <w:highlight w:val="none"/>
          <w14:textFill>
            <w14:solidFill>
              <w14:schemeClr w14:val="tx1"/>
            </w14:solidFill>
          </w14:textFill>
        </w:rPr>
        <w:t xml:space="preserve">自然人</w:t>
      </w:r>
      <w:r>
        <w:rPr>
          <w:rFonts w:hint="eastAsia" w:ascii="宋体" w:hAnsi="宋体" w:cs="宋体"/>
          <w:color w:val="000000" w:themeColor="text1"/>
          <w:szCs w:val="21"/>
          <w:highlight w:val="none"/>
          <w14:textFill>
            <w14:solidFill>
              <w14:schemeClr w14:val="tx1"/>
            </w14:solidFill>
          </w14:textFill>
        </w:rPr>
        <w:t xml:space="preserve">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86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70"/>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91"/>
        <w:ind w:firstLine="37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授权代表有效期内的身份证复印件（正反面）</w:t>
      </w:r>
      <w:r/>
    </w:p>
    <w:tbl>
      <w:tblPr>
        <w:tblStyle w:val="863"/>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70"/>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val="false"/>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891"/>
        <w:ind w:firstLine="373"/>
        <w:spacing w:line="240" w:lineRule="atLeas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注：若投标文件中签字之处均为投标自然人本人签署，则可不提供本《授权委托书》，但须提供自然人身份证复印件。</w:t>
      </w:r>
      <w:r/>
    </w:p>
    <w:p>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93"/>
        <w:numPr>
          <w:ilvl w:val="0"/>
          <w:numId w:val="3"/>
        </w:numPr>
        <w:ind w:firstLine="426"/>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开标一览表</w:t>
      </w:r>
      <w:bookmarkEnd w:id="270"/>
      <w:r/>
      <w:bookmarkEnd w:id="278"/>
      <w:r/>
      <w:bookmarkEnd w:id="279"/>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left="-120"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投标人全称（CA公章）：供应商名称</w:t>
      </w:r>
      <w:r/>
    </w:p>
    <w:p>
      <w:pPr>
        <w:ind w:left="-120" w:firstLine="21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南京鼓楼医院颞下颌手术系统采购项目</w:t>
      </w:r>
      <w:r/>
    </w:p>
    <w:p>
      <w:pPr>
        <w:ind w:left="-120" w:firstLine="210"/>
        <w:spacing w:line="360" w:lineRule="auto"/>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bookmarkStart w:id="283" w:name="_Toc103848581"/>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JSZC-320100-JITC-G2026-0218</w:t>
      </w:r>
      <w:r/>
    </w:p>
    <w:p>
      <w:pPr>
        <w:ind w:left="-120" w:firstLine="21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分包号</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分包号</w:t>
      </w:r>
      <w:r/>
    </w:p>
    <w:tbl>
      <w:tblPr>
        <w:tblStyle w:val="8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54"/>
        <w:gridCol w:w="5382"/>
      </w:tblGrid>
      <w:tr>
        <w:trPr>
          <w:jc w:val="center"/>
          <w:trHeight w:val="1061"/>
        </w:trPr>
        <w:tc>
          <w:tcPr>
            <w:tcW w:w="3454" w:type="dxa"/>
            <w:vAlign w:val="center"/>
            <w:textDirection w:val="lrTb"/>
            <w:noWrap w:val="false"/>
          </w:tcPr>
          <w:p>
            <w:pPr>
              <w:ind w:left="-120" w:firstLine="210"/>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bookmarkStart w:id="284" w:name="OLE_LINK17"/>
            <w:r/>
            <w:bookmarkStart w:id="285" w:name="_Toc104560896"/>
            <w:r>
              <w:rPr>
                <w:rFonts w:hint="eastAsia" w:ascii="宋体" w:hAnsi="宋体" w:eastAsia="宋体" w:cs="宋体"/>
                <w:color w:val="000000" w:themeColor="text1"/>
                <w:szCs w:val="21"/>
                <w:highlight w:val="none"/>
                <w:lang w:val="en-US" w:eastAsia="zh-CN"/>
                <w14:textFill>
                  <w14:solidFill>
                    <w14:schemeClr w14:val="tx1"/>
                  </w14:solidFill>
                </w14:textFill>
              </w:rPr>
              <w:t xml:space="preserve">投标货物名称</w:t>
            </w:r>
            <w:r/>
          </w:p>
        </w:tc>
        <w:tc>
          <w:tcPr>
            <w:tcW w:w="5382" w:type="dxa"/>
            <w:vAlign w:val="center"/>
            <w:textDirection w:val="lrTb"/>
            <w:noWrap w:val="false"/>
          </w:tcPr>
          <w:p>
            <w:pPr>
              <w:ind w:left="-120" w:firstLine="210"/>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总价</w:t>
            </w:r>
            <w:r/>
          </w:p>
        </w:tc>
      </w:tr>
      <w:tr>
        <w:trPr>
          <w:jc w:val="center"/>
          <w:trHeight w:val="1081"/>
        </w:trPr>
        <w:tc>
          <w:tcPr>
            <w:tcW w:w="3454" w:type="dxa"/>
            <w:vAlign w:val="center"/>
            <w:textDirection w:val="lrTb"/>
            <w:noWrap w:val="false"/>
          </w:tcPr>
          <w:p>
            <w:pPr>
              <w:ind w:left="-120" w:firstLine="210"/>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r>
            <w:r/>
          </w:p>
        </w:tc>
        <w:tc>
          <w:tcPr>
            <w:tcW w:w="5382" w:type="dxa"/>
            <w:vAlign w:val="center"/>
            <w:textDirection w:val="lrTb"/>
            <w:noWrap w:val="false"/>
          </w:tcPr>
          <w:p>
            <w:pPr>
              <w:ind w:left="-120" w:firstLine="210"/>
              <w:jc w:val="center"/>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r>
            <w:r/>
          </w:p>
        </w:tc>
      </w:tr>
    </w:tbl>
    <w:p>
      <w:pPr>
        <w:ind w:right="420" w:firstLine="372"/>
        <w:jc w:val="center"/>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bookmarkEnd w:id="284"/>
      <w:r/>
      <w:bookmarkEnd w:id="283"/>
      <w:r/>
      <w:bookmarkEnd w:id="285"/>
      <w:r/>
      <w:r/>
    </w:p>
    <w:p>
      <w:pPr>
        <w:ind w:right="420" w:firstLine="372"/>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pStyle w:val="893"/>
        <w:numPr>
          <w:ilvl w:val="0"/>
          <w:numId w:val="3"/>
        </w:numPr>
        <w:ind w:left="0" w:firstLine="426"/>
        <w:rPr>
          <w:rFonts w:hint="eastAsia" w:ascii="Microsoft New Tai Lue" w:hAnsi="Microsoft New Tai Lue" w:cs="Microsoft New Tai Lue"/>
          <w:b/>
          <w:bCs/>
          <w:color w:val="000000" w:themeColor="text1"/>
          <w:sz w:val="24"/>
          <w:highlight w:val="none"/>
          <w:lang w:val="en-US" w:eastAsia="zh-CN"/>
          <w14:textFill>
            <w14:solidFill>
              <w14:schemeClr w14:val="tx1"/>
            </w14:solidFill>
          </w14:textFill>
        </w:rPr>
      </w:pPr>
      <w:r/>
      <w:bookmarkStart w:id="286" w:name="_Toc104560901"/>
      <w:r/>
      <w:bookmarkStart w:id="287" w:name="_Toc107246281"/>
      <w:r/>
      <w:bookmarkStart w:id="288" w:name="_Toc103848586"/>
      <w:r/>
      <w:bookmarkStart w:id="289" w:name="_Toc102117319"/>
      <w:r>
        <w:rPr>
          <w:rStyle w:val="1141"/>
          <w:rFonts w:hAnsi="宋体"/>
          <w:color w:val="000000" w:themeColor="text1"/>
          <w:highlight w:val="none"/>
          <w14:textFill>
            <w14:solidFill>
              <w14:schemeClr w14:val="tx1"/>
            </w14:solidFill>
          </w14:textFill>
        </w:rPr>
        <w:br w:type="page" w:clear="all"/>
      </w:r>
      <w:r>
        <w:rPr>
          <w:rFonts w:hint="eastAsia" w:ascii="Microsoft New Tai Lue" w:hAnsi="Microsoft New Tai Lue" w:cs="Microsoft New Tai Lue"/>
          <w:b/>
          <w:bCs/>
          <w:color w:val="000000" w:themeColor="text1"/>
          <w:sz w:val="24"/>
          <w:highlight w:val="none"/>
          <w:lang w:val="en-US" w:eastAsia="zh-CN"/>
          <w14:textFill>
            <w14:solidFill>
              <w14:schemeClr w14:val="tx1"/>
            </w14:solidFill>
          </w14:textFill>
        </w:rPr>
        <w:t xml:space="preserve">产品信息表</w:t>
      </w:r>
      <w:r/>
    </w:p>
    <w:p>
      <w:pPr>
        <w:ind w:left="-120" w:firstLine="21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南京鼓楼医院颞下颌手术系统采购项目</w:t>
      </w:r>
      <w:r/>
    </w:p>
    <w:p>
      <w:pPr>
        <w:ind w:left="-120" w:firstLine="210"/>
        <w:spacing w:line="360" w:lineRule="auto"/>
        <w:rPr>
          <w:rFonts w:hint="eastAsia" w:ascii="宋体" w:hAnsi="宋体" w:eastAsia="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JSZC-320100-JITC-G2026-0218</w:t>
      </w:r>
      <w:r/>
    </w:p>
    <w:p>
      <w:pPr>
        <w:numPr>
          <w:ilvl w:val="0"/>
          <w:numId w:val="0"/>
        </w:numPr>
        <w:ind w:left="426"/>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tbl>
      <w:tblPr>
        <w:tblStyle w:val="863"/>
        <w:tblW w:w="8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0"/>
        <w:gridCol w:w="1098"/>
        <w:gridCol w:w="770"/>
        <w:gridCol w:w="651"/>
        <w:gridCol w:w="687"/>
        <w:gridCol w:w="715"/>
        <w:gridCol w:w="767"/>
        <w:gridCol w:w="1585"/>
        <w:gridCol w:w="1176"/>
      </w:tblGrid>
      <w:tr>
        <w:trPr>
          <w:jc w:val="center"/>
          <w:trHeight w:val="640"/>
        </w:trPr>
        <w:tc>
          <w:tcPr>
            <w:tcBorders>
              <w:top w:val="single" w:color="auto" w:sz="4" w:space="0"/>
              <w:left w:val="single" w:color="auto" w:sz="4" w:space="0"/>
              <w:bottom w:val="single" w:color="auto" w:sz="4" w:space="0"/>
              <w:right w:val="single" w:color="auto" w:sz="4" w:space="0"/>
            </w:tcBorders>
            <w:tcW w:w="1030" w:type="dxa"/>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jc w:val="center"/>
              <w:widowControl/>
              <w:rPr>
                <w:rFonts w:hint="default" w:ascii="Microsoft New Tai Lue" w:hAnsi="Microsoft New Tai Lue" w:eastAsia="宋体" w:cs="Microsoft New Tai Lue"/>
                <w:b/>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t xml:space="preserve">产品名称</w:t>
            </w:r>
            <w:r/>
          </w:p>
        </w:tc>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651" w:type="dxa"/>
            <w:vAlign w:val="center"/>
            <w:textDirection w:val="lrTb"/>
            <w:noWrap w:val="false"/>
          </w:tcPr>
          <w:p>
            <w:pPr>
              <w:jc w:val="center"/>
              <w:widowControl/>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t xml:space="preserve">规格</w:t>
            </w:r>
            <w:r/>
          </w:p>
          <w:p>
            <w:pPr>
              <w:jc w:val="center"/>
              <w:widowControl/>
              <w:rPr>
                <w:rFonts w:hint="eastAsia"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型号</w:t>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widowControl/>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rFonts w:hint="default" w:ascii="Microsoft New Tai Lue" w:hAnsi="Microsoft New Tai Lue" w:eastAsia="宋体" w:cs="Microsoft New Tai Lue"/>
                <w:b/>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t xml:space="preserve">总价</w:t>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制造商/产地</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hint="default" w:ascii="Microsoft New Tai Lue" w:hAnsi="Microsoft New Tai Lue" w:eastAsia="宋体" w:cs="Microsoft New Tai Lue"/>
                <w:b/>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b/>
                <w:color w:val="000000" w:themeColor="text1"/>
                <w:szCs w:val="21"/>
                <w:highlight w:val="none"/>
                <w:lang w:val="en-US" w:eastAsia="zh-CN"/>
                <w14:textFill>
                  <w14:solidFill>
                    <w14:schemeClr w14:val="tx1"/>
                  </w14:solidFill>
                </w14:textFill>
              </w:rPr>
              <w:t xml:space="preserve">是否进口产品</w:t>
            </w:r>
            <w:r/>
          </w:p>
        </w:tc>
      </w:tr>
      <w:tr>
        <w:trPr>
          <w:jc w:val="center"/>
          <w:trHeight w:val="554"/>
        </w:trPr>
        <w:tc>
          <w:tcPr>
            <w:tcBorders>
              <w:top w:val="single" w:color="auto" w:sz="4" w:space="0"/>
              <w:left w:val="single" w:color="auto" w:sz="4" w:space="0"/>
              <w:bottom w:val="single" w:color="auto" w:sz="4" w:space="0"/>
              <w:right w:val="single" w:color="auto" w:sz="4" w:space="0"/>
            </w:tcBorders>
            <w:tcW w:w="1030" w:type="dxa"/>
            <w:vAlign w:val="center"/>
            <w:textDirection w:val="lrTb"/>
            <w:noWrap w:val="false"/>
          </w:tcPr>
          <w:p>
            <w:pPr>
              <w:numPr>
                <w:ilvl w:val="0"/>
                <w:numId w:val="4"/>
              </w:numPr>
              <w:ind w:left="425" w:hanging="425"/>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jc w:val="center"/>
              <w:widowControl/>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eastAsia="宋体" w:cs="Microsoft New Tai Lue"/>
                <w:color w:val="000000" w:themeColor="text1"/>
                <w:szCs w:val="21"/>
                <w:highlight w:val="none"/>
                <w:lang w:eastAsia="zh-CN"/>
                <w14:textFill>
                  <w14:solidFill>
                    <w14:schemeClr w14:val="tx1"/>
                  </w14:solidFill>
                </w14:textFill>
              </w:rPr>
              <w:t xml:space="preserve">颞下颌手术系统</w:t>
            </w:r>
            <w:r/>
          </w:p>
        </w:tc>
        <w:tc>
          <w:tcPr>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1"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Microsoft New Tai Lue" w:hAnsi="Microsoft New Tai Lue" w:eastAsia="宋体" w:cs="Microsoft New Tai Lue"/>
                <w:color w:val="000000" w:themeColor="text1"/>
                <w:szCs w:val="21"/>
                <w:highlight w:val="none"/>
                <w:lang w:val="en-US"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widowControl/>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tc>
      </w:tr>
    </w:tbl>
    <w:p>
      <w:pPr>
        <w:pStyle w:val="869"/>
        <w:jc w:val="righ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right"/>
        <w:rPr>
          <w:rStyle w:val="1141"/>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r>
      <w:r/>
    </w:p>
    <w:p>
      <w:pPr>
        <w:rPr>
          <w:rStyle w:val="1141"/>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r>
      <w:r/>
    </w:p>
    <w:p>
      <w:pPr>
        <w:rPr>
          <w:rStyle w:val="1141"/>
          <w:rFonts w:hint="eastAsia" w:hAnsi="宋体"/>
          <w:color w:val="000000" w:themeColor="text1"/>
          <w:highlight w:val="none"/>
          <w14:textFill>
            <w14:solidFill>
              <w14:schemeClr w14:val="tx1"/>
            </w14:solidFill>
          </w14:textFill>
        </w:rPr>
      </w:pPr>
      <w:r>
        <w:rPr>
          <w:rStyle w:val="1141"/>
          <w:rFonts w:hint="eastAsia" w:hAnsi="宋体"/>
          <w:color w:val="000000" w:themeColor="text1"/>
          <w:highlight w:val="none"/>
          <w14:textFill>
            <w14:solidFill>
              <w14:schemeClr w14:val="tx1"/>
            </w14:solidFill>
          </w14:textFill>
        </w:rPr>
        <w:br w:type="page" w:clear="all"/>
      </w:r>
      <w:r/>
    </w:p>
    <w:p>
      <w:pPr>
        <w:pStyle w:val="893"/>
        <w:rPr>
          <w:rFonts w:ascii="Microsoft New Tai Lue" w:hAnsi="Microsoft New Tai Lue" w:cs="Microsoft New Tai Lue"/>
          <w:b/>
          <w:color w:val="000000" w:themeColor="text1"/>
          <w:sz w:val="24"/>
          <w:highlight w:val="none"/>
          <w14:textFill>
            <w14:solidFill>
              <w14:schemeClr w14:val="tx1"/>
            </w14:solidFill>
          </w14:textFill>
        </w:rPr>
      </w:pPr>
      <w:r>
        <w:rPr>
          <w:rStyle w:val="1141"/>
          <w:rFonts w:hint="eastAsia" w:ascii="Times New Roman" w:hAnsi="宋体"/>
          <w:color w:val="000000" w:themeColor="text1"/>
          <w:highlight w:val="none"/>
          <w14:textFill>
            <w14:solidFill>
              <w14:schemeClr w14:val="tx1"/>
            </w14:solidFill>
          </w14:textFill>
        </w:rPr>
        <w:t xml:space="preserve">（5-1）</w:t>
      </w:r>
      <w:r>
        <w:rPr>
          <w:rFonts w:ascii="Microsoft New Tai Lue" w:hAnsi="Microsoft New Tai Lue" w:cs="Microsoft New Tai Lue"/>
          <w:color w:val="000000" w:themeColor="text1"/>
          <w:sz w:val="24"/>
          <w:highlight w:val="none"/>
          <w14:textFill>
            <w14:solidFill>
              <w14:schemeClr w14:val="tx1"/>
            </w14:solidFill>
          </w14:textFill>
        </w:rPr>
        <w:t xml:space="preserve">分项报价表</w:t>
      </w:r>
      <w:r/>
    </w:p>
    <w:p>
      <w:pPr>
        <w:ind w:left="-120" w:firstLine="210"/>
        <w:spacing w:line="360" w:lineRule="auto"/>
        <w:rPr>
          <w:rFonts w:hint="eastAsia" w:ascii="Microsoft New Tai Lue" w:hAnsi="Microsoft New Tai Lue"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项目名称：南京鼓楼医院颞下颌手术系统采购项目</w:t>
      </w:r>
      <w:r/>
    </w:p>
    <w:p>
      <w:pPr>
        <w:ind w:left="-120" w:firstLine="210"/>
        <w:spacing w:line="360" w:lineRule="auto"/>
        <w:rPr>
          <w:rFonts w:hint="eastAsia" w:ascii="Microsoft New Tai Lue" w:hAnsi="Microsoft New Tai Lue"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t xml:space="preserve">项目编号：JSZC-320100-JITC-G2026-0218</w:t>
      </w:r>
      <w:r/>
    </w:p>
    <w:tbl>
      <w:tblPr>
        <w:tblStyle w:val="89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7"/>
        <w:gridCol w:w="1125"/>
        <w:gridCol w:w="647"/>
        <w:gridCol w:w="762"/>
        <w:gridCol w:w="1030"/>
        <w:gridCol w:w="688"/>
        <w:gridCol w:w="741"/>
        <w:gridCol w:w="627"/>
        <w:gridCol w:w="966"/>
        <w:gridCol w:w="939"/>
        <w:gridCol w:w="807"/>
      </w:tblGrid>
      <w:tr>
        <w:trPr>
          <w:trHeight w:val="756"/>
        </w:trPr>
        <w:tc>
          <w:tcPr>
            <w:tcW w:w="283"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序号</w:t>
            </w:r>
            <w:r/>
          </w:p>
        </w:tc>
        <w:tc>
          <w:tcPr>
            <w:tcW w:w="639"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产品名称</w:t>
            </w:r>
            <w:r/>
          </w:p>
        </w:tc>
        <w:tc>
          <w:tcPr>
            <w:tcW w:w="368"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品牌</w:t>
            </w:r>
            <w:r/>
          </w:p>
        </w:tc>
        <w:tc>
          <w:tcPr>
            <w:tcW w:w="433"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规格型号</w:t>
            </w:r>
            <w:r/>
          </w:p>
        </w:tc>
        <w:tc>
          <w:tcPr>
            <w:tcW w:w="585"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注册证号</w:t>
            </w:r>
            <w:r/>
          </w:p>
        </w:tc>
        <w:tc>
          <w:tcPr>
            <w:tcW w:w="391"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产地</w:t>
            </w:r>
            <w:r/>
          </w:p>
        </w:tc>
        <w:tc>
          <w:tcPr>
            <w:tcW w:w="421"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数量</w:t>
            </w:r>
            <w:r/>
          </w:p>
        </w:tc>
        <w:tc>
          <w:tcPr>
            <w:tcW w:w="356"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单位</w:t>
            </w:r>
            <w:r/>
          </w:p>
        </w:tc>
        <w:tc>
          <w:tcPr>
            <w:tcW w:w="548"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单价</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（元）</w:t>
            </w:r>
            <w:r/>
          </w:p>
        </w:tc>
        <w:tc>
          <w:tcPr>
            <w:tcW w:w="518"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小计</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（元）</w:t>
            </w:r>
            <w:r/>
          </w:p>
        </w:tc>
        <w:tc>
          <w:tcPr>
            <w:tcW w:w="452" w:type="pct"/>
            <w:vAlign w:val="center"/>
            <w:textDirection w:val="lrTb"/>
            <w:noWrap w:val="false"/>
          </w:tcPr>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备注</w:t>
            </w:r>
            <w:r/>
          </w:p>
        </w:tc>
      </w:tr>
      <w:tr>
        <w:trPr>
          <w:trHeight w:val="454"/>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648"/>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54"/>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54"/>
        </w:trPr>
        <w:tc>
          <w:tcPr>
            <w:tcW w:w="28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639"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c>
          <w:tcPr>
            <w:tcW w:w="36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33"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85"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91"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21"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356"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4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18"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452" w:type="pct"/>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54"/>
        </w:trPr>
        <w:tc>
          <w:tcPr>
            <w:gridSpan w:val="11"/>
            <w:tcW w:w="5000" w:type="pct"/>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总计：                     元</w:t>
            </w:r>
            <w:r/>
          </w:p>
        </w:tc>
      </w:tr>
    </w:tbl>
    <w:p>
      <w:pPr>
        <w:ind w:left="-120" w:firstLine="210"/>
        <w:spacing w:line="360" w:lineRule="auto"/>
        <w:rPr>
          <w:rFonts w:hint="eastAsia" w:ascii="Microsoft New Tai Lue" w:hAnsi="Microsoft New Tai Lue" w:cs="Microsoft New Tai Lue"/>
          <w:color w:val="000000" w:themeColor="text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Cs w:val="21"/>
          <w:highlight w:val="none"/>
          <w:lang w:eastAsia="zh-CN"/>
          <w14:textFill>
            <w14:solidFill>
              <w14:schemeClr w14:val="tx1"/>
            </w14:solidFill>
          </w14:textFill>
        </w:rPr>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ascii="Microsoft New Tai Lue" w:hAnsi="Microsoft New Tai Lue" w:cs="Microsoft New Tai Lue"/>
          <w:b/>
          <w:bCs/>
          <w:color w:val="000000" w:themeColor="text1"/>
          <w:sz w:val="22"/>
          <w:szCs w:val="22"/>
          <w:highlight w:val="none"/>
          <w14:textFill>
            <w14:solidFill>
              <w14:schemeClr w14:val="tx1"/>
            </w14:solidFill>
          </w14:textFill>
        </w:rPr>
        <w:t xml:space="preserve">注：</w:t>
      </w:r>
      <w:r/>
    </w:p>
    <w:p>
      <w:pPr>
        <w:tabs>
          <w:tab w:val="left" w:pos="6045" w:leader="none"/>
        </w:tabs>
        <w:rPr>
          <w:rFonts w:ascii="Microsoft New Tai Lue" w:hAnsi="Microsoft New Tai Lue" w:cs="Microsoft New Tai Lue"/>
          <w:b/>
          <w:bCs/>
          <w:color w:val="000000" w:themeColor="text1"/>
          <w:sz w:val="22"/>
          <w:szCs w:val="22"/>
          <w:highlight w:val="none"/>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t xml:space="preserve">1.</w:t>
      </w:r>
      <w:r>
        <w:rPr>
          <w:rFonts w:ascii="Microsoft New Tai Lue" w:hAnsi="Microsoft New Tai Lue" w:cs="Microsoft New Tai Lue"/>
          <w:b/>
          <w:bCs/>
          <w:color w:val="000000" w:themeColor="text1"/>
          <w:sz w:val="22"/>
          <w:szCs w:val="22"/>
          <w:highlight w:val="none"/>
          <w14:textFill>
            <w14:solidFill>
              <w14:schemeClr w14:val="tx1"/>
            </w14:solidFill>
          </w14:textFill>
        </w:rPr>
        <w:t xml:space="preserve">如果行数不够，请自行增加。</w:t>
      </w:r>
      <w:r/>
    </w:p>
    <w:p>
      <w:pPr>
        <w:pStyle w:val="870"/>
        <w:numPr>
          <w:ilvl w:val="0"/>
          <w:numId w:val="5"/>
        </w:numPr>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t xml:space="preserve">“分项报价表”中“总价”金额应当与“开标一览表”中“投标总价”金额一致。</w:t>
      </w:r>
      <w:r/>
    </w:p>
    <w:p>
      <w:pPr>
        <w:pStyle w:val="870"/>
        <w:numPr>
          <w:ilvl w:val="0"/>
          <w:numId w:val="5"/>
        </w:numPr>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pPr>
      <w:r>
        <w:rPr>
          <w:rFonts w:hint="eastAsia" w:ascii="Microsoft New Tai Lue" w:hAnsi="Microsoft New Tai Lue" w:cs="Microsoft New Tai Lue"/>
          <w:b/>
          <w:bCs/>
          <w:color w:val="000000" w:themeColor="text1"/>
          <w:sz w:val="22"/>
          <w:szCs w:val="22"/>
          <w:highlight w:val="none"/>
          <w:lang w:val="en-US" w:eastAsia="zh-CN"/>
          <w14:textFill>
            <w14:solidFill>
              <w14:schemeClr w14:val="tx1"/>
            </w14:solidFill>
          </w14:textFill>
        </w:rPr>
        <w:t xml:space="preserve">本表均填写含税价格。</w:t>
      </w:r>
      <w:r/>
    </w:p>
    <w:p>
      <w:pPr>
        <w:numPr>
          <w:ilvl w:val="0"/>
          <w:numId w:val="0"/>
        </w:num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jc w:val="both"/>
        <w:spacing w:line="360" w:lineRule="auto"/>
        <w:rPr>
          <w:rFonts w:ascii="Microsoft New Tai Lue" w:hAnsi="Microsoft New Tai Lue" w:cs="Microsoft New Tai Lue"/>
          <w:color w:val="000000" w:themeColor="text1"/>
          <w:sz w:val="22"/>
          <w:szCs w:val="22"/>
          <w:highlight w:val="none"/>
          <w14:textFill>
            <w14:solidFill>
              <w14:schemeClr w14:val="tx1"/>
            </w14:solidFill>
          </w14:textFill>
        </w:rPr>
      </w:pPr>
      <w:r>
        <w:rPr>
          <w:rFonts w:ascii="Microsoft New Tai Lue" w:hAnsi="Microsoft New Tai Lue" w:cs="Microsoft New Tai Lue"/>
          <w:color w:val="000000" w:themeColor="text1"/>
          <w:sz w:val="22"/>
          <w:szCs w:val="22"/>
          <w:highlight w:val="none"/>
          <w14:textFill>
            <w14:solidFill>
              <w14:schemeClr w14:val="tx1"/>
            </w14:solidFill>
          </w14:textFill>
        </w:rPr>
      </w:r>
      <w:r/>
    </w:p>
    <w:p>
      <w:pPr>
        <w:ind w:firstLine="440"/>
        <w:jc w:val="right"/>
        <w:spacing w:line="360" w:lineRule="auto"/>
        <w:rPr>
          <w:rFonts w:ascii="Microsoft New Tai Lue" w:hAnsi="Microsoft New Tai Lue" w:cs="Microsoft New Tai Lue"/>
          <w:color w:val="000000" w:themeColor="text1"/>
          <w:sz w:val="22"/>
          <w:szCs w:val="22"/>
          <w:highlight w:val="none"/>
          <w14:textFill>
            <w14:solidFill>
              <w14:schemeClr w14:val="tx1"/>
            </w14:solidFill>
          </w14:textFill>
        </w:rPr>
      </w:pPr>
      <w:r>
        <w:rPr>
          <w:rFonts w:ascii="Microsoft New Tai Lue" w:hAnsi="Microsoft New Tai Lue" w:cs="Microsoft New Tai Lue"/>
          <w:color w:val="000000" w:themeColor="text1"/>
          <w:sz w:val="22"/>
          <w:szCs w:val="22"/>
          <w:highlight w:val="none"/>
          <w14:textFill>
            <w14:solidFill>
              <w14:schemeClr w14:val="tx1"/>
            </w14:solidFill>
          </w14:textFill>
        </w:rPr>
      </w:r>
      <w:r/>
    </w:p>
    <w:p>
      <w:pPr>
        <w:ind w:right="420" w:firstLine="3780"/>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名称（公章）：</w:t>
      </w:r>
      <w:r>
        <w:rPr>
          <w:color w:val="000000" w:themeColor="text1"/>
          <w:highlight w:val="none"/>
          <w:u w:val="single"/>
          <w14:textFill>
            <w14:solidFill>
              <w14:schemeClr w14:val="tx1"/>
            </w14:solidFill>
          </w14:textFill>
        </w:rPr>
        <w:t xml:space="preserve">                 </w:t>
      </w:r>
      <w:r/>
    </w:p>
    <w:p>
      <w:pPr>
        <w:ind w:firstLine="422"/>
        <w:jc w:val="left"/>
        <w:spacing w:line="360" w:lineRule="auto"/>
        <w:rPr>
          <w:rStyle w:val="1141"/>
          <w:rFonts w:hint="eastAsia" w:ascii="Times New Roman" w:hAnsi="宋体"/>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ind w:left="42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3"/>
        <w:ind w:firstLine="426"/>
        <w:spacing w:before="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（6）商务条款偏离表</w:t>
      </w:r>
      <w:bookmarkEnd w:id="286"/>
      <w:r/>
      <w:bookmarkEnd w:id="287"/>
      <w:r/>
      <w:bookmarkEnd w:id="288"/>
      <w:r/>
      <w:r/>
    </w:p>
    <w:p>
      <w:pPr>
        <w:pStyle w:val="1131"/>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南京鼓楼医院颞下颌手术系统采购项目</w:t>
      </w:r>
      <w:r/>
    </w:p>
    <w:p>
      <w:pPr>
        <w:pStyle w:val="1131"/>
        <w:ind w:firstLine="420"/>
        <w:rPr>
          <w:rFonts w:hint="eastAsia" w:hAnsi="宋体" w:eastAsia="宋体" w:cs="宋体"/>
          <w:color w:val="000000" w:themeColor="text1"/>
          <w:sz w:val="21"/>
          <w:szCs w:val="21"/>
          <w:highlight w:val="none"/>
          <w:u w:val="singl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JSZC-320100-JITC-G2026-0218</w:t>
      </w:r>
      <w:r/>
    </w:p>
    <w:tbl>
      <w:tblPr>
        <w:tblStyle w:val="863"/>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185"/>
        <w:gridCol w:w="1985"/>
        <w:gridCol w:w="2076"/>
        <w:gridCol w:w="1326"/>
        <w:gridCol w:w="1438"/>
        <w:gridCol w:w="1176"/>
      </w:tblGrid>
      <w:tr>
        <w:trPr>
          <w:jc w:val="center"/>
          <w:trHeight w:val="635"/>
        </w:trPr>
        <w:tc>
          <w:tcPr>
            <w:tcW w:w="653"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185"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1985"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招标文件的商务条款</w:t>
            </w:r>
            <w:r/>
          </w:p>
        </w:tc>
        <w:tc>
          <w:tcPr>
            <w:tcW w:w="2076" w:type="dxa"/>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投标文件的商务条款</w:t>
            </w:r>
            <w:r/>
          </w:p>
        </w:tc>
        <w:tc>
          <w:tcPr>
            <w:tcW w:w="1326" w:type="dxa"/>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响应/偏离</w:t>
            </w:r>
            <w:r/>
          </w:p>
        </w:tc>
        <w:tc>
          <w:tcPr>
            <w:tcW w:w="1438"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投标文件响应页码</w:t>
            </w:r>
            <w:r/>
          </w:p>
        </w:tc>
        <w:tc>
          <w:tcPr>
            <w:tcW w:w="1176"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653"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653"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653"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653"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653"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653"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85"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985"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076" w:type="dxa"/>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326" w:type="dxa"/>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438"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76"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891"/>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bookmarkStart w:id="290" w:name="OLE_LINK18"/>
      <w:r>
        <w:rPr>
          <w:rFonts w:hint="eastAsia" w:ascii="宋体" w:hAnsi="宋体" w:cs="宋体"/>
          <w:color w:val="000000" w:themeColor="text1"/>
          <w:highlight w:val="none"/>
          <w14:textFill>
            <w14:solidFill>
              <w14:schemeClr w14:val="tx1"/>
            </w14:solidFill>
          </w14:textFill>
        </w:rPr>
        <w:t xml:space="preserve">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bookmarkEnd w:id="290"/>
      <w:r/>
      <w:r/>
    </w:p>
    <w:p>
      <w:pPr>
        <w:pStyle w:val="891"/>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891"/>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投标人须根据招标文件商务条款要求填写此表，作为投标文件的组成部分。</w:t>
      </w:r>
      <w:r/>
    </w:p>
    <w:p>
      <w:pPr>
        <w:pStyle w:val="891"/>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投标人须对照招标文件商务条款部分逐条说明做出实质性的响应。所有偏离必须在本表中列出，未在本偏离表中列出偏离，将视为投标人已完全接受招标文件要求。</w:t>
      </w:r>
      <w:r/>
    </w:p>
    <w:p>
      <w:pPr>
        <w:pStyle w:val="891"/>
        <w:ind w:firstLine="373"/>
        <w:spacing w:line="360" w:lineRule="exact"/>
        <w:rPr>
          <w:rStyle w:val="902"/>
          <w:rFonts w:ascii="Times New Roman" w:hAnsi="Times New Roman"/>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w:t>
      </w:r>
      <w:r>
        <w:rPr>
          <w:rStyle w:val="902"/>
          <w:rFonts w:hint="eastAsia" w:ascii="Times New Roman" w:hAnsi="Times New Roman"/>
          <w:b/>
          <w:bCs/>
          <w:color w:val="000000" w:themeColor="text1"/>
          <w:highlight w:val="none"/>
          <w14:textFill>
            <w14:solidFill>
              <w14:schemeClr w14:val="tx1"/>
            </w14:solidFill>
          </w14:textFill>
        </w:rPr>
        <w:t xml:space="preserve">“响应/偏离”栏需注明响应/正偏离/负偏离，正偏离指投标人的响应优于招标文件要求，负偏离指投标人的响应低于招标文件要求。</w:t>
      </w:r>
      <w:r/>
    </w:p>
    <w:p>
      <w:pPr>
        <w:pStyle w:val="891"/>
        <w:ind w:firstLine="373"/>
        <w:spacing w:line="360" w:lineRule="exact"/>
        <w:rPr>
          <w:rStyle w:val="902"/>
          <w:rFonts w:ascii="Times New Roman" w:hAnsi="Times New Roman"/>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 </w:t>
      </w:r>
      <w:r>
        <w:rPr>
          <w:rStyle w:val="902"/>
          <w:rFonts w:ascii="Times New Roman" w:hAnsi="Times New Roman"/>
          <w:b/>
          <w:bCs/>
          <w:color w:val="000000" w:themeColor="text1"/>
          <w:highlight w:val="none"/>
          <w14:textFill>
            <w14:solidFill>
              <w14:schemeClr w14:val="tx1"/>
            </w14:solidFill>
          </w14:textFill>
        </w:rPr>
        <w:t xml:space="preserve">行数不够，投标人请自行增加</w:t>
      </w:r>
      <w:r/>
    </w:p>
    <w:p>
      <w:pPr>
        <w:ind w:firstLine="440"/>
        <w:jc w:val="right"/>
        <w:spacing w:line="360" w:lineRule="auto"/>
        <w:rPr>
          <w:rFonts w:hint="eastAsia" w:ascii="宋体" w:hAnsi="宋体" w:cs="宋体"/>
          <w:color w:val="000000" w:themeColor="text1"/>
          <w:sz w:val="22"/>
          <w:szCs w:val="22"/>
          <w:highlight w:val="none"/>
          <w14:textFill>
            <w14:solidFill>
              <w14:schemeClr w14:val="tx1"/>
            </w14:solidFill>
          </w14:textFill>
        </w:rPr>
      </w:pPr>
      <w:r/>
      <w:bookmarkStart w:id="291" w:name="_Toc104560902"/>
      <w:r/>
      <w:bookmarkStart w:id="292" w:name="_Toc103848587"/>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93"/>
        <w:spacing w:line="240" w:lineRule="atLeast"/>
        <w:rPr>
          <w:rFonts w:hint="eastAsia" w:ascii="宋体" w:hAnsi="宋体" w:cs="宋体"/>
          <w:bCs w:val="0"/>
          <w:color w:val="000000" w:themeColor="text1"/>
          <w:sz w:val="24"/>
          <w:szCs w:val="24"/>
          <w:highlight w:val="none"/>
          <w14:textFill>
            <w14:solidFill>
              <w14:schemeClr w14:val="tx1"/>
            </w14:solidFill>
          </w14:textFill>
        </w:rPr>
      </w:pPr>
      <w:r/>
      <w:bookmarkStart w:id="293" w:name="_Toc107246282"/>
      <w:r>
        <w:rPr>
          <w:rFonts w:hint="eastAsia" w:ascii="宋体" w:hAnsi="宋体" w:cs="宋体"/>
          <w:bCs w:val="0"/>
          <w:color w:val="000000" w:themeColor="text1"/>
          <w:sz w:val="24"/>
          <w:szCs w:val="24"/>
          <w:highlight w:val="none"/>
          <w14:textFill>
            <w14:solidFill>
              <w14:schemeClr w14:val="tx1"/>
            </w14:solidFill>
          </w14:textFill>
        </w:rPr>
        <w:t xml:space="preserve">（7）投标人具备投标资格的证明文件</w:t>
      </w:r>
      <w:bookmarkEnd w:id="291"/>
      <w:r/>
      <w:bookmarkEnd w:id="292"/>
      <w:r/>
      <w:bookmarkEnd w:id="293"/>
      <w:r/>
      <w:r/>
    </w:p>
    <w:p>
      <w:pPr>
        <w:pStyle w:val="893"/>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bookmarkStart w:id="294" w:name="_Toc107246283"/>
      <w:r/>
      <w:bookmarkStart w:id="295" w:name="_Toc104560903"/>
      <w:r/>
      <w:bookmarkStart w:id="296" w:name="_Toc103848588"/>
      <w:r>
        <w:rPr>
          <w:rFonts w:hint="eastAsia" w:ascii="宋体" w:hAnsi="宋体" w:cs="宋体"/>
          <w:bCs w:val="0"/>
          <w:color w:val="000000" w:themeColor="text1"/>
          <w:sz w:val="24"/>
          <w:szCs w:val="24"/>
          <w:highlight w:val="none"/>
          <w14:textFill>
            <w14:solidFill>
              <w14:schemeClr w14:val="tx1"/>
            </w14:solidFill>
          </w14:textFill>
        </w:rPr>
        <w:t xml:space="preserve">（7-1-1）营业执照复印件</w:t>
      </w:r>
      <w:bookmarkEnd w:id="289"/>
      <w:r>
        <w:rPr>
          <w:rFonts w:hint="eastAsia" w:ascii="宋体" w:hAnsi="宋体" w:cs="宋体"/>
          <w:bCs w:val="0"/>
          <w:color w:val="000000" w:themeColor="text1"/>
          <w:sz w:val="24"/>
          <w:szCs w:val="24"/>
          <w:highlight w:val="none"/>
          <w14:textFill>
            <w14:solidFill>
              <w14:schemeClr w14:val="tx1"/>
            </w14:solidFill>
          </w14:textFill>
        </w:rPr>
        <w:t xml:space="preserve">或自然人的身份证明复印件</w:t>
      </w:r>
      <w:bookmarkEnd w:id="294"/>
      <w:r/>
      <w:bookmarkEnd w:id="295"/>
      <w:r/>
      <w:bookmarkEnd w:id="296"/>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bookmarkStart w:id="297" w:name="_Hlk33717720"/>
      <w:r>
        <w:rPr>
          <w:rFonts w:hint="eastAsia" w:ascii="宋体" w:hAnsi="宋体" w:cs="宋体"/>
          <w:b/>
          <w:bCs/>
          <w:color w:val="000000" w:themeColor="text1"/>
          <w:highlight w:val="none"/>
          <w14:textFill>
            <w14:solidFill>
              <w14:schemeClr w14:val="tx1"/>
            </w14:solidFill>
          </w14:textFill>
        </w:rPr>
        <w:t xml:space="preserve">具有独立承担民事责任的能力，投标人提供在有效经营期内的营业执照、法人授权书（法人直接参与投标的可不提供）、法人身份证复印件、投标人代表身份证复印件；</w:t>
      </w:r>
      <w:bookmarkEnd w:id="297"/>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bookmarkStart w:id="298" w:name="_Toc102117320"/>
      <w:r/>
      <w:bookmarkStart w:id="299" w:name="_Toc103848589"/>
      <w:r>
        <w:rPr>
          <w:rFonts w:hint="eastAsia" w:ascii="宋体" w:hAnsi="宋体" w:cs="宋体"/>
          <w:color w:val="000000" w:themeColor="text1"/>
          <w:highlight w:val="none"/>
          <w14:textFill>
            <w14:solidFill>
              <w14:schemeClr w14:val="tx1"/>
            </w14:solidFill>
          </w14:textFill>
        </w:rPr>
        <w:br w:type="page" w:clear="all"/>
      </w:r>
      <w:bookmarkStart w:id="300" w:name="_Toc107246284"/>
      <w:r/>
      <w:bookmarkStart w:id="301" w:name="_Toc104560904"/>
      <w:r/>
      <w:r/>
    </w:p>
    <w:p>
      <w:pPr>
        <w:pStyle w:val="893"/>
        <w:ind w:firstLine="426"/>
        <w:spacing w:line="240" w:lineRule="atLeast"/>
        <w:rPr>
          <w:rFonts w:hint="eastAsia" w:ascii="宋体" w:hAnsi="宋体" w:cs="宋体"/>
          <w:b w:val="0"/>
          <w:color w:val="000000" w:themeColor="text1"/>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（7-1-2）工商变更登记文件（如需）</w:t>
      </w:r>
      <w:bookmarkEnd w:id="298"/>
      <w:r/>
      <w:bookmarkEnd w:id="299"/>
      <w:r/>
      <w:bookmarkEnd w:id="300"/>
      <w:r/>
      <w:bookmarkEnd w:id="301"/>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注：如</w:t>
      </w:r>
      <w:r>
        <w:rPr>
          <w:rFonts w:hint="eastAsia" w:ascii="宋体" w:hAnsi="宋体" w:cs="宋体"/>
          <w:b/>
          <w:bCs/>
          <w:color w:val="000000" w:themeColor="text1"/>
          <w:sz w:val="22"/>
          <w:szCs w:val="22"/>
          <w:highlight w:val="none"/>
          <w14:textFill>
            <w14:solidFill>
              <w14:schemeClr w14:val="tx1"/>
            </w14:solidFill>
          </w14:textFill>
        </w:rPr>
        <w:t xml:space="preserve">投标人</w:t>
      </w:r>
      <w:r>
        <w:rPr>
          <w:rFonts w:hint="eastAsia" w:ascii="宋体" w:hAnsi="宋体" w:cs="宋体"/>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02" w:name="_Toc104560905"/>
      <w:r/>
      <w:bookmarkStart w:id="303" w:name="_Toc107246285"/>
      <w:r/>
      <w:bookmarkStart w:id="304" w:name="_Toc103848590"/>
      <w:r/>
      <w:bookmarkStart w:id="305" w:name="_Toc102117321"/>
      <w:r>
        <w:rPr>
          <w:rFonts w:hint="eastAsia" w:ascii="宋体" w:hAnsi="宋体" w:cs="宋体"/>
          <w:b/>
          <w:color w:val="000000" w:themeColor="text1"/>
          <w:highlight w:val="none"/>
          <w14:textFill>
            <w14:solidFill>
              <w14:schemeClr w14:val="tx1"/>
            </w14:solidFill>
          </w14:textFill>
        </w:rPr>
        <w:t xml:space="preserve">说明：根据《关于在政府采购活动中推行信用承诺制的通知》（宁财购通〔2021〕5 号）的规定，适用信用承诺的供应商，对于下列7-2至7-6款证明材料可使用《南京市政府采购供应商信用记录表暨信用承诺书》替代。</w:t>
      </w:r>
      <w:r/>
    </w:p>
    <w:p>
      <w:pPr>
        <w:pStyle w:val="893"/>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（7-2）</w:t>
      </w:r>
      <w:bookmarkEnd w:id="302"/>
      <w:r/>
      <w:bookmarkEnd w:id="303"/>
      <w:r/>
      <w:bookmarkEnd w:id="304"/>
      <w:r/>
      <w:bookmarkEnd w:id="305"/>
      <w:r>
        <w:rPr>
          <w:rFonts w:hint="eastAsia" w:ascii="宋体" w:hAnsi="宋体" w:cs="宋体"/>
          <w:bCs w:val="0"/>
          <w:color w:val="000000" w:themeColor="text1"/>
          <w:sz w:val="24"/>
          <w:szCs w:val="24"/>
          <w:highlight w:val="none"/>
          <w14:textFill>
            <w14:solidFill>
              <w14:schemeClr w14:val="tx1"/>
            </w14:solidFill>
          </w14:textFill>
        </w:rPr>
        <w:t xml:space="preserve">南京市政府采购供应商信用记录表暨信用承诺书</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372"/>
        <w:spacing w:line="360" w:lineRule="auto"/>
        <w:rPr>
          <w:rFonts w:hint="eastAsia" w:ascii="宋体" w:hAnsi="宋体" w:cs="宋体"/>
          <w:b/>
          <w:color w:val="000000" w:themeColor="text1"/>
          <w:highlight w:val="none"/>
          <w14:textFill>
            <w14:solidFill>
              <w14:schemeClr w14:val="tx1"/>
            </w14:solidFill>
          </w14:textFill>
        </w:rPr>
      </w:pPr>
      <w:r/>
      <w:bookmarkStart w:id="306" w:name="_Toc102117322"/>
      <w:r/>
      <w:bookmarkStart w:id="307" w:name="_Toc103848593"/>
      <w:r/>
      <w:bookmarkStart w:id="308" w:name="_Toc104560908"/>
      <w:r>
        <w:rPr>
          <w:rFonts w:hint="eastAsia" w:ascii="宋体" w:hAnsi="宋体" w:cs="宋体"/>
          <w:b/>
          <w:color w:val="000000" w:themeColor="text1"/>
          <w:highlight w:val="none"/>
          <w14:textFill>
            <w14:solidFill>
              <w14:schemeClr w14:val="tx1"/>
            </w14:solidFill>
          </w14:textFill>
        </w:rPr>
        <w:t xml:space="preserve">具有良好的商业信誉和健全的财务会计制度，投标人提供《南京市政府采购供应商信用记录表暨信用承诺书》；</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其中不适用信用承诺的情形:</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1）供应商被列入严重失信主体名单；</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2）被相关监督部门作出行政处罚且尚处在处罚有效期内；</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3）其他法律、行政法规规定的不适用信用承诺的情形。</w:t>
      </w:r>
      <w:r/>
    </w:p>
    <w:p>
      <w:pPr>
        <w:ind w:firstLine="37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r>
        <w:rPr>
          <w:rFonts w:hint="eastAsia" w:ascii="宋体" w:hAnsi="宋体" w:cs="宋体"/>
          <w:color w:val="000000" w:themeColor="text1"/>
          <w:szCs w:val="21"/>
          <w:highlight w:val="none"/>
          <w14:textFill>
            <w14:solidFill>
              <w14:schemeClr w14:val="tx1"/>
            </w14:solidFill>
          </w14:textFill>
        </w:rPr>
        <w:br w:type="page" w:clear="all"/>
      </w:r>
      <w:bookmarkStart w:id="309" w:name="_Toc107246286"/>
      <w:r/>
      <w:r/>
    </w:p>
    <w:p>
      <w:pPr>
        <w:pStyle w:val="893"/>
        <w:ind w:firstLine="426"/>
        <w:jc w:val="left"/>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(7-3)具有良好的商业信誉和健全的财务会计制度，提供上年度财务报表复印件（如为新成立的公司，应提供公司成立之后的财务报表）或投标文件递交截止时间前3个月内，由其基本开户银行出具的资信证明；</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3"/>
        <w:ind w:firstLine="374"/>
        <w:jc w:val="left"/>
        <w:spacing w:before="0" w:after="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（7-4）具</w:t>
      </w:r>
      <w:bookmarkEnd w:id="306"/>
      <w:r/>
      <w:bookmarkEnd w:id="307"/>
      <w:r/>
      <w:bookmarkEnd w:id="308"/>
      <w:r/>
      <w:bookmarkEnd w:id="309"/>
      <w:r>
        <w:rPr>
          <w:rFonts w:hint="eastAsia" w:ascii="宋体" w:hAnsi="宋体" w:cs="宋体"/>
          <w:bCs w:val="0"/>
          <w:color w:val="000000" w:themeColor="text1"/>
          <w:sz w:val="24"/>
          <w:szCs w:val="24"/>
          <w:highlight w:val="none"/>
          <w14:textFill>
            <w14:solidFill>
              <w14:schemeClr w14:val="tx1"/>
            </w14:solidFill>
          </w14:textFill>
        </w:rPr>
        <w:t xml:space="preserve">有履行合同所必需的设备和专业技术能力，投标人提供具备履行合同所必需的设备和专业技术能力的书面声明（由供应商根据项目需求提供材料）；</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firstLine="779"/>
        <w:jc w:val="center"/>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承 诺 函</w:t>
      </w:r>
      <w:r/>
    </w:p>
    <w:p>
      <w:pPr>
        <w:ind w:firstLine="389"/>
        <w:jc w:val="left"/>
        <w:spacing w:before="120" w:after="120"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我单位郑重承诺：我单位具备履行本项采购合同所必需的设备和专业技术能力。</w:t>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72"/>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72"/>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spacing w:line="276"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投标人名称（公章）：______________________</w:t>
      </w:r>
      <w:r/>
    </w:p>
    <w:p>
      <w:pPr>
        <w:ind w:firstLine="372"/>
        <w:spacing w:line="276"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r>
      <w:r/>
    </w:p>
    <w:p>
      <w:pPr>
        <w:ind w:firstLine="372"/>
        <w:spacing w:line="276"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93"/>
        <w:ind w:firstLine="426"/>
        <w:spacing w:line="240" w:lineRule="atLeast"/>
        <w:rPr>
          <w:rFonts w:hint="eastAsia" w:ascii="宋体" w:hAnsi="宋体" w:cs="宋体"/>
          <w:b w:val="0"/>
          <w:color w:val="000000" w:themeColor="text1"/>
          <w:highlight w:val="none"/>
          <w14:textFill>
            <w14:solidFill>
              <w14:schemeClr w14:val="tx1"/>
            </w14:solidFill>
          </w14:textFill>
        </w:rPr>
      </w:pPr>
      <w:r/>
      <w:bookmarkStart w:id="310" w:name="_Toc102117323"/>
      <w:r/>
      <w:bookmarkStart w:id="311" w:name="_Toc103848591"/>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12" w:name="_Toc104560906"/>
      <w:r/>
      <w:bookmarkStart w:id="313" w:name="_Toc107246287"/>
      <w:r>
        <w:rPr>
          <w:rFonts w:hint="eastAsia" w:ascii="宋体" w:hAnsi="宋体" w:cs="宋体"/>
          <w:bCs w:val="0"/>
          <w:color w:val="000000" w:themeColor="text1"/>
          <w:sz w:val="24"/>
          <w:szCs w:val="24"/>
          <w:highlight w:val="none"/>
          <w14:textFill>
            <w14:solidFill>
              <w14:schemeClr w14:val="tx1"/>
            </w14:solidFill>
          </w14:textFill>
        </w:rPr>
        <w:t xml:space="preserve">（7-5）有依法缴纳税收和社会保障资金的良好记录的相关材料</w:t>
      </w:r>
      <w:bookmarkEnd w:id="310"/>
      <w:r/>
      <w:bookmarkEnd w:id="311"/>
      <w:r/>
      <w:bookmarkEnd w:id="312"/>
      <w:r/>
      <w:bookmarkEnd w:id="313"/>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有依法缴纳税收和社会保障资金的良好记录，投标人提供递交投标文件截止时间前六个月内至少一个月依法缴纳税收及缴纳社会保障资金的证明材料。投标人依法享受缓缴、免缴的，提供证明材料。</w:t>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93"/>
        <w:ind w:firstLine="566"/>
        <w:jc w:val="left"/>
        <w:spacing w:line="240" w:lineRule="atLeast"/>
        <w:rPr>
          <w:rFonts w:hint="eastAsia" w:ascii="宋体" w:hAnsi="宋体" w:cs="宋体"/>
          <w:b w:val="0"/>
          <w:color w:val="000000" w:themeColor="text1"/>
          <w:sz w:val="24"/>
          <w:highlight w:val="none"/>
          <w14:textFill>
            <w14:solidFill>
              <w14:schemeClr w14:val="tx1"/>
            </w14:solidFill>
          </w14:textFill>
        </w:rPr>
      </w:pPr>
      <w:r/>
      <w:bookmarkStart w:id="314" w:name="_Toc107246289"/>
      <w:r/>
      <w:bookmarkStart w:id="315" w:name="_Toc103848594"/>
      <w:r/>
      <w:bookmarkStart w:id="316" w:name="_Toc104560909"/>
      <w:r/>
      <w:bookmarkStart w:id="317" w:name="_Toc102117325"/>
      <w:r>
        <w:rPr>
          <w:rFonts w:hint="eastAsia" w:ascii="宋体" w:hAnsi="宋体" w:cs="宋体"/>
          <w:bCs w:val="0"/>
          <w:color w:val="000000" w:themeColor="text1"/>
          <w:sz w:val="24"/>
          <w:szCs w:val="24"/>
          <w:highlight w:val="none"/>
          <w14:textFill>
            <w14:solidFill>
              <w14:schemeClr w14:val="tx1"/>
            </w14:solidFill>
          </w14:textFill>
        </w:rPr>
        <w:t xml:space="preserve">（7-6）</w:t>
      </w:r>
      <w:bookmarkEnd w:id="314"/>
      <w:r/>
      <w:bookmarkEnd w:id="315"/>
      <w:r/>
      <w:bookmarkEnd w:id="316"/>
      <w:r/>
      <w:bookmarkEnd w:id="317"/>
      <w:r>
        <w:rPr>
          <w:rFonts w:hint="eastAsia" w:ascii="宋体" w:hAnsi="宋体" w:cs="宋体"/>
          <w:bCs w:val="0"/>
          <w:color w:val="000000" w:themeColor="text1"/>
          <w:sz w:val="24"/>
          <w:szCs w:val="24"/>
          <w:highlight w:val="none"/>
          <w14:textFill>
            <w14:solidFill>
              <w14:schemeClr w14:val="tx1"/>
            </w14:solidFill>
          </w14:textFill>
        </w:rPr>
        <w:t xml:space="preserve">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注：参加政府采购活动前3年内在经营活动中没有重大违法记录的书面声明（提供声明函原件）。</w:t>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声  明</w:t>
      </w:r>
      <w:r/>
    </w:p>
    <w:p>
      <w:pPr>
        <w:ind w:firstLine="496"/>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备注：</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较大数额罚款金额规定如下：</w:t>
      </w:r>
      <w:r/>
    </w:p>
    <w:p>
      <w:pPr>
        <w:ind w:firstLine="372"/>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93"/>
        <w:ind w:firstLine="566"/>
        <w:spacing w:line="240" w:lineRule="atLeast"/>
        <w:rPr>
          <w:rFonts w:hint="eastAsia" w:ascii="宋体" w:hAnsi="宋体" w:cs="宋体"/>
          <w:b w:val="0"/>
          <w:color w:val="000000" w:themeColor="text1"/>
          <w:highlight w:val="none"/>
          <w14:textFill>
            <w14:solidFill>
              <w14:schemeClr w14:val="tx1"/>
            </w14:solidFill>
          </w14:textFill>
        </w:rPr>
        <w:sectPr>
          <w:headerReference w:type="default" r:id="rId11"/>
          <w:footerReference w:type="default" r:id="rId16"/>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 w:val="0"/>
          <w:color w:val="000000" w:themeColor="text1"/>
          <w:highlight w:val="none"/>
          <w14:textFill>
            <w14:solidFill>
              <w14:schemeClr w14:val="tx1"/>
            </w14:solidFill>
          </w14:textFill>
        </w:rPr>
        <w:br w:type="page" w:clear="all"/>
      </w:r>
      <w:bookmarkStart w:id="318" w:name="_Toc107246290"/>
      <w:r/>
      <w:bookmarkStart w:id="319" w:name="_Toc104560910"/>
      <w:r/>
      <w:r/>
    </w:p>
    <w:p>
      <w:pPr>
        <w:pStyle w:val="893"/>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（7-7） 法律、行政法规规定的其他条件</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360" w:lineRule="auto"/>
        <w:rPr>
          <w:rFonts w:hint="eastAsia" w:ascii="宋体" w:hAnsi="宋体" w:cs="宋体"/>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000000" w:themeColor="text1"/>
          <w:highlight w:val="none"/>
          <w14:textFill>
            <w14:solidFill>
              <w14:schemeClr w14:val="tx1"/>
            </w14:solidFill>
          </w14:textFill>
        </w:rPr>
      </w:r>
      <w:r/>
    </w:p>
    <w:p>
      <w:pPr>
        <w:pStyle w:val="893"/>
        <w:ind w:firstLine="426"/>
        <w:spacing w:line="240" w:lineRule="atLeast"/>
        <w:rPr>
          <w:rFonts w:hint="eastAsia" w:ascii="宋体" w:hAnsi="宋体" w:cs="宋体"/>
          <w:b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（7-8）承诺函</w:t>
      </w:r>
      <w:bookmarkEnd w:id="318"/>
      <w:r/>
      <w:bookmarkEnd w:id="319"/>
      <w:r/>
      <w:r/>
    </w:p>
    <w:p>
      <w:pPr>
        <w:pStyle w:val="1131"/>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（一）本单位郑重承诺满足以下要求：</w:t>
      </w:r>
      <w:r/>
    </w:p>
    <w:p>
      <w:pPr>
        <w:pStyle w:val="1131"/>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1.投标人单位负责人为同一人或者存在直接控股、管理关系的不同投标人，不得同时参加本项目的采购活动。</w:t>
      </w:r>
      <w:r/>
    </w:p>
    <w:p>
      <w:pPr>
        <w:pStyle w:val="1131"/>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2.凡为采购项目提供整体设计、规范编制或者项目管理、监理、检测等服务的投标人，不得再参加本项目的采购活动。</w:t>
      </w:r>
      <w:r/>
    </w:p>
    <w:p>
      <w:pPr>
        <w:pStyle w:val="1131"/>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（二）本单位郑重承诺，我单位无以下不良信用记录情形：</w:t>
      </w:r>
      <w:r/>
    </w:p>
    <w:p>
      <w:pPr>
        <w:pStyle w:val="1131"/>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1.被人民法院列入失信被执行人；</w:t>
      </w:r>
      <w:r/>
    </w:p>
    <w:p>
      <w:pPr>
        <w:pStyle w:val="1131"/>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2.被税务部门列入重大税收违法失信主体；</w:t>
      </w:r>
      <w:r/>
    </w:p>
    <w:p>
      <w:pPr>
        <w:pStyle w:val="1131"/>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3.被政府采购监管部门列入政府采购严重违法失信行为记录名单；</w:t>
      </w:r>
      <w:r/>
    </w:p>
    <w:p>
      <w:pPr>
        <w:pStyle w:val="1131"/>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4.不符合《政府采购法》第二十二条规定的条件。</w:t>
      </w:r>
      <w:r/>
    </w:p>
    <w:p>
      <w:pPr>
        <w:pStyle w:val="1131"/>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131"/>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131"/>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bookmarkStart w:id="320" w:name="_Toc102117326"/>
      <w:r/>
      <w:bookmarkStart w:id="321" w:name="_Toc103848596"/>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pStyle w:val="893"/>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22" w:name="_Toc104560911"/>
      <w:r/>
      <w:bookmarkStart w:id="323" w:name="_Toc107246291"/>
      <w:r>
        <w:rPr>
          <w:rFonts w:hint="eastAsia" w:ascii="宋体" w:hAnsi="宋体" w:cs="宋体"/>
          <w:bCs w:val="0"/>
          <w:color w:val="000000" w:themeColor="text1"/>
          <w:sz w:val="24"/>
          <w:szCs w:val="24"/>
          <w:highlight w:val="none"/>
          <w14:textFill>
            <w14:solidFill>
              <w14:schemeClr w14:val="tx1"/>
            </w14:solidFill>
          </w14:textFill>
        </w:rPr>
        <w:t xml:space="preserve">（7-9）</w:t>
      </w:r>
      <w:bookmarkEnd w:id="320"/>
      <w:r>
        <w:rPr>
          <w:rFonts w:hint="eastAsia" w:ascii="宋体" w:hAnsi="宋体" w:cs="宋体"/>
          <w:bCs w:val="0"/>
          <w:color w:val="000000" w:themeColor="text1"/>
          <w:sz w:val="24"/>
          <w:szCs w:val="24"/>
          <w:highlight w:val="none"/>
          <w14:textFill>
            <w14:solidFill>
              <w14:schemeClr w14:val="tx1"/>
            </w14:solidFill>
          </w14:textFill>
        </w:rPr>
        <w:t xml:space="preserve">招标文件要求的其它实质性资格资信证明文件</w:t>
      </w:r>
      <w:bookmarkEnd w:id="322"/>
      <w:r/>
      <w:bookmarkEnd w:id="323"/>
      <w:r/>
      <w:r/>
    </w:p>
    <w:p>
      <w:pPr>
        <w:pStyle w:val="1131"/>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1）根据国家相关规定提供投标产品有效的医疗器械产品注册证或产品备案凭证</w:t>
      </w:r>
      <w:r>
        <w:rPr>
          <w:rFonts w:hint="eastAsia" w:hAnsi="宋体" w:cs="宋体"/>
          <w:bCs/>
          <w:color w:val="000000" w:themeColor="text1"/>
          <w:szCs w:val="21"/>
          <w:highlight w:val="none"/>
          <w14:textFill>
            <w14:solidFill>
              <w14:schemeClr w14:val="tx1"/>
            </w14:solidFill>
          </w14:textFill>
        </w:rPr>
        <w:t xml:space="preserve">复印件</w:t>
      </w:r>
      <w:r>
        <w:rPr>
          <w:rFonts w:hint="eastAsia" w:hAnsi="宋体" w:cs="宋体"/>
          <w:color w:val="000000" w:themeColor="text1"/>
          <w:sz w:val="21"/>
          <w:szCs w:val="21"/>
          <w:highlight w:val="none"/>
          <w14:textFill>
            <w14:solidFill>
              <w14:schemeClr w14:val="tx1"/>
            </w14:solidFill>
          </w14:textFill>
        </w:rPr>
        <w:t xml:space="preserve">；</w:t>
      </w:r>
      <w:r/>
    </w:p>
    <w:p>
      <w:pPr>
        <w:pStyle w:val="1131"/>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2）若投标供应商为代理商，应根据国家相关规定提供范围涵盖投标产品的医疗器械经营许可证或医疗器械经营备案凭证复印件；</w:t>
      </w:r>
      <w:r/>
    </w:p>
    <w:p>
      <w:pPr>
        <w:pStyle w:val="1131"/>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3）若投标供应商为生产商，应根据国家相关规定提供范围涵盖投标产品的医疗器械生产许可证或生产备案凭证</w:t>
      </w:r>
      <w:r>
        <w:rPr>
          <w:rFonts w:hint="eastAsia" w:hAnsi="宋体" w:cs="宋体"/>
          <w:bCs/>
          <w:color w:val="000000" w:themeColor="text1"/>
          <w:szCs w:val="21"/>
          <w:highlight w:val="none"/>
          <w14:textFill>
            <w14:solidFill>
              <w14:schemeClr w14:val="tx1"/>
            </w14:solidFill>
          </w14:textFill>
        </w:rPr>
        <w:t xml:space="preserve">复印件</w:t>
      </w:r>
      <w:r>
        <w:rPr>
          <w:rFonts w:hint="eastAsia" w:hAnsi="宋体" w:cs="宋体"/>
          <w:color w:val="000000" w:themeColor="text1"/>
          <w:sz w:val="21"/>
          <w:szCs w:val="21"/>
          <w:highlight w:val="none"/>
          <w14:textFill>
            <w14:solidFill>
              <w14:schemeClr w14:val="tx1"/>
            </w14:solidFill>
          </w14:textFill>
        </w:rPr>
        <w:t xml:space="preserve">；</w:t>
      </w:r>
      <w:r/>
    </w:p>
    <w:p>
      <w:pPr>
        <w:pStyle w:val="1131"/>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4）若所投产品为进口产品，应提供有效的经销授权复印件（格式自拟，从生产企业至投标供应商逐级全涵盖）</w:t>
      </w:r>
      <w:r/>
    </w:p>
    <w:p>
      <w:pPr>
        <w:rPr>
          <w:rFonts w:hint="eastAsia" w:ascii="宋体" w:hAnsi="宋体" w:cs="宋体"/>
          <w:color w:val="000000" w:themeColor="text1"/>
          <w:highlight w:val="none"/>
          <w14:textFill>
            <w14:solidFill>
              <w14:schemeClr w14:val="tx1"/>
            </w14:solidFill>
          </w14:textFill>
        </w:rPr>
      </w:pPr>
      <w:r/>
      <w:bookmarkStart w:id="324" w:name="_Toc107246292"/>
      <w:r>
        <w:rPr>
          <w:rFonts w:hint="eastAsia" w:ascii="宋体" w:hAnsi="宋体" w:cs="宋体"/>
          <w:color w:val="000000" w:themeColor="text1"/>
          <w:highlight w:val="none"/>
          <w14:textFill>
            <w14:solidFill>
              <w14:schemeClr w14:val="tx1"/>
            </w14:solidFill>
          </w14:textFill>
        </w:rPr>
        <w:br w:type="page" w:clear="all"/>
      </w:r>
      <w:bookmarkEnd w:id="324"/>
      <w:r/>
      <w:bookmarkStart w:id="325" w:name="_Toc104560912"/>
      <w:r/>
      <w:bookmarkStart w:id="326" w:name="_Toc107246293"/>
      <w:r/>
      <w:r/>
    </w:p>
    <w:p>
      <w:pPr>
        <w:pStyle w:val="893"/>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（8）售后服务条款</w:t>
      </w:r>
      <w:r/>
    </w:p>
    <w:p>
      <w:pPr>
        <w:ind w:left="142" w:firstLine="211"/>
        <w:jc w:val="center"/>
        <w:spacing w:line="276" w:lineRule="auto"/>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售后</w:t>
      </w:r>
      <w:r>
        <w:rPr>
          <w:rFonts w:hint="eastAsia"/>
          <w:b/>
          <w:color w:val="000000" w:themeColor="text1"/>
          <w:szCs w:val="21"/>
          <w:highlight w:val="none"/>
          <w14:textFill>
            <w14:solidFill>
              <w14:schemeClr w14:val="tx1"/>
            </w14:solidFill>
          </w14:textFill>
        </w:rPr>
        <w:t xml:space="preserve">服务</w:t>
      </w:r>
      <w:r>
        <w:rPr>
          <w:rFonts w:hint="eastAsia"/>
          <w:b/>
          <w:color w:val="000000" w:themeColor="text1"/>
          <w:highlight w:val="none"/>
          <w14:textFill>
            <w14:solidFill>
              <w14:schemeClr w14:val="tx1"/>
            </w14:solidFill>
          </w14:textFill>
        </w:rPr>
        <w:t xml:space="preserve">条款</w:t>
      </w:r>
      <w:r/>
    </w:p>
    <w:p>
      <w:pPr>
        <w:ind w:left="142" w:firstLine="211"/>
        <w:spacing w:line="276"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left="142" w:firstLine="221"/>
        <w:jc w:val="left"/>
        <w:spacing w:line="276" w:lineRule="auto"/>
        <w:rPr>
          <w:b/>
          <w:color w:val="000000" w:themeColor="text1"/>
          <w:sz w:val="22"/>
          <w:highlight w:val="none"/>
          <w14:textFill>
            <w14:solidFill>
              <w14:schemeClr w14:val="tx1"/>
            </w14:solidFill>
          </w14:textFill>
        </w:rPr>
      </w:pPr>
      <w:r>
        <w:rPr>
          <w:rFonts w:hint="eastAsia"/>
          <w:b/>
          <w:color w:val="000000" w:themeColor="text1"/>
          <w:sz w:val="22"/>
          <w:highlight w:val="none"/>
          <w14:textFill>
            <w14:solidFill>
              <w14:schemeClr w14:val="tx1"/>
            </w14:solidFill>
          </w14:textFill>
        </w:rPr>
        <w:t xml:space="preserve">甲方：南京鼓楼医院 </w:t>
      </w:r>
      <w:r>
        <w:rPr>
          <w:b/>
          <w:color w:val="000000" w:themeColor="text1"/>
          <w:sz w:val="22"/>
          <w:highlight w:val="none"/>
          <w14:textFill>
            <w14:solidFill>
              <w14:schemeClr w14:val="tx1"/>
            </w14:solidFill>
          </w14:textFill>
        </w:rPr>
        <w:t xml:space="preserve">   </w:t>
      </w:r>
      <w:r>
        <w:rPr>
          <w:rFonts w:hint="eastAsia"/>
          <w:b/>
          <w:color w:val="000000" w:themeColor="text1"/>
          <w:sz w:val="22"/>
          <w:highlight w:val="none"/>
          <w14:textFill>
            <w14:solidFill>
              <w14:schemeClr w14:val="tx1"/>
            </w14:solidFill>
          </w14:textFill>
        </w:rPr>
        <w:t xml:space="preserve">乙方：设备供应商</w:t>
      </w:r>
      <w:r/>
    </w:p>
    <w:p>
      <w:pPr>
        <w:numPr>
          <w:ilvl w:val="0"/>
          <w:numId w:val="6"/>
        </w:numPr>
        <w:spacing w:line="276" w:lineRule="auto"/>
        <w:tabs>
          <w:tab w:val="left" w:pos="360" w:leader="none"/>
        </w:tabs>
        <w:rPr>
          <w:color w:val="000000" w:themeColor="text1"/>
          <w:szCs w:val="2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乙方免费提前为甲方提供设备安装图纸，并充分协助甲方做好机房的准备工作（如必要的话）。</w:t>
      </w:r>
      <w:r/>
    </w:p>
    <w:p>
      <w:pPr>
        <w:pStyle w:val="1138"/>
        <w:numPr>
          <w:ilvl w:val="0"/>
          <w:numId w:val="6"/>
        </w:numPr>
        <w:spacing w:line="276" w:lineRule="auto"/>
        <w:tabs>
          <w:tab w:val="left" w:pos="360" w:leader="none"/>
        </w:tabs>
        <w:rPr>
          <w:b/>
          <w:bCs/>
          <w:color w:val="000000" w:themeColor="text1"/>
          <w:szCs w:val="2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所有医疗设备必须提供符合国家标准的电源线，插头制式必须为中国标准制式，保证安全接地，不接受欧标、美标等制式电源线。</w:t>
      </w:r>
      <w:r/>
    </w:p>
    <w:p>
      <w:pPr>
        <w:pStyle w:val="1138"/>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设备安装时，乙方负责设备的免费安装和调试，但乙方必须事先与甲方的医用物资保障处联系，并与医用物资保障处共同参与，否则引起的一切责任由乙方承担。</w:t>
      </w:r>
      <w:r/>
    </w:p>
    <w:p>
      <w:pPr>
        <w:pStyle w:val="1138"/>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乙方逾期交付货物的，每逾期一天，乙方向甲方偿付货款总额1%的滞纳金，如乙方逾期交货达10天，甲方有权解除合同或双方协商赔偿方式。</w:t>
      </w:r>
      <w:r/>
    </w:p>
    <w:p>
      <w:pPr>
        <w:pStyle w:val="1138"/>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装机所产生的垃圾必须摆放整齐，不得有影响工作人员、病人及家属安全通过的行为。公司在装机后24小时内必须完成对包装拆除物的清理。因包装拆除物原因引起的医疗事故和纠纷，由公司承担全部法律和经济责任。</w:t>
      </w:r>
      <w:r/>
    </w:p>
    <w:p>
      <w:pPr>
        <w:numPr>
          <w:ilvl w:val="0"/>
          <w:numId w:val="6"/>
        </w:numPr>
        <w:spacing w:line="276" w:lineRule="auto"/>
        <w:shd w:val="clear" w:color="ffffff" w:themeColor="background1" w:fill="ffffff" w:themeFill="background1"/>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设备安装、调试结束后，甲方对设备进行验收（时间由甲、乙双方商定），乙方免费派工程师到达现场协助验收工作。保修期自甲方验收合格之日算起</w:t>
      </w:r>
      <w:r>
        <w:rPr>
          <w:rFonts w:hint="eastAsia"/>
          <w:color w:val="000000" w:themeColor="text1"/>
          <w:szCs w:val="21"/>
          <w:highlight w:val="none"/>
          <w14:textFill>
            <w14:solidFill>
              <w14:schemeClr w14:val="tx1"/>
            </w14:solidFill>
          </w14:textFill>
        </w:rPr>
        <w:t xml:space="preserve">，保修期外故障待修复后只收配件费，免收上门费、人工费</w:t>
      </w:r>
      <w:r>
        <w:rPr>
          <w:rFonts w:hint="eastAsia"/>
          <w:color w:val="000000" w:themeColor="text1"/>
          <w:highlight w:val="none"/>
          <w14:textFill>
            <w14:solidFill>
              <w14:schemeClr w14:val="tx1"/>
            </w14:solidFill>
          </w14:textFill>
        </w:rPr>
        <w:t xml:space="preserve">。</w:t>
      </w:r>
      <w:r/>
    </w:p>
    <w:p>
      <w:pPr>
        <w:numPr>
          <w:ilvl w:val="0"/>
          <w:numId w:val="6"/>
        </w:numPr>
        <w:spacing w:line="276" w:lineRule="auto"/>
        <w:shd w:val="clear" w:color="ffffff" w:themeColor="background1" w:fill="ffffff" w:themeFill="background1"/>
        <w:tabs>
          <w:tab w:val="left" w:pos="360" w:leader="none"/>
        </w:tabs>
        <w:rPr>
          <w:color w:val="000000" w:themeColor="text1"/>
          <w:highlight w:val="none"/>
          <w14:textFill>
            <w14:solidFill>
              <w14:schemeClr w14:val="tx1"/>
            </w14:solidFill>
          </w14:textFill>
        </w:rPr>
      </w:pPr>
      <w:r>
        <w:rPr>
          <w:rFonts w:hint="eastAsia"/>
          <w:b/>
          <w:bCs/>
          <w:color w:val="000000" w:themeColor="text1"/>
          <w:sz w:val="22"/>
          <w:szCs w:val="28"/>
          <w:highlight w:val="none"/>
          <w14:textFill>
            <w14:solidFill>
              <w14:schemeClr w14:val="tx1"/>
            </w14:solidFill>
          </w14:textFill>
        </w:rPr>
        <w:t xml:space="preserve">上述设备免费保修</w:t>
      </w:r>
      <w:r>
        <w:rPr>
          <w:rFonts w:hint="eastAsia"/>
          <w:b/>
          <w:bCs/>
          <w:color w:val="000000" w:themeColor="text1"/>
          <w:sz w:val="22"/>
          <w:szCs w:val="28"/>
          <w:highlight w:val="none"/>
          <w:u w:val="single"/>
          <w14:textFill>
            <w14:solidFill>
              <w14:schemeClr w14:val="tx1"/>
            </w14:solidFill>
          </w14:textFill>
        </w:rPr>
        <w:t xml:space="preserve">  </w:t>
      </w:r>
      <w:r>
        <w:rPr>
          <w:rFonts w:hint="eastAsia"/>
          <w:b/>
          <w:bCs/>
          <w:color w:val="000000" w:themeColor="text1"/>
          <w:sz w:val="22"/>
          <w:szCs w:val="28"/>
          <w:highlight w:val="none"/>
          <w14:textFill>
            <w14:solidFill>
              <w14:schemeClr w14:val="tx1"/>
            </w14:solidFill>
          </w14:textFill>
        </w:rPr>
        <w:t xml:space="preserve">年</w:t>
      </w:r>
      <w:r>
        <w:rPr>
          <w:rFonts w:hint="eastAsia"/>
          <w:color w:val="000000" w:themeColor="text1"/>
          <w:highlight w:val="none"/>
          <w14:textFill>
            <w14:solidFill>
              <w14:schemeClr w14:val="tx1"/>
            </w14:solidFill>
          </w14:textFill>
        </w:rPr>
        <w:t xml:space="preserve">，保修范围包括合同中所有配置。并确保设备保修期内开机率≥9</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%，如设备故障停机率超过</w:t>
      </w:r>
      <w:r>
        <w:rPr>
          <w:color w:val="000000" w:themeColor="text1"/>
          <w:highlight w:val="none"/>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%（一年按</w:t>
      </w:r>
      <w:r>
        <w:rPr>
          <w:color w:val="000000" w:themeColor="text1"/>
          <w:highlight w:val="none"/>
          <w14:textFill>
            <w14:solidFill>
              <w14:schemeClr w14:val="tx1"/>
            </w14:solidFill>
          </w14:textFill>
        </w:rPr>
        <w:t xml:space="preserve">365</w:t>
      </w:r>
      <w:r>
        <w:rPr>
          <w:rFonts w:hint="eastAsia"/>
          <w:color w:val="000000" w:themeColor="text1"/>
          <w:highlight w:val="none"/>
          <w14:textFill>
            <w14:solidFill>
              <w14:schemeClr w14:val="tx1"/>
            </w14:solidFill>
          </w14:textFill>
        </w:rPr>
        <w:t xml:space="preserve">天计算，每年</w:t>
      </w:r>
      <w:r>
        <w:rPr>
          <w:color w:val="000000" w:themeColor="text1"/>
          <w:highlight w:val="none"/>
          <w14:textFill>
            <w14:solidFill>
              <w14:schemeClr w14:val="tx1"/>
            </w14:solidFill>
          </w14:textFill>
        </w:rPr>
        <w:t xml:space="preserve">18</w:t>
      </w:r>
      <w:r>
        <w:rPr>
          <w:rFonts w:hint="eastAsia"/>
          <w:color w:val="000000" w:themeColor="text1"/>
          <w:highlight w:val="none"/>
          <w14:textFill>
            <w14:solidFill>
              <w14:schemeClr w14:val="tx1"/>
            </w14:solidFill>
          </w14:textFill>
        </w:rPr>
        <w:t xml:space="preserve">天），每超过一天，保修期延长两周。保修期外乙方对本设备终身负责维修。</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如设备发生故障，乙方在接到甲方报修电话后1小时之内响应，</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小时内到达甲方现场（若无维修站点，2</w:t>
      </w:r>
      <w:r>
        <w:rPr>
          <w:color w:val="000000" w:themeColor="text1"/>
          <w:highlight w:val="none"/>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保修期内每年肆次定期维护，并经甲方工程师签字确认，留档备查。</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如设备软件升级，乙方负责免费软件升级，保证软件为最新、最高版本。</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如有设备具有远程维修诊断功能，乙方负责免费为甲方安装。</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乙方需在交货后五个工作日内免费提供全套资料，含产品合格证（国产设备）、出厂计量合格证（强检设备）、操作手册、维修手册（含详细电路图）、海关报关单（进口设备）、商检合格证明（进口设备），如技术资料不全，甲方有权不支付货款或退货，因此产生的损失由乙方自行承担。</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技术培训：在安装过程中或安装结束后，乙方工程师或有关人员有义务对甲方工程师和操作人员进行现场维修、保养、操作培训并提供快捷操作指南</w:t>
      </w:r>
      <w:r>
        <w:rPr>
          <w:rFonts w:hint="eastAsia"/>
          <w:b/>
          <w:color w:val="000000" w:themeColor="text1"/>
          <w:highlight w:val="none"/>
          <w14:textFill>
            <w14:solidFill>
              <w14:schemeClr w14:val="tx1"/>
            </w14:solidFill>
          </w14:textFill>
        </w:rPr>
        <w:t xml:space="preserve">（过塑封好，挂在设备上）</w:t>
      </w:r>
      <w:r>
        <w:rPr>
          <w:rFonts w:hint="eastAsia"/>
          <w:color w:val="000000" w:themeColor="text1"/>
          <w:highlight w:val="none"/>
          <w14:textFill>
            <w14:solidFill>
              <w14:schemeClr w14:val="tx1"/>
            </w14:solidFill>
          </w14:textFill>
        </w:rPr>
        <w:t xml:space="preserve">，解答甲方人员提出的问题。必要时提供正规培训班培训，确保操作人员掌握完成日常工作所需的基本操作方法为止，工程师掌握基本的维护保养操作技术为止。详见乙方公司承诺书。</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如乙方提供的设备设有维修软件密码，乙方保证无条件地为甲方永久免费打开。</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如果产生与设备价值、成本相关的任何法律纠纷由供应商承担，采购人不承担任何相关法律责任。</w:t>
      </w:r>
      <w:r/>
    </w:p>
    <w:p>
      <w:pPr>
        <w:numPr>
          <w:ilvl w:val="0"/>
          <w:numId w:val="6"/>
        </w:numPr>
        <w:spacing w:line="276" w:lineRule="auto"/>
        <w:tabs>
          <w:tab w:val="left" w:pos="360"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p>
    <w:p>
      <w:pPr>
        <w:pStyle w:val="871"/>
        <w:ind w:left="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869"/>
        <w:ind w:firstLine="420"/>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说明：投标人须在投标文件中写明设备免费保修期限，并与商务条款中的保修时间一致。</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bookmarkEnd w:id="321"/>
      <w:r/>
      <w:bookmarkEnd w:id="325"/>
      <w:r/>
      <w:bookmarkEnd w:id="326"/>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93"/>
        <w:ind w:left="601" w:firstLine="498"/>
        <w:spacing w:before="0"/>
        <w:rPr>
          <w:rFonts w:hint="eastAsia" w:ascii="宋体" w:hAnsi="宋体" w:cs="宋体"/>
          <w:color w:val="000000" w:themeColor="text1"/>
          <w:sz w:val="28"/>
          <w:szCs w:val="24"/>
          <w:highlight w:val="none"/>
          <w14:textFill>
            <w14:solidFill>
              <w14:schemeClr w14:val="tx1"/>
            </w14:solidFill>
          </w14:textFill>
        </w:rPr>
      </w:pPr>
      <w:r/>
      <w:bookmarkStart w:id="327" w:name="_Toc103848599"/>
      <w:r/>
      <w:bookmarkStart w:id="328" w:name="_Toc107246299"/>
      <w:r/>
      <w:bookmarkStart w:id="329" w:name="_Toc104560916"/>
      <w:r>
        <w:rPr>
          <w:rFonts w:ascii="宋体" w:hAnsi="宋体" w:cs="宋体"/>
          <w:color w:val="000000" w:themeColor="text1"/>
          <w:sz w:val="28"/>
          <w:szCs w:val="24"/>
          <w:highlight w:val="none"/>
          <w14:textFill>
            <w14:solidFill>
              <w14:schemeClr w14:val="tx1"/>
            </w14:solidFill>
          </w14:textFill>
        </w:rPr>
        <w:t xml:space="preserve">二、</w:t>
      </w:r>
      <w:r>
        <w:rPr>
          <w:rFonts w:hint="eastAsia" w:ascii="宋体" w:hAnsi="宋体" w:cs="宋体"/>
          <w:color w:val="000000" w:themeColor="text1"/>
          <w:sz w:val="28"/>
          <w:szCs w:val="24"/>
          <w:highlight w:val="none"/>
          <w14:textFill>
            <w14:solidFill>
              <w14:schemeClr w14:val="tx1"/>
            </w14:solidFill>
          </w14:textFill>
        </w:rPr>
        <w:t xml:space="preserve">技术部分</w:t>
      </w:r>
      <w:bookmarkEnd w:id="327"/>
      <w:r/>
      <w:bookmarkEnd w:id="328"/>
      <w:r/>
      <w:bookmarkEnd w:id="329"/>
      <w:r/>
      <w:r/>
    </w:p>
    <w:p>
      <w:pPr>
        <w:pStyle w:val="893"/>
        <w:ind w:firstLine="426"/>
        <w:spacing w:before="0"/>
        <w:rPr>
          <w:rFonts w:hint="eastAsia" w:ascii="宋体" w:hAnsi="宋体" w:cs="宋体"/>
          <w:bCs w:val="0"/>
          <w:color w:val="000000" w:themeColor="text1"/>
          <w:sz w:val="24"/>
          <w:szCs w:val="24"/>
          <w:highlight w:val="none"/>
          <w14:textFill>
            <w14:solidFill>
              <w14:schemeClr w14:val="tx1"/>
            </w14:solidFill>
          </w14:textFill>
        </w:rPr>
      </w:pPr>
      <w:r/>
      <w:bookmarkStart w:id="330" w:name="_Toc104560918"/>
      <w:r/>
      <w:bookmarkStart w:id="331" w:name="_Toc103848601"/>
      <w:r/>
      <w:bookmarkStart w:id="332" w:name="_Toc107246301"/>
      <w:r>
        <w:rPr>
          <w:rFonts w:hint="eastAsia" w:ascii="宋体" w:hAnsi="宋体" w:cs="宋体"/>
          <w:bCs w:val="0"/>
          <w:color w:val="000000" w:themeColor="text1"/>
          <w:sz w:val="24"/>
          <w:szCs w:val="24"/>
          <w:highlight w:val="none"/>
          <w14:textFill>
            <w14:solidFill>
              <w14:schemeClr w14:val="tx1"/>
            </w14:solidFill>
          </w14:textFill>
        </w:rPr>
        <w:t xml:space="preserve">（1）技术条款偏离表</w:t>
      </w:r>
      <w:bookmarkEnd w:id="330"/>
      <w:r/>
      <w:bookmarkEnd w:id="331"/>
      <w:r/>
      <w:bookmarkEnd w:id="332"/>
      <w:r/>
      <w:r/>
    </w:p>
    <w:p>
      <w:pPr>
        <w:pStyle w:val="113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南京鼓楼医院颞下颌手术系统采购项目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131"/>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JSZC-320100-JITC-G2026-0218</w:t>
      </w:r>
      <w:r/>
    </w:p>
    <w:tbl>
      <w:tblPr>
        <w:tblStyle w:val="863"/>
        <w:tblW w:w="45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93"/>
        <w:gridCol w:w="1719"/>
        <w:gridCol w:w="1169"/>
        <w:gridCol w:w="1371"/>
        <w:gridCol w:w="1363"/>
      </w:tblGrid>
      <w:tr>
        <w:trPr>
          <w:jc w:val="center"/>
          <w:trHeight w:val="635"/>
        </w:trPr>
        <w:tc>
          <w:tcPr>
            <w:tcW w:w="417" w:type="pct"/>
            <w:vAlign w:val="center"/>
            <w:textDirection w:val="lrTb"/>
            <w:noWrap w:val="false"/>
          </w:tcPr>
          <w:p>
            <w:pPr>
              <w:pStyle w:val="1131"/>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108" w:type="pct"/>
            <w:vAlign w:val="center"/>
            <w:textDirection w:val="lrTb"/>
            <w:noWrap w:val="false"/>
          </w:tcPr>
          <w:p>
            <w:pPr>
              <w:pStyle w:val="1131"/>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招标文件的技术条款</w:t>
            </w:r>
            <w:r/>
          </w:p>
        </w:tc>
        <w:tc>
          <w:tcPr>
            <w:tcW w:w="1062" w:type="pct"/>
            <w:textDirection w:val="lrTb"/>
            <w:noWrap w:val="false"/>
          </w:tcPr>
          <w:p>
            <w:pPr>
              <w:pStyle w:val="1131"/>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投标文件的响应条款</w:t>
            </w:r>
            <w:r/>
          </w:p>
        </w:tc>
        <w:tc>
          <w:tcPr>
            <w:tcW w:w="722" w:type="pct"/>
            <w:vAlign w:val="center"/>
            <w:textDirection w:val="lrTb"/>
            <w:noWrap w:val="false"/>
          </w:tcPr>
          <w:p>
            <w:pPr>
              <w:pStyle w:val="1131"/>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响应/偏离</w:t>
            </w:r>
            <w:r/>
          </w:p>
        </w:tc>
        <w:tc>
          <w:tcPr>
            <w:tcW w:w="847" w:type="pct"/>
            <w:vAlign w:val="center"/>
            <w:textDirection w:val="lrTb"/>
            <w:noWrap w:val="false"/>
          </w:tcPr>
          <w:p>
            <w:pPr>
              <w:pStyle w:val="1131"/>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偏离说明</w:t>
            </w:r>
            <w:r/>
          </w:p>
        </w:tc>
        <w:tc>
          <w:tcPr>
            <w:tcW w:w="842" w:type="pct"/>
            <w:vAlign w:val="center"/>
            <w:textDirection w:val="lrTb"/>
            <w:noWrap w:val="false"/>
          </w:tcPr>
          <w:p>
            <w:pPr>
              <w:pStyle w:val="1131"/>
              <w:ind w:firstLine="0"/>
              <w:jc w:val="center"/>
              <w:spacing w:line="24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417" w:type="pct"/>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417" w:type="pct"/>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417" w:type="pct"/>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417" w:type="pct"/>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417" w:type="pct"/>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417" w:type="pct"/>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08" w:type="pct"/>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062" w:type="pct"/>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22" w:type="pct"/>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7" w:type="pct"/>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842" w:type="pct"/>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891"/>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pStyle w:val="891"/>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91"/>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91"/>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91"/>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91"/>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891"/>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投标人须根据招标文件技术条款要求填写此表，作为投标文件的组成部分。</w:t>
      </w:r>
      <w:r/>
    </w:p>
    <w:p>
      <w:pPr>
        <w:pStyle w:val="891"/>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投标人应按照招标文件第四章“采购需求”的要求，对相关技术参数逐项响应，需要在备注中标明证明材料在投标文件中的页码，否则评审时将不予认可。</w:t>
      </w:r>
      <w:r/>
    </w:p>
    <w:p>
      <w:pPr>
        <w:pStyle w:val="891"/>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pStyle w:val="891"/>
        <w:ind w:firstLine="373"/>
        <w:spacing w:line="360" w:lineRule="exact"/>
        <w:rPr>
          <w:rFonts w:hint="eastAsia"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4.行数不够，投标人请自行增加</w:t>
      </w:r>
      <w:r/>
    </w:p>
    <w:p>
      <w:pPr>
        <w:pStyle w:val="870"/>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br w:type="page" w:clear="all"/>
      </w:r>
      <w:r/>
    </w:p>
    <w:p>
      <w:pPr>
        <w:pStyle w:val="893"/>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（2）用于本项目产品技术参数证明文件</w:t>
      </w:r>
      <w:r/>
    </w:p>
    <w:p>
      <w:pPr>
        <w:jc w:val="center"/>
        <w:spacing w:after="156" w:line="439"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6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3"/>
        <w:ind w:left="114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（3）需求响应方案</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格式自拟。</w:t>
      </w:r>
      <w:r/>
    </w:p>
    <w:p>
      <w:pPr>
        <w:pStyle w:val="1131"/>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131"/>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893"/>
        <w:ind w:firstLine="569"/>
        <w:spacing w:before="0"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33" w:name="_Toc103848602"/>
      <w:r/>
      <w:bookmarkStart w:id="334" w:name="_Toc107246302"/>
      <w:r/>
      <w:bookmarkStart w:id="335" w:name="_Toc104560919"/>
      <w:r>
        <w:rPr>
          <w:rFonts w:hint="eastAsia" w:ascii="宋体" w:hAnsi="宋体" w:cs="宋体"/>
          <w:bCs w:val="0"/>
          <w:color w:val="000000" w:themeColor="text1"/>
          <w:sz w:val="24"/>
          <w:szCs w:val="24"/>
          <w:highlight w:val="none"/>
          <w14:textFill>
            <w14:solidFill>
              <w14:schemeClr w14:val="tx1"/>
            </w14:solidFill>
          </w14:textFill>
        </w:rPr>
        <w:t xml:space="preserve">（4）投标人服务承诺</w:t>
      </w:r>
      <w:bookmarkEnd w:id="333"/>
      <w:r/>
      <w:bookmarkEnd w:id="334"/>
      <w:r/>
      <w:bookmarkEnd w:id="335"/>
      <w:r>
        <w:rPr>
          <w:rFonts w:hint="eastAsia" w:ascii="宋体" w:hAnsi="宋体" w:cs="宋体"/>
          <w:bCs w:val="0"/>
          <w:color w:val="000000" w:themeColor="text1"/>
          <w:sz w:val="24"/>
          <w:szCs w:val="24"/>
          <w:highlight w:val="none"/>
          <w14:textFill>
            <w14:solidFill>
              <w14:schemeClr w14:val="tx1"/>
            </w14:solidFill>
          </w14:textFill>
        </w:rPr>
        <w:t xml:space="preserve">（如需，格式自拟）</w:t>
      </w:r>
      <w:r/>
    </w:p>
    <w:p>
      <w:pPr>
        <w:pStyle w:val="893"/>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36" w:name="_Toc103848603"/>
      <w:r/>
      <w:bookmarkStart w:id="337" w:name="_Toc107246303"/>
      <w:r/>
      <w:bookmarkStart w:id="338" w:name="_Toc104560920"/>
      <w:r>
        <w:rPr>
          <w:rFonts w:hint="eastAsia" w:ascii="宋体" w:hAnsi="宋体" w:cs="宋体"/>
          <w:bCs w:val="0"/>
          <w:color w:val="000000" w:themeColor="text1"/>
          <w:sz w:val="24"/>
          <w:szCs w:val="24"/>
          <w:highlight w:val="none"/>
          <w14:textFill>
            <w14:solidFill>
              <w14:schemeClr w14:val="tx1"/>
            </w14:solidFill>
          </w14:textFill>
        </w:rPr>
        <w:t xml:space="preserve">（5）用于本项目人员简历表</w:t>
      </w:r>
      <w:bookmarkEnd w:id="336"/>
      <w:r/>
      <w:bookmarkEnd w:id="337"/>
      <w:r/>
      <w:bookmarkEnd w:id="338"/>
      <w:r/>
      <w:r/>
    </w:p>
    <w:p>
      <w:pPr>
        <w:pStyle w:val="1131"/>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tbl>
      <w:tblPr>
        <w:tblStyle w:val="863"/>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姓名</w:t>
            </w:r>
            <w:r/>
          </w:p>
        </w:tc>
        <w:tc>
          <w:tcPr>
            <w:tcW w:w="165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性别</w:t>
            </w:r>
            <w:r/>
          </w:p>
        </w:tc>
        <w:tc>
          <w:tcPr>
            <w:tcW w:w="228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职务</w:t>
            </w:r>
            <w:r/>
          </w:p>
        </w:tc>
        <w:tc>
          <w:tcPr>
            <w:tcW w:w="165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职称</w:t>
            </w:r>
            <w:r/>
          </w:p>
        </w:tc>
        <w:tc>
          <w:tcPr>
            <w:tcW w:w="228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毕业学校、专业</w:t>
            </w:r>
            <w:r/>
          </w:p>
        </w:tc>
        <w:tc>
          <w:tcPr>
            <w:gridSpan w:val="3"/>
            <w:tcW w:w="5808"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身份证号</w:t>
            </w:r>
            <w:r/>
          </w:p>
        </w:tc>
        <w:tc>
          <w:tcPr>
            <w:tcW w:w="165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拟在本项目任职</w:t>
            </w:r>
            <w:r/>
          </w:p>
        </w:tc>
        <w:tc>
          <w:tcPr>
            <w:tcW w:w="228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w:t>
            </w:r>
            <w:r/>
          </w:p>
        </w:tc>
        <w:tc>
          <w:tcPr>
            <w:tcW w:w="165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执业资格证书号</w:t>
            </w:r>
            <w:r/>
          </w:p>
        </w:tc>
        <w:tc>
          <w:tcPr>
            <w:tcW w:w="228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gridSpan w:val="4"/>
            <w:tcW w:w="8304"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近____年承担项目情况</w:t>
            </w:r>
            <w:r/>
          </w:p>
        </w:tc>
      </w:tr>
      <w:tr>
        <w:trPr>
          <w:jc w:val="center"/>
        </w:trPr>
        <w:tc>
          <w:tcPr>
            <w:tcW w:w="2496"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时间</w:t>
            </w:r>
            <w:r/>
          </w:p>
        </w:tc>
        <w:tc>
          <w:tcPr>
            <w:tcW w:w="1656"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类似项目名称</w:t>
            </w:r>
            <w:r/>
          </w:p>
        </w:tc>
        <w:tc>
          <w:tcPr>
            <w:tcW w:w="1866"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担任职务</w:t>
            </w:r>
            <w:r/>
          </w:p>
        </w:tc>
        <w:tc>
          <w:tcPr>
            <w:tcW w:w="2286" w:type="dxa"/>
            <w:vAlign w:val="center"/>
            <w:textDirection w:val="lrTb"/>
            <w:noWrap w:val="false"/>
          </w:tcPr>
          <w:p>
            <w:pPr>
              <w:pStyle w:val="1131"/>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项目单位名称及电话</w:t>
            </w:r>
            <w:r/>
          </w:p>
        </w:tc>
      </w:tr>
      <w:tr>
        <w:trPr>
          <w:jc w:val="center"/>
        </w:trPr>
        <w:tc>
          <w:tcPr>
            <w:tcW w:w="249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val="false"/>
          </w:tcPr>
          <w:p>
            <w:pPr>
              <w:pStyle w:val="1131"/>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1131"/>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131"/>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93"/>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（6）拟投入本项目人员情况表</w:t>
      </w:r>
      <w:r/>
    </w:p>
    <w:p>
      <w:pPr>
        <w:pStyle w:val="113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南京鼓楼医院颞下颌手术系统采购项目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131"/>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JSZC-320100-JITC-G2026-0218</w:t>
      </w:r>
      <w:r/>
    </w:p>
    <w:tbl>
      <w:tblPr>
        <w:tblStyle w:val="863"/>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488"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627"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915"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698"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职称/证书</w:t>
            </w:r>
            <w:r/>
          </w:p>
        </w:tc>
        <w:tc>
          <w:tcPr>
            <w:tcW w:w="1564"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w:t>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271"/>
      <w:r/>
      <w:r/>
    </w:p>
    <w:p>
      <w:pPr>
        <w:rPr>
          <w:color w:val="000000" w:themeColor="text1"/>
          <w:highlight w:val="none"/>
          <w14:textFill>
            <w14:solidFill>
              <w14:schemeClr w14:val="tx1"/>
            </w14:solidFill>
          </w14:textFill>
        </w:rPr>
      </w:pPr>
      <w:r/>
      <w:bookmarkStart w:id="339" w:name="_Toc103848605"/>
      <w:r/>
      <w:bookmarkStart w:id="340" w:name="_Toc107246305"/>
      <w:r/>
      <w:bookmarkStart w:id="341" w:name="_Toc104560922"/>
      <w:r/>
      <w:bookmarkStart w:id="342" w:name="_Toc100905289"/>
      <w:r/>
      <w:bookmarkStart w:id="343" w:name="_Toc96347904"/>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3"/>
        <w:ind w:firstLine="498"/>
        <w:spacing w:befor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8"/>
          <w:szCs w:val="24"/>
          <w:highlight w:val="none"/>
          <w14:textFill>
            <w14:solidFill>
              <w14:schemeClr w14:val="tx1"/>
            </w14:solidFill>
          </w14:textFill>
        </w:rPr>
        <w:t xml:space="preserve">三、其他部分</w:t>
      </w:r>
      <w:bookmarkEnd w:id="339"/>
      <w:r/>
      <w:bookmarkEnd w:id="340"/>
      <w:r/>
      <w:bookmarkEnd w:id="341"/>
      <w:r/>
      <w:r/>
    </w:p>
    <w:p>
      <w:pPr>
        <w:pStyle w:val="893"/>
        <w:ind w:firstLine="426"/>
        <w:spacing w:before="0"/>
        <w:rPr>
          <w:rFonts w:hint="eastAsia" w:ascii="宋体" w:hAnsi="宋体" w:cs="宋体"/>
          <w:bCs w:val="0"/>
          <w:color w:val="000000" w:themeColor="text1"/>
          <w:sz w:val="24"/>
          <w:szCs w:val="24"/>
          <w:highlight w:val="none"/>
          <w14:textFill>
            <w14:solidFill>
              <w14:schemeClr w14:val="tx1"/>
            </w14:solidFill>
          </w14:textFill>
        </w:rPr>
      </w:pPr>
      <w:r/>
      <w:bookmarkStart w:id="344" w:name="_Toc107246308"/>
      <w:r/>
      <w:bookmarkStart w:id="345" w:name="_Toc104560925"/>
      <w:r/>
      <w:bookmarkStart w:id="346" w:name="_Toc103848608"/>
      <w:r/>
      <w:bookmarkStart w:id="347" w:name="_Toc100905295"/>
      <w:r/>
      <w:bookmarkStart w:id="348" w:name="_Toc103848607"/>
      <w:r/>
      <w:bookmarkStart w:id="349" w:name="_Toc107246307"/>
      <w:r/>
      <w:bookmarkStart w:id="350" w:name="_Toc104560924"/>
      <w:r/>
      <w:bookmarkStart w:id="351" w:name="_Toc103848606"/>
      <w:r/>
      <w:bookmarkStart w:id="352" w:name="_Toc104560923"/>
      <w:r/>
      <w:bookmarkStart w:id="353" w:name="_Toc107246306"/>
      <w:r>
        <w:rPr>
          <w:rFonts w:hint="eastAsia" w:ascii="宋体" w:hAnsi="宋体" w:cs="宋体"/>
          <w:bCs w:val="0"/>
          <w:color w:val="000000" w:themeColor="text1"/>
          <w:sz w:val="24"/>
          <w:szCs w:val="24"/>
          <w:highlight w:val="none"/>
          <w14:textFill>
            <w14:solidFill>
              <w14:schemeClr w14:val="tx1"/>
            </w14:solidFill>
          </w14:textFill>
        </w:rPr>
        <w:t xml:space="preserve">（1）要求投标人提交的其他文件材料或证明材料</w:t>
      </w:r>
      <w:bookmarkEnd w:id="344"/>
      <w:r/>
      <w:bookmarkEnd w:id="345"/>
      <w:r/>
      <w:bookmarkEnd w:id="346"/>
      <w:r/>
      <w:r/>
    </w:p>
    <w:p>
      <w:pPr>
        <w:pStyle w:val="872"/>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r/>
    </w:p>
    <w:p>
      <w:pPr>
        <w:pStyle w:val="893"/>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（2）投标人认为需提供的其他</w:t>
      </w:r>
      <w:bookmarkEnd w:id="347"/>
      <w:r>
        <w:rPr>
          <w:rFonts w:hint="eastAsia" w:ascii="宋体" w:hAnsi="宋体" w:cs="宋体"/>
          <w:bCs w:val="0"/>
          <w:color w:val="000000" w:themeColor="text1"/>
          <w:sz w:val="24"/>
          <w:szCs w:val="24"/>
          <w:highlight w:val="none"/>
          <w14:textFill>
            <w14:solidFill>
              <w14:schemeClr w14:val="tx1"/>
            </w14:solidFill>
          </w14:textFill>
        </w:rPr>
        <w:t xml:space="preserve">文件或证明材料</w:t>
      </w:r>
      <w:bookmarkEnd w:id="348"/>
      <w:r/>
      <w:bookmarkEnd w:id="349"/>
      <w:r/>
      <w:bookmarkEnd w:id="350"/>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93"/>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（3）提供符合政府采购政策的证明材料</w:t>
      </w:r>
      <w:bookmarkEnd w:id="342"/>
      <w:r/>
      <w:bookmarkEnd w:id="351"/>
      <w:r/>
      <w:bookmarkEnd w:id="352"/>
      <w:r/>
      <w:bookmarkEnd w:id="353"/>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（请根据本项目</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采购项目类型</w:t>
      </w:r>
      <w:r>
        <w:rPr>
          <w:rFonts w:hint="eastAsia" w:ascii="宋体" w:hAnsi="宋体" w:cs="宋体"/>
          <w:bC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选择合适的中小企业声明函，不适用的可以不提交）</w:t>
      </w:r>
      <w:r/>
    </w:p>
    <w:p>
      <w:pPr>
        <w:ind w:right="-23" w:firstLine="379"/>
        <w:jc w:val="center"/>
        <w:rPr>
          <w:rFonts w:hint="eastAsia" w:ascii="宋体" w:hAnsi="宋体" w:cs="宋体"/>
          <w:color w:val="000000" w:themeColor="text1"/>
          <w:spacing w:val="2"/>
          <w:position w:val="-3"/>
          <w:szCs w:val="21"/>
          <w:highlight w:val="none"/>
          <w14:textFill>
            <w14:solidFill>
              <w14:schemeClr w14:val="tx1"/>
            </w14:solidFill>
          </w14:textFill>
        </w:rPr>
      </w:pPr>
      <w:r>
        <w:rPr>
          <w:rFonts w:hint="eastAsia" w:ascii="宋体" w:hAnsi="宋体" w:cs="宋体"/>
          <w:color w:val="000000" w:themeColor="text1"/>
          <w:spacing w:val="2"/>
          <w:position w:val="-3"/>
          <w:szCs w:val="21"/>
          <w:highlight w:val="none"/>
          <w14:textFill>
            <w14:solidFill>
              <w14:schemeClr w14:val="tx1"/>
            </w14:solidFill>
          </w14:textFill>
        </w:rPr>
      </w:r>
      <w:r/>
    </w:p>
    <w:p>
      <w:pPr>
        <w:pStyle w:val="1131"/>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中小企业声明函（货物）</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iCs/>
          <w:color w:val="000000" w:themeColor="text1"/>
          <w:position w:val="-2"/>
          <w:szCs w:val="21"/>
          <w:highlight w:val="none"/>
          <w:u w:val="single"/>
          <w14:textFill>
            <w14:solidFill>
              <w14:schemeClr w14:val="tx1"/>
            </w14:solidFill>
          </w14:textFill>
        </w:rPr>
        <w:t xml:space="preserve">南京鼓楼医院</w:t>
      </w:r>
      <w:r>
        <w:rPr>
          <w:rFonts w:hint="eastAsia" w:ascii="宋体" w:hAnsi="宋体" w:cs="宋体"/>
          <w:color w:val="000000" w:themeColor="text1"/>
          <w:position w:val="-2"/>
          <w:szCs w:val="21"/>
          <w:highlight w:val="none"/>
          <w14:textFill>
            <w14:solidFill>
              <w14:schemeClr w14:val="tx1"/>
            </w14:solidFill>
          </w14:textFill>
        </w:rPr>
        <w:t xml:space="preserve">的</w:t>
      </w:r>
      <w:r>
        <w:rPr>
          <w:rFonts w:hint="eastAsia" w:ascii="宋体" w:hAnsi="宋体" w:cs="宋体"/>
          <w:iCs/>
          <w:color w:val="000000" w:themeColor="text1"/>
          <w:position w:val="-2"/>
          <w:szCs w:val="21"/>
          <w:highlight w:val="none"/>
          <w:u w:val="single"/>
          <w:lang w:eastAsia="zh-CN"/>
          <w14:textFill>
            <w14:solidFill>
              <w14:schemeClr w14:val="tx1"/>
            </w14:solidFill>
          </w14:textFill>
        </w:rPr>
        <w:t xml:space="preserve">南京鼓楼医院颞下颌手术系统采购项目</w:t>
      </w:r>
      <w:r>
        <w:rPr>
          <w:rFonts w:hint="eastAsia" w:ascii="宋体" w:hAnsi="宋体" w:cs="宋体"/>
          <w:color w:val="000000" w:themeColor="text1"/>
          <w:position w:val="-2"/>
          <w:szCs w:val="2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1.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工业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 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w:t>
      </w: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2.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工业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400" w:firstLine="378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企</w:t>
      </w:r>
      <w:r>
        <w:rPr>
          <w:rFonts w:hint="eastAsia" w:ascii="宋体" w:hAnsi="宋体" w:cs="宋体"/>
          <w:color w:val="000000" w:themeColor="text1"/>
          <w:spacing w:val="3"/>
          <w:position w:val="-2"/>
          <w:szCs w:val="21"/>
          <w:highlight w:val="none"/>
          <w14:textFill>
            <w14:solidFill>
              <w14:schemeClr w14:val="tx1"/>
            </w14:solidFill>
          </w14:textFill>
        </w:rPr>
        <w:t xml:space="preserve">业</w:t>
      </w:r>
      <w:r>
        <w:rPr>
          <w:rFonts w:hint="eastAsia" w:ascii="宋体" w:hAnsi="宋体" w:cs="宋体"/>
          <w:color w:val="000000" w:themeColor="text1"/>
          <w:position w:val="-2"/>
          <w:szCs w:val="21"/>
          <w:highlight w:val="none"/>
          <w14:textFill>
            <w14:solidFill>
              <w14:schemeClr w14:val="tx1"/>
            </w14:solidFill>
          </w14:textFill>
        </w:rPr>
        <w:t xml:space="preserve">名称</w:t>
      </w:r>
      <w:r>
        <w:rPr>
          <w:rFonts w:hint="eastAsia" w:ascii="宋体" w:hAnsi="宋体" w:cs="宋体"/>
          <w:color w:val="000000" w:themeColor="text1"/>
          <w:spacing w:val="3"/>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盖章</w:t>
      </w:r>
      <w:r>
        <w:rPr>
          <w:rFonts w:hint="eastAsia" w:ascii="宋体" w:hAnsi="宋体" w:cs="宋体"/>
          <w:color w:val="000000" w:themeColor="text1"/>
          <w:spacing w:val="-158"/>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  ： </w:t>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日期：年月日</w:t>
      </w:r>
      <w:r/>
    </w:p>
    <w:p>
      <w:pPr>
        <w:ind w:right="420" w:firstLine="420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right="-2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 本项目中小微企业划分标准为：</w:t>
      </w:r>
      <w:r>
        <w:rPr>
          <w:rFonts w:hint="eastAsia" w:ascii="宋体" w:hAnsi="宋体" w:cs="宋体"/>
          <w:b/>
          <w:color w:val="000000" w:themeColor="text1"/>
          <w:szCs w:val="21"/>
          <w:highlight w:val="none"/>
          <w:u w:val="singl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000000" w:themeColor="text1"/>
          <w:highlight w:val="none"/>
          <w14:textFill>
            <w14:solidFill>
              <w14:schemeClr w14:val="tx1"/>
            </w14:solidFill>
          </w14:textFill>
        </w:rPr>
        <w:br w:type="page" w:clear="all"/>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131"/>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监狱企业证明</w:t>
      </w:r>
      <w:r/>
    </w:p>
    <w:p>
      <w:pPr>
        <w:pStyle w:val="1131"/>
        <w:ind w:firstLine="482"/>
        <w:jc w:val="center"/>
        <w:spacing w:line="276" w:lineRule="auto"/>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r>
      <w:r/>
    </w:p>
    <w:p>
      <w:pPr>
        <w:pStyle w:val="113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131"/>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131"/>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br w:type="page" w:clear="all"/>
      </w:r>
      <w:r>
        <w:rPr>
          <w:rFonts w:hint="eastAsia" w:hAnsi="宋体" w:cs="宋体"/>
          <w:b/>
          <w:color w:val="000000" w:themeColor="text1"/>
          <w:sz w:val="24"/>
          <w:szCs w:val="24"/>
          <w:highlight w:val="none"/>
          <w14:textFill>
            <w14:solidFill>
              <w14:schemeClr w14:val="tx1"/>
            </w14:solidFill>
          </w14:textFill>
        </w:rPr>
        <w:t xml:space="preserve">残疾人福利性单位声明函</w:t>
      </w:r>
      <w:r/>
    </w:p>
    <w:p>
      <w:pPr>
        <w:ind w:firstLine="554"/>
        <w:spacing w:line="276" w:lineRule="auto"/>
        <w:rPr>
          <w:rFonts w:hint="eastAsia" w:ascii="宋体" w:hAnsi="宋体" w:cs="宋体"/>
          <w:b/>
          <w:color w:val="000000" w:themeColor="text1"/>
          <w:spacing w:val="6"/>
          <w:sz w:val="30"/>
          <w:szCs w:val="30"/>
          <w:highlight w:val="none"/>
          <w14:textFill>
            <w14:solidFill>
              <w14:schemeClr w14:val="tx1"/>
            </w14:solidFill>
          </w14:textFill>
        </w:rPr>
      </w:pPr>
      <w:r>
        <w:rPr>
          <w:rFonts w:hint="eastAsia" w:ascii="宋体" w:hAnsi="宋体" w:cs="宋体"/>
          <w:b/>
          <w:color w:val="000000" w:themeColor="text1"/>
          <w:spacing w:val="6"/>
          <w:sz w:val="30"/>
          <w:szCs w:val="30"/>
          <w:highlight w:val="none"/>
          <w14:textFill>
            <w14:solidFill>
              <w14:schemeClr w14:val="tx1"/>
            </w14:solidFill>
          </w14:textFill>
        </w:rPr>
      </w:r>
      <w:r/>
    </w:p>
    <w:p>
      <w:pPr>
        <w:pStyle w:val="113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3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13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13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131"/>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131"/>
        <w:ind w:firstLine="376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日</w:t>
      </w:r>
      <w:bookmarkEnd w:id="343"/>
      <w:r/>
      <w:r/>
    </w:p>
    <w:p>
      <w:pPr>
        <w:pStyle w:val="1131"/>
        <w:ind w:firstLine="164"/>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p>
    <w:p>
      <w:pPr>
        <w:pStyle w:val="1131"/>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符合本国产品标准的声明函</w:t>
      </w:r>
      <w:r/>
    </w:p>
    <w:p>
      <w:pPr>
        <w:pStyle w:val="892"/>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pStyle w:val="892"/>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2"/>
        <w:ind w:firstLine="420"/>
        <w:spacing w:before="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92"/>
        <w:ind w:firstLine="420"/>
        <w:spacing w:before="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pStyle w:val="892"/>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p>
    <w:p>
      <w:pPr>
        <w:pStyle w:val="892"/>
        <w:ind w:firstLine="420"/>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本公司（单位）对上述声明内容的真实性负责。如有虚假，愿承担相应法律责任。 </w:t>
      </w:r>
      <w:r/>
    </w:p>
    <w:p>
      <w:pPr>
        <w:pStyle w:val="892"/>
        <w:ind w:firstLine="420"/>
        <w:jc w:val="right"/>
        <w:spacing w:before="30" w:beforeAutospacing="0" w:after="156" w:afterAutospacing="0"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公司（单位）名称（盖章）：            </w:t>
      </w:r>
      <w:r/>
    </w:p>
    <w:p>
      <w:pPr>
        <w:pStyle w:val="892"/>
        <w:ind w:firstLine="420"/>
        <w:jc w:val="right"/>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日期：　  年　  月　  日</w:t>
      </w:r>
      <w:r/>
    </w:p>
    <w:p>
      <w:pPr>
        <w:pStyle w:val="892"/>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pStyle w:val="892"/>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r>
      <w:r/>
    </w:p>
    <w:p>
      <w:pPr>
        <w:pStyle w:val="892"/>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注：1.产品如有型号，请在“产品名称”栏一并填写。</w:t>
      </w:r>
      <w:r/>
    </w:p>
    <w:p>
      <w:pPr>
        <w:pStyle w:val="892"/>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2.生产厂名与厂址应与生产厂营业执照载明的相关信息保持一致。</w:t>
      </w:r>
      <w:r/>
    </w:p>
    <w:p>
      <w:pPr>
        <w:pStyle w:val="892"/>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3.该产品的中国境内生产的组件成本占比相关要求实施前，“规定比例”栏可不填，下同。</w:t>
      </w:r>
      <w:r/>
    </w:p>
    <w:p>
      <w:pPr>
        <w:pStyle w:val="892"/>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4.该产品的关键组件要求实施前，“关键组件”栏可不填，下同。</w:t>
      </w:r>
      <w:r/>
    </w:p>
    <w:p>
      <w:pPr>
        <w:pStyle w:val="892"/>
        <w:ind w:firstLine="420"/>
        <w:spacing w:before="0" w:beforeAutospacing="0" w:after="156" w:afterAutospacing="0"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5.该产品的关键工序要求实施前，“关键工序”栏可不填，下同。</w:t>
      </w:r>
      <w:r/>
    </w:p>
    <w:p>
      <w:pPr>
        <w:spacing w:line="360" w:lineRule="auto"/>
        <w:rPr>
          <w:color w:val="000000" w:themeColor="text1"/>
          <w:highlight w:val="none"/>
          <w:shd w:val="clear" w:color="auto" w:fill="ffffff"/>
          <w:lang w:eastAsia="zh"/>
          <w14:textFill>
            <w14:solidFill>
              <w14:schemeClr w14:val="tx1"/>
            </w14:solidFill>
          </w14:textFill>
        </w:rPr>
      </w:pPr>
      <w:r>
        <w:rPr>
          <w:rFonts w:hint="eastAsia"/>
          <w:color w:val="000000" w:themeColor="text1"/>
          <w:highlight w:val="none"/>
          <w:shd w:val="clear" w:color="auto" w:fill="ffffff"/>
          <w:lang w:eastAsia="zh"/>
          <w14:textFill>
            <w14:solidFill>
              <w14:schemeClr w14:val="tx1"/>
            </w14:solidFill>
          </w14:textFill>
        </w:rPr>
        <w:br w:type="page" w:clear="all"/>
      </w:r>
      <w:r/>
    </w:p>
    <w:p>
      <w:pPr>
        <w:pStyle w:val="892"/>
        <w:jc w:val="center"/>
        <w:spacing w:before="0" w:beforeAutospacing="0" w:after="156" w:afterAutospacing="0" w:line="360" w:lineRule="auto"/>
        <w:rPr>
          <w:rFonts w:hint="eastAsia" w:ascii="宋体" w:hAnsi="宋体" w:cs="宋体"/>
          <w:b/>
          <w:color w:val="000000" w:themeColor="text1"/>
          <w:highlight w:val="none"/>
          <w:lang w:eastAsia="zh"/>
          <w14:textFill>
            <w14:solidFill>
              <w14:schemeClr w14:val="tx1"/>
            </w14:solidFill>
          </w14:textFill>
        </w:rPr>
      </w:pPr>
      <w:r>
        <w:rPr>
          <w:rFonts w:hint="eastAsia" w:ascii="宋体" w:hAnsi="宋体" w:cs="宋体"/>
          <w:b/>
          <w:color w:val="000000" w:themeColor="text1"/>
          <w:highlight w:val="none"/>
          <w:lang w:eastAsia="zh"/>
          <w14:textFill>
            <w14:solidFill>
              <w14:schemeClr w14:val="tx1"/>
            </w14:solidFill>
          </w14:textFill>
        </w:rPr>
        <w:t xml:space="preserve">成本比例声明函</w:t>
      </w:r>
      <w:r/>
    </w:p>
    <w:p>
      <w:pPr>
        <w:pStyle w:val="892"/>
        <w:jc w:val="center"/>
        <w:spacing w:before="0" w:beforeAutospacing="0" w:after="156" w:afterAutospacing="0" w:line="360" w:lineRule="auto"/>
        <w:rPr>
          <w:rFonts w:hint="eastAsia" w:ascii="宋体" w:hAnsi="宋体" w:cs="宋体"/>
          <w:color w:val="000000" w:themeColor="text1"/>
          <w:sz w:val="21"/>
          <w:highlight w:val="none"/>
          <w:lang w:eastAsia="zh"/>
          <w14:textFill>
            <w14:solidFill>
              <w14:schemeClr w14:val="tx1"/>
            </w14:solidFill>
          </w14:textFill>
        </w:rPr>
      </w:pPr>
      <w:r>
        <w:rPr>
          <w:rFonts w:hint="eastAsia" w:ascii="宋体" w:hAnsi="宋体" w:cs="宋体"/>
          <w:color w:val="000000" w:themeColor="text1"/>
          <w:sz w:val="21"/>
          <w:highlight w:val="none"/>
          <w:lang w:eastAsia="zh"/>
          <w14:textFill>
            <w14:solidFill>
              <w14:schemeClr w14:val="tx1"/>
            </w14:solidFill>
          </w14:textFill>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w:t>
      </w:r>
      <w:r>
        <w:rPr>
          <w:rFonts w:hint="eastAsia" w:ascii="宋体" w:hAnsi="宋体" w:cs="宋体"/>
          <w:color w:val="000000" w:themeColor="text1"/>
          <w:position w:val="-2"/>
          <w:szCs w:val="21"/>
          <w:highlight w:val="none"/>
          <w:lang w:eastAsia="zh"/>
          <w14:textFill>
            <w14:solidFill>
              <w14:schemeClr w14:val="tx1"/>
            </w14:solidFill>
          </w14:textFill>
        </w:rPr>
        <w:t xml:space="preserve">提供的全部产品中，</w:t>
      </w:r>
      <w:r>
        <w:rPr>
          <w:rFonts w:hint="eastAsia" w:ascii="宋体" w:hAnsi="宋体" w:cs="宋体"/>
          <w:color w:val="000000" w:themeColor="text1"/>
          <w:position w:val="-2"/>
          <w:szCs w:val="21"/>
          <w:highlight w:val="none"/>
          <w14:textFill>
            <w14:solidFill>
              <w14:schemeClr w14:val="tx1"/>
            </w14:solidFill>
          </w14:textFill>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本公司（单位）对上述声明内容的真实性负责。如有虚假，愿承担相应法律责任。</w:t>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公司（单位）名称（盖章）：</w:t>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20" w:firstLine="420"/>
        <w:jc w:val="center"/>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日期：　  年　  月　  日</w:t>
      </w:r>
      <w:r/>
    </w:p>
    <w:p>
      <w:pPr>
        <w:pStyle w:val="892"/>
        <w:spacing w:before="0" w:beforeAutospacing="0" w:after="156" w:afterAutospacing="0" w:line="560" w:lineRule="atLeast"/>
        <w:rPr>
          <w:color w:val="000000" w:themeColor="text1"/>
          <w:highlight w:val="none"/>
          <w:shd w:val="clear" w:color="auto" w:fill="ffffff"/>
          <w14:textFill>
            <w14:solidFill>
              <w14:schemeClr w14:val="tx1"/>
            </w14:solidFill>
          </w14:textFill>
        </w:rPr>
      </w:pPr>
      <w:r>
        <w:rPr>
          <w:color w:val="000000" w:themeColor="text1"/>
          <w:highlight w:val="none"/>
          <w:shd w:val="clear" w:color="auto" w:fill="ffffff"/>
          <w14:textFill>
            <w14:solidFill>
              <w14:schemeClr w14:val="tx1"/>
            </w14:solidFill>
          </w14:textFill>
        </w:rPr>
      </w:r>
      <w:r/>
    </w:p>
    <w:p>
      <w:pPr>
        <w:pStyle w:val="892"/>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892"/>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892"/>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892"/>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r>
      <w:r/>
    </w:p>
    <w:p>
      <w:pPr>
        <w:pStyle w:val="892"/>
        <w:spacing w:before="0" w:beforeAutospacing="0" w:after="156" w:afterAutospacing="0" w:line="560" w:lineRule="atLeast"/>
        <w:rPr>
          <w:rFonts w:hint="eastAsia" w:ascii="宋体" w:hAnsi="宋体" w:cs="宋体"/>
          <w:b/>
          <w:bCs/>
          <w:color w:val="000000" w:themeColor="text1"/>
          <w:position w:val="-2"/>
          <w:sz w:val="21"/>
          <w:szCs w:val="21"/>
          <w:highlight w:val="none"/>
          <w14:textFill>
            <w14:solidFill>
              <w14:schemeClr w14:val="tx1"/>
            </w14:solidFill>
          </w14:textFill>
        </w:rPr>
      </w:pPr>
      <w:r>
        <w:rPr>
          <w:rFonts w:hint="eastAsia" w:ascii="宋体" w:hAnsi="宋体" w:cs="宋体"/>
          <w:b/>
          <w:bCs/>
          <w:color w:val="000000" w:themeColor="text1"/>
          <w:position w:val="-2"/>
          <w:sz w:val="21"/>
          <w:szCs w:val="21"/>
          <w:highlight w:val="none"/>
          <w14:textFill>
            <w14:solidFill>
              <w14:schemeClr w14:val="tx1"/>
            </w14:solidFill>
          </w14:textFill>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92"/>
        <w:spacing w:before="0" w:beforeAutospacing="0" w:after="156" w:afterAutospacing="0" w:line="560" w:lineRule="atLeast"/>
        <w:rPr>
          <w:color w:val="000000" w:themeColor="text1"/>
          <w:highlight w:val="none"/>
          <w:shd w:val="clear" w:color="auto" w:fill="ffffff"/>
          <w14:textFill>
            <w14:solidFill>
              <w14:schemeClr w14:val="tx1"/>
            </w14:solidFill>
          </w14:textFill>
        </w:rPr>
      </w:pPr>
      <w:r>
        <w:rPr>
          <w:color w:val="000000" w:themeColor="text1"/>
          <w:highlight w:val="none"/>
          <w:shd w:val="clear" w:color="auto" w:fill="ffffff"/>
          <w14:textFill>
            <w14:solidFill>
              <w14:schemeClr w14:val="tx1"/>
            </w14:solidFill>
          </w14:textFill>
        </w:rPr>
      </w:r>
      <w:r/>
    </w:p>
    <w:p>
      <w:pPr>
        <w:pStyle w:val="892"/>
        <w:spacing w:before="0" w:beforeAutospacing="0" w:after="156" w:afterAutospacing="0" w:line="560" w:lineRule="atLeast"/>
        <w:rPr>
          <w:color w:val="000000" w:themeColor="text1"/>
          <w:highlight w:val="none"/>
          <w:shd w:val="clear" w:color="auto" w:fill="ffffff"/>
          <w:lang w:eastAsia="zh"/>
          <w14:textFill>
            <w14:solidFill>
              <w14:schemeClr w14:val="tx1"/>
            </w14:solidFill>
          </w14:textFill>
        </w:rPr>
      </w:pPr>
      <w:r>
        <w:rPr>
          <w:color w:val="000000" w:themeColor="text1"/>
          <w:highlight w:val="none"/>
          <w:shd w:val="clear" w:color="auto" w:fill="ffffff"/>
          <w:lang w:eastAsia="zh"/>
          <w14:textFill>
            <w14:solidFill>
              <w14:schemeClr w14:val="tx1"/>
            </w14:solidFill>
          </w14:textFill>
        </w:rPr>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Microsoft New Tai Lue">
    <w:panose1 w:val="020B0502040204020203"/>
  </w:font>
  <w:font w:name="Arial">
    <w:panose1 w:val="020B0604020202020204"/>
  </w:font>
  <w:font w:name="华文宋体">
    <w:panose1 w:val="02010600040101010101"/>
  </w:font>
  <w:font w:name="Microsoft YaHei UI">
    <w:panose1 w:val="020B0503020204020204"/>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w:r/>
  </w:p>
  <w:p>
    <w:pPr>
      <w:pStyle w:val="8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880"/>
                          </w:pPr>
                          <w:r>
                            <w:fldChar w:fldCharType="begin"/>
                          </w:r>
                          <w:r>
                            <w:instrText xml:space="preserve"> PAGE  \* MERGEFORMAT </w:instrText>
                          </w:r>
                          <w:r>
                            <w:fldChar w:fldCharType="separate"/>
                          </w:r>
                          <w:r>
                            <w:t xml:space="preserve">10</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80"/>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774581547"/>
                            <w:rPr/>
                          </w:sdtPr>
                          <w:sdtContent>
                            <w:p>
                              <w:pPr>
                                <w:pStyle w:val="880"/>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774581547"/>
                      <w:rPr/>
                    </w:sdtPr>
                    <w:sdtContent>
                      <w:p>
                        <w:pPr>
                          <w:pStyle w:val="880"/>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jc w:val="center"/>
                          </w:pPr>
                          <w:r>
                            <w:rPr>
                              <w:rFonts w:hint="eastAsia"/>
                            </w:rPr>
                            <w:t xml:space="preserve">第</w:t>
                          </w:r>
                          <w:r>
                            <w:fldChar w:fldCharType="begin"/>
                          </w:r>
                          <w:r>
                            <w:rPr>
                              <w:rStyle w:val="899"/>
                            </w:rPr>
                            <w:instrText xml:space="preserve"> PAGE </w:instrText>
                          </w:r>
                          <w:r>
                            <w:fldChar w:fldCharType="separate"/>
                          </w:r>
                          <w:r>
                            <w:rPr>
                              <w:rStyle w:val="899"/>
                            </w:rPr>
                            <w:t xml:space="preserve">1</w:t>
                          </w:r>
                          <w:r>
                            <w:fldChar w:fldCharType="end"/>
                          </w:r>
                          <w:r>
                            <w:rPr>
                              <w:rStyle w:val="899"/>
                              <w:rFonts w:hint="eastAsia"/>
                            </w:rPr>
                            <w:t xml:space="preserve">页，共</w:t>
                          </w:r>
                          <w:r>
                            <w:fldChar w:fldCharType="begin"/>
                          </w:r>
                          <w:r>
                            <w:rPr>
                              <w:rStyle w:val="899"/>
                            </w:rPr>
                            <w:instrText xml:space="preserve"> NUMPAGES </w:instrText>
                          </w:r>
                          <w:r>
                            <w:fldChar w:fldCharType="separate"/>
                          </w:r>
                          <w:r>
                            <w:rPr>
                              <w:rStyle w:val="899"/>
                            </w:rPr>
                            <w:t xml:space="preserve">8</w:t>
                          </w:r>
                          <w:r>
                            <w:fldChar w:fldCharType="end"/>
                          </w:r>
                          <w:r>
                            <w:rPr>
                              <w:rStyle w:val="899"/>
                              <w:rFonts w:hint="eastAsia"/>
                            </w:rPr>
                            <w:t xml:space="preserve">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0"/>
                      <w:jc w:val="center"/>
                    </w:pPr>
                    <w:r>
                      <w:rPr>
                        <w:rFonts w:hint="eastAsia"/>
                      </w:rPr>
                      <w:t xml:space="preserve">第</w:t>
                    </w:r>
                    <w:r>
                      <w:fldChar w:fldCharType="begin"/>
                    </w:r>
                    <w:r>
                      <w:rPr>
                        <w:rStyle w:val="899"/>
                      </w:rPr>
                      <w:instrText xml:space="preserve"> PAGE </w:instrText>
                    </w:r>
                    <w:r>
                      <w:fldChar w:fldCharType="separate"/>
                    </w:r>
                    <w:r>
                      <w:rPr>
                        <w:rStyle w:val="899"/>
                      </w:rPr>
                      <w:t xml:space="preserve">1</w:t>
                    </w:r>
                    <w:r>
                      <w:fldChar w:fldCharType="end"/>
                    </w:r>
                    <w:r>
                      <w:rPr>
                        <w:rStyle w:val="899"/>
                        <w:rFonts w:hint="eastAsia"/>
                      </w:rPr>
                      <w:t xml:space="preserve">页，共</w:t>
                    </w:r>
                    <w:r>
                      <w:fldChar w:fldCharType="begin"/>
                    </w:r>
                    <w:r>
                      <w:rPr>
                        <w:rStyle w:val="899"/>
                      </w:rPr>
                      <w:instrText xml:space="preserve"> NUMPAGES </w:instrText>
                    </w:r>
                    <w:r>
                      <w:fldChar w:fldCharType="separate"/>
                    </w:r>
                    <w:r>
                      <w:rPr>
                        <w:rStyle w:val="899"/>
                      </w:rPr>
                      <w:t xml:space="preserve">8</w:t>
                    </w:r>
                    <w:r>
                      <w:fldChar w:fldCharType="end"/>
                    </w:r>
                    <w:r>
                      <w:rPr>
                        <w:rStyle w:val="899"/>
                        <w:rFonts w:hint="eastAsia"/>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82"/>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南京鼓楼医院颞下颌手术系统采购项目</w:t>
    </w:r>
    <w:r>
      <w:rPr>
        <w:rFonts w:hint="eastAsia" w:ascii="宋体" w:hAnsi="宋体" w:cs="宋体"/>
        <w:color w:val="000000"/>
        <w:sz w:val="22"/>
        <w:szCs w:val="22"/>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5080" b="1016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82"/>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南京鼓楼医院颞下颌手术系统采购项目</w:t>
    </w:r>
    <w:r>
      <w:rPr>
        <w:rFonts w:hint="eastAsia" w:ascii="宋体" w:hAnsi="宋体" w:cs="宋体"/>
        <w:color w:val="000000"/>
        <w:sz w:val="22"/>
        <w:szCs w:val="22"/>
      </w:rPr>
      <w:t xml:space="preserve">）</w:t>
    </w:r>
    <w:r/>
  </w:p>
  <w:p>
    <w:pPr>
      <w:pStyle w:val="882"/>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360" w:hanging="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5834" w:hanging="360"/>
      </w:pPr>
      <w:rPr>
        <w:rFonts w:hint="default" w:ascii="Courier New" w:hAnsi="Courier New" w:eastAsia="Courier New" w:cs="Courier New"/>
      </w:rPr>
    </w:lvl>
    <w:lvl w:ilvl="2">
      <w:start w:val="1"/>
      <w:numFmt w:val="bullet"/>
      <w:isLgl w:val="false"/>
      <w:suff w:val="tab"/>
      <w:lvlText w:val="§"/>
      <w:lvlJc w:val="left"/>
      <w:pPr>
        <w:ind w:left="6554" w:hanging="360"/>
      </w:pPr>
      <w:rPr>
        <w:rFonts w:hint="default" w:ascii="Wingdings" w:hAnsi="Wingdings" w:eastAsia="Wingdings" w:cs="Wingdings"/>
      </w:rPr>
    </w:lvl>
    <w:lvl w:ilvl="3">
      <w:start w:val="1"/>
      <w:numFmt w:val="bullet"/>
      <w:isLgl w:val="false"/>
      <w:suff w:val="tab"/>
      <w:lvlText w:val="·"/>
      <w:lvlJc w:val="left"/>
      <w:pPr>
        <w:ind w:left="7274" w:hanging="360"/>
      </w:pPr>
      <w:rPr>
        <w:rFonts w:hint="default" w:ascii="Symbol" w:hAnsi="Symbol" w:eastAsia="Symbol" w:cs="Symbol"/>
      </w:rPr>
    </w:lvl>
    <w:lvl w:ilvl="4">
      <w:start w:val="1"/>
      <w:numFmt w:val="bullet"/>
      <w:isLgl w:val="false"/>
      <w:suff w:val="tab"/>
      <w:lvlText w:val="o"/>
      <w:lvlJc w:val="left"/>
      <w:pPr>
        <w:ind w:left="7994" w:hanging="360"/>
      </w:pPr>
      <w:rPr>
        <w:rFonts w:hint="default" w:ascii="Courier New" w:hAnsi="Courier New" w:eastAsia="Courier New" w:cs="Courier New"/>
      </w:rPr>
    </w:lvl>
    <w:lvl w:ilvl="5">
      <w:start w:val="1"/>
      <w:numFmt w:val="bullet"/>
      <w:isLgl w:val="false"/>
      <w:suff w:val="tab"/>
      <w:lvlText w:val="§"/>
      <w:lvlJc w:val="left"/>
      <w:pPr>
        <w:ind w:left="8714" w:hanging="360"/>
      </w:pPr>
      <w:rPr>
        <w:rFonts w:hint="default" w:ascii="Wingdings" w:hAnsi="Wingdings" w:eastAsia="Wingdings" w:cs="Wingdings"/>
      </w:rPr>
    </w:lvl>
    <w:lvl w:ilvl="6">
      <w:start w:val="1"/>
      <w:numFmt w:val="bullet"/>
      <w:isLgl w:val="false"/>
      <w:suff w:val="tab"/>
      <w:lvlText w:val="·"/>
      <w:lvlJc w:val="left"/>
      <w:pPr>
        <w:ind w:left="9434" w:hanging="360"/>
      </w:pPr>
      <w:rPr>
        <w:rFonts w:hint="default" w:ascii="Symbol" w:hAnsi="Symbol" w:eastAsia="Symbol" w:cs="Symbol"/>
      </w:rPr>
    </w:lvl>
    <w:lvl w:ilvl="7">
      <w:start w:val="1"/>
      <w:numFmt w:val="bullet"/>
      <w:isLgl w:val="false"/>
      <w:suff w:val="tab"/>
      <w:lvlText w:val="o"/>
      <w:lvlJc w:val="left"/>
      <w:pPr>
        <w:ind w:left="10154" w:hanging="360"/>
      </w:pPr>
      <w:rPr>
        <w:rFonts w:hint="default" w:ascii="Courier New" w:hAnsi="Courier New" w:eastAsia="Courier New" w:cs="Courier New"/>
      </w:rPr>
    </w:lvl>
    <w:lvl w:ilvl="8">
      <w:start w:val="1"/>
      <w:numFmt w:val="bullet"/>
      <w:isLgl w:val="false"/>
      <w:suff w:val="tab"/>
      <w:lvlText w:val="§"/>
      <w:lvlJc w:val="left"/>
      <w:pPr>
        <w:ind w:left="10874"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3">
    <w:name w:val="Heading 1"/>
    <w:basedOn w:val="852"/>
    <w:next w:val="852"/>
    <w:link w:val="1089"/>
    <w:uiPriority w:val="0"/>
    <w:qFormat/>
    <w:pPr>
      <w:ind w:left="100" w:right="100"/>
      <w:keepLines/>
      <w:keepNext/>
      <w:spacing w:before="120" w:after="120"/>
      <w:outlineLvl w:val="0"/>
    </w:pPr>
    <w:rPr>
      <w:b/>
      <w:bCs/>
      <w:szCs w:val="44"/>
    </w:rPr>
  </w:style>
  <w:style w:type="paragraph" w:styleId="854">
    <w:name w:val="Heading 2"/>
    <w:basedOn w:val="852"/>
    <w:next w:val="852"/>
    <w:link w:val="925"/>
    <w:uiPriority w:val="0"/>
    <w:qFormat/>
    <w:pPr>
      <w:keepLines/>
      <w:keepNext/>
      <w:spacing w:before="260" w:after="260" w:line="416" w:lineRule="auto"/>
      <w:outlineLvl w:val="1"/>
    </w:pPr>
    <w:rPr>
      <w:rFonts w:ascii="等线 Light" w:hAnsi="等线 Light" w:eastAsia="等线 Light"/>
      <w:b/>
      <w:bCs/>
      <w:sz w:val="32"/>
      <w:szCs w:val="32"/>
    </w:rPr>
  </w:style>
  <w:style w:type="paragraph" w:styleId="855">
    <w:name w:val="Heading 3"/>
    <w:basedOn w:val="852"/>
    <w:next w:val="852"/>
    <w:link w:val="924"/>
    <w:uiPriority w:val="9"/>
    <w:qFormat/>
    <w:pPr>
      <w:keepLines/>
      <w:keepNext/>
      <w:spacing w:before="260" w:after="260" w:line="416" w:lineRule="auto"/>
      <w:outlineLvl w:val="2"/>
    </w:pPr>
    <w:rPr>
      <w:b/>
      <w:bCs/>
      <w:sz w:val="32"/>
      <w:szCs w:val="32"/>
    </w:rPr>
  </w:style>
  <w:style w:type="paragraph" w:styleId="856">
    <w:name w:val="Heading 4"/>
    <w:basedOn w:val="852"/>
    <w:next w:val="852"/>
    <w:link w:val="957"/>
    <w:uiPriority w:val="0"/>
    <w:qFormat/>
    <w:pPr>
      <w:keepLines/>
      <w:keepNext/>
      <w:spacing w:before="280" w:after="290" w:line="376" w:lineRule="auto"/>
      <w:outlineLvl w:val="3"/>
    </w:pPr>
    <w:rPr>
      <w:rFonts w:ascii="等线 Light" w:hAnsi="等线 Light" w:eastAsia="等线 Light"/>
      <w:b/>
      <w:bCs/>
      <w:sz w:val="28"/>
      <w:szCs w:val="28"/>
    </w:rPr>
  </w:style>
  <w:style w:type="paragraph" w:styleId="857">
    <w:name w:val="Heading 5"/>
    <w:basedOn w:val="852"/>
    <w:next w:val="852"/>
    <w:link w:val="965"/>
    <w:uiPriority w:val="9"/>
    <w:unhideWhenUsed/>
    <w:qFormat/>
    <w:pPr>
      <w:keepLines/>
      <w:keepNext/>
      <w:spacing w:before="320" w:after="200"/>
      <w:outlineLvl w:val="4"/>
    </w:pPr>
    <w:rPr>
      <w:rFonts w:ascii="Arial" w:hAnsi="Arial" w:eastAsia="Arial" w:cs="Arial"/>
      <w:b/>
      <w:bCs/>
      <w:sz w:val="24"/>
    </w:rPr>
  </w:style>
  <w:style w:type="paragraph" w:styleId="858">
    <w:name w:val="Heading 6"/>
    <w:basedOn w:val="852"/>
    <w:next w:val="852"/>
    <w:link w:val="1090"/>
    <w:uiPriority w:val="0"/>
    <w:qFormat/>
    <w:pPr>
      <w:keepLines/>
      <w:keepNext/>
      <w:spacing w:before="240" w:after="64" w:line="320" w:lineRule="auto"/>
      <w:outlineLvl w:val="5"/>
    </w:pPr>
    <w:rPr>
      <w:rFonts w:ascii="等线 Light" w:hAnsi="等线 Light" w:eastAsia="等线 Light"/>
      <w:b/>
      <w:bCs/>
      <w:sz w:val="24"/>
    </w:rPr>
  </w:style>
  <w:style w:type="paragraph" w:styleId="859">
    <w:name w:val="Heading 7"/>
    <w:basedOn w:val="852"/>
    <w:next w:val="852"/>
    <w:link w:val="967"/>
    <w:uiPriority w:val="9"/>
    <w:unhideWhenUsed/>
    <w:qFormat/>
    <w:pPr>
      <w:keepLines/>
      <w:keepNext/>
      <w:spacing w:before="320" w:after="200"/>
      <w:outlineLvl w:val="6"/>
    </w:pPr>
    <w:rPr>
      <w:rFonts w:ascii="Arial" w:hAnsi="Arial" w:eastAsia="Arial" w:cs="Arial"/>
      <w:b/>
      <w:bCs/>
      <w:i/>
      <w:iCs/>
      <w:sz w:val="22"/>
      <w:szCs w:val="22"/>
    </w:rPr>
  </w:style>
  <w:style w:type="paragraph" w:styleId="860">
    <w:name w:val="Heading 8"/>
    <w:basedOn w:val="852"/>
    <w:next w:val="852"/>
    <w:link w:val="1091"/>
    <w:uiPriority w:val="0"/>
    <w:qFormat/>
    <w:pPr>
      <w:keepLines/>
      <w:keepNext/>
      <w:spacing w:before="240" w:after="64" w:line="320" w:lineRule="auto"/>
      <w:outlineLvl w:val="7"/>
    </w:pPr>
    <w:rPr>
      <w:rFonts w:ascii="等线 Light" w:hAnsi="等线 Light" w:eastAsia="等线 Light"/>
      <w:sz w:val="24"/>
    </w:rPr>
  </w:style>
  <w:style w:type="paragraph" w:styleId="861">
    <w:name w:val="Heading 9"/>
    <w:basedOn w:val="852"/>
    <w:next w:val="852"/>
    <w:link w:val="969"/>
    <w:uiPriority w:val="9"/>
    <w:unhideWhenUsed/>
    <w:qFormat/>
    <w:pPr>
      <w:keepLines/>
      <w:keepNext/>
      <w:spacing w:before="320" w:after="200"/>
      <w:outlineLvl w:val="8"/>
    </w:pPr>
    <w:rPr>
      <w:rFonts w:ascii="Arial" w:hAnsi="Arial" w:eastAsia="Arial" w:cs="Arial"/>
      <w:i/>
      <w:iCs/>
      <w:szCs w:val="21"/>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List 3"/>
    <w:basedOn w:val="852"/>
    <w:uiPriority w:val="0"/>
    <w:qFormat/>
    <w:pPr>
      <w:contextualSpacing/>
      <w:ind w:left="100" w:hanging="200"/>
      <w:jc w:val="left"/>
      <w:widowControl/>
    </w:pPr>
    <w:rPr>
      <w:sz w:val="20"/>
      <w:szCs w:val="20"/>
    </w:rPr>
  </w:style>
  <w:style w:type="paragraph" w:styleId="865">
    <w:name w:val="toc 7"/>
    <w:basedOn w:val="852"/>
    <w:next w:val="852"/>
    <w:uiPriority w:val="39"/>
    <w:unhideWhenUsed/>
    <w:qFormat/>
    <w:pPr>
      <w:ind w:left="1701"/>
      <w:spacing w:after="57"/>
    </w:pPr>
  </w:style>
  <w:style w:type="paragraph" w:styleId="866">
    <w:name w:val="Normal Indent"/>
    <w:basedOn w:val="852"/>
    <w:link w:val="1093"/>
    <w:uiPriority w:val="99"/>
    <w:qFormat/>
    <w:pPr>
      <w:ind w:firstLine="420"/>
    </w:pPr>
    <w:rPr>
      <w:szCs w:val="20"/>
    </w:rPr>
  </w:style>
  <w:style w:type="paragraph" w:styleId="867">
    <w:name w:val="Caption"/>
    <w:basedOn w:val="852"/>
    <w:next w:val="852"/>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68">
    <w:name w:val="Document Map"/>
    <w:basedOn w:val="852"/>
    <w:link w:val="1094"/>
    <w:uiPriority w:val="0"/>
    <w:qFormat/>
    <w:pPr>
      <w:shd w:val="clear" w:color="auto" w:fill="000080"/>
    </w:pPr>
  </w:style>
  <w:style w:type="paragraph" w:styleId="869">
    <w:name w:val="annotation text"/>
    <w:basedOn w:val="852"/>
    <w:link w:val="1095"/>
    <w:uiPriority w:val="0"/>
    <w:qFormat/>
    <w:pPr>
      <w:jc w:val="left"/>
    </w:pPr>
  </w:style>
  <w:style w:type="paragraph" w:styleId="870">
    <w:name w:val="Body Text"/>
    <w:basedOn w:val="852"/>
    <w:next w:val="852"/>
    <w:link w:val="1096"/>
    <w:uiPriority w:val="1"/>
    <w:qFormat/>
    <w:pPr>
      <w:spacing w:after="120"/>
    </w:pPr>
  </w:style>
  <w:style w:type="paragraph" w:styleId="871">
    <w:name w:val="Body Text Indent"/>
    <w:basedOn w:val="852"/>
    <w:uiPriority w:val="0"/>
    <w:qFormat/>
    <w:pPr>
      <w:ind w:left="420"/>
      <w:spacing w:after="120"/>
    </w:pPr>
  </w:style>
  <w:style w:type="paragraph" w:styleId="872">
    <w:name w:val="index 4"/>
    <w:basedOn w:val="852"/>
    <w:next w:val="852"/>
    <w:uiPriority w:val="99"/>
    <w:unhideWhenUsed/>
    <w:qFormat/>
    <w:pPr>
      <w:ind w:left="600"/>
    </w:pPr>
    <w:rPr>
      <w:rFonts w:ascii="宋体"/>
      <w:b/>
      <w:position w:val="-10"/>
      <w:sz w:val="24"/>
      <w:szCs w:val="20"/>
    </w:rPr>
  </w:style>
  <w:style w:type="paragraph" w:styleId="873">
    <w:name w:val="toc 5"/>
    <w:basedOn w:val="852"/>
    <w:next w:val="852"/>
    <w:uiPriority w:val="39"/>
    <w:unhideWhenUsed/>
    <w:qFormat/>
    <w:pPr>
      <w:ind w:left="1134"/>
      <w:spacing w:after="57"/>
    </w:pPr>
  </w:style>
  <w:style w:type="paragraph" w:styleId="874">
    <w:name w:val="toc 3"/>
    <w:basedOn w:val="852"/>
    <w:next w:val="852"/>
    <w:uiPriority w:val="39"/>
    <w:unhideWhenUsed/>
    <w:qFormat/>
    <w:pPr>
      <w:ind w:left="567"/>
      <w:spacing w:after="57"/>
    </w:pPr>
  </w:style>
  <w:style w:type="paragraph" w:styleId="875">
    <w:name w:val="Plain Text"/>
    <w:basedOn w:val="852"/>
    <w:link w:val="1099"/>
    <w:uiPriority w:val="0"/>
    <w:qFormat/>
    <w:rPr>
      <w:rFonts w:ascii="宋体" w:hAnsi="Courier New" w:cs="Courier New"/>
      <w:szCs w:val="21"/>
    </w:rPr>
  </w:style>
  <w:style w:type="paragraph" w:styleId="876">
    <w:name w:val="toc 8"/>
    <w:basedOn w:val="852"/>
    <w:next w:val="852"/>
    <w:uiPriority w:val="39"/>
    <w:unhideWhenUsed/>
    <w:qFormat/>
    <w:pPr>
      <w:ind w:left="1984"/>
      <w:spacing w:after="57"/>
    </w:pPr>
  </w:style>
  <w:style w:type="paragraph" w:styleId="877">
    <w:name w:val="Date"/>
    <w:basedOn w:val="852"/>
    <w:next w:val="852"/>
    <w:link w:val="1101"/>
    <w:uiPriority w:val="0"/>
    <w:qFormat/>
    <w:rPr>
      <w:sz w:val="24"/>
      <w:szCs w:val="20"/>
    </w:rPr>
  </w:style>
  <w:style w:type="paragraph" w:styleId="878">
    <w:name w:val="endnote text"/>
    <w:basedOn w:val="852"/>
    <w:link w:val="1086"/>
    <w:uiPriority w:val="99"/>
    <w:semiHidden/>
    <w:unhideWhenUsed/>
    <w:qFormat/>
    <w:rPr>
      <w:sz w:val="20"/>
    </w:rPr>
  </w:style>
  <w:style w:type="paragraph" w:styleId="879">
    <w:name w:val="Balloon Text"/>
    <w:basedOn w:val="852"/>
    <w:link w:val="1102"/>
    <w:uiPriority w:val="0"/>
    <w:qFormat/>
    <w:rPr>
      <w:sz w:val="18"/>
      <w:szCs w:val="18"/>
    </w:rPr>
  </w:style>
  <w:style w:type="paragraph" w:styleId="880">
    <w:name w:val="Footer"/>
    <w:basedOn w:val="852"/>
    <w:link w:val="1103"/>
    <w:uiPriority w:val="99"/>
    <w:qFormat/>
    <w:pPr>
      <w:jc w:val="left"/>
      <w:tabs>
        <w:tab w:val="center" w:pos="4153" w:leader="none"/>
        <w:tab w:val="right" w:pos="8306" w:leader="none"/>
      </w:tabs>
    </w:pPr>
    <w:rPr>
      <w:sz w:val="18"/>
      <w:szCs w:val="18"/>
    </w:rPr>
  </w:style>
  <w:style w:type="paragraph" w:styleId="881">
    <w:name w:val="envelope return"/>
    <w:basedOn w:val="852"/>
    <w:uiPriority w:val="0"/>
    <w:qFormat/>
    <w:rPr>
      <w:rFonts w:ascii="Arial" w:hAnsi="Arial"/>
    </w:rPr>
  </w:style>
  <w:style w:type="paragraph" w:styleId="882">
    <w:name w:val="Header"/>
    <w:basedOn w:val="852"/>
    <w:link w:val="1104"/>
    <w:uiPriority w:val="99"/>
    <w:qFormat/>
    <w:pPr>
      <w:jc w:val="center"/>
      <w:tabs>
        <w:tab w:val="center" w:pos="4153" w:leader="none"/>
        <w:tab w:val="right" w:pos="8306" w:leader="none"/>
      </w:tabs>
      <w:pBdr>
        <w:bottom w:val="single" w:color="auto" w:sz="6" w:space="1"/>
      </w:pBdr>
    </w:pPr>
    <w:rPr>
      <w:sz w:val="18"/>
      <w:szCs w:val="18"/>
    </w:rPr>
  </w:style>
  <w:style w:type="paragraph" w:styleId="883">
    <w:name w:val="toc 1"/>
    <w:basedOn w:val="852"/>
    <w:next w:val="852"/>
    <w:uiPriority w:val="39"/>
    <w:unhideWhenUsed/>
    <w:qFormat/>
    <w:pPr>
      <w:spacing w:after="57"/>
    </w:pPr>
  </w:style>
  <w:style w:type="paragraph" w:styleId="884">
    <w:name w:val="toc 4"/>
    <w:basedOn w:val="852"/>
    <w:next w:val="852"/>
    <w:uiPriority w:val="39"/>
    <w:unhideWhenUsed/>
    <w:qFormat/>
    <w:pPr>
      <w:ind w:left="850"/>
      <w:spacing w:after="57"/>
    </w:pPr>
  </w:style>
  <w:style w:type="paragraph" w:styleId="885">
    <w:name w:val="Subtitle"/>
    <w:basedOn w:val="852"/>
    <w:next w:val="852"/>
    <w:link w:val="971"/>
    <w:uiPriority w:val="11"/>
    <w:qFormat/>
    <w:pPr>
      <w:spacing w:before="200" w:after="200"/>
    </w:pPr>
    <w:rPr>
      <w:sz w:val="24"/>
    </w:rPr>
  </w:style>
  <w:style w:type="paragraph" w:styleId="886">
    <w:name w:val="footnote text"/>
    <w:basedOn w:val="852"/>
    <w:link w:val="1085"/>
    <w:uiPriority w:val="99"/>
    <w:semiHidden/>
    <w:unhideWhenUsed/>
    <w:qFormat/>
    <w:pPr>
      <w:spacing w:after="40"/>
    </w:pPr>
    <w:rPr>
      <w:sz w:val="18"/>
    </w:rPr>
  </w:style>
  <w:style w:type="paragraph" w:styleId="887">
    <w:name w:val="toc 6"/>
    <w:basedOn w:val="852"/>
    <w:next w:val="852"/>
    <w:uiPriority w:val="39"/>
    <w:unhideWhenUsed/>
    <w:qFormat/>
    <w:pPr>
      <w:ind w:left="1417"/>
      <w:spacing w:after="57"/>
    </w:pPr>
  </w:style>
  <w:style w:type="paragraph" w:styleId="888">
    <w:name w:val="table of figures"/>
    <w:basedOn w:val="852"/>
    <w:next w:val="852"/>
    <w:uiPriority w:val="99"/>
    <w:unhideWhenUsed/>
    <w:qFormat/>
  </w:style>
  <w:style w:type="paragraph" w:styleId="889">
    <w:name w:val="toc 2"/>
    <w:basedOn w:val="852"/>
    <w:next w:val="852"/>
    <w:uiPriority w:val="99"/>
    <w:semiHidden/>
    <w:qFormat/>
    <w:pPr>
      <w:ind w:left="420"/>
    </w:pPr>
    <w:rPr>
      <w:rFonts w:eastAsia="楷体_GB2312"/>
      <w:sz w:val="26"/>
      <w:szCs w:val="26"/>
    </w:rPr>
  </w:style>
  <w:style w:type="paragraph" w:styleId="890">
    <w:name w:val="toc 9"/>
    <w:basedOn w:val="852"/>
    <w:next w:val="852"/>
    <w:uiPriority w:val="39"/>
    <w:unhideWhenUsed/>
    <w:qFormat/>
    <w:pPr>
      <w:ind w:left="2268"/>
      <w:spacing w:after="57"/>
    </w:pPr>
  </w:style>
  <w:style w:type="paragraph" w:styleId="891">
    <w:name w:val="Body Text 2"/>
    <w:basedOn w:val="852"/>
    <w:link w:val="1110"/>
    <w:uiPriority w:val="0"/>
    <w:qFormat/>
    <w:pPr>
      <w:spacing w:after="120" w:line="480" w:lineRule="auto"/>
    </w:pPr>
    <w:rPr>
      <w:rFonts w:ascii="Calibri" w:hAnsi="Calibri"/>
    </w:rPr>
  </w:style>
  <w:style w:type="paragraph" w:styleId="892">
    <w:name w:val="Normal (Web)"/>
    <w:basedOn w:val="852"/>
    <w:uiPriority w:val="99"/>
    <w:qFormat/>
    <w:pPr>
      <w:jc w:val="left"/>
      <w:spacing w:before="100" w:beforeAutospacing="1" w:after="100" w:afterAutospacing="1"/>
      <w:widowControl/>
    </w:pPr>
    <w:rPr>
      <w:sz w:val="24"/>
    </w:rPr>
  </w:style>
  <w:style w:type="paragraph" w:styleId="893">
    <w:name w:val="Title"/>
    <w:basedOn w:val="852"/>
    <w:next w:val="852"/>
    <w:link w:val="1111"/>
    <w:uiPriority w:val="0"/>
    <w:qFormat/>
    <w:pPr>
      <w:jc w:val="center"/>
      <w:spacing w:before="240" w:after="60" w:line="360" w:lineRule="auto"/>
      <w:outlineLvl w:val="0"/>
    </w:pPr>
    <w:rPr>
      <w:rFonts w:ascii="等线 Light" w:hAnsi="等线 Light"/>
      <w:b/>
      <w:bCs/>
      <w:sz w:val="32"/>
      <w:szCs w:val="32"/>
    </w:rPr>
  </w:style>
  <w:style w:type="paragraph" w:styleId="894">
    <w:name w:val="annotation subject"/>
    <w:basedOn w:val="869"/>
    <w:next w:val="869"/>
    <w:link w:val="1112"/>
    <w:uiPriority w:val="0"/>
    <w:qFormat/>
    <w:rPr>
      <w:b/>
      <w:bCs/>
    </w:rPr>
  </w:style>
  <w:style w:type="paragraph" w:styleId="895">
    <w:name w:val="Body Text First Indent"/>
    <w:basedOn w:val="870"/>
    <w:uiPriority w:val="0"/>
    <w:qFormat/>
    <w:pPr>
      <w:ind w:firstLine="420"/>
      <w:spacing w:line="360" w:lineRule="auto"/>
    </w:pPr>
    <w:rPr>
      <w:szCs w:val="21"/>
    </w:rPr>
  </w:style>
  <w:style w:type="table" w:styleId="896">
    <w:name w:val="Table Grid"/>
    <w:basedOn w:val="8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7">
    <w:name w:val="Strong"/>
    <w:uiPriority w:val="0"/>
    <w:qFormat/>
    <w:rPr>
      <w:b/>
      <w:bCs/>
    </w:rPr>
  </w:style>
  <w:style w:type="character" w:styleId="898">
    <w:name w:val="endnote reference"/>
    <w:basedOn w:val="862"/>
    <w:uiPriority w:val="99"/>
    <w:semiHidden/>
    <w:unhideWhenUsed/>
    <w:qFormat/>
    <w:rPr>
      <w:vertAlign w:val="superscript"/>
    </w:rPr>
  </w:style>
  <w:style w:type="character" w:styleId="899">
    <w:name w:val="page number"/>
    <w:basedOn w:val="862"/>
    <w:uiPriority w:val="0"/>
    <w:qFormat/>
  </w:style>
  <w:style w:type="character" w:styleId="900">
    <w:name w:val="Emphasis"/>
    <w:uiPriority w:val="0"/>
    <w:qFormat/>
    <w:rPr>
      <w:i/>
      <w:iCs/>
    </w:rPr>
  </w:style>
  <w:style w:type="character" w:styleId="901">
    <w:name w:val="Hyperlink"/>
    <w:uiPriority w:val="99"/>
    <w:qFormat/>
    <w:rPr>
      <w:color w:val="auto"/>
      <w:u w:val="none"/>
    </w:rPr>
  </w:style>
  <w:style w:type="character" w:styleId="902">
    <w:name w:val="annotation reference"/>
    <w:uiPriority w:val="0"/>
    <w:qFormat/>
    <w:rPr>
      <w:sz w:val="21"/>
      <w:szCs w:val="21"/>
    </w:rPr>
  </w:style>
  <w:style w:type="character" w:styleId="903">
    <w:name w:val="footnote reference"/>
    <w:basedOn w:val="862"/>
    <w:uiPriority w:val="99"/>
    <w:unhideWhenUsed/>
    <w:qFormat/>
    <w:rPr>
      <w:vertAlign w:val="superscript"/>
    </w:rPr>
  </w:style>
  <w:style w:type="table" w:styleId="904" w:customStyle="1">
    <w:name w:val="Plain Table 1"/>
    <w:basedOn w:val="8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Plain Table 2"/>
    <w:basedOn w:val="86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Plain Table 3"/>
    <w:basedOn w:val="8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customStyle="1">
    <w:name w:val="Plain Table 4"/>
    <w:basedOn w:val="8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customStyle="1">
    <w:name w:val="Plain Table 5"/>
    <w:basedOn w:val="8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customStyle="1">
    <w:name w:val="Grid Table 1 Light"/>
    <w:basedOn w:val="86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0" w:customStyle="1">
    <w:name w:val="Grid Table 2"/>
    <w:basedOn w:val="8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1" w:customStyle="1">
    <w:name w:val="Grid Table 3"/>
    <w:basedOn w:val="8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4"/>
    <w:basedOn w:val="86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customStyle="1">
    <w:name w:val="Grid Table 5 Dark"/>
    <w:basedOn w:val="8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6 Colorful"/>
    <w:basedOn w:val="86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5" w:customStyle="1">
    <w:name w:val="Grid Table 7 Colorful"/>
    <w:basedOn w:val="86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1 Light"/>
    <w:basedOn w:val="86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List Table 2"/>
    <w:basedOn w:val="86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8" w:customStyle="1">
    <w:name w:val="List Table 3"/>
    <w:basedOn w:val="8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4"/>
    <w:basedOn w:val="8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5 Dark"/>
    <w:basedOn w:val="86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6 Colorful"/>
    <w:basedOn w:val="86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2" w:customStyle="1">
    <w:name w:val="List Table 7 Colorful"/>
    <w:basedOn w:val="86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3" w:customStyle="1">
    <w:name w:val="TOC Heading"/>
    <w:uiPriority w:val="39"/>
    <w:unhideWhenUsed/>
    <w:qFormat/>
    <w:rPr>
      <w:rFonts w:hint="default" w:ascii="Times New Roman" w:hAnsi="Times New Roman" w:eastAsia="宋体" w:cs="Times New Roman"/>
    </w:rPr>
  </w:style>
  <w:style w:type="character" w:styleId="924" w:customStyle="1">
    <w:name w:val="标题 3 字符"/>
    <w:link w:val="855"/>
    <w:uiPriority w:val="9"/>
    <w:qFormat/>
    <w:rPr>
      <w:rFonts w:eastAsia="宋体"/>
      <w:b/>
      <w:bCs/>
      <w:sz w:val="32"/>
      <w:szCs w:val="32"/>
      <w:lang w:val="en-US" w:eastAsia="zh-CN" w:bidi="ar-SA"/>
    </w:rPr>
  </w:style>
  <w:style w:type="character" w:styleId="925" w:customStyle="1">
    <w:name w:val="标题 2 字符"/>
    <w:link w:val="854"/>
    <w:uiPriority w:val="0"/>
    <w:semiHidden/>
    <w:qFormat/>
    <w:rPr>
      <w:rFonts w:ascii="等线 Light" w:hAnsi="等线 Light" w:eastAsia="等线 Light" w:cs="Times New Roman"/>
      <w:b/>
      <w:bCs/>
      <w:sz w:val="32"/>
      <w:szCs w:val="32"/>
    </w:rPr>
  </w:style>
  <w:style w:type="paragraph" w:styleId="926" w:customStyle="1">
    <w:name w:val="正文首行缩进 211"/>
    <w:basedOn w:val="927"/>
    <w:next w:val="852"/>
    <w:uiPriority w:val="0"/>
    <w:qFormat/>
    <w:pPr>
      <w:ind w:left="0" w:firstLine="420"/>
      <w:spacing w:after="0" w:line="360" w:lineRule="auto"/>
    </w:pPr>
    <w:rPr>
      <w:rFonts w:ascii="宋体" w:hAnsi="宋体"/>
      <w:szCs w:val="20"/>
    </w:rPr>
  </w:style>
  <w:style w:type="paragraph" w:styleId="927" w:customStyle="1">
    <w:name w:val="正文文本缩进11"/>
    <w:basedOn w:val="852"/>
    <w:next w:val="928"/>
    <w:uiPriority w:val="0"/>
    <w:unhideWhenUsed/>
    <w:qFormat/>
    <w:pPr>
      <w:ind w:left="420"/>
      <w:spacing w:after="120"/>
    </w:pPr>
  </w:style>
  <w:style w:type="paragraph" w:styleId="928" w:customStyle="1">
    <w:name w:val="寄信人地址1"/>
    <w:basedOn w:val="852"/>
    <w:uiPriority w:val="0"/>
    <w:qFormat/>
    <w:rPr>
      <w:rFonts w:ascii="Arial" w:hAnsi="Arial" w:cs="宋体"/>
    </w:rPr>
  </w:style>
  <w:style w:type="character" w:styleId="929" w:customStyle="1">
    <w:name w:val="Heading 5 Char"/>
    <w:basedOn w:val="862"/>
    <w:uiPriority w:val="9"/>
    <w:qFormat/>
    <w:rPr>
      <w:rFonts w:ascii="Arial" w:hAnsi="Arial" w:eastAsia="Arial" w:cs="Arial"/>
      <w:b/>
      <w:bCs/>
      <w:sz w:val="24"/>
      <w:szCs w:val="24"/>
    </w:rPr>
  </w:style>
  <w:style w:type="character" w:styleId="930" w:customStyle="1">
    <w:name w:val="Heading 7 Char"/>
    <w:basedOn w:val="862"/>
    <w:uiPriority w:val="9"/>
    <w:qFormat/>
    <w:rPr>
      <w:rFonts w:ascii="Arial" w:hAnsi="Arial" w:eastAsia="Arial" w:cs="Arial"/>
      <w:b/>
      <w:bCs/>
      <w:i/>
      <w:iCs/>
      <w:sz w:val="22"/>
      <w:szCs w:val="22"/>
    </w:rPr>
  </w:style>
  <w:style w:type="character" w:styleId="931" w:customStyle="1">
    <w:name w:val="Heading 9 Char"/>
    <w:basedOn w:val="862"/>
    <w:uiPriority w:val="9"/>
    <w:qFormat/>
    <w:rPr>
      <w:rFonts w:ascii="Arial" w:hAnsi="Arial" w:eastAsia="Arial" w:cs="Arial"/>
      <w:i/>
      <w:iCs/>
      <w:sz w:val="21"/>
      <w:szCs w:val="21"/>
    </w:rPr>
  </w:style>
  <w:style w:type="character" w:styleId="932" w:customStyle="1">
    <w:name w:val="Subtitle Char"/>
    <w:basedOn w:val="862"/>
    <w:uiPriority w:val="11"/>
    <w:qFormat/>
    <w:rPr>
      <w:sz w:val="24"/>
      <w:szCs w:val="24"/>
    </w:rPr>
  </w:style>
  <w:style w:type="character" w:styleId="933" w:customStyle="1">
    <w:name w:val="Quote Char"/>
    <w:uiPriority w:val="29"/>
    <w:qFormat/>
    <w:rPr>
      <w:i/>
    </w:rPr>
  </w:style>
  <w:style w:type="character" w:styleId="934" w:customStyle="1">
    <w:name w:val="Intense Quote Char"/>
    <w:uiPriority w:val="30"/>
    <w:qFormat/>
    <w:rPr>
      <w:i/>
    </w:rPr>
  </w:style>
  <w:style w:type="table" w:styleId="935" w:customStyle="1">
    <w:name w:val="无格式表格 11"/>
    <w:basedOn w:val="8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无格式表格 21"/>
    <w:basedOn w:val="8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无格式表格 31"/>
    <w:basedOn w:val="8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customStyle="1">
    <w:name w:val="无格式表格 41"/>
    <w:basedOn w:val="8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customStyle="1">
    <w:name w:val="无格式表格 51"/>
    <w:basedOn w:val="8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0" w:customStyle="1">
    <w:name w:val="网格表 1 浅色1"/>
    <w:basedOn w:val="8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1" w:customStyle="1">
    <w:name w:val="网格表 21"/>
    <w:basedOn w:val="8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2" w:customStyle="1">
    <w:name w:val="网格表 31"/>
    <w:basedOn w:val="8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网格表 41"/>
    <w:basedOn w:val="8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4" w:customStyle="1">
    <w:name w:val="网格表 5 深色1"/>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5" w:customStyle="1">
    <w:name w:val="网格表 6 彩色1"/>
    <w:basedOn w:val="8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6" w:customStyle="1">
    <w:name w:val="网格表 7 彩色1"/>
    <w:basedOn w:val="8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清单表 1 浅色1"/>
    <w:basedOn w:val="86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清单表 21"/>
    <w:basedOn w:val="8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清单表 31"/>
    <w:basedOn w:val="8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清单表 41"/>
    <w:basedOn w:val="8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清单表 5 深色1"/>
    <w:basedOn w:val="8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清单表 6 彩色1"/>
    <w:basedOn w:val="86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3" w:customStyle="1">
    <w:name w:val="清单表 7 彩色1"/>
    <w:basedOn w:val="86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54" w:customStyle="1">
    <w:name w:val="Footnote Text Char"/>
    <w:uiPriority w:val="99"/>
    <w:qFormat/>
    <w:rPr>
      <w:sz w:val="18"/>
    </w:rPr>
  </w:style>
  <w:style w:type="character" w:styleId="955" w:customStyle="1">
    <w:name w:val="Endnote Text Char"/>
    <w:uiPriority w:val="99"/>
    <w:qFormat/>
    <w:rPr>
      <w:sz w:val="20"/>
    </w:rPr>
  </w:style>
  <w:style w:type="paragraph" w:styleId="956" w:customStyle="1">
    <w:name w:val="TOC 标题1"/>
    <w:uiPriority w:val="39"/>
    <w:unhideWhenUsed/>
    <w:qFormat/>
    <w:rPr>
      <w:rFonts w:hint="default" w:ascii="Times New Roman" w:hAnsi="Times New Roman" w:eastAsia="宋体" w:cs="Times New Roman"/>
      <w:lang w:val="en-US" w:eastAsia="zh-CN" w:bidi="ar-SA"/>
    </w:rPr>
  </w:style>
  <w:style w:type="character" w:styleId="957" w:customStyle="1">
    <w:name w:val="标题 4 字符"/>
    <w:link w:val="856"/>
    <w:uiPriority w:val="0"/>
    <w:semiHidden/>
    <w:qFormat/>
    <w:rPr>
      <w:rFonts w:ascii="等线 Light" w:hAnsi="等线 Light" w:eastAsia="等线 Light" w:cs="Times New Roman"/>
      <w:b/>
      <w:bCs/>
      <w:sz w:val="28"/>
      <w:szCs w:val="28"/>
    </w:rPr>
  </w:style>
  <w:style w:type="paragraph" w:styleId="958" w:customStyle="1">
    <w:name w:val="首行缩进"/>
    <w:basedOn w:val="852"/>
    <w:uiPriority w:val="0"/>
    <w:qFormat/>
    <w:pPr>
      <w:spacing w:line="360" w:lineRule="auto"/>
    </w:pPr>
  </w:style>
  <w:style w:type="paragraph" w:styleId="959" w:customStyle="1">
    <w:name w:val="正文文本1"/>
    <w:basedOn w:val="960"/>
    <w:next w:val="852"/>
    <w:uiPriority w:val="0"/>
    <w:qFormat/>
    <w:pPr>
      <w:spacing w:after="120"/>
    </w:pPr>
    <w:rPr>
      <w:sz w:val="28"/>
    </w:rPr>
  </w:style>
  <w:style w:type="paragraph" w:styleId="960" w:customStyle="1">
    <w:name w:val="正文1"/>
    <w:uiPriority w:val="0"/>
    <w:qFormat/>
    <w:pPr>
      <w:jc w:val="both"/>
      <w:widowControl w:val="off"/>
    </w:pPr>
    <w:rPr>
      <w:rFonts w:hint="default" w:ascii="Calibri" w:hAnsi="Calibri" w:eastAsia="宋体" w:cs="Times New Roman"/>
      <w:sz w:val="21"/>
      <w:szCs w:val="22"/>
      <w:lang w:val="en-US" w:eastAsia="zh-CN" w:bidi="ar-SA"/>
    </w:rPr>
  </w:style>
  <w:style w:type="character" w:styleId="961" w:customStyle="1">
    <w:name w:val="Heading 1 Char"/>
    <w:basedOn w:val="862"/>
    <w:uiPriority w:val="9"/>
    <w:qFormat/>
    <w:rPr>
      <w:rFonts w:ascii="Arial" w:hAnsi="Arial" w:eastAsia="Arial" w:cs="Arial"/>
      <w:sz w:val="40"/>
      <w:szCs w:val="40"/>
    </w:rPr>
  </w:style>
  <w:style w:type="character" w:styleId="962" w:customStyle="1">
    <w:name w:val="Heading 2 Char"/>
    <w:basedOn w:val="862"/>
    <w:uiPriority w:val="9"/>
    <w:qFormat/>
    <w:rPr>
      <w:rFonts w:ascii="Arial" w:hAnsi="Arial" w:eastAsia="Arial" w:cs="Arial"/>
      <w:sz w:val="34"/>
    </w:rPr>
  </w:style>
  <w:style w:type="character" w:styleId="963" w:customStyle="1">
    <w:name w:val="Heading 3 Char"/>
    <w:basedOn w:val="862"/>
    <w:uiPriority w:val="9"/>
    <w:qFormat/>
    <w:rPr>
      <w:rFonts w:ascii="Arial" w:hAnsi="Arial" w:eastAsia="Arial" w:cs="Arial"/>
      <w:sz w:val="30"/>
      <w:szCs w:val="30"/>
    </w:rPr>
  </w:style>
  <w:style w:type="character" w:styleId="964" w:customStyle="1">
    <w:name w:val="Heading 4 Char"/>
    <w:basedOn w:val="862"/>
    <w:uiPriority w:val="9"/>
    <w:qFormat/>
    <w:rPr>
      <w:rFonts w:ascii="Arial" w:hAnsi="Arial" w:eastAsia="Arial" w:cs="Arial"/>
      <w:b/>
      <w:bCs/>
      <w:sz w:val="26"/>
      <w:szCs w:val="26"/>
    </w:rPr>
  </w:style>
  <w:style w:type="character" w:styleId="965" w:customStyle="1">
    <w:name w:val="标题 5 字符"/>
    <w:basedOn w:val="862"/>
    <w:link w:val="857"/>
    <w:uiPriority w:val="9"/>
    <w:qFormat/>
    <w:rPr>
      <w:rFonts w:ascii="Arial" w:hAnsi="Arial" w:eastAsia="Arial" w:cs="Arial"/>
      <w:b/>
      <w:bCs/>
      <w:sz w:val="24"/>
      <w:szCs w:val="24"/>
    </w:rPr>
  </w:style>
  <w:style w:type="character" w:styleId="966" w:customStyle="1">
    <w:name w:val="Heading 6 Char"/>
    <w:basedOn w:val="862"/>
    <w:uiPriority w:val="9"/>
    <w:qFormat/>
    <w:rPr>
      <w:rFonts w:ascii="Arial" w:hAnsi="Arial" w:eastAsia="Arial" w:cs="Arial"/>
      <w:b/>
      <w:bCs/>
      <w:sz w:val="22"/>
      <w:szCs w:val="22"/>
    </w:rPr>
  </w:style>
  <w:style w:type="character" w:styleId="967" w:customStyle="1">
    <w:name w:val="标题 7 字符"/>
    <w:basedOn w:val="862"/>
    <w:link w:val="859"/>
    <w:uiPriority w:val="9"/>
    <w:qFormat/>
    <w:rPr>
      <w:rFonts w:ascii="Arial" w:hAnsi="Arial" w:eastAsia="Arial" w:cs="Arial"/>
      <w:b/>
      <w:bCs/>
      <w:i/>
      <w:iCs/>
      <w:sz w:val="22"/>
      <w:szCs w:val="22"/>
    </w:rPr>
  </w:style>
  <w:style w:type="character" w:styleId="968" w:customStyle="1">
    <w:name w:val="Heading 8 Char"/>
    <w:basedOn w:val="862"/>
    <w:uiPriority w:val="9"/>
    <w:qFormat/>
    <w:rPr>
      <w:rFonts w:ascii="Arial" w:hAnsi="Arial" w:eastAsia="Arial" w:cs="Arial"/>
      <w:i/>
      <w:iCs/>
      <w:sz w:val="22"/>
      <w:szCs w:val="22"/>
    </w:rPr>
  </w:style>
  <w:style w:type="character" w:styleId="969" w:customStyle="1">
    <w:name w:val="标题 9 字符"/>
    <w:basedOn w:val="862"/>
    <w:link w:val="861"/>
    <w:uiPriority w:val="9"/>
    <w:qFormat/>
    <w:rPr>
      <w:rFonts w:ascii="Arial" w:hAnsi="Arial" w:eastAsia="Arial" w:cs="Arial"/>
      <w:i/>
      <w:iCs/>
      <w:sz w:val="21"/>
      <w:szCs w:val="21"/>
    </w:rPr>
  </w:style>
  <w:style w:type="character" w:styleId="970" w:customStyle="1">
    <w:name w:val="Title Char"/>
    <w:basedOn w:val="862"/>
    <w:uiPriority w:val="10"/>
    <w:qFormat/>
    <w:rPr>
      <w:sz w:val="48"/>
      <w:szCs w:val="48"/>
    </w:rPr>
  </w:style>
  <w:style w:type="character" w:styleId="971" w:customStyle="1">
    <w:name w:val="副标题 字符"/>
    <w:basedOn w:val="862"/>
    <w:link w:val="885"/>
    <w:uiPriority w:val="11"/>
    <w:qFormat/>
    <w:rPr>
      <w:sz w:val="24"/>
      <w:szCs w:val="24"/>
    </w:rPr>
  </w:style>
  <w:style w:type="paragraph" w:styleId="972">
    <w:name w:val="Quote"/>
    <w:basedOn w:val="852"/>
    <w:next w:val="852"/>
    <w:link w:val="973"/>
    <w:uiPriority w:val="29"/>
    <w:qFormat/>
    <w:pPr>
      <w:ind w:left="720" w:right="720"/>
    </w:pPr>
    <w:rPr>
      <w:i/>
    </w:rPr>
  </w:style>
  <w:style w:type="character" w:styleId="973" w:customStyle="1">
    <w:name w:val="引用 字符"/>
    <w:link w:val="972"/>
    <w:uiPriority w:val="29"/>
    <w:qFormat/>
    <w:rPr>
      <w:i/>
    </w:rPr>
  </w:style>
  <w:style w:type="paragraph" w:styleId="974">
    <w:name w:val="Intense Quote"/>
    <w:basedOn w:val="852"/>
    <w:next w:val="852"/>
    <w:link w:val="9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5" w:customStyle="1">
    <w:name w:val="明显引用 字符"/>
    <w:link w:val="974"/>
    <w:uiPriority w:val="30"/>
    <w:qFormat/>
    <w:rPr>
      <w:i/>
    </w:rPr>
  </w:style>
  <w:style w:type="character" w:styleId="976" w:customStyle="1">
    <w:name w:val="Header Char"/>
    <w:basedOn w:val="862"/>
    <w:uiPriority w:val="99"/>
    <w:qFormat/>
  </w:style>
  <w:style w:type="character" w:styleId="977" w:customStyle="1">
    <w:name w:val="Footer Char"/>
    <w:basedOn w:val="862"/>
    <w:uiPriority w:val="99"/>
    <w:qFormat/>
  </w:style>
  <w:style w:type="character" w:styleId="978" w:customStyle="1">
    <w:name w:val="Caption Char"/>
    <w:uiPriority w:val="99"/>
    <w:qFormat/>
  </w:style>
  <w:style w:type="table" w:styleId="979" w:customStyle="1">
    <w:name w:val="Table Grid Light"/>
    <w:basedOn w:val="8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80" w:customStyle="1">
    <w:name w:val="Grid Table 1 Light - Accent 1"/>
    <w:basedOn w:val="86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2"/>
    <w:basedOn w:val="8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3"/>
    <w:basedOn w:val="8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4"/>
    <w:basedOn w:val="8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5"/>
    <w:basedOn w:val="86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6"/>
    <w:basedOn w:val="8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6" w:customStyle="1">
    <w:name w:val="Grid Table 2 - Accent 1"/>
    <w:basedOn w:val="86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87" w:customStyle="1">
    <w:name w:val="Grid Table 2 - Accent 2"/>
    <w:basedOn w:val="8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88" w:customStyle="1">
    <w:name w:val="Grid Table 2 - Accent 3"/>
    <w:basedOn w:val="8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9" w:customStyle="1">
    <w:name w:val="Grid Table 2 - Accent 4"/>
    <w:basedOn w:val="8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90" w:customStyle="1">
    <w:name w:val="Grid Table 2 - Accent 5"/>
    <w:basedOn w:val="86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91" w:customStyle="1">
    <w:name w:val="Grid Table 2 - Accent 6"/>
    <w:basedOn w:val="8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92" w:customStyle="1">
    <w:name w:val="Grid Table 3 - Accent 1"/>
    <w:basedOn w:val="86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2"/>
    <w:basedOn w:val="8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3"/>
    <w:basedOn w:val="8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4"/>
    <w:basedOn w:val="8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5"/>
    <w:basedOn w:val="86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6"/>
    <w:basedOn w:val="8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4 - Accent 1"/>
    <w:basedOn w:val="86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99" w:customStyle="1">
    <w:name w:val="Grid Table 4 - Accent 2"/>
    <w:basedOn w:val="86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00" w:customStyle="1">
    <w:name w:val="Grid Table 4 - Accent 3"/>
    <w:basedOn w:val="86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01" w:customStyle="1">
    <w:name w:val="Grid Table 4 - Accent 4"/>
    <w:basedOn w:val="86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02" w:customStyle="1">
    <w:name w:val="Grid Table 4 - Accent 5"/>
    <w:basedOn w:val="86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03" w:customStyle="1">
    <w:name w:val="Grid Table 4 - Accent 6"/>
    <w:basedOn w:val="86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4" w:customStyle="1">
    <w:name w:val="Grid Table 5 Dark- Accent 1"/>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05" w:customStyle="1">
    <w:name w:val="Grid Table 5 Dark - Accent 2"/>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06" w:customStyle="1">
    <w:name w:val="Grid Table 5 Dark - Accent 3"/>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07" w:customStyle="1">
    <w:name w:val="Grid Table 5 Dark- Accent 4"/>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08" w:customStyle="1">
    <w:name w:val="Grid Table 5 Dark - Accent 5"/>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09" w:customStyle="1">
    <w:name w:val="Grid Table 5 Dark - Accent 6"/>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10" w:customStyle="1">
    <w:name w:val="Grid Table 6 Colorful - Accent 1"/>
    <w:basedOn w:val="86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11" w:customStyle="1">
    <w:name w:val="Grid Table 6 Colorful - Accent 2"/>
    <w:basedOn w:val="8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12" w:customStyle="1">
    <w:name w:val="Grid Table 6 Colorful - Accent 3"/>
    <w:basedOn w:val="86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13" w:customStyle="1">
    <w:name w:val="Grid Table 6 Colorful - Accent 4"/>
    <w:basedOn w:val="8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14" w:customStyle="1">
    <w:name w:val="Grid Table 6 Colorful - Accent 5"/>
    <w:basedOn w:val="86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15" w:customStyle="1">
    <w:name w:val="Grid Table 6 Colorful - Accent 6"/>
    <w:basedOn w:val="86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16" w:customStyle="1">
    <w:name w:val="Grid Table 7 Colorful - Accent 1"/>
    <w:basedOn w:val="86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17" w:customStyle="1">
    <w:name w:val="Grid Table 7 Colorful - Accent 2"/>
    <w:basedOn w:val="86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8" w:customStyle="1">
    <w:name w:val="Grid Table 7 Colorful - Accent 3"/>
    <w:basedOn w:val="86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19" w:customStyle="1">
    <w:name w:val="Grid Table 7 Colorful - Accent 4"/>
    <w:basedOn w:val="86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0" w:customStyle="1">
    <w:name w:val="Grid Table 7 Colorful - Accent 5"/>
    <w:basedOn w:val="86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21" w:customStyle="1">
    <w:name w:val="Grid Table 7 Colorful - Accent 6"/>
    <w:basedOn w:val="86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22" w:customStyle="1">
    <w:name w:val="List Table 1 Light - Accent 1"/>
    <w:basedOn w:val="863"/>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23" w:customStyle="1">
    <w:name w:val="List Table 1 Light - Accent 2"/>
    <w:basedOn w:val="86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24" w:customStyle="1">
    <w:name w:val="List Table 1 Light - Accent 3"/>
    <w:basedOn w:val="86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25" w:customStyle="1">
    <w:name w:val="List Table 1 Light - Accent 4"/>
    <w:basedOn w:val="86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26" w:customStyle="1">
    <w:name w:val="List Table 1 Light - Accent 5"/>
    <w:basedOn w:val="863"/>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27" w:customStyle="1">
    <w:name w:val="List Table 1 Light - Accent 6"/>
    <w:basedOn w:val="86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28" w:customStyle="1">
    <w:name w:val="List Table 2 - Accent 1"/>
    <w:basedOn w:val="86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29" w:customStyle="1">
    <w:name w:val="List Table 2 - Accent 2"/>
    <w:basedOn w:val="86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30" w:customStyle="1">
    <w:name w:val="List Table 2 - Accent 3"/>
    <w:basedOn w:val="86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1" w:customStyle="1">
    <w:name w:val="List Table 2 - Accent 4"/>
    <w:basedOn w:val="86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32" w:customStyle="1">
    <w:name w:val="List Table 2 - Accent 5"/>
    <w:basedOn w:val="86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33" w:customStyle="1">
    <w:name w:val="List Table 2 - Accent 6"/>
    <w:basedOn w:val="86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34" w:customStyle="1">
    <w:name w:val="List Table 3 - Accent 1"/>
    <w:basedOn w:val="86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35" w:customStyle="1">
    <w:name w:val="List Table 3 - Accent 2"/>
    <w:basedOn w:val="8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36" w:customStyle="1">
    <w:name w:val="List Table 3 - Accent 3"/>
    <w:basedOn w:val="86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37" w:customStyle="1">
    <w:name w:val="List Table 3 - Accent 4"/>
    <w:basedOn w:val="8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38" w:customStyle="1">
    <w:name w:val="List Table 3 - Accent 5"/>
    <w:basedOn w:val="86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39" w:customStyle="1">
    <w:name w:val="List Table 3 - Accent 6"/>
    <w:basedOn w:val="86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40" w:customStyle="1">
    <w:name w:val="List Table 4 - Accent 1"/>
    <w:basedOn w:val="86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41" w:customStyle="1">
    <w:name w:val="List Table 4 - Accent 2"/>
    <w:basedOn w:val="86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42" w:customStyle="1">
    <w:name w:val="List Table 4 - Accent 3"/>
    <w:basedOn w:val="86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43" w:customStyle="1">
    <w:name w:val="List Table 4 - Accent 4"/>
    <w:basedOn w:val="86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44" w:customStyle="1">
    <w:name w:val="List Table 4 - Accent 5"/>
    <w:basedOn w:val="86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45" w:customStyle="1">
    <w:name w:val="List Table 4 - Accent 6"/>
    <w:basedOn w:val="86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46" w:customStyle="1">
    <w:name w:val="List Table 5 Dark - Accent 1"/>
    <w:basedOn w:val="86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2"/>
    <w:basedOn w:val="86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3"/>
    <w:basedOn w:val="86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4"/>
    <w:basedOn w:val="86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5"/>
    <w:basedOn w:val="86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6"/>
    <w:basedOn w:val="86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6 Colorful - Accent 1"/>
    <w:basedOn w:val="863"/>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53" w:customStyle="1">
    <w:name w:val="List Table 6 Colorful - Accent 2"/>
    <w:basedOn w:val="86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54" w:customStyle="1">
    <w:name w:val="List Table 6 Colorful - Accent 3"/>
    <w:basedOn w:val="86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55" w:customStyle="1">
    <w:name w:val="List Table 6 Colorful - Accent 4"/>
    <w:basedOn w:val="86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56" w:customStyle="1">
    <w:name w:val="List Table 6 Colorful - Accent 5"/>
    <w:basedOn w:val="863"/>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57" w:customStyle="1">
    <w:name w:val="List Table 6 Colorful - Accent 6"/>
    <w:basedOn w:val="86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58" w:customStyle="1">
    <w:name w:val="List Table 7 Colorful - Accent 1"/>
    <w:basedOn w:val="863"/>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59" w:customStyle="1">
    <w:name w:val="List Table 7 Colorful - Accent 2"/>
    <w:basedOn w:val="86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0" w:customStyle="1">
    <w:name w:val="List Table 7 Colorful - Accent 3"/>
    <w:basedOn w:val="86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61" w:customStyle="1">
    <w:name w:val="List Table 7 Colorful - Accent 4"/>
    <w:basedOn w:val="86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2" w:customStyle="1">
    <w:name w:val="List Table 7 Colorful - Accent 5"/>
    <w:basedOn w:val="863"/>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63" w:customStyle="1">
    <w:name w:val="List Table 7 Colorful - Accent 6"/>
    <w:basedOn w:val="86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64" w:customStyle="1">
    <w:name w:val="Lined - Accent"/>
    <w:basedOn w:val="8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5" w:customStyle="1">
    <w:name w:val="Lined - Accent 1"/>
    <w:basedOn w:val="8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66" w:customStyle="1">
    <w:name w:val="Lined - Accent 2"/>
    <w:basedOn w:val="8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7" w:customStyle="1">
    <w:name w:val="Lined - Accent 3"/>
    <w:basedOn w:val="8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8" w:customStyle="1">
    <w:name w:val="Lined - Accent 4"/>
    <w:basedOn w:val="8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9" w:customStyle="1">
    <w:name w:val="Lined - Accent 5"/>
    <w:basedOn w:val="8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70" w:customStyle="1">
    <w:name w:val="Lined - Accent 6"/>
    <w:basedOn w:val="8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1" w:customStyle="1">
    <w:name w:val="Bordered &amp; Lined - Accent"/>
    <w:basedOn w:val="86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2" w:customStyle="1">
    <w:name w:val="Bordered &amp; Lined - Accent 1"/>
    <w:basedOn w:val="86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73" w:customStyle="1">
    <w:name w:val="Bordered &amp; Lined - Accent 2"/>
    <w:basedOn w:val="86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4" w:customStyle="1">
    <w:name w:val="Bordered &amp; Lined - Accent 3"/>
    <w:basedOn w:val="86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5" w:customStyle="1">
    <w:name w:val="Bordered &amp; Lined - Accent 4"/>
    <w:basedOn w:val="86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76" w:customStyle="1">
    <w:name w:val="Bordered &amp; Lined - Accent 5"/>
    <w:basedOn w:val="86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77" w:customStyle="1">
    <w:name w:val="Bordered &amp; Lined - Accent 6"/>
    <w:basedOn w:val="86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8" w:customStyle="1">
    <w:name w:val="Bordered"/>
    <w:basedOn w:val="86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9" w:customStyle="1">
    <w:name w:val="Bordered - Accent 1"/>
    <w:basedOn w:val="86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80" w:customStyle="1">
    <w:name w:val="Bordered - Accent 2"/>
    <w:basedOn w:val="8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81" w:customStyle="1">
    <w:name w:val="Bordered - Accent 3"/>
    <w:basedOn w:val="8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82" w:customStyle="1">
    <w:name w:val="Bordered - Accent 4"/>
    <w:basedOn w:val="8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83" w:customStyle="1">
    <w:name w:val="Bordered - Accent 5"/>
    <w:basedOn w:val="86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84" w:customStyle="1">
    <w:name w:val="Bordered - Accent 6"/>
    <w:basedOn w:val="8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85" w:customStyle="1">
    <w:name w:val="脚注文本 字符"/>
    <w:link w:val="886"/>
    <w:uiPriority w:val="99"/>
    <w:qFormat/>
    <w:rPr>
      <w:sz w:val="18"/>
    </w:rPr>
  </w:style>
  <w:style w:type="character" w:styleId="1086" w:customStyle="1">
    <w:name w:val="尾注文本 字符"/>
    <w:link w:val="878"/>
    <w:uiPriority w:val="99"/>
    <w:qFormat/>
    <w:rPr>
      <w:sz w:val="20"/>
    </w:rPr>
  </w:style>
  <w:style w:type="paragraph" w:styleId="1087" w:customStyle="1">
    <w:name w:val="TOC 标题111"/>
    <w:uiPriority w:val="39"/>
    <w:unhideWhenUsed/>
    <w:qFormat/>
    <w:rPr>
      <w:rFonts w:hint="default" w:ascii="Times New Roman" w:hAnsi="Times New Roman" w:eastAsia="宋体" w:cs="Times New Roman"/>
      <w:lang w:val="en-US" w:eastAsia="zh-CN" w:bidi="ar-SA"/>
    </w:rPr>
  </w:style>
  <w:style w:type="paragraph" w:styleId="1088" w:customStyle="1">
    <w:name w:val="正文文本11"/>
    <w:basedOn w:val="852"/>
    <w:uiPriority w:val="99"/>
    <w:qFormat/>
    <w:rPr>
      <w:rFonts w:ascii="楷体_GB2312" w:hAnsi="宋体" w:eastAsia="楷体_GB2312"/>
      <w:sz w:val="28"/>
      <w:szCs w:val="28"/>
    </w:rPr>
  </w:style>
  <w:style w:type="character" w:styleId="1089" w:customStyle="1">
    <w:name w:val="标题 1 字符"/>
    <w:link w:val="853"/>
    <w:uiPriority w:val="0"/>
    <w:qFormat/>
    <w:rPr>
      <w:b/>
      <w:bCs/>
      <w:sz w:val="21"/>
      <w:szCs w:val="44"/>
    </w:rPr>
  </w:style>
  <w:style w:type="character" w:styleId="1090" w:customStyle="1">
    <w:name w:val="标题 6 字符"/>
    <w:link w:val="858"/>
    <w:uiPriority w:val="0"/>
    <w:qFormat/>
    <w:rPr>
      <w:rFonts w:ascii="等线 Light" w:hAnsi="等线 Light" w:eastAsia="等线 Light" w:cs="Times New Roman"/>
      <w:b/>
      <w:bCs/>
      <w:sz w:val="24"/>
      <w:szCs w:val="24"/>
    </w:rPr>
  </w:style>
  <w:style w:type="character" w:styleId="1091" w:customStyle="1">
    <w:name w:val="标题 8 字符"/>
    <w:link w:val="860"/>
    <w:uiPriority w:val="0"/>
    <w:semiHidden/>
    <w:qFormat/>
    <w:rPr>
      <w:rFonts w:ascii="等线 Light" w:hAnsi="等线 Light" w:eastAsia="等线 Light" w:cs="Times New Roman"/>
      <w:sz w:val="24"/>
      <w:szCs w:val="24"/>
    </w:rPr>
  </w:style>
  <w:style w:type="paragraph" w:styleId="1092" w:customStyle="1">
    <w:name w:val="目录 71"/>
    <w:basedOn w:val="852"/>
    <w:next w:val="852"/>
    <w:uiPriority w:val="39"/>
    <w:unhideWhenUsed/>
    <w:qFormat/>
    <w:pPr>
      <w:ind w:left="2520"/>
    </w:pPr>
    <w:rPr>
      <w:rFonts w:ascii="等线" w:hAnsi="等线" w:eastAsia="等线"/>
      <w:szCs w:val="22"/>
    </w:rPr>
  </w:style>
  <w:style w:type="character" w:styleId="1093" w:customStyle="1">
    <w:name w:val="正文缩进 字符"/>
    <w:link w:val="866"/>
    <w:uiPriority w:val="0"/>
    <w:qFormat/>
    <w:rPr>
      <w:sz w:val="21"/>
    </w:rPr>
  </w:style>
  <w:style w:type="character" w:styleId="1094" w:customStyle="1">
    <w:name w:val="文档结构图 字符"/>
    <w:link w:val="868"/>
    <w:uiPriority w:val="0"/>
    <w:qFormat/>
    <w:rPr>
      <w:sz w:val="21"/>
      <w:szCs w:val="24"/>
      <w:shd w:val="clear" w:color="auto" w:fill="000080"/>
    </w:rPr>
  </w:style>
  <w:style w:type="character" w:styleId="1095" w:customStyle="1">
    <w:name w:val="批注文字 字符"/>
    <w:link w:val="869"/>
    <w:uiPriority w:val="0"/>
    <w:qFormat/>
    <w:rPr>
      <w:sz w:val="21"/>
      <w:szCs w:val="24"/>
    </w:rPr>
  </w:style>
  <w:style w:type="character" w:styleId="1096" w:customStyle="1">
    <w:name w:val="正文文本 字符"/>
    <w:link w:val="870"/>
    <w:uiPriority w:val="1"/>
    <w:qFormat/>
    <w:rPr>
      <w:sz w:val="21"/>
      <w:szCs w:val="24"/>
    </w:rPr>
  </w:style>
  <w:style w:type="paragraph" w:styleId="1097" w:customStyle="1">
    <w:name w:val="目录 51"/>
    <w:basedOn w:val="852"/>
    <w:next w:val="852"/>
    <w:uiPriority w:val="39"/>
    <w:unhideWhenUsed/>
    <w:qFormat/>
    <w:pPr>
      <w:ind w:left="1680"/>
    </w:pPr>
    <w:rPr>
      <w:rFonts w:ascii="等线" w:hAnsi="等线" w:eastAsia="等线"/>
      <w:szCs w:val="22"/>
    </w:rPr>
  </w:style>
  <w:style w:type="paragraph" w:styleId="1098" w:customStyle="1">
    <w:name w:val="目录 31"/>
    <w:basedOn w:val="852"/>
    <w:next w:val="852"/>
    <w:uiPriority w:val="39"/>
    <w:unhideWhenUsed/>
    <w:qFormat/>
    <w:pPr>
      <w:ind w:left="440"/>
      <w:jc w:val="left"/>
      <w:spacing w:after="100" w:line="259" w:lineRule="auto"/>
      <w:widowControl/>
    </w:pPr>
    <w:rPr>
      <w:rFonts w:ascii="等线" w:hAnsi="等线" w:eastAsia="等线"/>
      <w:sz w:val="22"/>
      <w:szCs w:val="22"/>
    </w:rPr>
  </w:style>
  <w:style w:type="character" w:styleId="1099" w:customStyle="1">
    <w:name w:val="纯文本 字符"/>
    <w:link w:val="875"/>
    <w:uiPriority w:val="0"/>
    <w:qFormat/>
    <w:rPr>
      <w:rFonts w:ascii="宋体" w:hAnsi="Courier New" w:cs="Courier New"/>
      <w:sz w:val="21"/>
      <w:szCs w:val="21"/>
    </w:rPr>
  </w:style>
  <w:style w:type="paragraph" w:styleId="1100" w:customStyle="1">
    <w:name w:val="目录 81"/>
    <w:basedOn w:val="852"/>
    <w:next w:val="852"/>
    <w:uiPriority w:val="39"/>
    <w:unhideWhenUsed/>
    <w:qFormat/>
    <w:pPr>
      <w:ind w:left="2940"/>
    </w:pPr>
    <w:rPr>
      <w:rFonts w:ascii="等线" w:hAnsi="等线" w:eastAsia="等线"/>
      <w:szCs w:val="22"/>
    </w:rPr>
  </w:style>
  <w:style w:type="character" w:styleId="1101" w:customStyle="1">
    <w:name w:val="日期 字符"/>
    <w:link w:val="877"/>
    <w:uiPriority w:val="0"/>
    <w:qFormat/>
    <w:rPr>
      <w:sz w:val="24"/>
    </w:rPr>
  </w:style>
  <w:style w:type="character" w:styleId="1102" w:customStyle="1">
    <w:name w:val="批注框文本 字符"/>
    <w:link w:val="879"/>
    <w:uiPriority w:val="0"/>
    <w:qFormat/>
    <w:rPr>
      <w:sz w:val="18"/>
      <w:szCs w:val="18"/>
    </w:rPr>
  </w:style>
  <w:style w:type="character" w:styleId="1103" w:customStyle="1">
    <w:name w:val="页脚 字符"/>
    <w:link w:val="880"/>
    <w:uiPriority w:val="99"/>
    <w:qFormat/>
    <w:rPr>
      <w:sz w:val="18"/>
      <w:szCs w:val="18"/>
    </w:rPr>
  </w:style>
  <w:style w:type="character" w:styleId="1104" w:customStyle="1">
    <w:name w:val="页眉 字符"/>
    <w:link w:val="882"/>
    <w:uiPriority w:val="99"/>
    <w:qFormat/>
    <w:rPr>
      <w:sz w:val="18"/>
      <w:szCs w:val="18"/>
    </w:rPr>
  </w:style>
  <w:style w:type="paragraph" w:styleId="1105" w:customStyle="1">
    <w:name w:val="目录 11"/>
    <w:basedOn w:val="852"/>
    <w:next w:val="852"/>
    <w:uiPriority w:val="39"/>
    <w:qFormat/>
    <w:rPr>
      <w:rFonts w:ascii="仿宋_GB2312" w:eastAsia="仿宋_GB2312"/>
      <w:sz w:val="24"/>
    </w:rPr>
  </w:style>
  <w:style w:type="paragraph" w:styleId="1106" w:customStyle="1">
    <w:name w:val="目录 41"/>
    <w:basedOn w:val="852"/>
    <w:next w:val="852"/>
    <w:uiPriority w:val="39"/>
    <w:unhideWhenUsed/>
    <w:qFormat/>
    <w:pPr>
      <w:ind w:left="1260"/>
    </w:pPr>
    <w:rPr>
      <w:rFonts w:ascii="等线" w:hAnsi="等线" w:eastAsia="等线"/>
      <w:szCs w:val="22"/>
    </w:rPr>
  </w:style>
  <w:style w:type="paragraph" w:styleId="1107" w:customStyle="1">
    <w:name w:val="目录 61"/>
    <w:basedOn w:val="852"/>
    <w:next w:val="852"/>
    <w:uiPriority w:val="39"/>
    <w:unhideWhenUsed/>
    <w:qFormat/>
    <w:pPr>
      <w:ind w:left="2100"/>
    </w:pPr>
    <w:rPr>
      <w:rFonts w:ascii="等线" w:hAnsi="等线" w:eastAsia="等线"/>
      <w:szCs w:val="22"/>
    </w:rPr>
  </w:style>
  <w:style w:type="paragraph" w:styleId="1108" w:customStyle="1">
    <w:name w:val="目录 21"/>
    <w:basedOn w:val="852"/>
    <w:next w:val="852"/>
    <w:uiPriority w:val="39"/>
    <w:unhideWhenUsed/>
    <w:qFormat/>
    <w:pPr>
      <w:ind w:left="220"/>
      <w:jc w:val="left"/>
      <w:spacing w:after="100" w:line="259" w:lineRule="auto"/>
      <w:widowControl/>
    </w:pPr>
    <w:rPr>
      <w:rFonts w:ascii="等线" w:hAnsi="等线" w:eastAsia="等线"/>
      <w:sz w:val="22"/>
      <w:szCs w:val="22"/>
    </w:rPr>
  </w:style>
  <w:style w:type="paragraph" w:styleId="1109" w:customStyle="1">
    <w:name w:val="目录 91"/>
    <w:basedOn w:val="852"/>
    <w:next w:val="852"/>
    <w:uiPriority w:val="39"/>
    <w:unhideWhenUsed/>
    <w:qFormat/>
    <w:pPr>
      <w:ind w:left="3360"/>
    </w:pPr>
    <w:rPr>
      <w:rFonts w:ascii="等线" w:hAnsi="等线" w:eastAsia="等线"/>
      <w:szCs w:val="22"/>
    </w:rPr>
  </w:style>
  <w:style w:type="character" w:styleId="1110" w:customStyle="1">
    <w:name w:val="正文文本 2 字符"/>
    <w:link w:val="891"/>
    <w:uiPriority w:val="0"/>
    <w:qFormat/>
    <w:rPr>
      <w:rFonts w:ascii="Calibri" w:hAnsi="Calibri"/>
      <w:sz w:val="21"/>
      <w:szCs w:val="24"/>
    </w:rPr>
  </w:style>
  <w:style w:type="character" w:styleId="1111" w:customStyle="1">
    <w:name w:val="标题 字符"/>
    <w:link w:val="893"/>
    <w:uiPriority w:val="0"/>
    <w:qFormat/>
    <w:rPr>
      <w:rFonts w:ascii="等线 Light" w:hAnsi="等线 Light" w:eastAsia="宋体" w:cs="Times New Roman"/>
      <w:b/>
      <w:bCs/>
      <w:sz w:val="32"/>
      <w:szCs w:val="32"/>
    </w:rPr>
  </w:style>
  <w:style w:type="character" w:styleId="1112" w:customStyle="1">
    <w:name w:val="批注主题 字符"/>
    <w:link w:val="894"/>
    <w:uiPriority w:val="0"/>
    <w:qFormat/>
    <w:rPr>
      <w:b/>
      <w:bCs/>
      <w:sz w:val="21"/>
      <w:szCs w:val="24"/>
    </w:rPr>
  </w:style>
  <w:style w:type="character" w:styleId="1113" w:customStyle="1">
    <w:name w:val="p0 Char"/>
    <w:link w:val="1114"/>
    <w:uiPriority w:val="0"/>
    <w:qFormat/>
    <w:rPr>
      <w:rFonts w:eastAsia="宋体"/>
      <w:sz w:val="21"/>
      <w:szCs w:val="21"/>
      <w:lang w:val="en-US" w:eastAsia="zh-CN" w:bidi="ar-SA"/>
    </w:rPr>
  </w:style>
  <w:style w:type="paragraph" w:styleId="1114" w:customStyle="1">
    <w:name w:val="p0"/>
    <w:basedOn w:val="852"/>
    <w:link w:val="1113"/>
    <w:uiPriority w:val="0"/>
    <w:qFormat/>
    <w:pPr>
      <w:widowControl/>
    </w:pPr>
    <w:rPr>
      <w:szCs w:val="21"/>
    </w:rPr>
  </w:style>
  <w:style w:type="character" w:styleId="1115" w:customStyle="1">
    <w:name w:val="标题 2 Char Char Char"/>
    <w:uiPriority w:val="0"/>
    <w:qFormat/>
    <w:rPr>
      <w:rFonts w:ascii="Arial" w:hAnsi="Arial" w:eastAsia="黑体"/>
      <w:b/>
      <w:bCs/>
      <w:sz w:val="32"/>
      <w:szCs w:val="32"/>
      <w:lang w:val="en-US" w:eastAsia="zh-CN" w:bidi="ar-SA"/>
    </w:rPr>
  </w:style>
  <w:style w:type="character" w:styleId="1116" w:customStyle="1">
    <w:name w:val="NormalCharacter"/>
    <w:uiPriority w:val="0"/>
    <w:semiHidden/>
    <w:qFormat/>
  </w:style>
  <w:style w:type="paragraph" w:styleId="1117" w:customStyle="1">
    <w:name w:val="标题 21"/>
    <w:basedOn w:val="852"/>
    <w:next w:val="852"/>
    <w:uiPriority w:val="0"/>
    <w:qFormat/>
    <w:pPr>
      <w:jc w:val="center"/>
      <w:keepNext/>
      <w:widowControl/>
    </w:pPr>
    <w:rPr>
      <w:rFonts w:ascii="楷体_GB2312" w:eastAsia="楷体_GB2312"/>
      <w:sz w:val="18"/>
      <w:szCs w:val="20"/>
    </w:rPr>
  </w:style>
  <w:style w:type="paragraph" w:styleId="1118" w:customStyle="1">
    <w:name w:val="TOC 标题11"/>
    <w:basedOn w:val="853"/>
    <w:next w:val="85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119">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样式1"/>
    <w:basedOn w:val="853"/>
    <w:link w:val="1121"/>
    <w:uiPriority w:val="0"/>
    <w:qFormat/>
    <w:pPr>
      <w:ind w:left="210" w:right="210"/>
    </w:pPr>
  </w:style>
  <w:style w:type="character" w:styleId="1121" w:customStyle="1">
    <w:name w:val="样式1 字符"/>
    <w:link w:val="1120"/>
    <w:uiPriority w:val="0"/>
    <w:qFormat/>
  </w:style>
  <w:style w:type="paragraph" w:styleId="1122" w:customStyle="1">
    <w:name w:val="标题 211"/>
    <w:basedOn w:val="85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123" w:customStyle="1">
    <w:name w:val="列出段落1"/>
    <w:basedOn w:val="852"/>
    <w:uiPriority w:val="1"/>
    <w:qFormat/>
    <w:pPr>
      <w:ind w:left="400" w:firstLine="420"/>
      <w:jc w:val="left"/>
    </w:pPr>
    <w:rPr>
      <w:rFonts w:ascii="宋体" w:hAnsi="宋体" w:cs="宋体"/>
      <w:sz w:val="22"/>
      <w:szCs w:val="22"/>
      <w:lang w:val="zh-CN" w:bidi="zh-CN"/>
    </w:rPr>
  </w:style>
  <w:style w:type="paragraph" w:styleId="1124" w:customStyle="1">
    <w:name w:val="Table Paragraph"/>
    <w:basedOn w:val="852"/>
    <w:uiPriority w:val="1"/>
    <w:qFormat/>
    <w:pPr>
      <w:jc w:val="left"/>
    </w:pPr>
    <w:rPr>
      <w:rFonts w:ascii="宋体" w:hAnsi="宋体" w:cs="宋体"/>
      <w:sz w:val="22"/>
      <w:szCs w:val="22"/>
      <w:lang w:val="zh-CN" w:bidi="zh-CN"/>
    </w:rPr>
  </w:style>
  <w:style w:type="character" w:styleId="1125" w:customStyle="1">
    <w:name w:val="ask-title2"/>
    <w:uiPriority w:val="0"/>
    <w:qFormat/>
  </w:style>
  <w:style w:type="paragraph" w:styleId="1126" w:customStyle="1">
    <w:name w:val="列出段落2"/>
    <w:basedOn w:val="852"/>
    <w:uiPriority w:val="99"/>
    <w:unhideWhenUsed/>
    <w:qFormat/>
    <w:pPr>
      <w:ind w:firstLine="420"/>
      <w:jc w:val="left"/>
    </w:pPr>
    <w:rPr>
      <w:rFonts w:ascii="宋体"/>
      <w:sz w:val="20"/>
      <w:szCs w:val="20"/>
    </w:rPr>
  </w:style>
  <w:style w:type="paragraph" w:styleId="1127" w:customStyle="1">
    <w:name w:val="纯文本1"/>
    <w:basedOn w:val="852"/>
    <w:uiPriority w:val="0"/>
    <w:qFormat/>
    <w:rPr>
      <w:rFonts w:ascii="宋体" w:hAnsi="Courier New"/>
      <w:sz w:val="20"/>
      <w:szCs w:val="21"/>
    </w:rPr>
  </w:style>
  <w:style w:type="character" w:styleId="1128" w:customStyle="1">
    <w:name w:val="纯文本 Char2"/>
    <w:uiPriority w:val="0"/>
    <w:qFormat/>
    <w:rPr>
      <w:rFonts w:ascii="宋体" w:hAnsi="Courier New"/>
      <w:sz w:val="21"/>
    </w:rPr>
  </w:style>
  <w:style w:type="paragraph" w:styleId="1129" w:customStyle="1">
    <w:name w:val="列出段落11"/>
    <w:basedOn w:val="852"/>
    <w:uiPriority w:val="0"/>
    <w:qFormat/>
    <w:pPr>
      <w:ind w:firstLine="420"/>
      <w:spacing w:line="0" w:lineRule="atLeast"/>
    </w:pPr>
    <w:rPr>
      <w:rFonts w:eastAsia="微软雅黑"/>
      <w:sz w:val="20"/>
      <w:szCs w:val="20"/>
    </w:rPr>
  </w:style>
  <w:style w:type="character" w:styleId="1130" w:customStyle="1">
    <w:name w:val="纯文本 Char"/>
    <w:link w:val="1131"/>
    <w:uiPriority w:val="0"/>
    <w:qFormat/>
    <w:rPr>
      <w:rFonts w:ascii="宋体" w:hAnsi="Courier New"/>
    </w:rPr>
  </w:style>
  <w:style w:type="paragraph" w:styleId="1131" w:customStyle="1">
    <w:name w:val="纯文本2"/>
    <w:basedOn w:val="852"/>
    <w:link w:val="1130"/>
    <w:uiPriority w:val="0"/>
    <w:qFormat/>
    <w:pPr>
      <w:ind w:firstLine="200"/>
      <w:spacing w:line="360" w:lineRule="auto"/>
    </w:pPr>
    <w:rPr>
      <w:rFonts w:ascii="宋体" w:hAnsi="Courier New"/>
      <w:sz w:val="20"/>
      <w:szCs w:val="20"/>
    </w:rPr>
  </w:style>
  <w:style w:type="character" w:styleId="1132" w:customStyle="1">
    <w:name w:val="页脚 Char"/>
    <w:uiPriority w:val="0"/>
    <w:qFormat/>
    <w:rPr>
      <w:sz w:val="18"/>
      <w:szCs w:val="18"/>
    </w:rPr>
  </w:style>
  <w:style w:type="paragraph" w:styleId="1133" w:customStyle="1">
    <w:name w:val="_Style 83"/>
    <w:basedOn w:val="852"/>
    <w:next w:val="1123"/>
    <w:uiPriority w:val="99"/>
    <w:qFormat/>
    <w:pPr>
      <w:ind w:firstLine="420"/>
    </w:pPr>
  </w:style>
  <w:style w:type="character" w:styleId="1134">
    <w:name w:val="Placeholder Text"/>
    <w:basedOn w:val="862"/>
    <w:uiPriority w:val="99"/>
    <w:unhideWhenUsed/>
    <w:qFormat/>
    <w:rPr>
      <w:color w:val="808080"/>
    </w:rPr>
  </w:style>
  <w:style w:type="paragraph" w:styleId="1135" w:customStyle="1">
    <w:name w:val="pf0"/>
    <w:basedOn w:val="852"/>
    <w:uiPriority w:val="0"/>
    <w:qFormat/>
    <w:pPr>
      <w:jc w:val="left"/>
      <w:spacing w:before="100" w:beforeAutospacing="1" w:after="100" w:afterAutospacing="1"/>
      <w:widowControl/>
    </w:pPr>
    <w:rPr>
      <w:rFonts w:ascii="宋体" w:hAnsi="宋体" w:cs="宋体"/>
      <w:sz w:val="24"/>
    </w:rPr>
  </w:style>
  <w:style w:type="character" w:styleId="1136" w:customStyle="1">
    <w:name w:val="cf01"/>
    <w:basedOn w:val="862"/>
    <w:uiPriority w:val="0"/>
    <w:qFormat/>
    <w:rPr>
      <w:rFonts w:hint="eastAsia" w:ascii="Microsoft YaHei UI" w:hAnsi="Microsoft YaHei UI" w:eastAsia="Microsoft YaHei UI"/>
      <w:sz w:val="18"/>
      <w:szCs w:val="18"/>
    </w:rPr>
  </w:style>
  <w:style w:type="character" w:styleId="1137" w:customStyle="1">
    <w:name w:val="cf11"/>
    <w:basedOn w:val="862"/>
    <w:uiPriority w:val="0"/>
    <w:qFormat/>
    <w:rPr>
      <w:rFonts w:hint="eastAsia" w:ascii="Microsoft YaHei UI" w:hAnsi="Microsoft YaHei UI" w:eastAsia="Microsoft YaHei UI"/>
      <w:sz w:val="18"/>
      <w:szCs w:val="18"/>
    </w:rPr>
  </w:style>
  <w:style w:type="paragraph" w:styleId="1138">
    <w:name w:val="List Paragraph"/>
    <w:basedOn w:val="852"/>
    <w:uiPriority w:val="1"/>
    <w:qFormat/>
    <w:pPr>
      <w:ind w:firstLine="420"/>
    </w:pPr>
  </w:style>
  <w:style w:type="paragraph" w:styleId="1139" w:customStyle="1">
    <w:name w:val="标题1，章节第一层"/>
    <w:basedOn w:val="852"/>
    <w:next w:val="852"/>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140" w:customStyle="1">
    <w:name w:val="标准文本"/>
    <w:basedOn w:val="852"/>
    <w:uiPriority w:val="0"/>
    <w:qFormat/>
    <w:pPr>
      <w:ind w:firstLine="480"/>
      <w:spacing w:line="360" w:lineRule="auto"/>
    </w:pPr>
    <w:rPr>
      <w:rFonts w:ascii="Calibri" w:hAnsi="Calibri" w:eastAsia="Calibri" w:cs="宋体"/>
      <w:sz w:val="24"/>
      <w:lang w:val="zh-CN"/>
    </w:rPr>
  </w:style>
  <w:style w:type="character" w:styleId="1141" w:customStyle="1">
    <w:name w:val="标准文本 Char Char"/>
    <w:uiPriority w:val="0"/>
    <w:qFormat/>
    <w:rPr>
      <w:rFonts w:eastAsia="宋体" w:cs="宋体"/>
      <w:sz w:val="24"/>
      <w:szCs w:val="24"/>
      <w:lang w:val="en-US" w:eastAsia="zh-CN" w:bidi="ar-SA"/>
    </w:rPr>
  </w:style>
  <w:style w:type="character" w:styleId="1142" w:customStyle="1">
    <w:name w:val="标准小四 Char Char"/>
    <w:uiPriority w:val="0"/>
    <w:qFormat/>
    <w:rPr>
      <w:rFonts w:ascii="Arial" w:hAnsi="Arial" w:eastAsia="宋体"/>
      <w:sz w:val="24"/>
      <w:szCs w:val="21"/>
      <w:lang w:val="en-US" w:eastAsia="zh-CN" w:bidi="ar-SA"/>
    </w:rPr>
  </w:style>
  <w:style w:type="character" w:styleId="1143" w:customStyle="1">
    <w:name w:val="标准文本 Char"/>
    <w:uiPriority w:val="0"/>
    <w:qFormat/>
    <w:rPr>
      <w:rFonts w:eastAsia="宋体" w:cs="宋体"/>
      <w:sz w:val="24"/>
      <w:szCs w:val="24"/>
      <w:lang w:val="en-US" w:eastAsia="zh-CN" w:bidi="ar-SA"/>
    </w:rPr>
  </w:style>
  <w:style w:type="character" w:styleId="1144" w:customStyle="1">
    <w:name w:val="未处理的提及1"/>
    <w:basedOn w:val="862"/>
    <w:uiPriority w:val="99"/>
    <w:semiHidden/>
    <w:unhideWhenUsed/>
    <w:qFormat/>
    <w:rPr>
      <w:color w:val="605e5c"/>
      <w:shd w:val="clear" w:color="auto" w:fill="e1dfdd"/>
    </w:rPr>
  </w:style>
  <w:style w:type="paragraph" w:styleId="1145" w:customStyle="1">
    <w:name w:val="列出段落3"/>
    <w:basedOn w:val="852"/>
    <w:uiPriority w:val="99"/>
    <w:qFormat/>
    <w:pPr>
      <w:ind w:firstLine="420"/>
    </w:pPr>
  </w:style>
  <w:style w:type="paragraph" w:styleId="1146"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147"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148" w:customStyle="1">
    <w:name w:val="font41"/>
    <w:basedOn w:val="862"/>
    <w:uiPriority w:val="0"/>
    <w:qFormat/>
    <w:rPr>
      <w:rFonts w:hint="default" w:ascii="方正仿宋_GBK" w:hAnsi="方正仿宋_GBK" w:eastAsia="方正仿宋_GBK" w:cs="方正仿宋_GBK"/>
      <w:b/>
      <w:bCs/>
      <w:color w:val="000000"/>
      <w:sz w:val="22"/>
      <w:szCs w:val="22"/>
      <w:u w:val="none"/>
    </w:rPr>
  </w:style>
  <w:style w:type="character" w:styleId="1149" w:customStyle="1">
    <w:name w:val="font31"/>
    <w:basedOn w:val="862"/>
    <w:uiPriority w:val="0"/>
    <w:qFormat/>
    <w:rPr>
      <w:rFonts w:hint="default" w:ascii="方正仿宋_GBK" w:hAnsi="方正仿宋_GBK" w:eastAsia="方正仿宋_GBK" w:cs="方正仿宋_GBK"/>
      <w:color w:val="000000"/>
      <w:sz w:val="22"/>
      <w:szCs w:val="22"/>
      <w:u w:val="none"/>
    </w:rPr>
  </w:style>
  <w:style w:type="character" w:styleId="1150" w:customStyle="1">
    <w:name w:val="不明显参考1"/>
    <w:uiPriority w:val="31"/>
    <w:qFormat/>
    <w:rPr>
      <w:smallCaps/>
    </w:rPr>
  </w:style>
  <w:style w:type="paragraph" w:styleId="1151"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152" w:customStyle="1">
    <w:name w:val="默认段落字体11"/>
    <w:uiPriority w:val="1"/>
    <w:unhideWhenUsed/>
    <w:qFormat/>
  </w:style>
  <w:style w:type="paragraph" w:styleId="1153"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154"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155"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156"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157" w:customStyle="1">
    <w:name w:val="列表段落1"/>
    <w:basedOn w:val="852"/>
    <w:uiPriority w:val="99"/>
    <w:qFormat/>
    <w:pPr>
      <w:ind w:firstLine="420"/>
    </w:pPr>
  </w:style>
  <w:style w:type="character" w:styleId="1158" w:customStyle="1">
    <w:name w:val="font21"/>
    <w:basedOn w:val="862"/>
    <w:uiPriority w:val="0"/>
    <w:qFormat/>
    <w:rPr>
      <w:rFonts w:hint="eastAsia" w:ascii="等线" w:hAnsi="等线" w:eastAsia="等线" w:cs="等线"/>
      <w:color w:val="000000"/>
      <w:sz w:val="21"/>
      <w:szCs w:val="21"/>
      <w:u w:val="none"/>
    </w:rPr>
  </w:style>
  <w:style w:type="character" w:styleId="1159" w:customStyle="1">
    <w:name w:val="font11"/>
    <w:basedOn w:val="862"/>
    <w:uiPriority w:val="0"/>
    <w:qFormat/>
    <w:rPr>
      <w:rFonts w:hint="eastAsia" w:ascii="宋体" w:hAnsi="宋体" w:eastAsia="宋体" w:cs="宋体"/>
      <w:color w:val="000000"/>
      <w:sz w:val="21"/>
      <w:szCs w:val="21"/>
      <w:u w:val="none"/>
    </w:rPr>
  </w:style>
  <w:style w:type="paragraph" w:styleId="1160" w:customStyle="1">
    <w:name w:val="null3"/>
    <w:hidden/>
    <w:uiPriority w:val="0"/>
    <w:qFormat/>
    <w:rPr>
      <w:rFonts w:hint="eastAsia" w:asciiTheme="minorHAnsi" w:hAnsiTheme="minorHAnsi" w:eastAsiaTheme="minorEastAsia" w:cstheme="minorBidi"/>
      <w:lang w:val="en-US" w:eastAsia="zh-Hans" w:bidi="ar-SA"/>
    </w:rPr>
  </w:style>
  <w:style w:type="paragraph" w:styleId="1161" w:customStyle="1">
    <w:name w:val="Plain Text1"/>
    <w:basedOn w:val="852"/>
    <w:uiPriority w:val="0"/>
    <w:qFormat/>
    <w:pPr>
      <w:jc w:val="left"/>
      <w:widowControl/>
    </w:pPr>
    <w:rPr>
      <w:rFonts w:ascii="宋体" w:hAnsi="Courier New" w:eastAsia="楷体_GB2312"/>
      <w:sz w:val="26"/>
      <w:szCs w:val="20"/>
    </w:rPr>
  </w:style>
  <w:style w:type="character" w:styleId="1162" w:customStyle="1">
    <w:name w:val="ui-provider"/>
    <w:basedOn w:val="862"/>
    <w:uiPriority w:val="0"/>
    <w:qFormat/>
  </w:style>
  <w:style w:type="paragraph" w:styleId="1163" w:customStyle="1">
    <w:name w:val="列表段落21"/>
    <w:basedOn w:val="852"/>
    <w:uiPriority w:val="0"/>
    <w:qFormat/>
    <w:pPr>
      <w:ind w:firstLine="420"/>
    </w:pPr>
    <w:rPr>
      <w:szCs w:val="20"/>
    </w:rPr>
  </w:style>
  <w:style w:type="table" w:styleId="1164" w:customStyle="1">
    <w:name w:val="Table Normal"/>
    <w:basedOn w:val="863"/>
    <w:uiPriority w:val="0"/>
    <w:qFormat/>
    <w:tblPr>
      <w:tblCellMar>
        <w:left w:w="0" w:type="dxa"/>
        <w:right w:w="0" w:type="dxa"/>
      </w:tblCellMar>
    </w:tblPr>
  </w:style>
  <w:style w:type="paragraph" w:styleId="1165"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166" w:customStyle="1">
    <w:name w:val="正文缩进11"/>
    <w:basedOn w:val="852"/>
    <w:uiPriority w:val="0"/>
    <w:qFormat/>
    <w:pPr>
      <w:ind w:firstLine="420"/>
    </w:pPr>
    <w:rPr>
      <w:b/>
      <w:sz w:val="24"/>
      <w:szCs w:val="20"/>
    </w:rPr>
  </w:style>
  <w:style w:type="paragraph" w:styleId="1167" w:customStyle="1">
    <w:name w:val="Table Text"/>
    <w:basedOn w:val="852"/>
    <w:uiPriority w:val="0"/>
    <w:semiHidden/>
    <w:qFormat/>
    <w:rPr>
      <w:rFonts w:ascii="华文宋体" w:hAnsi="华文宋体" w:eastAsia="华文宋体" w:cs="华文宋体"/>
      <w:sz w:val="18"/>
      <w:szCs w:val="18"/>
    </w:rPr>
  </w:style>
  <w:style w:type="numbering" w:styleId="11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a4acc093-f395-42b1-a03b-53ee95feafc7}"/>
        <w:description w:val=""/>
        <w:category>
          <w:name w:val="常规"/>
          <w:gallery w:val="placeholder"/>
        </w:category>
        <w:types>
          <w:type w:val="bbPlcHdr"/>
        </w:types>
        <w:behaviors>
          <w:behavior w:val="content"/>
        </w:behaviors>
        <w:guid w:val="{A4ACC093-F395-42B1-A03B-53EE95FEAFC7}"/>
      </w:docPartPr>
      <w:docPartBody>
        <w:p>
          <w:pPr>
            <w:pStyle w:val="1834"/>
            <w:rPr>
              <w:rFonts w:hint="eastAsia"/>
            </w:rPr>
          </w:pPr>
          <w:r>
            <w:rPr>
              <w:rStyle w:val="1835"/>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17" w:default="1">
    <w:name w:val="Normal"/>
    <w:uiPriority w:val="0"/>
    <w:qFormat/>
    <w:rPr>
      <w:rFonts w:hint="default" w:asciiTheme="minorHAnsi" w:hAnsiTheme="minorHAnsi" w:eastAsiaTheme="minorEastAsia" w:cstheme="minorBidi"/>
      <w:lang w:val="en-US" w:eastAsia="zh-CN" w:bidi="ar-SA"/>
    </w:rPr>
  </w:style>
  <w:style w:type="paragraph" w:styleId="1618">
    <w:name w:val="Heading 1"/>
    <w:link w:val="1686"/>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1619">
    <w:name w:val="Heading 2"/>
    <w:link w:val="1687"/>
    <w:uiPriority w:val="9"/>
    <w:unhideWhenUsed/>
    <w:qFormat/>
    <w:pPr>
      <w:keepLines/>
      <w:keepNext/>
      <w:spacing w:before="360" w:after="200"/>
      <w:outlineLvl w:val="1"/>
    </w:pPr>
    <w:rPr>
      <w:rFonts w:hint="default" w:ascii="Arial" w:hAnsi="Arial" w:eastAsia="Arial" w:cs="Arial"/>
      <w:sz w:val="34"/>
      <w:lang w:val="en-US" w:eastAsia="zh-CN" w:bidi="ar-SA"/>
    </w:rPr>
  </w:style>
  <w:style w:type="paragraph" w:styleId="1620">
    <w:name w:val="Heading 3"/>
    <w:link w:val="1688"/>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1621">
    <w:name w:val="Heading 4"/>
    <w:link w:val="1689"/>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1622">
    <w:name w:val="Heading 5"/>
    <w:link w:val="1690"/>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1623">
    <w:name w:val="Heading 6"/>
    <w:link w:val="1691"/>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1624">
    <w:name w:val="Heading 7"/>
    <w:link w:val="1692"/>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1625">
    <w:name w:val="Heading 8"/>
    <w:link w:val="1693"/>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1626">
    <w:name w:val="Heading 9"/>
    <w:link w:val="1694"/>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1627" w:default="1">
    <w:name w:val="Default Paragraph Font"/>
    <w:uiPriority w:val="1"/>
    <w:semiHidden/>
    <w:unhideWhenUsed/>
    <w:qFormat/>
  </w:style>
  <w:style w:type="table" w:styleId="1628" w:default="1">
    <w:name w:val="Normal Table"/>
    <w:uiPriority w:val="99"/>
    <w:semiHidden/>
    <w:unhideWhenUsed/>
    <w:qFormat/>
    <w:tblPr>
      <w:tblCellMar>
        <w:left w:w="108" w:type="dxa"/>
        <w:top w:w="0" w:type="dxa"/>
        <w:right w:w="108" w:type="dxa"/>
        <w:bottom w:w="0" w:type="dxa"/>
      </w:tblCellMar>
    </w:tblPr>
  </w:style>
  <w:style w:type="character" w:styleId="1629" w:customStyle="1">
    <w:name w:val="Heading 1 Char"/>
    <w:basedOn w:val="1627"/>
    <w:uiPriority w:val="9"/>
    <w:qFormat/>
    <w:rPr>
      <w:rFonts w:ascii="Arial" w:hAnsi="Arial" w:eastAsia="Arial" w:cs="Arial"/>
      <w:sz w:val="40"/>
      <w:szCs w:val="40"/>
    </w:rPr>
  </w:style>
  <w:style w:type="character" w:styleId="1630" w:customStyle="1">
    <w:name w:val="Heading 2 Char"/>
    <w:basedOn w:val="1627"/>
    <w:uiPriority w:val="9"/>
    <w:qFormat/>
    <w:rPr>
      <w:rFonts w:ascii="Arial" w:hAnsi="Arial" w:eastAsia="Arial" w:cs="Arial"/>
      <w:sz w:val="34"/>
    </w:rPr>
  </w:style>
  <w:style w:type="character" w:styleId="1631" w:customStyle="1">
    <w:name w:val="Heading 3 Char"/>
    <w:basedOn w:val="1627"/>
    <w:uiPriority w:val="9"/>
    <w:qFormat/>
    <w:rPr>
      <w:rFonts w:ascii="Arial" w:hAnsi="Arial" w:eastAsia="Arial" w:cs="Arial"/>
      <w:sz w:val="30"/>
      <w:szCs w:val="30"/>
    </w:rPr>
  </w:style>
  <w:style w:type="character" w:styleId="1632" w:customStyle="1">
    <w:name w:val="Heading 4 Char"/>
    <w:basedOn w:val="1627"/>
    <w:uiPriority w:val="9"/>
    <w:qFormat/>
    <w:rPr>
      <w:rFonts w:ascii="Arial" w:hAnsi="Arial" w:eastAsia="Arial" w:cs="Arial"/>
      <w:b/>
      <w:bCs/>
      <w:sz w:val="26"/>
      <w:szCs w:val="26"/>
    </w:rPr>
  </w:style>
  <w:style w:type="character" w:styleId="1633" w:customStyle="1">
    <w:name w:val="Heading 5 Char"/>
    <w:basedOn w:val="1627"/>
    <w:uiPriority w:val="9"/>
    <w:qFormat/>
    <w:rPr>
      <w:rFonts w:ascii="Arial" w:hAnsi="Arial" w:eastAsia="Arial" w:cs="Arial"/>
      <w:b/>
      <w:bCs/>
      <w:sz w:val="24"/>
      <w:szCs w:val="24"/>
    </w:rPr>
  </w:style>
  <w:style w:type="character" w:styleId="1634" w:customStyle="1">
    <w:name w:val="Heading 6 Char"/>
    <w:basedOn w:val="1627"/>
    <w:uiPriority w:val="9"/>
    <w:qFormat/>
    <w:rPr>
      <w:rFonts w:ascii="Arial" w:hAnsi="Arial" w:eastAsia="Arial" w:cs="Arial"/>
      <w:b/>
      <w:bCs/>
      <w:sz w:val="22"/>
      <w:szCs w:val="22"/>
    </w:rPr>
  </w:style>
  <w:style w:type="character" w:styleId="1635" w:customStyle="1">
    <w:name w:val="Heading 7 Char"/>
    <w:basedOn w:val="1627"/>
    <w:uiPriority w:val="9"/>
    <w:qFormat/>
    <w:rPr>
      <w:rFonts w:ascii="Arial" w:hAnsi="Arial" w:eastAsia="Arial" w:cs="Arial"/>
      <w:b/>
      <w:bCs/>
      <w:i/>
      <w:iCs/>
      <w:sz w:val="22"/>
      <w:szCs w:val="22"/>
    </w:rPr>
  </w:style>
  <w:style w:type="character" w:styleId="1636" w:customStyle="1">
    <w:name w:val="Heading 8 Char"/>
    <w:basedOn w:val="1627"/>
    <w:uiPriority w:val="9"/>
    <w:qFormat/>
    <w:rPr>
      <w:rFonts w:ascii="Arial" w:hAnsi="Arial" w:eastAsia="Arial" w:cs="Arial"/>
      <w:i/>
      <w:iCs/>
      <w:sz w:val="22"/>
      <w:szCs w:val="22"/>
    </w:rPr>
  </w:style>
  <w:style w:type="character" w:styleId="1637" w:customStyle="1">
    <w:name w:val="Heading 9 Char"/>
    <w:basedOn w:val="1627"/>
    <w:uiPriority w:val="9"/>
    <w:qFormat/>
    <w:rPr>
      <w:rFonts w:ascii="Arial" w:hAnsi="Arial" w:eastAsia="Arial" w:cs="Arial"/>
      <w:i/>
      <w:iCs/>
      <w:sz w:val="21"/>
      <w:szCs w:val="21"/>
    </w:rPr>
  </w:style>
  <w:style w:type="character" w:styleId="1638" w:customStyle="1">
    <w:name w:val="Title Char"/>
    <w:basedOn w:val="1627"/>
    <w:uiPriority w:val="10"/>
    <w:qFormat/>
    <w:rPr>
      <w:sz w:val="48"/>
      <w:szCs w:val="48"/>
    </w:rPr>
  </w:style>
  <w:style w:type="character" w:styleId="1639" w:customStyle="1">
    <w:name w:val="Subtitle Char"/>
    <w:basedOn w:val="1627"/>
    <w:uiPriority w:val="11"/>
    <w:qFormat/>
    <w:rPr>
      <w:sz w:val="24"/>
      <w:szCs w:val="24"/>
    </w:rPr>
  </w:style>
  <w:style w:type="character" w:styleId="1640" w:customStyle="1">
    <w:name w:val="Quote Char"/>
    <w:uiPriority w:val="29"/>
    <w:qFormat/>
    <w:rPr>
      <w:i/>
    </w:rPr>
  </w:style>
  <w:style w:type="character" w:styleId="1641" w:customStyle="1">
    <w:name w:val="Intense Quote Char"/>
    <w:uiPriority w:val="30"/>
    <w:qFormat/>
    <w:rPr>
      <w:i/>
    </w:rPr>
  </w:style>
  <w:style w:type="character" w:styleId="1642" w:customStyle="1">
    <w:name w:val="Header Char"/>
    <w:basedOn w:val="1627"/>
    <w:uiPriority w:val="99"/>
    <w:qFormat/>
  </w:style>
  <w:style w:type="character" w:styleId="1643" w:customStyle="1">
    <w:name w:val="Footer Char"/>
    <w:basedOn w:val="1627"/>
    <w:uiPriority w:val="99"/>
    <w:qFormat/>
  </w:style>
  <w:style w:type="character" w:styleId="1644" w:customStyle="1">
    <w:name w:val="Caption Char"/>
    <w:uiPriority w:val="99"/>
    <w:qFormat/>
  </w:style>
  <w:style w:type="table" w:styleId="1645" w:customStyle="1">
    <w:name w:val="Plain Table 1"/>
    <w:basedOn w:val="16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46" w:customStyle="1">
    <w:name w:val="Plain Table 2"/>
    <w:basedOn w:val="162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47" w:customStyle="1">
    <w:name w:val="Plain Table 3"/>
    <w:basedOn w:val="16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48" w:customStyle="1">
    <w:name w:val="Plain Table 4"/>
    <w:basedOn w:val="16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49" w:customStyle="1">
    <w:name w:val="Plain Table 5"/>
    <w:basedOn w:val="16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50" w:customStyle="1">
    <w:name w:val="Grid Table 1 Light"/>
    <w:basedOn w:val="162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51" w:customStyle="1">
    <w:name w:val="Grid Table 2"/>
    <w:basedOn w:val="16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52" w:customStyle="1">
    <w:name w:val="Grid Table 3"/>
    <w:basedOn w:val="16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3" w:customStyle="1">
    <w:name w:val="Grid Table 4"/>
    <w:basedOn w:val="162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54" w:customStyle="1">
    <w:name w:val="Grid Table 5 Dark"/>
    <w:basedOn w:val="16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55" w:customStyle="1">
    <w:name w:val="Grid Table 6 Colorful"/>
    <w:basedOn w:val="162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56" w:customStyle="1">
    <w:name w:val="Grid Table 7 Colorful"/>
    <w:basedOn w:val="162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57" w:customStyle="1">
    <w:name w:val="List Table 1 Light"/>
    <w:basedOn w:val="162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58" w:customStyle="1">
    <w:name w:val="List Table 2"/>
    <w:basedOn w:val="162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59" w:customStyle="1">
    <w:name w:val="List Table 3"/>
    <w:basedOn w:val="16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60" w:customStyle="1">
    <w:name w:val="List Table 4"/>
    <w:basedOn w:val="16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61" w:customStyle="1">
    <w:name w:val="List Table 5 Dark"/>
    <w:basedOn w:val="162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2" w:customStyle="1">
    <w:name w:val="List Table 6 Colorful"/>
    <w:basedOn w:val="162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63" w:customStyle="1">
    <w:name w:val="List Table 7 Colorful"/>
    <w:basedOn w:val="162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664" w:customStyle="1">
    <w:name w:val="Footnote Text Char"/>
    <w:uiPriority w:val="99"/>
    <w:qFormat/>
    <w:rPr>
      <w:sz w:val="18"/>
    </w:rPr>
  </w:style>
  <w:style w:type="character" w:styleId="1665" w:customStyle="1">
    <w:name w:val="Endnote Text Char"/>
    <w:uiPriority w:val="99"/>
    <w:qFormat/>
    <w:rPr>
      <w:sz w:val="20"/>
    </w:rPr>
  </w:style>
  <w:style w:type="paragraph" w:styleId="1666" w:customStyle="1">
    <w:name w:val="TOC Heading"/>
    <w:uiPriority w:val="39"/>
    <w:unhideWhenUsed/>
    <w:qFormat/>
    <w:rPr>
      <w:rFonts w:hint="default" w:asciiTheme="minorHAnsi" w:hAnsiTheme="minorHAnsi" w:eastAsiaTheme="minorEastAsia" w:cstheme="minorBidi"/>
    </w:rPr>
  </w:style>
  <w:style w:type="table" w:styleId="1667" w:customStyle="1">
    <w:name w:val="无格式表格 11"/>
    <w:basedOn w:val="162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68" w:customStyle="1">
    <w:name w:val="无格式表格 21"/>
    <w:basedOn w:val="162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69" w:customStyle="1">
    <w:name w:val="无格式表格 31"/>
    <w:basedOn w:val="162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70" w:customStyle="1">
    <w:name w:val="无格式表格 41"/>
    <w:basedOn w:val="162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71" w:customStyle="1">
    <w:name w:val="无格式表格 51"/>
    <w:basedOn w:val="162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72" w:customStyle="1">
    <w:name w:val="网格表 1 浅色1"/>
    <w:basedOn w:val="162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73" w:customStyle="1">
    <w:name w:val="网格表 21"/>
    <w:basedOn w:val="16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74" w:customStyle="1">
    <w:name w:val="网格表 31"/>
    <w:basedOn w:val="162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5" w:customStyle="1">
    <w:name w:val="网格表 41"/>
    <w:basedOn w:val="162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76" w:customStyle="1">
    <w:name w:val="网格表 5 深色1"/>
    <w:basedOn w:val="16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77" w:customStyle="1">
    <w:name w:val="网格表 6 彩色1"/>
    <w:basedOn w:val="162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78" w:customStyle="1">
    <w:name w:val="网格表 7 彩色1"/>
    <w:basedOn w:val="162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79" w:customStyle="1">
    <w:name w:val="清单表 1 浅色1"/>
    <w:basedOn w:val="162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80" w:customStyle="1">
    <w:name w:val="清单表 21"/>
    <w:basedOn w:val="162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81" w:customStyle="1">
    <w:name w:val="清单表 31"/>
    <w:basedOn w:val="16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82" w:customStyle="1">
    <w:name w:val="清单表 41"/>
    <w:basedOn w:val="16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83" w:customStyle="1">
    <w:name w:val="清单表 5 深色1"/>
    <w:basedOn w:val="162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84" w:customStyle="1">
    <w:name w:val="清单表 6 彩色1"/>
    <w:basedOn w:val="1628"/>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85" w:customStyle="1">
    <w:name w:val="清单表 7 彩色1"/>
    <w:basedOn w:val="1628"/>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686" w:customStyle="1">
    <w:name w:val="标题 1 字符"/>
    <w:basedOn w:val="1627"/>
    <w:link w:val="1618"/>
    <w:uiPriority w:val="9"/>
    <w:qFormat/>
    <w:rPr>
      <w:rFonts w:ascii="Arial" w:hAnsi="Arial" w:eastAsia="Arial" w:cs="Arial"/>
      <w:sz w:val="40"/>
      <w:szCs w:val="40"/>
    </w:rPr>
  </w:style>
  <w:style w:type="character" w:styleId="1687" w:customStyle="1">
    <w:name w:val="标题 2 字符"/>
    <w:basedOn w:val="1627"/>
    <w:link w:val="1619"/>
    <w:uiPriority w:val="9"/>
    <w:qFormat/>
    <w:rPr>
      <w:rFonts w:ascii="Arial" w:hAnsi="Arial" w:eastAsia="Arial" w:cs="Arial"/>
      <w:sz w:val="34"/>
    </w:rPr>
  </w:style>
  <w:style w:type="character" w:styleId="1688" w:customStyle="1">
    <w:name w:val="标题 3 字符"/>
    <w:basedOn w:val="1627"/>
    <w:link w:val="1620"/>
    <w:uiPriority w:val="9"/>
    <w:qFormat/>
    <w:rPr>
      <w:rFonts w:ascii="Arial" w:hAnsi="Arial" w:eastAsia="Arial" w:cs="Arial"/>
      <w:sz w:val="30"/>
      <w:szCs w:val="30"/>
    </w:rPr>
  </w:style>
  <w:style w:type="character" w:styleId="1689" w:customStyle="1">
    <w:name w:val="标题 4 字符"/>
    <w:basedOn w:val="1627"/>
    <w:link w:val="1621"/>
    <w:uiPriority w:val="9"/>
    <w:qFormat/>
    <w:rPr>
      <w:rFonts w:ascii="Arial" w:hAnsi="Arial" w:eastAsia="Arial" w:cs="Arial"/>
      <w:b/>
      <w:bCs/>
      <w:sz w:val="26"/>
      <w:szCs w:val="26"/>
    </w:rPr>
  </w:style>
  <w:style w:type="character" w:styleId="1690" w:customStyle="1">
    <w:name w:val="标题 5 字符"/>
    <w:basedOn w:val="1627"/>
    <w:link w:val="1622"/>
    <w:uiPriority w:val="9"/>
    <w:qFormat/>
    <w:rPr>
      <w:rFonts w:ascii="Arial" w:hAnsi="Arial" w:eastAsia="Arial" w:cs="Arial"/>
      <w:b/>
      <w:bCs/>
      <w:sz w:val="24"/>
      <w:szCs w:val="24"/>
    </w:rPr>
  </w:style>
  <w:style w:type="character" w:styleId="1691" w:customStyle="1">
    <w:name w:val="标题 6 字符"/>
    <w:basedOn w:val="1627"/>
    <w:link w:val="1623"/>
    <w:uiPriority w:val="9"/>
    <w:qFormat/>
    <w:rPr>
      <w:rFonts w:ascii="Arial" w:hAnsi="Arial" w:eastAsia="Arial" w:cs="Arial"/>
      <w:b/>
      <w:bCs/>
      <w:sz w:val="22"/>
      <w:szCs w:val="22"/>
    </w:rPr>
  </w:style>
  <w:style w:type="character" w:styleId="1692" w:customStyle="1">
    <w:name w:val="标题 7 字符"/>
    <w:basedOn w:val="1627"/>
    <w:link w:val="1624"/>
    <w:uiPriority w:val="9"/>
    <w:qFormat/>
    <w:rPr>
      <w:rFonts w:ascii="Arial" w:hAnsi="Arial" w:eastAsia="Arial" w:cs="Arial"/>
      <w:b/>
      <w:bCs/>
      <w:i/>
      <w:iCs/>
      <w:sz w:val="22"/>
      <w:szCs w:val="22"/>
    </w:rPr>
  </w:style>
  <w:style w:type="character" w:styleId="1693" w:customStyle="1">
    <w:name w:val="标题 8 字符"/>
    <w:basedOn w:val="1627"/>
    <w:link w:val="1625"/>
    <w:uiPriority w:val="9"/>
    <w:qFormat/>
    <w:rPr>
      <w:rFonts w:ascii="Arial" w:hAnsi="Arial" w:eastAsia="Arial" w:cs="Arial"/>
      <w:i/>
      <w:iCs/>
      <w:sz w:val="22"/>
      <w:szCs w:val="22"/>
    </w:rPr>
  </w:style>
  <w:style w:type="character" w:styleId="1694" w:customStyle="1">
    <w:name w:val="标题 9 字符"/>
    <w:basedOn w:val="1627"/>
    <w:link w:val="1626"/>
    <w:uiPriority w:val="9"/>
    <w:qFormat/>
    <w:rPr>
      <w:rFonts w:ascii="Arial" w:hAnsi="Arial" w:eastAsia="Arial" w:cs="Arial"/>
      <w:i/>
      <w:iCs/>
      <w:sz w:val="21"/>
      <w:szCs w:val="21"/>
    </w:rPr>
  </w:style>
  <w:style w:type="paragraph" w:styleId="1695">
    <w:name w:val="List Paragraph"/>
    <w:uiPriority w:val="34"/>
    <w:qFormat/>
    <w:pPr>
      <w:contextualSpacing/>
      <w:ind w:left="720"/>
    </w:pPr>
    <w:rPr>
      <w:rFonts w:hint="default" w:asciiTheme="minorHAnsi" w:hAnsiTheme="minorHAnsi" w:eastAsiaTheme="minorEastAsia" w:cstheme="minorBidi"/>
      <w:lang w:val="en-US" w:eastAsia="zh-CN" w:bidi="ar-SA"/>
    </w:rPr>
  </w:style>
  <w:style w:type="paragraph" w:styleId="1696">
    <w:name w:val="No Spacing"/>
    <w:uiPriority w:val="1"/>
    <w:qFormat/>
    <w:rPr>
      <w:rFonts w:hint="default" w:asciiTheme="minorHAnsi" w:hAnsiTheme="minorHAnsi" w:eastAsiaTheme="minorEastAsia" w:cstheme="minorBidi"/>
      <w:lang w:val="en-US" w:eastAsia="zh-CN" w:bidi="ar-SA"/>
    </w:rPr>
  </w:style>
  <w:style w:type="paragraph" w:styleId="1697">
    <w:name w:val="Title"/>
    <w:link w:val="1698"/>
    <w:uiPriority w:val="10"/>
    <w:qFormat/>
    <w:pPr>
      <w:contextualSpacing/>
      <w:spacing w:before="300" w:after="200"/>
    </w:pPr>
    <w:rPr>
      <w:rFonts w:hint="default" w:asciiTheme="minorHAnsi" w:hAnsiTheme="minorHAnsi" w:eastAsiaTheme="minorEastAsia" w:cstheme="minorBidi"/>
      <w:sz w:val="48"/>
      <w:szCs w:val="48"/>
      <w:lang w:val="en-US" w:eastAsia="zh-CN" w:bidi="ar-SA"/>
    </w:rPr>
  </w:style>
  <w:style w:type="character" w:styleId="1698" w:customStyle="1">
    <w:name w:val="标题 字符"/>
    <w:basedOn w:val="1627"/>
    <w:link w:val="1697"/>
    <w:uiPriority w:val="10"/>
    <w:qFormat/>
    <w:rPr>
      <w:sz w:val="48"/>
      <w:szCs w:val="48"/>
    </w:rPr>
  </w:style>
  <w:style w:type="paragraph" w:styleId="1699">
    <w:name w:val="Subtitle"/>
    <w:link w:val="1700"/>
    <w:uiPriority w:val="11"/>
    <w:qFormat/>
    <w:pPr>
      <w:spacing w:before="200" w:after="200"/>
    </w:pPr>
    <w:rPr>
      <w:rFonts w:hint="default" w:asciiTheme="minorHAnsi" w:hAnsiTheme="minorHAnsi" w:eastAsiaTheme="minorEastAsia" w:cstheme="minorBidi"/>
      <w:sz w:val="24"/>
      <w:szCs w:val="24"/>
      <w:lang w:val="en-US" w:eastAsia="zh-CN" w:bidi="ar-SA"/>
    </w:rPr>
  </w:style>
  <w:style w:type="character" w:styleId="1700" w:customStyle="1">
    <w:name w:val="副标题 字符"/>
    <w:basedOn w:val="1627"/>
    <w:link w:val="1699"/>
    <w:uiPriority w:val="11"/>
    <w:qFormat/>
    <w:rPr>
      <w:sz w:val="24"/>
      <w:szCs w:val="24"/>
    </w:rPr>
  </w:style>
  <w:style w:type="paragraph" w:styleId="1701">
    <w:name w:val="Quote"/>
    <w:link w:val="1702"/>
    <w:uiPriority w:val="29"/>
    <w:qFormat/>
    <w:pPr>
      <w:ind w:left="720" w:right="720"/>
    </w:pPr>
    <w:rPr>
      <w:rFonts w:hint="default" w:asciiTheme="minorHAnsi" w:hAnsiTheme="minorHAnsi" w:eastAsiaTheme="minorEastAsia" w:cstheme="minorBidi"/>
      <w:i/>
      <w:lang w:val="en-US" w:eastAsia="zh-CN" w:bidi="ar-SA"/>
    </w:rPr>
  </w:style>
  <w:style w:type="character" w:styleId="1702" w:customStyle="1">
    <w:name w:val="引用 字符"/>
    <w:link w:val="1701"/>
    <w:uiPriority w:val="29"/>
    <w:qFormat/>
    <w:rPr>
      <w:i/>
    </w:rPr>
  </w:style>
  <w:style w:type="paragraph" w:styleId="1703">
    <w:name w:val="Intense Quote"/>
    <w:link w:val="17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lang w:val="en-US" w:eastAsia="zh-CN" w:bidi="ar-SA"/>
    </w:rPr>
  </w:style>
  <w:style w:type="character" w:styleId="1704" w:customStyle="1">
    <w:name w:val="明显引用 字符"/>
    <w:link w:val="1703"/>
    <w:uiPriority w:val="30"/>
    <w:qFormat/>
    <w:rPr>
      <w:i/>
    </w:rPr>
  </w:style>
  <w:style w:type="paragraph" w:styleId="1705">
    <w:name w:val="Header"/>
    <w:link w:val="1706"/>
    <w:uiPriority w:val="99"/>
    <w:unhideWhenUsed/>
    <w:qFormat/>
    <w:pPr>
      <w:tabs>
        <w:tab w:val="center" w:pos="7143" w:leader="none"/>
        <w:tab w:val="right" w:pos="14287" w:leader="none"/>
      </w:tabs>
    </w:pPr>
    <w:rPr>
      <w:rFonts w:hint="default" w:asciiTheme="minorHAnsi" w:hAnsiTheme="minorHAnsi" w:eastAsiaTheme="minorEastAsia" w:cstheme="minorBidi"/>
      <w:lang w:val="en-US" w:eastAsia="zh-CN" w:bidi="ar-SA"/>
    </w:rPr>
  </w:style>
  <w:style w:type="character" w:styleId="1706" w:customStyle="1">
    <w:name w:val="页眉 字符"/>
    <w:basedOn w:val="1627"/>
    <w:link w:val="1705"/>
    <w:uiPriority w:val="99"/>
    <w:qFormat/>
  </w:style>
  <w:style w:type="paragraph" w:styleId="1707">
    <w:name w:val="Footer"/>
    <w:link w:val="1709"/>
    <w:uiPriority w:val="99"/>
    <w:unhideWhenUsed/>
    <w:qFormat/>
    <w:pPr>
      <w:tabs>
        <w:tab w:val="center" w:pos="7143" w:leader="none"/>
        <w:tab w:val="right" w:pos="14287" w:leader="none"/>
      </w:tabs>
    </w:pPr>
    <w:rPr>
      <w:rFonts w:hint="default" w:asciiTheme="minorHAnsi" w:hAnsiTheme="minorHAnsi" w:eastAsiaTheme="minorEastAsia" w:cstheme="minorBidi"/>
      <w:lang w:val="en-US" w:eastAsia="zh-CN" w:bidi="ar-SA"/>
    </w:rPr>
  </w:style>
  <w:style w:type="paragraph" w:styleId="1708">
    <w:name w:val="Caption"/>
    <w:uiPriority w:val="35"/>
    <w:semiHidden/>
    <w:unhideWhenUsed/>
    <w:qFormat/>
    <w:pPr>
      <w:spacing w:line="276" w:lineRule="auto"/>
    </w:pPr>
    <w:rPr>
      <w:rFonts w:hint="default" w:asciiTheme="minorHAnsi" w:hAnsiTheme="minorHAnsi" w:eastAsiaTheme="minorEastAsia" w:cstheme="minorBidi"/>
      <w:b/>
      <w:bCs/>
      <w:color w:val="4472c4" w:themeColor="accent1"/>
      <w:sz w:val="18"/>
      <w:szCs w:val="18"/>
      <w:lang w:val="en-US" w:eastAsia="zh-CN" w:bidi="ar-SA"/>
      <w14:textFill>
        <w14:solidFill>
          <w14:schemeClr w14:val="accent1"/>
        </w14:solidFill>
      </w14:textFill>
    </w:rPr>
  </w:style>
  <w:style w:type="character" w:styleId="1709" w:customStyle="1">
    <w:name w:val="页脚 字符"/>
    <w:link w:val="1707"/>
    <w:uiPriority w:val="99"/>
    <w:qFormat/>
  </w:style>
  <w:style w:type="table" w:styleId="171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71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712" w:customStyle="1">
    <w:name w:val="Grid Table 1 Light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713"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714"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715" w:customStyle="1">
    <w:name w:val="Grid Table 1 Light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716" w:customStyle="1">
    <w:name w:val="Grid Table 1 Light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717"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718"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719" w:customStyle="1">
    <w:name w:val="Grid Table 2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720"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721" w:customStyle="1">
    <w:name w:val="Grid Table 2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722"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723"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724"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25" w:customStyle="1">
    <w:name w:val="Grid Table 3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26"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27" w:customStyle="1">
    <w:name w:val="Grid Table 3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28"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29"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30"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731"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732"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733" w:customStyle="1">
    <w:name w:val="Grid Table 4 - Accent 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734"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735"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73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73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73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73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74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74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742" w:customStyle="1">
    <w:name w:val="Grid Table 6 Colorful - Accent 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743" w:customStyle="1">
    <w:name w:val="Grid Table 6 Colorful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744"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745" w:customStyle="1">
    <w:name w:val="Grid Table 6 Colorful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746" w:customStyle="1">
    <w:name w:val="Grid Table 6 Colorful - Accent 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747"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748" w:customStyle="1">
    <w:name w:val="Grid Table 7 Colorful - Accent 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749" w:customStyle="1">
    <w:name w:val="Grid Table 7 Colorful - Accent 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750"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751" w:customStyle="1">
    <w:name w:val="Grid Table 7 Colorful - Accent 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752"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753"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754" w:customStyle="1">
    <w:name w:val="List Table 1 Light - Accent 1"/>
    <w:uiPriority w:val="99"/>
    <w:qFormat/>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755"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756"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757" w:customStyle="1">
    <w:name w:val="List Table 1 Light - Accent 4"/>
    <w:uiPriority w:val="99"/>
    <w:qFormat/>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758"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759"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760" w:customStyle="1">
    <w:name w:val="List Table 2 - Accent 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761"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762"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763" w:customStyle="1">
    <w:name w:val="List Table 2 - Accent 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764" w:customStyle="1">
    <w:name w:val="List Table 2 - Accent 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765"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766" w:customStyle="1">
    <w:name w:val="List Table 3 - Accent 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767" w:customStyle="1">
    <w:name w:val="List Table 3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768"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769" w:customStyle="1">
    <w:name w:val="List Table 3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770" w:customStyle="1">
    <w:name w:val="List Table 3 - Accent 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771"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772"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773"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774"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775" w:customStyle="1">
    <w:name w:val="List Table 4 - Accent 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776" w:customStyle="1">
    <w:name w:val="List Table 4 - Accent 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777"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778" w:customStyle="1">
    <w:name w:val="List Table 5 Dark - Accent 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79" w:customStyle="1">
    <w:name w:val="List Table 5 Dark - Accent 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80"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81" w:customStyle="1">
    <w:name w:val="List Table 5 Dark - Accent 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82" w:customStyle="1">
    <w:name w:val="List Table 5 Dark - Accent 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83"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84" w:customStyle="1">
    <w:name w:val="List Table 6 Colorful - Accent 1"/>
    <w:uiPriority w:val="99"/>
    <w:qFormat/>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785" w:customStyle="1">
    <w:name w:val="List Table 6 Colorful - Accent 2"/>
    <w:uiPriority w:val="99"/>
    <w:qFormat/>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786"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787" w:customStyle="1">
    <w:name w:val="List Table 6 Colorful - Accent 4"/>
    <w:uiPriority w:val="99"/>
    <w:qFormat/>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788" w:customStyle="1">
    <w:name w:val="List Table 6 Colorful - Accent 5"/>
    <w:uiPriority w:val="99"/>
    <w:qFormat/>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789"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790" w:customStyle="1">
    <w:name w:val="List Table 7 Colorful - Accent 1"/>
    <w:uiPriority w:val="99"/>
    <w:qFormat/>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791" w:customStyle="1">
    <w:name w:val="List Table 7 Colorful - Accent 2"/>
    <w:uiPriority w:val="99"/>
    <w:qFormat/>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792"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793" w:customStyle="1">
    <w:name w:val="List Table 7 Colorful - Accent 4"/>
    <w:uiPriority w:val="99"/>
    <w:qFormat/>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794" w:customStyle="1">
    <w:name w:val="List Table 7 Colorful - Accent 5"/>
    <w:uiPriority w:val="99"/>
    <w:qFormat/>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795"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79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9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9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9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80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80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80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80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804" w:customStyle="1">
    <w:name w:val="Bordered &amp; Lined - Accent 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805"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806"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807" w:customStyle="1">
    <w:name w:val="Bordered &amp; Lined - Accent 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808" w:customStyle="1">
    <w:name w:val="Bordered &amp; Lined - Accent 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809" w:customStyle="1">
    <w:name w:val="Bordered &amp; Lined - Accent 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81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811" w:customStyle="1">
    <w:name w:val="Bordered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812"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813"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814" w:customStyle="1">
    <w:name w:val="Bordered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815" w:customStyle="1">
    <w:name w:val="Bordered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816"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817">
    <w:name w:val="Hyperlink"/>
    <w:uiPriority w:val="99"/>
    <w:unhideWhenUsed/>
    <w:qFormat/>
    <w:rPr>
      <w:color w:val="0563c1" w:themeColor="hyperlink"/>
      <w:u w:val="single"/>
      <w14:textFill>
        <w14:solidFill>
          <w14:schemeClr w14:val="hlink"/>
        </w14:solidFill>
      </w14:textFill>
    </w:rPr>
  </w:style>
  <w:style w:type="paragraph" w:styleId="1818">
    <w:name w:val="footnote text"/>
    <w:link w:val="1819"/>
    <w:uiPriority w:val="99"/>
    <w:semiHidden/>
    <w:unhideWhenUsed/>
    <w:qFormat/>
    <w:pPr>
      <w:spacing w:after="40"/>
    </w:pPr>
    <w:rPr>
      <w:rFonts w:hint="default" w:asciiTheme="minorHAnsi" w:hAnsiTheme="minorHAnsi" w:eastAsiaTheme="minorEastAsia" w:cstheme="minorBidi"/>
      <w:sz w:val="18"/>
      <w:lang w:val="en-US" w:eastAsia="zh-CN" w:bidi="ar-SA"/>
    </w:rPr>
  </w:style>
  <w:style w:type="character" w:styleId="1819" w:customStyle="1">
    <w:name w:val="脚注文本 字符"/>
    <w:link w:val="1818"/>
    <w:uiPriority w:val="99"/>
    <w:qFormat/>
    <w:rPr>
      <w:sz w:val="18"/>
    </w:rPr>
  </w:style>
  <w:style w:type="character" w:styleId="1820">
    <w:name w:val="footnote reference"/>
    <w:basedOn w:val="1627"/>
    <w:uiPriority w:val="99"/>
    <w:unhideWhenUsed/>
    <w:qFormat/>
    <w:rPr>
      <w:vertAlign w:val="superscript"/>
    </w:rPr>
  </w:style>
  <w:style w:type="paragraph" w:styleId="1821">
    <w:name w:val="endnote text"/>
    <w:link w:val="1822"/>
    <w:uiPriority w:val="99"/>
    <w:semiHidden/>
    <w:unhideWhenUsed/>
    <w:qFormat/>
    <w:rPr>
      <w:rFonts w:hint="default" w:asciiTheme="minorHAnsi" w:hAnsiTheme="minorHAnsi" w:eastAsiaTheme="minorEastAsia" w:cstheme="minorBidi"/>
      <w:lang w:val="en-US" w:eastAsia="zh-CN" w:bidi="ar-SA"/>
    </w:rPr>
  </w:style>
  <w:style w:type="character" w:styleId="1822" w:customStyle="1">
    <w:name w:val="尾注文本 字符"/>
    <w:link w:val="1821"/>
    <w:uiPriority w:val="99"/>
    <w:qFormat/>
    <w:rPr>
      <w:sz w:val="20"/>
    </w:rPr>
  </w:style>
  <w:style w:type="character" w:styleId="1823">
    <w:name w:val="endnote reference"/>
    <w:basedOn w:val="1627"/>
    <w:uiPriority w:val="99"/>
    <w:semiHidden/>
    <w:unhideWhenUsed/>
    <w:qFormat/>
    <w:rPr>
      <w:vertAlign w:val="superscript"/>
    </w:rPr>
  </w:style>
  <w:style w:type="paragraph" w:styleId="1824">
    <w:name w:val="toc 1"/>
    <w:uiPriority w:val="39"/>
    <w:unhideWhenUsed/>
    <w:qFormat/>
    <w:pPr>
      <w:spacing w:after="57"/>
    </w:pPr>
    <w:rPr>
      <w:rFonts w:hint="default" w:asciiTheme="minorHAnsi" w:hAnsiTheme="minorHAnsi" w:eastAsiaTheme="minorEastAsia" w:cstheme="minorBidi"/>
      <w:lang w:val="en-US" w:eastAsia="zh-CN" w:bidi="ar-SA"/>
    </w:rPr>
  </w:style>
  <w:style w:type="paragraph" w:styleId="1825">
    <w:name w:val="toc 2"/>
    <w:uiPriority w:val="39"/>
    <w:unhideWhenUsed/>
    <w:qFormat/>
    <w:pPr>
      <w:ind w:left="283"/>
      <w:spacing w:after="57"/>
    </w:pPr>
    <w:rPr>
      <w:rFonts w:hint="default" w:asciiTheme="minorHAnsi" w:hAnsiTheme="minorHAnsi" w:eastAsiaTheme="minorEastAsia" w:cstheme="minorBidi"/>
      <w:lang w:val="en-US" w:eastAsia="zh-CN" w:bidi="ar-SA"/>
    </w:rPr>
  </w:style>
  <w:style w:type="paragraph" w:styleId="1826">
    <w:name w:val="toc 3"/>
    <w:uiPriority w:val="39"/>
    <w:unhideWhenUsed/>
    <w:qFormat/>
    <w:pPr>
      <w:ind w:left="567"/>
      <w:spacing w:after="57"/>
    </w:pPr>
    <w:rPr>
      <w:rFonts w:hint="default" w:asciiTheme="minorHAnsi" w:hAnsiTheme="minorHAnsi" w:eastAsiaTheme="minorEastAsia" w:cstheme="minorBidi"/>
      <w:lang w:val="en-US" w:eastAsia="zh-CN" w:bidi="ar-SA"/>
    </w:rPr>
  </w:style>
  <w:style w:type="paragraph" w:styleId="1827">
    <w:name w:val="toc 4"/>
    <w:uiPriority w:val="39"/>
    <w:unhideWhenUsed/>
    <w:qFormat/>
    <w:pPr>
      <w:ind w:left="850"/>
      <w:spacing w:after="57"/>
    </w:pPr>
    <w:rPr>
      <w:rFonts w:hint="default" w:asciiTheme="minorHAnsi" w:hAnsiTheme="minorHAnsi" w:eastAsiaTheme="minorEastAsia" w:cstheme="minorBidi"/>
      <w:lang w:val="en-US" w:eastAsia="zh-CN" w:bidi="ar-SA"/>
    </w:rPr>
  </w:style>
  <w:style w:type="paragraph" w:styleId="1828">
    <w:name w:val="toc 5"/>
    <w:uiPriority w:val="39"/>
    <w:unhideWhenUsed/>
    <w:qFormat/>
    <w:pPr>
      <w:ind w:left="1134"/>
      <w:spacing w:after="57"/>
    </w:pPr>
    <w:rPr>
      <w:rFonts w:hint="default" w:asciiTheme="minorHAnsi" w:hAnsiTheme="minorHAnsi" w:eastAsiaTheme="minorEastAsia" w:cstheme="minorBidi"/>
      <w:lang w:val="en-US" w:eastAsia="zh-CN" w:bidi="ar-SA"/>
    </w:rPr>
  </w:style>
  <w:style w:type="paragraph" w:styleId="1829">
    <w:name w:val="toc 6"/>
    <w:uiPriority w:val="39"/>
    <w:unhideWhenUsed/>
    <w:qFormat/>
    <w:pPr>
      <w:ind w:left="1417"/>
      <w:spacing w:after="57"/>
    </w:pPr>
    <w:rPr>
      <w:rFonts w:hint="default" w:asciiTheme="minorHAnsi" w:hAnsiTheme="minorHAnsi" w:eastAsiaTheme="minorEastAsia" w:cstheme="minorBidi"/>
      <w:lang w:val="en-US" w:eastAsia="zh-CN" w:bidi="ar-SA"/>
    </w:rPr>
  </w:style>
  <w:style w:type="paragraph" w:styleId="1830">
    <w:name w:val="toc 7"/>
    <w:uiPriority w:val="39"/>
    <w:unhideWhenUsed/>
    <w:qFormat/>
    <w:pPr>
      <w:ind w:left="1701"/>
      <w:spacing w:after="57"/>
    </w:pPr>
    <w:rPr>
      <w:rFonts w:hint="default" w:asciiTheme="minorHAnsi" w:hAnsiTheme="minorHAnsi" w:eastAsiaTheme="minorEastAsia" w:cstheme="minorBidi"/>
      <w:lang w:val="en-US" w:eastAsia="zh-CN" w:bidi="ar-SA"/>
    </w:rPr>
  </w:style>
  <w:style w:type="paragraph" w:styleId="1831">
    <w:name w:val="toc 8"/>
    <w:uiPriority w:val="39"/>
    <w:unhideWhenUsed/>
    <w:qFormat/>
    <w:pPr>
      <w:ind w:left="1984"/>
      <w:spacing w:after="57"/>
    </w:pPr>
    <w:rPr>
      <w:rFonts w:hint="default" w:asciiTheme="minorHAnsi" w:hAnsiTheme="minorHAnsi" w:eastAsiaTheme="minorEastAsia" w:cstheme="minorBidi"/>
      <w:lang w:val="en-US" w:eastAsia="zh-CN" w:bidi="ar-SA"/>
    </w:rPr>
  </w:style>
  <w:style w:type="paragraph" w:styleId="1832">
    <w:name w:val="toc 9"/>
    <w:uiPriority w:val="39"/>
    <w:unhideWhenUsed/>
    <w:qFormat/>
    <w:pPr>
      <w:ind w:left="2268"/>
      <w:spacing w:after="57"/>
    </w:pPr>
    <w:rPr>
      <w:rFonts w:hint="default" w:asciiTheme="minorHAnsi" w:hAnsiTheme="minorHAnsi" w:eastAsiaTheme="minorEastAsia" w:cstheme="minorBidi"/>
      <w:lang w:val="en-US" w:eastAsia="zh-CN" w:bidi="ar-SA"/>
    </w:rPr>
  </w:style>
  <w:style w:type="paragraph" w:styleId="1833">
    <w:name w:val="table of figures"/>
    <w:uiPriority w:val="99"/>
    <w:unhideWhenUsed/>
    <w:qFormat/>
    <w:rPr>
      <w:rFonts w:hint="default" w:asciiTheme="minorHAnsi" w:hAnsiTheme="minorHAnsi" w:eastAsiaTheme="minorEastAsia" w:cstheme="minorBidi"/>
      <w:lang w:val="en-US" w:eastAsia="zh-CN" w:bidi="ar-SA"/>
    </w:rPr>
  </w:style>
  <w:style w:type="paragraph" w:styleId="1834" w:customStyle="1">
    <w:name w:val="40972909C00547EF89E6E87F19707554"/>
    <w:uiPriority w:val="0"/>
    <w:qFormat/>
    <w:pPr>
      <w:jc w:val="both"/>
      <w:spacing w:after="160" w:line="278" w:lineRule="auto"/>
      <w:widowControl w:val="off"/>
    </w:pPr>
    <w:rPr>
      <w:rFonts w:hint="default" w:asciiTheme="minorHAnsi" w:hAnsiTheme="minorHAnsi" w:eastAsiaTheme="minorEastAsia" w:cstheme="minorBidi"/>
      <w:sz w:val="21"/>
      <w:szCs w:val="22"/>
      <w:lang w:val="en-US" w:eastAsia="zh-CN" w:bidi="ar-SA"/>
    </w:rPr>
  </w:style>
  <w:style w:type="character" w:styleId="1835">
    <w:name w:val="Placeholder Text"/>
    <w:basedOn w:val="1627"/>
    <w:uiPriority w:val="99"/>
    <w:unhideWhenUsed/>
    <w:qFormat/>
    <w:rPr>
      <w:color w:val="808080"/>
    </w:rPr>
  </w:style>
  <w:style w:type="numbering" w:styleId="1836"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4</cp:revision>
  <dcterms:created xsi:type="dcterms:W3CDTF">2023-10-18T02:18:00Z</dcterms:created>
  <dcterms:modified xsi:type="dcterms:W3CDTF">2026-07-02T00:58:33Z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B20A14E9CF8749489ECE8C1F6F742B0C_13</vt:lpwstr>
  </property>
  <property fmtid="{D5CDD505-2E9C-101B-9397-08002B2CF9AE}" pid="4" name="KSOTemplateDocerSaveRecord">
    <vt:lpwstr>eyJoZGlkIjoiMWYxYmUwODIzYzk0M2QzOTM3M2I1MzA0NjYxZWNjMTciLCJ1c2VySWQiOiI3MDY5OTM5NjQifQ==</vt:lpwstr>
  </property>
</Properties>
</file>