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bookmarkStart w:id="0" w:name="_Toc120614210"/>
      <w:r/>
      <w:bookmarkStart w:id="1" w:name="_Toc513029200"/>
      <w:r/>
      <w:bookmarkStart w:id="2" w:name="_Toc16938516"/>
      <w:r/>
      <w:bookmarkStart w:id="3" w:name="_Toc20823272"/>
      <w:r/>
      <w:bookmarkStart w:id="4" w:name="_Toc523127445"/>
      <w:r/>
      <w:bookmarkStart w:id="5" w:name="_Toc479757206"/>
      <w:r/>
      <w:r/>
    </w:p>
    <w:p>
      <w:pPr>
        <w:pStyle w:val="980"/>
        <w:rPr>
          <w:color w:val="auto"/>
          <w:highlight w:val="none"/>
        </w:rPr>
      </w:pPr>
      <w:r>
        <w:rPr>
          <w:color w:val="auto"/>
          <w:highlight w:val="none"/>
        </w:rPr>
      </w:r>
      <w:r/>
    </w:p>
    <w:p>
      <w:pPr>
        <w:pStyle w:val="992"/>
        <w:jc w:val="center"/>
        <w:rPr>
          <w:rFonts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pPr>
      <w:r>
        <w:rPr>
          <w:rFonts w:hint="eastAsia"/>
          <w:b/>
          <w:color w:val="auto"/>
          <w:sz w:val="30"/>
          <w:szCs w:val="30"/>
          <w:highlight w:val="none"/>
        </w:rPr>
        <w:t xml:space="preserve">项目名称：</w:t>
      </w:r>
      <w:r>
        <w:rPr>
          <w:rFonts w:hint="eastAsia"/>
          <w:b/>
          <w:color w:val="auto"/>
          <w:sz w:val="32"/>
          <w:szCs w:val="32"/>
          <w:highlight w:val="none"/>
        </w:rPr>
        <w:t xml:space="preserve">江宁区智慧水务平台系统建设项目 </w:t>
      </w:r>
      <w:r/>
    </w:p>
    <w:p>
      <w:pPr>
        <w:ind w:firstLine="1506"/>
        <w:rPr>
          <w:b/>
          <w:color w:val="auto"/>
          <w:sz w:val="30"/>
          <w:szCs w:val="30"/>
          <w:highlight w:val="none"/>
        </w:rPr>
      </w:pPr>
      <w:r>
        <w:rPr>
          <w:rFonts w:hint="eastAsia"/>
          <w:b/>
          <w:color w:val="auto"/>
          <w:sz w:val="30"/>
          <w:szCs w:val="30"/>
          <w:highlight w:val="none"/>
        </w:rPr>
        <w:t xml:space="preserve">项目编号：</w:t>
      </w:r>
      <w:r>
        <w:rPr>
          <w:rFonts w:hint="eastAsia"/>
          <w:b/>
          <w:color w:val="auto"/>
          <w:sz w:val="32"/>
          <w:szCs w:val="32"/>
          <w:highlight w:val="none"/>
        </w:rPr>
        <w:t xml:space="preserve">JSZC-320115-JZCG-G2026-0012 </w:t>
      </w:r>
      <w:r>
        <w:rPr>
          <w:rFonts w:hint="eastAsia"/>
          <w:b/>
          <w:color w:val="auto"/>
          <w:sz w:val="30"/>
          <w:szCs w:val="30"/>
          <w:highlight w:val="none"/>
        </w:rPr>
        <w:t xml:space="preserve">              </w:t>
      </w:r>
      <w:r/>
    </w:p>
    <w:p>
      <w:pPr>
        <w:jc w:val="center"/>
        <w:rPr>
          <w:b/>
          <w:color w:val="auto"/>
          <w:sz w:val="30"/>
          <w:szCs w:val="30"/>
          <w:highlight w:val="none"/>
        </w:rPr>
      </w:pPr>
      <w:r>
        <w:rPr>
          <w:rFonts w:hint="eastAsia"/>
          <w:b/>
          <w:color w:val="auto"/>
          <w:sz w:val="30"/>
          <w:szCs w:val="30"/>
          <w:highlight w:val="none"/>
        </w:rPr>
        <w:t xml:space="preserve">（非专门面向中小企业）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12"/>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92"/>
        <w:ind w:firstLine="0"/>
        <w:jc w:val="center"/>
        <w:rPr>
          <w:b/>
          <w:bCs/>
          <w:color w:val="auto"/>
          <w:sz w:val="32"/>
          <w:highlight w:val="none"/>
        </w:rPr>
      </w:pPr>
      <w:r>
        <w:rPr>
          <w:rFonts w:hint="eastAsia"/>
          <w:b/>
          <w:bCs/>
          <w:color w:val="auto"/>
          <w:sz w:val="32"/>
          <w:highlight w:val="none"/>
        </w:rPr>
        <w:t xml:space="preserve">南京市公共资源交易中心江宁分中心</w:t>
      </w:r>
      <w:r/>
    </w:p>
    <w:p>
      <w:pPr>
        <w:jc w:val="center"/>
        <w:rPr>
          <w:b/>
          <w:color w:val="auto"/>
          <w:sz w:val="32"/>
          <w:szCs w:val="32"/>
          <w:highlight w:val="none"/>
        </w:rPr>
      </w:pPr>
      <w:r>
        <w:rPr>
          <w:rFonts w:hint="eastAsia"/>
          <w:b/>
          <w:color w:val="auto"/>
          <w:sz w:val="32"/>
          <w:szCs w:val="32"/>
          <w:highlight w:val="none"/>
        </w:rPr>
        <w:t xml:space="preserve">2026年6月</w:t>
      </w:r>
      <w:r/>
    </w:p>
    <w:p>
      <w:pPr>
        <w:jc w:val="left"/>
        <w:spacing w:before="120" w:after="120" w:line="360" w:lineRule="auto"/>
        <w:rPr>
          <w:rFonts w:ascii="Arial" w:hAnsi="Arial"/>
          <w:color w:val="auto"/>
          <w:sz w:val="24"/>
          <w:szCs w:val="24"/>
          <w:highlight w:val="none"/>
        </w:rPr>
      </w:pPr>
      <w:r>
        <w:rPr>
          <w:rFonts w:hint="eastAsia" w:ascii="Arial" w:hAnsi="Arial"/>
          <w:color w:val="auto"/>
          <w:sz w:val="24"/>
          <w:szCs w:val="24"/>
          <w:highlight w:val="none"/>
        </w:rPr>
        <w:t xml:space="preserve">                        </w:t>
      </w:r>
      <w:r/>
    </w:p>
    <w:p>
      <w:pPr>
        <w:pStyle w:val="912"/>
        <w:rPr>
          <w:rFonts w:hint="eastAsia"/>
          <w:color w:val="auto"/>
          <w:highlight w:val="none"/>
        </w:rPr>
      </w:pPr>
      <w:r>
        <w:rPr>
          <w:color w:val="auto"/>
          <w:highlight w:val="none"/>
        </w:rPr>
        <w:br w:type="page" w:clear="all"/>
      </w:r>
      <w:r/>
    </w:p>
    <w:p>
      <w:pPr>
        <w:jc w:val="center"/>
        <w:spacing w:line="480" w:lineRule="auto"/>
        <w:rPr>
          <w:rFonts w:ascii="黑体" w:hAnsi="Arial" w:eastAsia="黑体"/>
          <w:b/>
          <w:color w:val="auto"/>
          <w:sz w:val="44"/>
          <w:highlight w:val="none"/>
        </w:rPr>
        <w:outlineLvl w:val="0"/>
      </w:pPr>
      <w:r>
        <w:rPr>
          <w:rFonts w:hint="eastAsia" w:ascii="黑体" w:hAnsi="Arial" w:eastAsia="黑体"/>
          <w:b/>
          <w:color w:val="auto"/>
          <w:sz w:val="44"/>
          <w:highlight w:val="none"/>
        </w:rPr>
        <w:t xml:space="preserve">总  目  录</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投标邀请…………………………………… </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投标人须知………………………………… </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合同文本……………………………………</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采购需求……………………………………</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评标方法与评标标准………………………</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投标文件格式………………………………</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方正小标宋简体" w:hAnsi="方正小标宋简体" w:eastAsia="方正小标宋简体" w:cs="方正小标宋简体"/>
          <w:color w:val="auto"/>
          <w:sz w:val="36"/>
          <w:szCs w:val="36"/>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投标邀请</w:t>
      </w:r>
      <w:r/>
    </w:p>
    <w:p>
      <w:pPr>
        <w:ind w:firstLine="480"/>
        <w:spacing w:line="252" w:lineRule="auto"/>
        <w:rPr>
          <w:rFonts w:hint="eastAsia" w:ascii="宋体" w:hAnsi="宋体"/>
          <w:color w:val="auto"/>
          <w:sz w:val="24"/>
          <w:szCs w:val="24"/>
          <w:highlight w:val="none"/>
        </w:rPr>
      </w:pPr>
      <w:r/>
      <w:bookmarkStart w:id="6" w:name="_Toc38985263"/>
      <w:r/>
      <w:bookmarkStart w:id="7" w:name="_Toc35393790"/>
      <w:r/>
      <w:bookmarkStart w:id="8" w:name="_Toc28359002"/>
      <w:r/>
      <w:bookmarkStart w:id="9" w:name="_Toc28359079"/>
      <w:r/>
      <w:bookmarkStart w:id="10" w:name="_Toc35393621"/>
      <w:r/>
      <w:bookmarkStart w:id="11" w:name="_Hlk24379207"/>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ascii="宋体" w:hAnsi="宋体"/>
          <w:color w:val="auto"/>
          <w:sz w:val="24"/>
          <w:szCs w:val="24"/>
          <w:highlight w:val="none"/>
        </w:rPr>
        <w:t xml:space="preserve">南京市江宁区城市数字治理中心</w:t>
      </w:r>
      <w:r>
        <w:rPr>
          <w:rFonts w:hint="eastAsia" w:ascii="宋体" w:hAnsi="宋体"/>
          <w:color w:val="auto"/>
          <w:sz w:val="24"/>
          <w:szCs w:val="24"/>
          <w:highlight w:val="none"/>
        </w:rPr>
        <w:t xml:space="preserve">（采购单位）委托，南京市公共资源交易中心江宁分中心（以下简称“交易中心”）就江宁区智慧水务平台系统建设项目（项目名称）进行公开招标采购，欢迎符合条件的供应商投标。</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1.项目编号：JSZC-320115-JZCG-G2026-0012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Start w:id="12" w:name="_Hlk220405629"/>
      <w:r>
        <w:rPr>
          <w:rFonts w:hint="eastAsia" w:ascii="宋体" w:hAnsi="宋体"/>
          <w:color w:val="auto"/>
          <w:sz w:val="24"/>
          <w:szCs w:val="24"/>
          <w:highlight w:val="none"/>
        </w:rPr>
        <w:t xml:space="preserve">江宁区智慧水务平台系统建设项目</w:t>
      </w:r>
      <w:bookmarkEnd w:id="12"/>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3.预算金额：828.39万元</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4.最高限价：本项目</w:t>
      </w:r>
      <w:r>
        <w:rPr>
          <w:rFonts w:hint="eastAsia" w:ascii="宋体" w:hAnsi="宋体" w:cs="宋体"/>
          <w:color w:val="auto"/>
          <w:sz w:val="24"/>
          <w:szCs w:val="24"/>
          <w:highlight w:val="none"/>
        </w:rPr>
        <w:t xml:space="preserve">设定最高限价为</w:t>
      </w:r>
      <w:r>
        <w:rPr>
          <w:rFonts w:hint="eastAsia" w:ascii="宋体" w:hAnsi="宋体"/>
          <w:color w:val="auto"/>
          <w:sz w:val="24"/>
          <w:szCs w:val="24"/>
          <w:highlight w:val="none"/>
        </w:rPr>
        <w:t xml:space="preserve">778.26万元</w:t>
      </w:r>
      <w:r>
        <w:rPr>
          <w:rFonts w:hint="eastAsia" w:ascii="宋体" w:hAnsi="宋体" w:cs="宋体"/>
          <w:color w:val="auto"/>
          <w:sz w:val="24"/>
          <w:szCs w:val="24"/>
          <w:highlight w:val="none"/>
        </w:rPr>
        <w:t xml:space="preserve">。</w:t>
      </w:r>
      <w:r/>
    </w:p>
    <w:p>
      <w:pPr>
        <w:ind w:firstLine="480"/>
        <w:spacing w:line="252"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5.采购需求（简介）：完成江宁区智慧水务平台系统的各项内容建设。</w:t>
      </w:r>
      <w:r>
        <w:rPr>
          <w:rFonts w:hint="eastAsia" w:ascii="宋体" w:hAnsi="宋体" w:cs="宋体"/>
          <w:color w:val="auto"/>
          <w:sz w:val="24"/>
          <w:szCs w:val="24"/>
          <w:highlight w:val="none"/>
        </w:rPr>
        <w:t xml:space="preserve">（详细内容见本招标文件第四章） </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ascii="宋体" w:hAnsi="宋体" w:cs="宋体"/>
          <w:color w:val="auto"/>
          <w:sz w:val="24"/>
          <w:szCs w:val="24"/>
          <w:highlight w:val="none"/>
        </w:rPr>
        <w:t xml:space="preserve">合同签订后270天内完成系统开发、部署、调试</w:t>
      </w:r>
      <w:r>
        <w:rPr>
          <w:rFonts w:hint="eastAsia" w:ascii="宋体" w:hAnsi="宋体" w:cs="宋体"/>
          <w:color w:val="auto"/>
          <w:sz w:val="24"/>
          <w:szCs w:val="24"/>
          <w:highlight w:val="none"/>
        </w:rPr>
        <w:t xml:space="preserve">以及配套软、硬件的采购、运输、安装、调试</w:t>
      </w:r>
      <w:r>
        <w:rPr>
          <w:rFonts w:ascii="宋体" w:hAnsi="宋体" w:cs="宋体"/>
          <w:color w:val="auto"/>
          <w:sz w:val="24"/>
          <w:szCs w:val="24"/>
          <w:highlight w:val="none"/>
        </w:rPr>
        <w:t xml:space="preserve">等工作，并具备整体上线试运行条件；试运行</w:t>
      </w: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0天后，</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验收标准的，完成项目</w:t>
      </w:r>
      <w:r>
        <w:rPr>
          <w:rFonts w:hint="eastAsia" w:ascii="宋体" w:hAnsi="宋体" w:cs="宋体"/>
          <w:color w:val="auto"/>
          <w:sz w:val="24"/>
          <w:szCs w:val="24"/>
          <w:highlight w:val="none"/>
        </w:rPr>
        <w:t xml:space="preserve">最终</w:t>
      </w:r>
      <w:r>
        <w:rPr>
          <w:rFonts w:ascii="宋体" w:hAnsi="宋体" w:cs="宋体"/>
          <w:color w:val="auto"/>
          <w:sz w:val="24"/>
          <w:szCs w:val="24"/>
          <w:highlight w:val="none"/>
        </w:rPr>
        <w:t xml:space="preserve">验收并正式投入运行。</w:t>
      </w:r>
      <w:r>
        <w:rPr>
          <w:rFonts w:hint="eastAsia" w:ascii="宋体" w:hAnsi="宋体" w:cs="宋体"/>
          <w:color w:val="auto"/>
          <w:sz w:val="24"/>
          <w:szCs w:val="24"/>
          <w:highlight w:val="none"/>
        </w:rPr>
        <w:t xml:space="preserve">自项目最终验收合格之日起进入不低于三年的项目维护期。</w:t>
      </w:r>
      <w:bookmarkStart w:id="217" w:name="_GoBack"/>
      <w:r/>
      <w:bookmarkEnd w:id="217"/>
      <w:r/>
      <w:r/>
    </w:p>
    <w:p>
      <w:pPr>
        <w:ind w:firstLine="480"/>
        <w:spacing w:line="252" w:lineRule="auto"/>
        <w:rPr>
          <w:rStyle w:val="951"/>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u w:val="single"/>
        </w:rPr>
        <w:t xml:space="preserve">接受</w:t>
      </w:r>
      <w:r>
        <w:rPr>
          <w:rFonts w:hint="eastAsia" w:ascii="宋体" w:hAnsi="宋体" w:cs="宋体"/>
          <w:color w:val="auto"/>
          <w:sz w:val="24"/>
          <w:szCs w:val="24"/>
          <w:highlight w:val="none"/>
        </w:rPr>
        <w:t xml:space="preserve">联合体投标。</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进口产品投标。</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bookmarkStart w:id="13" w:name="_Toc28359080"/>
      <w:r/>
      <w:bookmarkStart w:id="14" w:name="_Toc35393791"/>
      <w:r/>
      <w:bookmarkStart w:id="15" w:name="_Toc38985264"/>
      <w:r/>
      <w:bookmarkStart w:id="16" w:name="_Toc28359003"/>
      <w:r/>
      <w:bookmarkStart w:id="17" w:name="_Toc35393622"/>
      <w:r>
        <w:rPr>
          <w:rFonts w:hint="eastAsia" w:ascii="方正黑体_GBK" w:hAnsi="方正黑体_GBK" w:eastAsia="方正黑体_GBK" w:cs="方正黑体_GBK"/>
          <w:b w:val="0"/>
          <w:bCs w:val="0"/>
          <w:color w:val="auto"/>
          <w:sz w:val="30"/>
          <w:szCs w:val="30"/>
          <w:highlight w:val="none"/>
        </w:rPr>
        <w:t xml:space="preserve">二、申请人的资格要求</w:t>
      </w:r>
      <w:bookmarkEnd w:id="13"/>
      <w:r/>
      <w:bookmarkEnd w:id="14"/>
      <w:r/>
      <w:bookmarkEnd w:id="15"/>
      <w:r/>
      <w:bookmarkEnd w:id="16"/>
      <w:r/>
      <w:bookmarkEnd w:id="17"/>
      <w:r/>
      <w:r/>
    </w:p>
    <w:p>
      <w:pPr>
        <w:ind w:firstLine="480"/>
        <w:spacing w:line="252" w:lineRule="auto"/>
        <w:rPr>
          <w:rFonts w:hint="eastAsia" w:ascii="宋体" w:hAnsi="宋体"/>
          <w:color w:val="auto"/>
          <w:sz w:val="24"/>
          <w:szCs w:val="24"/>
          <w:highlight w:val="none"/>
        </w:rPr>
      </w:pPr>
      <w:r/>
      <w:bookmarkStart w:id="18" w:name="_Toc35393623"/>
      <w:r/>
      <w:bookmarkStart w:id="19" w:name="_Toc28359004"/>
      <w:r/>
      <w:bookmarkStart w:id="20" w:name="_Toc38985265"/>
      <w:r/>
      <w:bookmarkStart w:id="21" w:name="_Toc35393792"/>
      <w:r/>
      <w:bookmarkStart w:id="22"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252"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1.满足《中华人民共和国政府采购法》第二十二条规定，并提供下列材料：</w:t>
      </w:r>
      <w:r/>
    </w:p>
    <w:p>
      <w:pPr>
        <w:ind w:firstLine="480"/>
        <w:spacing w:line="252"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spacing w:line="252"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2.落实政府采购政策需满足的资格要求：无。</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本项目采购标的对应的中小企业划分标准所属行业为：</w:t>
      </w:r>
      <w:r>
        <w:rPr>
          <w:rFonts w:hint="eastAsia" w:ascii="宋体" w:hAnsi="宋体"/>
          <w:color w:val="auto"/>
          <w:sz w:val="24"/>
          <w:szCs w:val="24"/>
          <w:highlight w:val="none"/>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8"/>
      <w:r/>
      <w:bookmarkEnd w:id="19"/>
      <w:r/>
      <w:bookmarkEnd w:id="20"/>
      <w:r/>
      <w:bookmarkEnd w:id="21"/>
      <w:r/>
      <w:bookmarkEnd w:id="22"/>
      <w:r/>
      <w:r/>
    </w:p>
    <w:p>
      <w:pPr>
        <w:ind w:firstLine="480"/>
        <w:spacing w:line="252" w:lineRule="auto"/>
        <w:rPr>
          <w:rFonts w:hint="eastAsia" w:ascii="宋体" w:hAnsi="宋体" w:cs="宋体"/>
          <w:color w:val="auto"/>
          <w:sz w:val="24"/>
          <w:szCs w:val="24"/>
          <w:highlight w:val="none"/>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color w:val="auto"/>
          <w:sz w:val="24"/>
          <w:szCs w:val="24"/>
          <w:highlight w:val="none"/>
        </w:rPr>
        <w:t xml:space="preserve">1.时间：自招标文件公告发布之日起。</w:t>
      </w:r>
      <w:r/>
    </w:p>
    <w:p>
      <w:pPr>
        <w:ind w:firstLine="480"/>
        <w:spacing w:line="252"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5"/>
      <w:r/>
      <w:bookmarkEnd w:id="26"/>
      <w:r/>
      <w:bookmarkEnd w:id="27"/>
      <w:r/>
      <w:r/>
    </w:p>
    <w:p>
      <w:pPr>
        <w:ind w:firstLine="480"/>
        <w:spacing w:line="252" w:lineRule="auto"/>
        <w:rPr>
          <w:rFonts w:hint="eastAsia" w:ascii="宋体" w:hAnsi="宋体"/>
          <w:bCs/>
          <w:color w:val="auto"/>
          <w:sz w:val="24"/>
          <w:szCs w:val="24"/>
          <w:highlight w:val="none"/>
          <w:u w:val="single"/>
        </w:rPr>
      </w:pPr>
      <w:r/>
      <w:bookmarkStart w:id="28" w:name="_Toc35393794"/>
      <w:r/>
      <w:bookmarkStart w:id="29" w:name="_Toc28359007"/>
      <w:r/>
      <w:bookmarkStart w:id="30" w:name="_Toc28359084"/>
      <w:r/>
      <w:bookmarkStart w:id="31" w:name="_Toc38985267"/>
      <w:r/>
      <w:bookmarkStart w:id="32" w:name="_Toc35393625"/>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2026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bCs/>
          <w:color w:val="auto"/>
          <w:sz w:val="24"/>
          <w:szCs w:val="24"/>
          <w:highlight w:val="none"/>
        </w:rPr>
        <w:t xml:space="preserve">月20</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rPr>
        <w:t xml:space="preserve">14</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p>
    <w:p>
      <w:pPr>
        <w:ind w:firstLine="480"/>
        <w:spacing w:line="252"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8"/>
      <w:r/>
      <w:bookmarkEnd w:id="29"/>
      <w:r/>
      <w:bookmarkEnd w:id="30"/>
      <w:r/>
      <w:bookmarkEnd w:id="31"/>
      <w:r/>
      <w:bookmarkEnd w:id="32"/>
      <w:r/>
      <w:r/>
    </w:p>
    <w:p>
      <w:pPr>
        <w:ind w:firstLine="480"/>
        <w:spacing w:line="252" w:lineRule="auto"/>
        <w:rPr>
          <w:rFonts w:hint="eastAsia" w:ascii="宋体" w:hAnsi="宋体" w:cs="宋体"/>
          <w:color w:val="auto"/>
          <w:sz w:val="24"/>
          <w:szCs w:val="24"/>
          <w:highlight w:val="none"/>
        </w:rPr>
      </w:pPr>
      <w:r/>
      <w:bookmarkStart w:id="33" w:name="_Toc38985268"/>
      <w:r/>
      <w:bookmarkStart w:id="34" w:name="_Toc35393626"/>
      <w:r/>
      <w:bookmarkStart w:id="35" w:name="_Toc35393795"/>
      <w:r>
        <w:rPr>
          <w:rFonts w:hint="eastAsia" w:ascii="宋体" w:hAnsi="宋体" w:cs="宋体"/>
          <w:color w:val="auto"/>
          <w:sz w:val="24"/>
          <w:szCs w:val="24"/>
          <w:highlight w:val="none"/>
        </w:rPr>
        <w:t xml:space="preserve">公告期限为自本公告发布之日起5个工作日。</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3"/>
      <w:r/>
      <w:bookmarkEnd w:id="34"/>
      <w:r/>
      <w:bookmarkEnd w:id="35"/>
      <w:r/>
      <w:r/>
    </w:p>
    <w:p>
      <w:pPr>
        <w:ind w:firstLine="480"/>
        <w:spacing w:line="252" w:lineRule="auto"/>
        <w:tabs>
          <w:tab w:val="left" w:pos="900" w:leader="none"/>
        </w:tabs>
        <w:rPr>
          <w:rFonts w:hint="eastAsia" w:ascii="宋体" w:hAnsi="宋体"/>
          <w:bCs/>
          <w:color w:val="auto"/>
          <w:sz w:val="24"/>
          <w:szCs w:val="24"/>
          <w:highlight w:val="none"/>
        </w:rPr>
      </w:pPr>
      <w:r/>
      <w:bookmarkStart w:id="36" w:name="_Toc35393627"/>
      <w:r/>
      <w:bookmarkStart w:id="37" w:name="_Toc28359085"/>
      <w:r/>
      <w:bookmarkStart w:id="38" w:name="_Toc38985269"/>
      <w:r/>
      <w:bookmarkStart w:id="39" w:name="_Toc28359008"/>
      <w:r/>
      <w:bookmarkStart w:id="40" w:name="_Toc35393796"/>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firstLine="482"/>
        <w:spacing w:line="25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采购人《质疑函》收件人：孙建树，收件地址：南京市江宁区秣周东路10号，联系电话：025-86139002。</w:t>
      </w:r>
      <w:r/>
    </w:p>
    <w:p>
      <w:pPr>
        <w:ind w:firstLine="482"/>
        <w:spacing w:line="252"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交易中心《质疑函》收件人：南京市公共资源交易中心江宁分中心业务受理科，收件地址：南京市江宁区杨家圩路2号市民中心A区3楼公共资源交易中心A314，联系电话：025-69634313。</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6"/>
      <w:r/>
      <w:bookmarkEnd w:id="37"/>
      <w:r/>
      <w:bookmarkEnd w:id="38"/>
      <w:r/>
      <w:bookmarkEnd w:id="39"/>
      <w:r/>
      <w:bookmarkEnd w:id="40"/>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称：南京市江宁区城市数字治理中心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址：南京市江宁区秣周东路10号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联系人：孙建树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联系电话：025-86139002 </w:t>
      </w:r>
      <w:bookmarkStart w:id="41" w:name="_Toc28359086"/>
      <w:r/>
      <w:bookmarkStart w:id="42" w:name="_Toc28359009"/>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2.交易中心</w:t>
      </w:r>
      <w:bookmarkEnd w:id="41"/>
      <w:r/>
      <w:bookmarkEnd w:id="42"/>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w:t>
      </w:r>
      <w:r>
        <w:rPr>
          <w:rFonts w:ascii="宋体" w:hAnsi="宋体"/>
          <w:color w:val="auto"/>
          <w:sz w:val="24"/>
          <w:szCs w:val="24"/>
          <w:highlight w:val="none"/>
        </w:rPr>
        <w:t xml:space="preserve">江宁区杨家圩路2号市民中心</w:t>
      </w:r>
      <w:r>
        <w:rPr>
          <w:rFonts w:hint="eastAsia" w:ascii="宋体" w:hAnsi="宋体"/>
          <w:color w:val="auto"/>
          <w:sz w:val="24"/>
          <w:szCs w:val="24"/>
          <w:highlight w:val="none"/>
        </w:rPr>
        <w:t xml:space="preserve">A</w:t>
      </w:r>
      <w:r>
        <w:rPr>
          <w:rFonts w:ascii="宋体" w:hAnsi="宋体"/>
          <w:color w:val="auto"/>
          <w:sz w:val="24"/>
          <w:szCs w:val="24"/>
          <w:highlight w:val="none"/>
        </w:rPr>
        <w:t xml:space="preserve">区</w:t>
      </w:r>
      <w:r>
        <w:rPr>
          <w:rFonts w:hint="eastAsia" w:ascii="宋体" w:hAnsi="宋体"/>
          <w:color w:val="auto"/>
          <w:sz w:val="24"/>
          <w:szCs w:val="24"/>
          <w:highlight w:val="none"/>
        </w:rPr>
        <w:t xml:space="preserve">3</w:t>
      </w:r>
      <w:r>
        <w:rPr>
          <w:rFonts w:ascii="宋体" w:hAnsi="宋体"/>
          <w:color w:val="auto"/>
          <w:sz w:val="24"/>
          <w:szCs w:val="24"/>
          <w:highlight w:val="none"/>
        </w:rPr>
        <w:t xml:space="preserve">楼</w:t>
      </w:r>
      <w:r>
        <w:rPr>
          <w:rFonts w:hint="eastAsia" w:ascii="宋体" w:hAnsi="宋体"/>
          <w:color w:val="auto"/>
          <w:sz w:val="24"/>
          <w:szCs w:val="24"/>
          <w:highlight w:val="none"/>
        </w:rPr>
        <w:t xml:space="preserve">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联系人：易俊贤</w:t>
      </w:r>
      <w:r/>
    </w:p>
    <w:p>
      <w:pPr>
        <w:ind w:firstLine="480"/>
        <w:spacing w:line="252" w:lineRule="auto"/>
        <w:rPr>
          <w:color w:val="auto"/>
          <w:highlight w:val="none"/>
        </w:rPr>
      </w:pPr>
      <w:r>
        <w:rPr>
          <w:rFonts w:hint="eastAsia" w:ascii="宋体" w:hAnsi="宋体"/>
          <w:color w:val="auto"/>
          <w:sz w:val="24"/>
          <w:szCs w:val="24"/>
          <w:highlight w:val="none"/>
        </w:rPr>
        <w:t xml:space="preserve">联系电话：025-69613996  </w:t>
      </w:r>
      <w:r/>
    </w:p>
    <w:p>
      <w:pPr>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bookmarkEnd w:id="1"/>
      <w:r/>
      <w:bookmarkEnd w:id="2"/>
      <w:r/>
      <w:bookmarkEnd w:id="3"/>
      <w:r/>
      <w:bookmarkEnd w:id="4"/>
      <w:r/>
      <w:bookmarkEnd w:id="5"/>
      <w:r/>
      <w:r/>
    </w:p>
    <w:p>
      <w:pPr>
        <w:pStyle w:val="980"/>
        <w:ind w:left="0"/>
        <w:jc w:val="center"/>
        <w:tabs>
          <w:tab w:val="left" w:pos="463" w:leader="none"/>
        </w:tabs>
        <w:rPr>
          <w:rFonts w:hint="eastAsia" w:ascii="方正小标宋简体" w:hAnsi="方正小标宋简体" w:eastAsia="方正小标宋简体" w:cs="方正小标宋简体"/>
          <w:color w:val="auto"/>
          <w:sz w:val="36"/>
          <w:szCs w:val="36"/>
          <w:highlight w:val="none"/>
          <w:lang w:val="en-US"/>
        </w:rPr>
        <w:outlineLvl w:val="0"/>
      </w:pPr>
      <w:r/>
      <w:bookmarkStart w:id="43" w:name="_Hlt16619350"/>
      <w:r/>
      <w:bookmarkStart w:id="44" w:name="_Toc120614244"/>
      <w:r/>
      <w:bookmarkStart w:id="45" w:name="_Toc16938590"/>
      <w:r/>
      <w:bookmarkStart w:id="46" w:name="_Toc20823346"/>
      <w:r/>
      <w:bookmarkStart w:id="47" w:name="_Toc479757211"/>
      <w:r/>
      <w:bookmarkStart w:id="48" w:name="_Toc462564139"/>
      <w:r>
        <w:rPr>
          <w:rFonts w:ascii="黑体" w:eastAsia="黑体"/>
          <w:bCs/>
          <w:color w:val="auto"/>
          <w:sz w:val="44"/>
          <w:highlight w:val="none"/>
        </w:rPr>
        <w:br w:type="page" w:clear="all"/>
      </w:r>
      <w:bookmarkStart w:id="49" w:name="_Toc120614211"/>
      <w:r>
        <w:rPr>
          <w:rFonts w:hint="eastAsia" w:ascii="方正小标宋简体" w:hAnsi="方正小标宋简体" w:eastAsia="方正小标宋简体" w:cs="方正小标宋简体"/>
          <w:color w:val="auto"/>
          <w:sz w:val="36"/>
          <w:szCs w:val="36"/>
          <w:highlight w:val="none"/>
          <w:lang w:val="en-US"/>
        </w:rPr>
        <w:t xml:space="preserve">第二章  </w:t>
      </w:r>
      <w:bookmarkEnd w:id="49"/>
      <w:r/>
      <w:bookmarkStart w:id="50" w:name="_Toc16938518"/>
      <w:r/>
      <w:bookmarkStart w:id="51" w:name="_Toc513029202"/>
      <w:r/>
      <w:bookmarkStart w:id="52" w:name="_Toc20823274"/>
      <w:r/>
      <w:bookmarkStart w:id="53" w:name="_Toc120614213"/>
      <w:r>
        <w:rPr>
          <w:rFonts w:hint="eastAsia" w:ascii="方正小标宋简体" w:hAnsi="方正小标宋简体" w:eastAsia="方正小标宋简体" w:cs="方正小标宋简体"/>
          <w:color w:val="auto"/>
          <w:sz w:val="36"/>
          <w:szCs w:val="36"/>
          <w:highlight w:val="none"/>
          <w:lang w:val="en-US"/>
        </w:rPr>
        <w:t xml:space="preserve">投标人须知</w:t>
      </w:r>
      <w:bookmarkEnd w:id="50"/>
      <w:r/>
      <w:bookmarkEnd w:id="51"/>
      <w:r/>
      <w:bookmarkEnd w:id="52"/>
      <w:r/>
      <w:bookmarkEnd w:id="53"/>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54" w:name="_Toc16938519"/>
      <w:r/>
      <w:bookmarkStart w:id="55" w:name="_Toc513029203"/>
      <w:r/>
      <w:bookmarkStart w:id="56" w:name="_Toc20823275"/>
      <w:r/>
      <w:bookmarkStart w:id="57" w:name="_Toc120614214"/>
      <w:r/>
      <w:bookmarkStart w:id="58" w:name="_Toc479757207"/>
      <w:r/>
      <w:bookmarkStart w:id="59" w:name="_Toc16938558"/>
      <w:r/>
      <w:bookmarkStart w:id="60" w:name="_Toc20823314"/>
      <w:r/>
      <w:bookmarkStart w:id="61" w:name="_Toc120614221"/>
      <w:r/>
      <w:bookmarkStart w:id="62" w:name="_Toc513029242"/>
      <w:r>
        <w:rPr>
          <w:rFonts w:hint="eastAsia" w:ascii="方正黑体_GBK" w:hAnsi="方正黑体_GBK" w:eastAsia="方正黑体_GBK" w:cs="方正黑体_GBK"/>
          <w:b w:val="0"/>
          <w:bCs w:val="0"/>
          <w:color w:val="auto"/>
          <w:sz w:val="30"/>
          <w:szCs w:val="30"/>
          <w:highlight w:val="none"/>
        </w:rPr>
        <w:t xml:space="preserve">一、总则</w:t>
      </w:r>
      <w:bookmarkEnd w:id="54"/>
      <w:r/>
      <w:bookmarkEnd w:id="55"/>
      <w:r/>
      <w:bookmarkEnd w:id="56"/>
      <w:r/>
      <w:bookmarkEnd w:id="57"/>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63" w:name="_Hlt16619475"/>
      <w:r/>
      <w:bookmarkEnd w:id="63"/>
      <w:r/>
      <w:bookmarkStart w:id="64" w:name="_Toc458694821"/>
      <w:r/>
      <w:bookmarkStart w:id="65" w:name="_Toc16938520"/>
      <w:r/>
      <w:bookmarkStart w:id="66" w:name="_Toc513029204"/>
      <w:r/>
      <w:bookmarkStart w:id="67" w:name="_Toc20823276"/>
      <w:r>
        <w:rPr>
          <w:rFonts w:hint="eastAsia" w:ascii="方正楷体_GBK" w:hAnsi="方正楷体_GBK" w:eastAsia="方正楷体_GBK" w:cs="方正楷体_GBK"/>
          <w:color w:val="auto"/>
          <w:highlight w:val="none"/>
        </w:rPr>
        <w:t xml:space="preserve">1</w:t>
      </w:r>
      <w:bookmarkEnd w:id="64"/>
      <w:r>
        <w:rPr>
          <w:rFonts w:hint="eastAsia" w:ascii="方正楷体_GBK" w:hAnsi="方正楷体_GBK" w:eastAsia="方正楷体_GBK" w:cs="方正楷体_GBK"/>
          <w:color w:val="auto"/>
          <w:highlight w:val="none"/>
        </w:rPr>
        <w:t xml:space="preserve">.招标方式</w:t>
      </w:r>
      <w:bookmarkEnd w:id="65"/>
      <w:r/>
      <w:bookmarkEnd w:id="66"/>
      <w:r/>
      <w:bookmarkEnd w:id="67"/>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68" w:name="_Toc16938521"/>
      <w:r/>
      <w:bookmarkStart w:id="69" w:name="_Toc513029205"/>
      <w:r/>
      <w:bookmarkStart w:id="70" w:name="_Toc20823277"/>
      <w:r>
        <w:rPr>
          <w:rFonts w:hint="eastAsia" w:ascii="方正楷体_GBK" w:hAnsi="方正楷体_GBK" w:eastAsia="方正楷体_GBK" w:cs="方正楷体_GBK"/>
          <w:color w:val="auto"/>
          <w:highlight w:val="none"/>
        </w:rPr>
        <w:t xml:space="preserve">2.合格的投标人</w:t>
      </w:r>
      <w:bookmarkEnd w:id="68"/>
      <w:r/>
      <w:bookmarkEnd w:id="69"/>
      <w:r/>
      <w:bookmarkEnd w:id="70"/>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71" w:name="_Toc513029206"/>
      <w:r/>
      <w:bookmarkStart w:id="72" w:name="_Toc16938522"/>
      <w:r/>
      <w:bookmarkStart w:id="73" w:name="_Toc20823278"/>
      <w:r>
        <w:rPr>
          <w:rFonts w:hint="eastAsia" w:ascii="方正楷体_GBK" w:hAnsi="方正楷体_GBK" w:eastAsia="方正楷体_GBK" w:cs="方正楷体_GBK"/>
          <w:color w:val="auto"/>
          <w:highlight w:val="none"/>
        </w:rPr>
        <w:t xml:space="preserve">3.适用法律</w:t>
      </w:r>
      <w:bookmarkEnd w:id="71"/>
      <w:r/>
      <w:bookmarkEnd w:id="72"/>
      <w:r/>
      <w:bookmarkEnd w:id="73"/>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74" w:name="_Toc20823279"/>
      <w:r/>
      <w:bookmarkStart w:id="75" w:name="_Toc16938523"/>
      <w:r/>
      <w:bookmarkStart w:id="76" w:name="_Toc513029207"/>
      <w:r/>
      <w:bookmarkStart w:id="77" w:name="_Toc462564067"/>
      <w:r>
        <w:rPr>
          <w:rFonts w:hint="eastAsia" w:ascii="方正楷体_GBK" w:hAnsi="方正楷体_GBK" w:eastAsia="方正楷体_GBK" w:cs="方正楷体_GBK"/>
          <w:color w:val="auto"/>
          <w:highlight w:val="none"/>
        </w:rPr>
        <w:t xml:space="preserve">4.投标费用</w:t>
      </w:r>
      <w:bookmarkEnd w:id="74"/>
      <w:r/>
      <w:bookmarkEnd w:id="75"/>
      <w:r/>
      <w:bookmarkEnd w:id="76"/>
      <w:r/>
      <w:bookmarkEnd w:id="77"/>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78" w:name="_Toc16938525"/>
      <w:r/>
      <w:bookmarkStart w:id="79" w:name="_Toc120614215"/>
      <w:r/>
      <w:bookmarkStart w:id="80" w:name="_Toc513029209"/>
      <w:r/>
      <w:bookmarkStart w:id="81" w:name="_Toc20823281"/>
      <w:r>
        <w:rPr>
          <w:rFonts w:hint="eastAsia" w:ascii="方正黑体_GBK" w:hAnsi="方正黑体_GBK" w:eastAsia="方正黑体_GBK" w:cs="方正黑体_GBK"/>
          <w:b w:val="0"/>
          <w:bCs w:val="0"/>
          <w:color w:val="auto"/>
          <w:sz w:val="30"/>
          <w:szCs w:val="30"/>
          <w:highlight w:val="none"/>
        </w:rPr>
        <w:t xml:space="preserve">二、招标文件</w:t>
      </w:r>
      <w:bookmarkEnd w:id="78"/>
      <w:r/>
      <w:bookmarkEnd w:id="79"/>
      <w:r/>
      <w:bookmarkEnd w:id="80"/>
      <w:r/>
      <w:bookmarkEnd w:id="81"/>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82" w:name="_Toc20823282"/>
      <w:r/>
      <w:bookmarkStart w:id="83" w:name="_Toc16938526"/>
      <w:r/>
      <w:bookmarkStart w:id="84" w:name="_Toc513029210"/>
      <w:r>
        <w:rPr>
          <w:rFonts w:hint="eastAsia" w:ascii="方正楷体_GBK" w:hAnsi="方正楷体_GBK" w:eastAsia="方正楷体_GBK" w:cs="方正楷体_GBK"/>
          <w:color w:val="auto"/>
          <w:highlight w:val="none"/>
        </w:rPr>
        <w:t xml:space="preserve">6.招标文件构成</w:t>
      </w:r>
      <w:bookmarkEnd w:id="82"/>
      <w:r/>
      <w:bookmarkEnd w:id="83"/>
      <w:r/>
      <w:bookmarkEnd w:id="84"/>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85" w:name="_Toc20823283"/>
      <w:r/>
      <w:bookmarkStart w:id="86" w:name="_Toc462564070"/>
      <w:r/>
      <w:bookmarkStart w:id="87" w:name="_Toc513029211"/>
      <w:r/>
      <w:bookmarkStart w:id="88" w:name="_Toc16938527"/>
      <w:r>
        <w:rPr>
          <w:rFonts w:hint="eastAsia" w:ascii="方正楷体_GBK" w:hAnsi="方正楷体_GBK" w:eastAsia="方正楷体_GBK" w:cs="方正楷体_GBK"/>
          <w:color w:val="auto"/>
          <w:highlight w:val="none"/>
        </w:rPr>
        <w:t xml:space="preserve">7.招标文件的澄清</w:t>
      </w:r>
      <w:bookmarkEnd w:id="85"/>
      <w:r/>
      <w:bookmarkEnd w:id="86"/>
      <w:r/>
      <w:bookmarkEnd w:id="87"/>
      <w:r/>
      <w:bookmarkEnd w:id="88"/>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89" w:name="_Toc513029212"/>
      <w:r/>
      <w:bookmarkStart w:id="90" w:name="_Toc16938528"/>
      <w:r/>
      <w:bookmarkStart w:id="91" w:name="_Toc20823284"/>
      <w:r/>
      <w:bookmarkStart w:id="92" w:name="_Toc462564071"/>
      <w:r>
        <w:rPr>
          <w:rFonts w:hint="eastAsia" w:ascii="方正楷体_GBK" w:hAnsi="方正楷体_GBK" w:eastAsia="方正楷体_GBK" w:cs="方正楷体_GBK"/>
          <w:color w:val="auto"/>
          <w:highlight w:val="none"/>
        </w:rPr>
        <w:t xml:space="preserve">8.招标文件的修改</w:t>
      </w:r>
      <w:bookmarkEnd w:id="89"/>
      <w:r/>
      <w:bookmarkEnd w:id="90"/>
      <w:r/>
      <w:bookmarkEnd w:id="91"/>
      <w:r/>
      <w:bookmarkEnd w:id="92"/>
      <w:r/>
      <w:r/>
    </w:p>
    <w:p>
      <w:pPr>
        <w:ind w:firstLine="420"/>
        <w:rPr>
          <w:rFonts w:hint="eastAsia" w:ascii="宋体" w:hAnsi="宋体"/>
          <w:color w:val="auto"/>
          <w:sz w:val="24"/>
          <w:highlight w:val="none"/>
        </w:rPr>
      </w:pPr>
      <w:r/>
      <w:bookmarkStart w:id="93" w:name="_Toc462564072"/>
      <w:r/>
      <w:bookmarkStart w:id="94" w:name="_Toc20823285"/>
      <w:r/>
      <w:bookmarkStart w:id="95" w:name="_Toc513029213"/>
      <w:r/>
      <w:bookmarkStart w:id="96" w:name="_Toc120614216"/>
      <w:r/>
      <w:bookmarkStart w:id="97" w:name="_Toc16938529"/>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93"/>
      <w:r/>
      <w:bookmarkEnd w:id="94"/>
      <w:r/>
      <w:bookmarkEnd w:id="95"/>
      <w:r/>
      <w:bookmarkEnd w:id="96"/>
      <w:r/>
      <w:bookmarkEnd w:id="97"/>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98" w:name="_Toc16938530"/>
      <w:r/>
      <w:bookmarkStart w:id="99" w:name="_Toc462564073"/>
      <w:r/>
      <w:bookmarkStart w:id="100" w:name="_Toc20823286"/>
      <w:r/>
      <w:bookmarkStart w:id="101" w:name="_Toc513029214"/>
      <w:r>
        <w:rPr>
          <w:rFonts w:hint="eastAsia" w:ascii="方正楷体_GBK" w:hAnsi="方正楷体_GBK" w:eastAsia="方正楷体_GBK" w:cs="方正楷体_GBK"/>
          <w:color w:val="auto"/>
          <w:highlight w:val="none"/>
        </w:rPr>
        <w:t xml:space="preserve">9.投标文件的语言及度量衡单位</w:t>
      </w:r>
      <w:bookmarkEnd w:id="98"/>
      <w:r/>
      <w:bookmarkEnd w:id="99"/>
      <w:r/>
      <w:bookmarkEnd w:id="100"/>
      <w:r/>
      <w:bookmarkEnd w:id="101"/>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szCs w:val="22"/>
          <w:highlight w:val="none"/>
        </w:rPr>
      </w:pPr>
      <w:r>
        <w:rPr>
          <w:rFonts w:hint="eastAsia" w:ascii="宋体" w:hAnsi="宋体"/>
          <w:color w:val="auto"/>
          <w:sz w:val="24"/>
          <w:szCs w:val="22"/>
          <w:highlight w:val="none"/>
        </w:rPr>
        <w:t xml:space="preserve">9.2 除技术性能另有规定外，投标文件所使用的度量衡单位，均须采用国家法定计量单位。</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02" w:name="_Toc462564074"/>
      <w:r/>
      <w:bookmarkStart w:id="103" w:name="_Toc16938531"/>
      <w:r/>
      <w:bookmarkStart w:id="104" w:name="_Toc20823287"/>
      <w:r/>
      <w:bookmarkStart w:id="105" w:name="_Toc513029215"/>
      <w:r>
        <w:rPr>
          <w:rFonts w:hint="eastAsia" w:ascii="方正楷体_GBK" w:hAnsi="方正楷体_GBK" w:eastAsia="方正楷体_GBK" w:cs="方正楷体_GBK"/>
          <w:color w:val="auto"/>
          <w:highlight w:val="none"/>
        </w:rPr>
        <w:t xml:space="preserve">10.投标文件构成</w:t>
      </w:r>
      <w:bookmarkEnd w:id="102"/>
      <w:r/>
      <w:bookmarkEnd w:id="103"/>
      <w:r/>
      <w:bookmarkEnd w:id="104"/>
      <w:r/>
      <w:bookmarkEnd w:id="105"/>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06" w:name="_Hlt26954838"/>
      <w:r/>
      <w:bookmarkEnd w:id="106"/>
      <w:r/>
      <w:bookmarkStart w:id="107" w:name="_Hlt26668975"/>
      <w:r/>
      <w:bookmarkEnd w:id="107"/>
      <w:r/>
      <w:bookmarkStart w:id="108" w:name="_Hlt26670360"/>
      <w:r/>
      <w:bookmarkEnd w:id="108"/>
      <w:r/>
      <w:bookmarkStart w:id="109" w:name="_Toc513029219"/>
      <w:r/>
      <w:bookmarkStart w:id="110" w:name="_Toc49090509"/>
      <w:r/>
      <w:bookmarkStart w:id="111" w:name="_Toc14577357"/>
      <w:r/>
      <w:bookmarkStart w:id="112" w:name="_Toc49090507"/>
      <w:r/>
      <w:bookmarkStart w:id="113" w:name="_Toc14577354"/>
      <w:r/>
      <w:bookmarkStart w:id="114" w:name="_Toc513029216"/>
      <w:r>
        <w:rPr>
          <w:rFonts w:hint="eastAsia" w:ascii="方正楷体_GBK" w:hAnsi="方正楷体_GBK" w:eastAsia="方正楷体_GBK" w:cs="方正楷体_GBK"/>
          <w:color w:val="auto"/>
          <w:highlight w:val="none"/>
        </w:rPr>
        <w:t xml:space="preserve">11.证明投标人及投标标的符合招标文件规定的文件</w:t>
      </w:r>
      <w:bookmarkEnd w:id="109"/>
      <w:r/>
      <w:bookmarkEnd w:id="110"/>
      <w:r/>
      <w:bookmarkEnd w:id="111"/>
      <w:r/>
      <w:bookmarkEnd w:id="112"/>
      <w:r/>
      <w:bookmarkEnd w:id="113"/>
      <w:r/>
      <w:bookmarkEnd w:id="114"/>
      <w:r/>
      <w:r/>
    </w:p>
    <w:p>
      <w:pPr>
        <w:ind w:firstLine="420"/>
        <w:rPr>
          <w:rFonts w:hint="eastAsia" w:ascii="宋体" w:hAnsi="宋体"/>
          <w:color w:val="auto"/>
          <w:sz w:val="24"/>
          <w:highlight w:val="none"/>
        </w:rPr>
      </w:pPr>
      <w:r/>
      <w:bookmarkStart w:id="115" w:name="_Toc49090508"/>
      <w:r/>
      <w:bookmarkStart w:id="116" w:name="_Toc14577355"/>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w:t>
      </w:r>
      <w:bookmarkEnd w:id="115"/>
      <w:r/>
      <w:bookmarkEnd w:id="116"/>
      <w:r>
        <w:rPr>
          <w:rFonts w:hint="eastAsia" w:ascii="方正楷体_GBK" w:hAnsi="方正楷体_GBK" w:eastAsia="方正楷体_GBK" w:cs="方正楷体_GBK"/>
          <w:color w:val="auto"/>
          <w:highlight w:val="none"/>
        </w:rPr>
        <w:t xml:space="preserve">.投标分项报价表（如有）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7" w:name="_Hlt26954840"/>
      <w:r/>
      <w:bookmarkEnd w:id="117"/>
      <w:r>
        <w:rPr>
          <w:rFonts w:hint="eastAsia" w:ascii="宋体" w:hAnsi="宋体"/>
          <w:color w:val="auto"/>
          <w:sz w:val="24"/>
          <w:highlight w:val="none"/>
        </w:rPr>
        <w:t xml:space="preserve">标人应按照招标文件规定格式填报</w:t>
      </w:r>
      <w:bookmarkStart w:id="118" w:name="_Hlt26670399"/>
      <w:r/>
      <w:bookmarkEnd w:id="118"/>
      <w:r>
        <w:rPr>
          <w:rFonts w:hint="eastAsia" w:ascii="宋体" w:hAnsi="宋体"/>
          <w:color w:val="auto"/>
          <w:sz w:val="24"/>
          <w:highlight w:val="none"/>
        </w:rPr>
        <w:t xml:space="preserve">投标分项报价表。</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19" w:name="_Hlt26954848"/>
      <w:r/>
      <w:bookmarkEnd w:id="119"/>
      <w:r/>
      <w:bookmarkStart w:id="120" w:name="_Hlt26954842"/>
      <w:r/>
      <w:bookmarkEnd w:id="120"/>
      <w:r/>
      <w:bookmarkStart w:id="121" w:name="_Hlt26954844"/>
      <w:r/>
      <w:bookmarkEnd w:id="121"/>
      <w:r/>
      <w:bookmarkStart w:id="122" w:name="_Hlt26670403"/>
      <w:r/>
      <w:bookmarkEnd w:id="122"/>
      <w:r/>
      <w:bookmarkStart w:id="123" w:name="_Hlt26954731"/>
      <w:r/>
      <w:bookmarkEnd w:id="123"/>
      <w:r/>
      <w:bookmarkStart w:id="124" w:name="_Hlt26670486"/>
      <w:r/>
      <w:bookmarkEnd w:id="124"/>
      <w:r/>
      <w:bookmarkStart w:id="125" w:name="_Hlt26954846"/>
      <w:r/>
      <w:bookmarkEnd w:id="125"/>
      <w:r/>
      <w:bookmarkStart w:id="126" w:name="_Hlt26670425"/>
      <w:r/>
      <w:bookmarkEnd w:id="126"/>
      <w:r/>
      <w:bookmarkStart w:id="127" w:name="_Hlt26670482"/>
      <w:r/>
      <w:bookmarkEnd w:id="127"/>
      <w:r/>
      <w:bookmarkStart w:id="128" w:name="_Hlt26668983"/>
      <w:r/>
      <w:bookmarkEnd w:id="128"/>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29" w:name="_Toc14577359"/>
      <w:r/>
      <w:bookmarkStart w:id="130" w:name="_Toc49090510"/>
      <w:r>
        <w:rPr>
          <w:rFonts w:hint="eastAsia" w:ascii="方正楷体_GBK" w:hAnsi="方正楷体_GBK" w:eastAsia="方正楷体_GBK" w:cs="方正楷体_GBK"/>
          <w:color w:val="auto"/>
          <w:highlight w:val="none"/>
        </w:rPr>
        <w:t xml:space="preserve">14.投标函和开标一览表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w:t>
      </w:r>
      <w:r>
        <w:rPr>
          <w:rFonts w:hint="eastAsia" w:ascii="宋体" w:hAnsi="宋体"/>
          <w:color w:val="auto"/>
          <w:sz w:val="24"/>
          <w:highlight w:val="none"/>
        </w:rPr>
        <w:t xml:space="preserve">投标分项报价表</w:t>
      </w:r>
      <w:r>
        <w:rPr>
          <w:rFonts w:hint="eastAsia" w:ascii="宋体" w:hAnsi="宋体"/>
          <w:color w:val="auto"/>
          <w:sz w:val="24"/>
          <w:highlight w:val="none"/>
          <w:lang w:val="zh-CN"/>
        </w:rPr>
        <w:t xml:space="preserve">中的投标总报价一致，如不一致评标时以开标一览表中价格为准。</w:t>
      </w:r>
      <w:bookmarkEnd w:id="129"/>
      <w:r/>
      <w:bookmarkEnd w:id="130"/>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31" w:name="_Hlt26954734"/>
      <w:r/>
      <w:bookmarkEnd w:id="131"/>
      <w:r/>
      <w:bookmarkStart w:id="132" w:name="_Hlt26670489"/>
      <w:r/>
      <w:bookmarkEnd w:id="132"/>
      <w:r/>
      <w:bookmarkStart w:id="133" w:name="_Hlt26954850"/>
      <w:r/>
      <w:bookmarkEnd w:id="133"/>
      <w:r/>
      <w:bookmarkStart w:id="134" w:name="_Toc49090511"/>
      <w:r/>
      <w:bookmarkStart w:id="135" w:name="_Toc14577360"/>
      <w:r>
        <w:rPr>
          <w:rFonts w:hint="eastAsia" w:ascii="方正楷体_GBK" w:hAnsi="方正楷体_GBK" w:eastAsia="方正楷体_GBK" w:cs="方正楷体_GBK"/>
          <w:color w:val="auto"/>
          <w:highlight w:val="none"/>
        </w:rPr>
        <w:t xml:space="preserve">15.投标有效期</w:t>
      </w:r>
      <w:bookmarkEnd w:id="134"/>
      <w:r/>
      <w:bookmarkEnd w:id="135"/>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投标有效期为招标公告规定的开标之日起六十天。投标有效期比规定短的将被视为未实质性响应招标文件而被拒绝。</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36" w:name="_Hlt26954739"/>
      <w:r/>
      <w:bookmarkEnd w:id="136"/>
      <w:r/>
      <w:bookmarkStart w:id="137" w:name="_Hlt26954852"/>
      <w:r/>
      <w:bookmarkEnd w:id="137"/>
      <w:r/>
      <w:bookmarkStart w:id="138" w:name="_Toc20823296"/>
      <w:r/>
      <w:bookmarkStart w:id="139" w:name="_Toc16938540"/>
      <w:r/>
      <w:bookmarkStart w:id="140" w:name="_Toc120614217"/>
      <w:r/>
      <w:bookmarkStart w:id="141" w:name="_Toc513029224"/>
      <w:r/>
      <w:bookmarkStart w:id="142" w:name="_Toc513029237"/>
      <w:r/>
      <w:bookmarkStart w:id="143" w:name="_Toc16938553"/>
      <w:r/>
      <w:bookmarkStart w:id="144" w:name="_Toc20823309"/>
      <w:r>
        <w:rPr>
          <w:rFonts w:hint="eastAsia" w:ascii="方正黑体_GBK" w:hAnsi="方正黑体_GBK" w:eastAsia="方正黑体_GBK" w:cs="方正黑体_GBK"/>
          <w:b w:val="0"/>
          <w:bCs w:val="0"/>
          <w:color w:val="auto"/>
          <w:sz w:val="30"/>
          <w:szCs w:val="30"/>
          <w:highlight w:val="none"/>
        </w:rPr>
        <w:t xml:space="preserve">四、投标文件的递交</w:t>
      </w:r>
      <w:bookmarkEnd w:id="138"/>
      <w:r/>
      <w:bookmarkEnd w:id="139"/>
      <w:r/>
      <w:bookmarkEnd w:id="140"/>
      <w:r/>
      <w:bookmarkEnd w:id="141"/>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45" w:name="_Toc16938541"/>
      <w:r/>
      <w:bookmarkStart w:id="146" w:name="_Toc20823297"/>
      <w:r/>
      <w:bookmarkStart w:id="147" w:name="_Toc462564084"/>
      <w:r/>
      <w:bookmarkStart w:id="148" w:name="_Toc513029225"/>
      <w:r>
        <w:rPr>
          <w:rFonts w:hint="eastAsia" w:ascii="方正楷体_GBK" w:hAnsi="方正楷体_GBK" w:eastAsia="方正楷体_GBK" w:cs="方正楷体_GBK"/>
          <w:color w:val="auto"/>
          <w:highlight w:val="none"/>
        </w:rPr>
        <w:t xml:space="preserve">17.投标文件</w:t>
      </w:r>
      <w:bookmarkEnd w:id="145"/>
      <w:r/>
      <w:bookmarkEnd w:id="146"/>
      <w:r/>
      <w:bookmarkEnd w:id="147"/>
      <w:r/>
      <w:bookmarkEnd w:id="148"/>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49" w:name="_Toc16938542"/>
      <w:r/>
      <w:bookmarkStart w:id="150" w:name="_Toc20823298"/>
      <w:r/>
      <w:bookmarkStart w:id="151" w:name="_Toc513029226"/>
      <w:r/>
      <w:bookmarkEnd w:id="149"/>
      <w:r/>
      <w:bookmarkEnd w:id="150"/>
      <w:r/>
      <w:bookmarkEnd w:id="151"/>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52" w:name="_Toc16938543"/>
      <w:r/>
      <w:bookmarkStart w:id="153" w:name="_Toc513029227"/>
      <w:r/>
      <w:bookmarkStart w:id="154" w:name="_Toc20823299"/>
      <w:r>
        <w:rPr>
          <w:rFonts w:hint="eastAsia" w:ascii="方正楷体_GBK" w:hAnsi="方正楷体_GBK" w:eastAsia="方正楷体_GBK" w:cs="方正楷体_GBK"/>
          <w:color w:val="auto"/>
          <w:highlight w:val="none"/>
        </w:rPr>
        <w:t xml:space="preserve">18.投标文件</w:t>
      </w:r>
      <w:bookmarkEnd w:id="152"/>
      <w:r/>
      <w:bookmarkEnd w:id="153"/>
      <w:r/>
      <w:bookmarkEnd w:id="154"/>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55" w:name="_Toc20823300"/>
      <w:r/>
      <w:bookmarkStart w:id="156" w:name="_Toc513029228"/>
      <w:r/>
      <w:bookmarkStart w:id="157" w:name="_Toc16938544"/>
      <w:r>
        <w:rPr>
          <w:rFonts w:hint="eastAsia" w:ascii="方正楷体_GBK" w:hAnsi="方正楷体_GBK" w:eastAsia="方正楷体_GBK" w:cs="方正楷体_GBK"/>
          <w:color w:val="auto"/>
          <w:highlight w:val="none"/>
        </w:rPr>
        <w:t xml:space="preserve">19.投标文件的撤回和修改</w:t>
      </w:r>
      <w:bookmarkEnd w:id="155"/>
      <w:r/>
      <w:bookmarkEnd w:id="156"/>
      <w:r/>
      <w:bookmarkEnd w:id="157"/>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58" w:name="_Toc20823301"/>
      <w:r/>
      <w:bookmarkStart w:id="159" w:name="_Toc513029229"/>
      <w:r/>
      <w:bookmarkStart w:id="160" w:name="_Toc16938545"/>
      <w:r/>
      <w:bookmarkStart w:id="161" w:name="_Toc120614218"/>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58"/>
      <w:r/>
      <w:bookmarkEnd w:id="159"/>
      <w:r/>
      <w:bookmarkEnd w:id="160"/>
      <w:r/>
      <w:bookmarkEnd w:id="161"/>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62" w:name="_Toc16938546"/>
      <w:r/>
      <w:bookmarkStart w:id="163" w:name="_Toc20823302"/>
      <w:r/>
      <w:bookmarkStart w:id="164" w:name="_Toc513029230"/>
      <w:r>
        <w:rPr>
          <w:rFonts w:hint="eastAsia" w:ascii="方正楷体_GBK" w:hAnsi="方正楷体_GBK" w:eastAsia="方正楷体_GBK" w:cs="方正楷体_GBK"/>
          <w:color w:val="auto"/>
          <w:highlight w:val="none"/>
        </w:rPr>
        <w:t xml:space="preserve">20.开标</w:t>
      </w:r>
      <w:bookmarkEnd w:id="162"/>
      <w:r/>
      <w:bookmarkEnd w:id="163"/>
      <w:r/>
      <w:bookmarkEnd w:id="164"/>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65" w:name="_Toc16938547"/>
      <w:r/>
      <w:bookmarkStart w:id="166" w:name="_Toc513029231"/>
      <w:r/>
      <w:bookmarkStart w:id="167" w:name="_Toc20823303"/>
      <w:r>
        <w:rPr>
          <w:rFonts w:hint="eastAsia" w:ascii="方正楷体_GBK" w:hAnsi="方正楷体_GBK" w:eastAsia="方正楷体_GBK" w:cs="方正楷体_GBK"/>
          <w:color w:val="auto"/>
          <w:highlight w:val="none"/>
        </w:rPr>
        <w:t xml:space="preserve">21.评标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评委会由采购人代表和有关方面专家组成，人员构成符合政府采购有关规定。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65"/>
      <w:r/>
      <w:bookmarkEnd w:id="166"/>
      <w:r/>
      <w:bookmarkEnd w:id="167"/>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投标人不得以任何方式影响评标，否则其投标文件将被作为无效投标文件。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68" w:name="_Toc20823304"/>
      <w:r/>
      <w:bookmarkStart w:id="169" w:name="_Toc16938548"/>
      <w:r/>
      <w:bookmarkStart w:id="170" w:name="_Toc513029232"/>
      <w:r>
        <w:rPr>
          <w:rFonts w:hint="eastAsia" w:ascii="方正楷体_GBK" w:hAnsi="方正楷体_GBK" w:eastAsia="方正楷体_GBK" w:cs="方正楷体_GBK"/>
          <w:color w:val="auto"/>
          <w:highlight w:val="none"/>
        </w:rPr>
        <w:t xml:space="preserve">23.投标文件的澄清</w:t>
      </w:r>
      <w:bookmarkEnd w:id="168"/>
      <w:r/>
      <w:bookmarkEnd w:id="169"/>
      <w:r/>
      <w:bookmarkEnd w:id="170"/>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71" w:name="_Toc16938549"/>
      <w:r/>
      <w:bookmarkStart w:id="172" w:name="_Toc20823305"/>
      <w:r/>
      <w:bookmarkStart w:id="173" w:name="_Toc513029233"/>
      <w:r>
        <w:rPr>
          <w:rFonts w:hint="eastAsia" w:ascii="方正楷体_GBK" w:hAnsi="方正楷体_GBK" w:eastAsia="方正楷体_GBK" w:cs="方正楷体_GBK"/>
          <w:color w:val="auto"/>
          <w:highlight w:val="none"/>
        </w:rPr>
        <w:t xml:space="preserve">24.投标文件的</w:t>
      </w:r>
      <w:bookmarkEnd w:id="171"/>
      <w:r/>
      <w:bookmarkEnd w:id="172"/>
      <w:r/>
      <w:bookmarkEnd w:id="173"/>
      <w:r>
        <w:rPr>
          <w:rFonts w:hint="eastAsia" w:ascii="方正楷体_GBK" w:hAnsi="方正楷体_GBK" w:eastAsia="方正楷体_GBK" w:cs="方正楷体_GBK"/>
          <w:color w:val="auto"/>
          <w:highlight w:val="none"/>
        </w:rPr>
        <w:t xml:space="preserve">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24.1 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w:t>
      </w:r>
      <w:r>
        <w:rPr>
          <w:rFonts w:hint="eastAsia" w:ascii="宋体" w:hAnsi="宋体"/>
          <w:color w:val="auto"/>
          <w:sz w:val="24"/>
          <w:highlight w:val="none"/>
        </w:rPr>
        <w:t xml:space="preserve">符</w:t>
      </w:r>
      <w:r>
        <w:rPr>
          <w:rFonts w:hint="eastAsia" w:ascii="宋体" w:hAnsi="宋体"/>
          <w:color w:val="auto"/>
          <w:sz w:val="24"/>
          <w:highlight w:val="none"/>
          <w:lang w:val="zh-CN"/>
        </w:rPr>
        <w:t xml:space="preserve">合要求的偏离或保留而使其投标成为实质性响应的投标。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74" w:name="_Toc513029234"/>
      <w:r/>
      <w:bookmarkStart w:id="175" w:name="_Toc16938550"/>
      <w:r/>
      <w:bookmarkStart w:id="176" w:name="_Toc20823306"/>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24.7 异常低价审查</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2</w:t>
      </w:r>
      <w:r>
        <w:rPr>
          <w:rFonts w:hint="eastAsia" w:ascii="宋体" w:hAnsi="宋体"/>
          <w:color w:val="auto"/>
          <w:sz w:val="24"/>
          <w:szCs w:val="22"/>
          <w:highlight w:val="none"/>
        </w:rPr>
        <w:t xml:space="preserve">4</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7</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1</w:t>
      </w:r>
      <w:r>
        <w:rPr>
          <w:rFonts w:hint="eastAsia" w:ascii="宋体" w:hAnsi="宋体"/>
          <w:color w:val="auto"/>
          <w:sz w:val="24"/>
          <w:szCs w:val="22"/>
          <w:highlight w:val="none"/>
          <w:lang w:val="zh-CN"/>
        </w:rPr>
        <w:t xml:space="preserve">评标过程中出现下列情形之一的，</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应当启动异常低价投标审查程序：</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（1）投标报价低于全部通过符合性审查供应商投标报价平均值</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的，即投标报价&lt;全部通过符合性审查供应商投标报价平均值×</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（2）投标报价低于通过符合性审查的次低报价供应商投标报价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的，即投标报价&lt;通过符合性审查的次低报价供应商投标报价×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（3）投标报价低于采购项目最高限价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的，即投标报价&lt;采购项目最高限价×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（4）</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基于专业判断，认为供应商报价过低，有可能影响产品质量或者不能诚信履约的其他情形。</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2</w:t>
      </w:r>
      <w:r>
        <w:rPr>
          <w:rFonts w:hint="eastAsia" w:ascii="宋体" w:hAnsi="宋体"/>
          <w:color w:val="auto"/>
          <w:sz w:val="24"/>
          <w:szCs w:val="22"/>
          <w:highlight w:val="none"/>
        </w:rPr>
        <w:t xml:space="preserve">4</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7</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2</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应当将其作为无效投标处理。</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74"/>
      <w:r/>
      <w:bookmarkEnd w:id="175"/>
      <w:r/>
      <w:bookmarkEnd w:id="176"/>
      <w:r>
        <w:rPr>
          <w:rFonts w:hint="eastAsia" w:ascii="方正楷体_GBK" w:hAnsi="方正楷体_GBK" w:eastAsia="方正楷体_GBK" w:cs="方正楷体_GBK"/>
          <w:color w:val="auto"/>
          <w:highlight w:val="none"/>
        </w:rPr>
        <w:t xml:space="preserve">5.无效投标和废标</w:t>
      </w:r>
      <w:r/>
    </w:p>
    <w:p>
      <w:pPr>
        <w:ind w:firstLine="420"/>
        <w:rPr>
          <w:rFonts w:hint="eastAsia" w:ascii="宋体" w:hAnsi="宋体"/>
          <w:color w:val="auto"/>
          <w:sz w:val="24"/>
          <w:highlight w:val="none"/>
          <w:lang w:val="zh-CN"/>
        </w:rPr>
      </w:pPr>
      <w:r/>
      <w:bookmarkStart w:id="177" w:name="_Toc16938551"/>
      <w:r/>
      <w:bookmarkStart w:id="178" w:name="_Toc513029235"/>
      <w:r/>
      <w:bookmarkStart w:id="179" w:name="_Toc20823307"/>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iCs/>
          <w:color w:val="auto"/>
          <w:sz w:val="24"/>
          <w:szCs w:val="22"/>
          <w:highlight w:val="none"/>
          <w:lang w:val="zh-CN"/>
        </w:rPr>
        <w:t xml:space="preserve">（</w:t>
      </w:r>
      <w:r>
        <w:rPr>
          <w:rFonts w:hint="eastAsia" w:ascii="宋体" w:hAnsi="宋体"/>
          <w:b/>
          <w:bCs/>
          <w:iCs/>
          <w:color w:val="auto"/>
          <w:sz w:val="24"/>
          <w:szCs w:val="22"/>
          <w:highlight w:val="none"/>
          <w:lang w:val="zh-CN"/>
        </w:rPr>
        <w:t xml:space="preserve">本文件中斜体且有下划线部分，或者打“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”内容为实质性要求和条件</w:t>
      </w:r>
      <w:r>
        <w:rPr>
          <w:rFonts w:hint="eastAsia" w:ascii="宋体" w:hAnsi="宋体"/>
          <w:iCs/>
          <w:color w:val="auto"/>
          <w:sz w:val="24"/>
          <w:szCs w:val="22"/>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按照本招标文件规定对投标人进行异常低价投标审查后，认为投标人不能证明其报价合理性的。</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如出现投标截止时间后参加投标的供应商或者对招标文件作出实质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r/>
    </w:p>
    <w:p>
      <w:pPr>
        <w:ind w:firstLine="422"/>
        <w:rPr>
          <w:rFonts w:hint="eastAsia" w:ascii="宋体" w:hAnsi="宋体"/>
          <w:color w:val="auto"/>
          <w:sz w:val="24"/>
          <w:highlight w:val="none"/>
        </w:rPr>
      </w:pPr>
      <w:r>
        <w:rPr>
          <w:rFonts w:hint="eastAsia" w:ascii="宋体" w:hAnsi="宋体"/>
          <w:b/>
          <w:bCs/>
          <w:color w:val="auto"/>
          <w:sz w:val="24"/>
          <w:highlight w:val="none"/>
          <w:lang w:val="zh-CN"/>
        </w:rPr>
        <w:t xml:space="preserve">25.4 如出现25.2.1或25.3情形，招标活动失败，评审委员会</w:t>
      </w:r>
      <w:r>
        <w:rPr>
          <w:rFonts w:hint="eastAsia" w:ascii="宋体" w:hAnsi="宋体"/>
          <w:b/>
          <w:bCs/>
          <w:color w:val="auto"/>
          <w:sz w:val="24"/>
          <w:highlight w:val="none"/>
        </w:rPr>
        <w:t xml:space="preserve">应对</w:t>
      </w:r>
      <w:r>
        <w:rPr>
          <w:rFonts w:hint="eastAsia" w:ascii="宋体" w:hAnsi="宋体"/>
          <w:b/>
          <w:bCs/>
          <w:color w:val="auto"/>
          <w:sz w:val="24"/>
          <w:highlight w:val="none"/>
          <w:lang w:val="zh-CN"/>
        </w:rPr>
        <w:t xml:space="preserve">招标文件是否存在不合理条款</w:t>
      </w:r>
      <w:r>
        <w:rPr>
          <w:rFonts w:hint="eastAsia" w:ascii="宋体" w:hAnsi="宋体"/>
          <w:b/>
          <w:bCs/>
          <w:color w:val="auto"/>
          <w:sz w:val="24"/>
          <w:highlight w:val="none"/>
        </w:rPr>
        <w:t xml:space="preserve">进行论证，并在评审报告中写明</w:t>
      </w:r>
      <w:r>
        <w:rPr>
          <w:rFonts w:hint="eastAsia" w:ascii="宋体" w:hAnsi="宋体"/>
          <w:b/>
          <w:bCs/>
          <w:color w:val="auto"/>
          <w:sz w:val="24"/>
          <w:highlight w:val="none"/>
          <w:lang w:val="zh-CN"/>
        </w:rPr>
        <w:t xml:space="preserve">论证意见。</w:t>
      </w:r>
      <w:bookmarkEnd w:id="142"/>
      <w:r/>
      <w:bookmarkEnd w:id="143"/>
      <w:r/>
      <w:bookmarkEnd w:id="144"/>
      <w:r/>
      <w:bookmarkEnd w:id="177"/>
      <w:r/>
      <w:bookmarkEnd w:id="178"/>
      <w:r/>
      <w:bookmarkEnd w:id="179"/>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80" w:name="_Toc120614219"/>
      <w:r>
        <w:rPr>
          <w:rFonts w:hint="eastAsia" w:ascii="方正黑体_GBK" w:hAnsi="方正黑体_GBK" w:eastAsia="方正黑体_GBK" w:cs="方正黑体_GBK"/>
          <w:b w:val="0"/>
          <w:bCs w:val="0"/>
          <w:color w:val="auto"/>
          <w:sz w:val="30"/>
          <w:szCs w:val="30"/>
          <w:highlight w:val="none"/>
        </w:rPr>
        <w:t xml:space="preserve">六、定标</w:t>
      </w:r>
      <w:bookmarkEnd w:id="180"/>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81" w:name="_Toc513029238"/>
      <w:r/>
      <w:bookmarkStart w:id="182" w:name="_Toc16938554"/>
      <w:r/>
      <w:bookmarkStart w:id="183" w:name="_Toc20823310"/>
      <w:r>
        <w:rPr>
          <w:rFonts w:hint="eastAsia" w:ascii="方正楷体_GBK" w:hAnsi="方正楷体_GBK" w:eastAsia="方正楷体_GBK" w:cs="方正楷体_GBK"/>
          <w:color w:val="auto"/>
          <w:highlight w:val="none"/>
        </w:rPr>
        <w:t xml:space="preserve">2</w:t>
      </w:r>
      <w:bookmarkEnd w:id="181"/>
      <w:r>
        <w:rPr>
          <w:rFonts w:hint="eastAsia" w:ascii="方正楷体_GBK" w:hAnsi="方正楷体_GBK" w:eastAsia="方正楷体_GBK" w:cs="方正楷体_GBK"/>
          <w:color w:val="auto"/>
          <w:highlight w:val="none"/>
        </w:rPr>
        <w:t xml:space="preserve">6.确定</w:t>
      </w:r>
      <w:bookmarkEnd w:id="182"/>
      <w:r/>
      <w:bookmarkEnd w:id="183"/>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hint="eastAsia" w:ascii="宋体" w:hAnsi="宋体"/>
          <w:b/>
          <w:bCs/>
          <w:color w:val="auto"/>
          <w:sz w:val="24"/>
          <w:highlight w:val="none"/>
          <w:lang w:val="zh-CN"/>
        </w:rPr>
      </w:pPr>
      <w:r/>
      <w:bookmarkStart w:id="184"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184"/>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85" w:name="_Toc120614220"/>
      <w:r/>
      <w:bookmarkStart w:id="186" w:name="_Toc20823308"/>
      <w:r/>
      <w:bookmarkStart w:id="187" w:name="_Toc513029236"/>
      <w:r/>
      <w:bookmarkStart w:id="188" w:name="_Toc16938552"/>
      <w:r>
        <w:rPr>
          <w:rFonts w:hint="eastAsia" w:ascii="方正黑体_GBK" w:hAnsi="方正黑体_GBK" w:eastAsia="方正黑体_GBK" w:cs="方正黑体_GBK"/>
          <w:b w:val="0"/>
          <w:bCs w:val="0"/>
          <w:color w:val="auto"/>
          <w:sz w:val="30"/>
          <w:szCs w:val="30"/>
          <w:highlight w:val="none"/>
        </w:rPr>
        <w:t xml:space="preserve">七、授予合同</w:t>
      </w:r>
      <w:bookmarkEnd w:id="185"/>
      <w:r/>
      <w:bookmarkEnd w:id="186"/>
      <w:r/>
      <w:bookmarkEnd w:id="187"/>
      <w:r/>
      <w:bookmarkEnd w:id="188"/>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28.签订合同</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w:t>
      </w:r>
      <w:r>
        <w:rPr>
          <w:rFonts w:hint="eastAsia" w:ascii="宋体" w:hAnsi="宋体"/>
          <w:color w:val="auto"/>
          <w:sz w:val="24"/>
          <w:highlight w:val="none"/>
        </w:rPr>
        <w:t xml:space="preserve">平台</w:t>
      </w:r>
      <w:r>
        <w:rPr>
          <w:rFonts w:hint="eastAsia" w:ascii="宋体" w:hAnsi="宋体"/>
          <w:color w:val="auto"/>
          <w:sz w:val="24"/>
          <w:highlight w:val="none"/>
          <w:lang w:val="zh-CN"/>
        </w:rPr>
        <w:t xml:space="preserve">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授权代表负责质疑事宜的，《质疑函》附件中应提交由质疑供应商法定代表人或主要负责人签署的《授权委托书》。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b/>
          <w:bCs/>
          <w:color w:val="auto"/>
          <w:sz w:val="24"/>
          <w:szCs w:val="22"/>
          <w:highlight w:val="none"/>
          <w:lang w:val="zh-CN"/>
        </w:rPr>
      </w:pPr>
      <w:r>
        <w:rPr>
          <w:rFonts w:hint="eastAsia" w:ascii="宋体" w:hAnsi="宋体"/>
          <w:color w:val="auto"/>
          <w:sz w:val="24"/>
          <w:highlight w:val="none"/>
        </w:rPr>
        <w:t xml:space="preserve">35.</w:t>
      </w:r>
      <w:r>
        <w:rPr>
          <w:rFonts w:hint="eastAsia" w:ascii="宋体" w:hAnsi="宋体"/>
          <w:b/>
          <w:bCs/>
          <w:color w:val="auto"/>
          <w:sz w:val="24"/>
          <w:highlight w:val="none"/>
        </w:rPr>
        <w:t xml:space="preserve">供应商根据质疑事项向相应的质疑答复主体提出质疑，具体详见采购文件第一章。</w:t>
      </w:r>
      <w:r>
        <w:rPr>
          <w:rFonts w:hint="eastAsia" w:ascii="宋体" w:hAnsi="宋体"/>
          <w:b/>
          <w:bCs/>
          <w:color w:val="auto"/>
          <w:sz w:val="24"/>
          <w:szCs w:val="22"/>
          <w:highlight w:val="none"/>
        </w:rPr>
        <w:t xml:space="preserve">由采购人负责答复的质疑，采购人将《质疑函》《质疑答复函》抄送交易中心。</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904"/>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 xml:space="preserve">本项目服务由中小企业承接的，投标供应商享受中小企业扶持政策。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rPr>
          <w:rFonts w:hint="eastAsia" w:ascii="宋体" w:hAnsi="宋体"/>
          <w:color w:val="auto"/>
          <w:sz w:val="24"/>
          <w:szCs w:val="22"/>
          <w:highlight w:val="none"/>
          <w:lang w:val="zh-CN"/>
        </w:rPr>
        <w:t xml:space="preserve">评审委员会评审中发现供应商提供的</w:t>
      </w:r>
      <w:r>
        <w:rPr>
          <w:rFonts w:hint="eastAsia" w:ascii="宋体" w:hAnsi="宋体"/>
          <w:color w:val="auto"/>
          <w:sz w:val="24"/>
          <w:highlight w:val="none"/>
          <w:lang w:val="zh-CN"/>
        </w:rPr>
        <w:t xml:space="preserve">《中小企业声明函》</w:t>
      </w:r>
      <w:r>
        <w:rPr>
          <w:rFonts w:hint="eastAsia" w:ascii="宋体" w:hAnsi="宋体"/>
          <w:color w:val="auto"/>
          <w:sz w:val="24"/>
          <w:szCs w:val="22"/>
          <w:highlight w:val="none"/>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905"/>
        <w:ind w:firstLine="42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b/>
          <w:bCs/>
          <w:color w:val="auto"/>
          <w:highlight w:val="none"/>
          <w:lang w:val="zh-CN"/>
        </w:rPr>
        <w:t xml:space="preserve">3</w:t>
      </w:r>
      <w:r>
        <w:rPr>
          <w:rFonts w:hint="eastAsia" w:ascii="方正楷体_GBK" w:hAnsi="方正楷体_GBK" w:eastAsia="方正楷体_GBK" w:cs="方正楷体_GBK"/>
          <w:b/>
          <w:bCs/>
          <w:color w:val="auto"/>
          <w:highlight w:val="none"/>
        </w:rPr>
        <w:t xml:space="preserve">9</w:t>
      </w:r>
      <w:r>
        <w:rPr>
          <w:rFonts w:hint="eastAsia" w:ascii="方正楷体_GBK" w:hAnsi="方正楷体_GBK" w:eastAsia="方正楷体_GBK" w:cs="方正楷体_GBK"/>
          <w:b/>
          <w:bCs/>
          <w:color w:val="auto"/>
          <w:highlight w:val="none"/>
          <w:lang w:val="zh-CN"/>
        </w:rPr>
        <w:t xml:space="preserve">.</w:t>
      </w:r>
      <w:r>
        <w:rPr>
          <w:rFonts w:hint="eastAsia" w:ascii="方正楷体_GBK" w:hAnsi="方正楷体_GBK" w:eastAsia="方正楷体_GBK" w:cs="方正楷体_GBK"/>
          <w:b/>
          <w:bCs/>
          <w:color w:val="auto"/>
          <w:highlight w:val="none"/>
        </w:rPr>
        <w:t xml:space="preserve">节能环保产品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905"/>
        <w:ind w:firstLine="42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b/>
          <w:bCs/>
          <w:color w:val="auto"/>
          <w:highlight w:val="none"/>
        </w:rPr>
        <w:t xml:space="preserve">40</w:t>
      </w:r>
      <w:r>
        <w:rPr>
          <w:rFonts w:hint="eastAsia" w:ascii="方正楷体_GBK" w:hAnsi="方正楷体_GBK" w:eastAsia="方正楷体_GBK" w:cs="方正楷体_GBK"/>
          <w:b/>
          <w:bCs/>
          <w:color w:val="auto"/>
          <w:highlight w:val="none"/>
          <w:lang w:val="zh-CN"/>
        </w:rPr>
        <w:t xml:space="preserve">.</w:t>
      </w:r>
      <w:r>
        <w:rPr>
          <w:rFonts w:hint="eastAsia" w:ascii="方正楷体_GBK" w:hAnsi="方正楷体_GBK" w:eastAsia="方正楷体_GBK" w:cs="方正楷体_GBK"/>
          <w:b/>
          <w:bCs/>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w:t>
      </w:r>
      <w:r>
        <w:rPr>
          <w:rFonts w:hint="eastAsia" w:ascii="宋体" w:hAnsi="宋体"/>
          <w:color w:val="auto"/>
          <w:sz w:val="24"/>
          <w:szCs w:val="22"/>
          <w:highlight w:val="none"/>
        </w:rPr>
        <w:t xml:space="preserve">《关于印发&lt;商品包装政府采购需求标准（试行）&gt;、&lt;快递包装政府采购需求标准（试行）&gt;的通知》（财办库〔2020〕123号）</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5"/>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41</w:t>
      </w:r>
      <w:r>
        <w:rPr>
          <w:rFonts w:hint="eastAsia" w:ascii="方正楷体_GBK" w:hAnsi="方正楷体_GBK" w:eastAsia="方正楷体_GBK" w:cs="方正楷体_GBK"/>
          <w:b/>
          <w:bCs/>
          <w:color w:val="auto"/>
          <w:highlight w:val="none"/>
          <w:lang w:val="zh-CN"/>
        </w:rPr>
        <w:t xml:space="preserve">.</w:t>
      </w:r>
      <w:r>
        <w:rPr>
          <w:rFonts w:hint="eastAsia" w:ascii="方正楷体_GBK" w:hAnsi="方正楷体_GBK" w:eastAsia="方正楷体_GBK" w:cs="方正楷体_GBK"/>
          <w:b/>
          <w:bCs/>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905"/>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42.</w:t>
      </w:r>
      <w:r>
        <w:rPr>
          <w:rFonts w:hint="eastAsia" w:ascii="方正楷体_GBK" w:hAnsi="方正楷体_GBK" w:eastAsia="方正楷体_GBK" w:cs="方正楷体_GBK"/>
          <w:b/>
          <w:bCs/>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04"/>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43.实施本国产品标准及相关政策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43.2</w:t>
      </w:r>
      <w:r>
        <w:rPr>
          <w:rFonts w:hint="eastAsia" w:ascii="宋体" w:hAnsi="宋体"/>
          <w:color w:val="auto"/>
          <w:sz w:val="24"/>
          <w:szCs w:val="22"/>
          <w:highlight w:val="none"/>
          <w:lang w:val="zh-CN"/>
        </w:rPr>
        <w:t xml:space="preserve">本国产品应当符合以下条件：</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（1）在中国境内生产</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（3）特定产品的关键组件、关键工序符合相关要求</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auto"/>
          <w:sz w:val="24"/>
          <w:highlight w:val="none"/>
        </w:rPr>
      </w:pPr>
      <w:r>
        <w:rPr>
          <w:rFonts w:hint="eastAsia" w:ascii="宋体" w:hAnsi="宋体"/>
          <w:color w:val="auto"/>
          <w:sz w:val="24"/>
          <w:highlight w:val="none"/>
        </w:rPr>
        <w:t xml:space="preserve">43.4对本国产品的支持政策</w:t>
      </w:r>
      <w:r/>
    </w:p>
    <w:p>
      <w:pPr>
        <w:ind w:firstLine="422"/>
        <w:rPr>
          <w:rFonts w:hint="eastAsia"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hint="eastAsia" w:ascii="宋体" w:hAnsi="宋体"/>
          <w:color w:val="auto"/>
          <w:sz w:val="24"/>
          <w:highlight w:val="none"/>
        </w:rPr>
      </w:pPr>
      <w:r>
        <w:rPr>
          <w:rFonts w:hint="eastAsia" w:ascii="宋体" w:hAnsi="宋体"/>
          <w:color w:val="auto"/>
          <w:sz w:val="24"/>
          <w:highlight w:val="none"/>
        </w:rPr>
        <w:t xml:space="preserve">43.5政策执行要求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color w:val="auto"/>
          <w:highlight w:val="none"/>
        </w:rPr>
      </w:pPr>
      <w:r>
        <w:rPr>
          <w:rFonts w:hint="eastAsia" w:ascii="宋体" w:hAnsi="宋体"/>
          <w:color w:val="auto"/>
          <w:sz w:val="24"/>
          <w:szCs w:val="22"/>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5"/>
        <w:ind w:firstLine="422"/>
        <w:rPr>
          <w:rFonts w:hint="eastAsia" w:ascii="方正楷体_GBK" w:hAnsi="方正楷体_GBK" w:eastAsia="方正楷体_GBK" w:cs="方正楷体_GBK"/>
          <w:b/>
          <w:bCs/>
          <w:color w:val="auto"/>
          <w:highlight w:val="none"/>
          <w:lang w:val="zh-CN"/>
        </w:rPr>
      </w:pPr>
      <w:r>
        <w:rPr>
          <w:rFonts w:hint="eastAsia" w:ascii="方正楷体_GBK" w:hAnsi="方正楷体_GBK" w:eastAsia="方正楷体_GBK" w:cs="方正楷体_GBK"/>
          <w:b/>
          <w:bCs/>
          <w:color w:val="auto"/>
          <w:highlight w:val="none"/>
          <w:lang w:val="zh-CN"/>
        </w:rPr>
        <w:t xml:space="preserve">4</w:t>
      </w:r>
      <w:r>
        <w:rPr>
          <w:rFonts w:hint="eastAsia" w:ascii="方正楷体_GBK" w:hAnsi="方正楷体_GBK" w:eastAsia="方正楷体_GBK" w:cs="方正楷体_GBK"/>
          <w:b/>
          <w:bCs/>
          <w:color w:val="auto"/>
          <w:highlight w:val="none"/>
        </w:rPr>
        <w:t xml:space="preserve">4</w:t>
      </w:r>
      <w:r>
        <w:rPr>
          <w:rFonts w:hint="eastAsia" w:ascii="方正楷体_GBK" w:hAnsi="方正楷体_GBK" w:eastAsia="方正楷体_GBK" w:cs="方正楷体_GBK"/>
          <w:b/>
          <w:bCs/>
          <w:color w:val="auto"/>
          <w:highlight w:val="none"/>
          <w:lang w:val="zh-CN"/>
        </w:rPr>
        <w:t xml:space="preserve">.数据交易说明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 数据交易标的包括数据产品、数据服务、数据工具。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数据产品是指用于交易的数据和数据衍生产品，包括但不限于数据集、数据分析报告、数据可视化产品、数据指数、API 数据、加密数据等。</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数据工具是指可实现数据服务的软硬件工具，包括但不限于数据存储和管理工具、数据采集工具、数据清洗工具、数据分析工具、数据可视化工具、数据安全工具等。</w:t>
      </w:r>
      <w:r/>
    </w:p>
    <w:p>
      <w:pPr>
        <w:pStyle w:val="980"/>
        <w:ind w:left="0"/>
        <w:jc w:val="center"/>
        <w:rPr>
          <w:rFonts w:hint="eastAsia" w:ascii="方正小标宋简体" w:hAnsi="方正小标宋简体" w:eastAsia="方正小标宋简体" w:cs="方正小标宋简体"/>
          <w:color w:val="auto"/>
          <w:sz w:val="36"/>
          <w:szCs w:val="36"/>
          <w:highlight w:val="none"/>
          <w:lang w:val="en-US"/>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58"/>
      <w:r/>
      <w:bookmarkEnd w:id="59"/>
      <w:r/>
      <w:bookmarkEnd w:id="60"/>
      <w:r/>
      <w:bookmarkEnd w:id="61"/>
      <w:r/>
      <w:bookmarkEnd w:id="62"/>
      <w:r>
        <w:rPr>
          <w:rFonts w:hint="eastAsia" w:ascii="方正小标宋简体" w:hAnsi="方正小标宋简体" w:eastAsia="方正小标宋简体" w:cs="方正小标宋简体"/>
          <w:color w:val="auto"/>
          <w:sz w:val="36"/>
          <w:szCs w:val="36"/>
          <w:highlight w:val="none"/>
          <w:lang w:val="en-US"/>
        </w:rPr>
        <w:t xml:space="preserve">文本</w:t>
      </w:r>
      <w:r/>
    </w:p>
    <w:p>
      <w:pPr>
        <w:jc w:val="center"/>
        <w:spacing w:before="145" w:after="145"/>
        <w:rPr>
          <w:rFonts w:hint="eastAsia" w:ascii="宋体" w:hAnsi="宋体"/>
          <w:bCs/>
          <w:color w:val="auto"/>
          <w:sz w:val="24"/>
          <w:highlight w:val="none"/>
        </w:rPr>
      </w:pPr>
      <w:r/>
      <w:bookmarkStart w:id="189" w:name="_Toc16938559"/>
      <w:r/>
      <w:bookmarkStart w:id="190" w:name="_Toc513029243"/>
      <w:r/>
      <w:bookmarkStart w:id="191" w:name="_Toc20823315"/>
      <w:r>
        <w:rPr>
          <w:rFonts w:hint="eastAsia" w:ascii="宋体" w:hAnsi="宋体"/>
          <w:bCs/>
          <w:color w:val="auto"/>
          <w:sz w:val="24"/>
          <w:highlight w:val="none"/>
        </w:rPr>
        <w:t xml:space="preserve">以下为本项目的合同条款，合同双方不得对招标、投标文件内容作实质性修改。</w:t>
      </w:r>
      <w:r/>
    </w:p>
    <w:p>
      <w:pPr>
        <w:pStyle w:val="980"/>
        <w:ind w:left="0"/>
        <w:rPr>
          <w:color w:val="auto"/>
          <w:highlight w:val="none"/>
        </w:rPr>
      </w:pPr>
      <w:r>
        <w:rPr>
          <w:color w:val="auto"/>
          <w:highlight w:val="none"/>
        </w:rPr>
      </w:r>
      <w:r/>
    </w:p>
    <w:p>
      <w:pPr>
        <w:jc w:val="center"/>
        <w:spacing w:before="145" w:after="145"/>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南京市政府采购合同（服务）</w:t>
      </w:r>
      <w:r/>
    </w:p>
    <w:p>
      <w:pPr>
        <w:jc w:val="left"/>
        <w:spacing w:before="145" w:after="145"/>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南京市公共资源交易中心江宁分中心组织的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rPr>
          <w:rFonts w:hint="eastAsia" w:ascii="宋体" w:hAnsi="宋体" w:cs="Courier New"/>
          <w:color w:val="auto"/>
          <w:sz w:val="24"/>
          <w:szCs w:val="24"/>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25"/>
        <w:rPr>
          <w:rFonts w:hint="eastAsia"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乙方应按招标文件规定的时间向甲方提供服务（包含与服务相关的货物）的有关技术资料。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rPr>
          <w:rFonts w:hint="eastAsia" w:hAnsi="宋体"/>
          <w:color w:val="auto"/>
          <w:sz w:val="24"/>
          <w:szCs w:val="24"/>
          <w:highlight w:val="none"/>
        </w:rPr>
      </w:pPr>
      <w:r>
        <w:rPr>
          <w:rFonts w:hint="eastAsia" w:ascii="宋体" w:hAnsi="宋体" w:cs="Courier New"/>
          <w:color w:val="auto"/>
          <w:sz w:val="24"/>
          <w:szCs w:val="24"/>
          <w:highlight w:val="none"/>
        </w:rPr>
        <w:t xml:space="preserve">8.1 合同款项的支付方式及时间</w:t>
      </w:r>
      <w:r>
        <w:rPr>
          <w:rFonts w:hint="eastAsia" w:hAnsi="宋体"/>
          <w:color w:val="auto"/>
          <w:sz w:val="24"/>
          <w:szCs w:val="24"/>
          <w:highlight w:val="none"/>
        </w:rPr>
        <w:t xml:space="preserve"> </w:t>
      </w:r>
      <w:r/>
    </w:p>
    <w:p>
      <w:pPr>
        <w:pStyle w:val="925"/>
        <w:rPr>
          <w:rFonts w:hint="eastAsia" w:hAnsi="宋体"/>
          <w:color w:val="auto"/>
          <w:sz w:val="24"/>
          <w:szCs w:val="24"/>
          <w:highlight w:val="none"/>
        </w:rPr>
      </w:pPr>
      <w:r>
        <w:rPr>
          <w:rFonts w:hint="eastAsia" w:hAnsi="宋体"/>
          <w:color w:val="auto"/>
          <w:sz w:val="24"/>
          <w:szCs w:val="24"/>
          <w:highlight w:val="none"/>
        </w:rPr>
        <w:t xml:space="preserve">8.1.1 合同签订且服务团队人员到位后，甲方支付合同总价款的30%作为预付款。 </w:t>
      </w:r>
      <w:r/>
    </w:p>
    <w:p>
      <w:pPr>
        <w:pStyle w:val="925"/>
        <w:rPr>
          <w:rFonts w:hint="eastAsia" w:hAnsi="宋体"/>
          <w:color w:val="auto"/>
          <w:sz w:val="24"/>
          <w:szCs w:val="24"/>
          <w:highlight w:val="none"/>
        </w:rPr>
      </w:pPr>
      <w:r>
        <w:rPr>
          <w:rFonts w:hint="eastAsia" w:hAnsi="宋体"/>
          <w:color w:val="auto"/>
          <w:sz w:val="24"/>
          <w:szCs w:val="24"/>
          <w:highlight w:val="none"/>
        </w:rPr>
        <w:t xml:space="preserve">8.1.2 软件开发完成，具备整体上线试运行条件，经初步验收合格后，甲方支付合同总价款的40%。 </w:t>
      </w:r>
      <w:r/>
    </w:p>
    <w:p>
      <w:pPr>
        <w:pStyle w:val="925"/>
        <w:rPr>
          <w:rFonts w:hint="eastAsia" w:hAnsi="宋体"/>
          <w:strike w:val="0"/>
          <w:color w:val="auto"/>
          <w:sz w:val="24"/>
          <w:szCs w:val="24"/>
          <w:highlight w:val="none"/>
        </w:rPr>
      </w:pPr>
      <w:r>
        <w:rPr>
          <w:rFonts w:hint="eastAsia" w:hAnsi="宋体"/>
          <w:color w:val="auto"/>
          <w:sz w:val="24"/>
          <w:szCs w:val="24"/>
          <w:highlight w:val="none"/>
        </w:rPr>
        <w:t xml:space="preserve">8.1.3 项目完成最终验收并经决算审计，且乙方按甲方要求提交完整的验收资料、结算资料及合法有效发票后，甲方向乙方支付合同剩余款项。 </w:t>
      </w:r>
      <w:r/>
    </w:p>
    <w:p>
      <w:pPr>
        <w:pStyle w:val="925"/>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十、项目验收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甲方依法组织履约验收工作。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对于实际使用人和甲方分离的项目，甲方邀请实际使用人参与验收。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如有必要，甲方可邀请参加本项目投标的其他供应商或第三方专业机构及专家参与验收，相关意见将作为验收结论的参考。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十一、违约责任</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甲方无正当理由拒绝接受乙方提供服务的，应向乙方偿付拒绝接受服务合同总额</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10% </w:t>
      </w:r>
      <w:r>
        <w:rPr>
          <w:rFonts w:hint="eastAsia" w:ascii="宋体" w:hAnsi="宋体" w:cs="Courier New"/>
          <w:color w:val="auto"/>
          <w:sz w:val="24"/>
          <w:szCs w:val="24"/>
          <w:highlight w:val="none"/>
        </w:rPr>
        <w:t xml:space="preserve">的违约金。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甲方无故逾期验收和办理支付手续的，应按逾期付款总额每日</w:t>
      </w:r>
      <w:r>
        <w:rPr>
          <w:rFonts w:hint="eastAsia" w:ascii="宋体" w:hAnsi="宋体" w:cs="Courier New"/>
          <w:color w:val="auto"/>
          <w:sz w:val="24"/>
          <w:szCs w:val="24"/>
          <w:highlight w:val="none"/>
          <w:u w:val="single"/>
        </w:rPr>
        <w:t xml:space="preserve"> 0.05%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rPr>
        <w:t xml:space="preserve">%。</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乙方逾期提供服务的，应按逾期提供服务合同总额每日</w:t>
      </w:r>
      <w:r>
        <w:rPr>
          <w:rFonts w:hint="eastAsia" w:ascii="宋体" w:hAnsi="宋体" w:cs="Courier New"/>
          <w:color w:val="auto"/>
          <w:sz w:val="24"/>
          <w:szCs w:val="24"/>
          <w:highlight w:val="none"/>
          <w:u w:val="single"/>
        </w:rPr>
        <w:t xml:space="preserve"> 0.05% </w:t>
      </w:r>
      <w:r>
        <w:rPr>
          <w:rFonts w:hint="eastAsia" w:ascii="宋体" w:hAnsi="宋体" w:cs="Courier New"/>
          <w:color w:val="auto"/>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10% </w:t>
      </w:r>
      <w:r>
        <w:rPr>
          <w:rFonts w:hint="eastAsia" w:ascii="宋体" w:hAnsi="宋体" w:cs="Courier New"/>
          <w:color w:val="auto"/>
          <w:sz w:val="24"/>
          <w:szCs w:val="24"/>
          <w:highlight w:val="none"/>
        </w:rPr>
        <w:t xml:space="preserve">的违约金。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乙方所提供服务的标准不符合合同规定及招标文件规定标准的，甲方有权拒绝接受服务，并可单方面解除合同。</w:t>
      </w:r>
      <w:r/>
    </w:p>
    <w:p>
      <w:pPr>
        <w:rPr>
          <w:color w:val="auto"/>
          <w:highlight w:val="none"/>
        </w:rPr>
      </w:pPr>
      <w:r>
        <w:rPr>
          <w:rFonts w:hint="eastAsia" w:ascii="宋体" w:hAnsi="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十二、不可抗力事件处理</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12.1 在合同有效期内，任何一方因不可抗力事件导致不能履行合同，则合同履行期可延长，其延长期与不可抗力影响期相同。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不可抗力事件发生后，应立即通知对方并寄送有关权威机构出具的证明。</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十三、解决争议的方法</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十四、合同生效及其它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本合同经双方加盖单位公章后生效。</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本合同未尽事宜，遵照《中华人民共和国民法典》《中华人民共和国政府采购法》有关条文执行。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本合同正本一式两份，具有同等法律效力，甲方、乙方各执一份。</w:t>
      </w:r>
      <w:r/>
    </w:p>
    <w:p>
      <w:pPr>
        <w:pStyle w:val="925"/>
        <w:spacing w:before="120" w:after="120"/>
        <w:rPr>
          <w:rFonts w:hint="eastAsia" w:hAnsi="宋体"/>
          <w:color w:val="auto"/>
          <w:sz w:val="24"/>
          <w:szCs w:val="24"/>
          <w:highlight w:val="none"/>
        </w:rPr>
      </w:pPr>
      <w:r>
        <w:rPr>
          <w:rFonts w:hint="eastAsia" w:hAnsi="宋体"/>
          <w:color w:val="auto"/>
          <w:sz w:val="24"/>
          <w:szCs w:val="24"/>
          <w:highlight w:val="none"/>
        </w:rPr>
        <w:t xml:space="preserve">  </w:t>
      </w:r>
      <w:bookmarkEnd w:id="189"/>
      <w:r/>
      <w:bookmarkEnd w:id="190"/>
      <w:r/>
      <w:bookmarkEnd w:id="191"/>
      <w:r/>
      <w:r/>
    </w:p>
    <w:p>
      <w:pPr>
        <w:pStyle w:val="925"/>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甲方：（公章）                       乙方：（公章） </w:t>
      </w:r>
      <w:r/>
    </w:p>
    <w:p>
      <w:pPr>
        <w:pStyle w:val="925"/>
        <w:spacing w:before="120" w:after="120"/>
        <w:rPr>
          <w:rFonts w:hint="eastAsia" w:hAnsi="宋体"/>
          <w:color w:val="auto"/>
          <w:sz w:val="24"/>
          <w:szCs w:val="24"/>
          <w:highlight w:val="none"/>
        </w:rPr>
      </w:pPr>
      <w:r>
        <w:rPr>
          <w:rFonts w:hint="eastAsia" w:hAnsi="宋体"/>
          <w:color w:val="auto"/>
          <w:sz w:val="24"/>
          <w:szCs w:val="24"/>
          <w:highlight w:val="none"/>
        </w:rPr>
        <w:t xml:space="preserve">  地址：                               地址： </w:t>
      </w:r>
      <w:r/>
    </w:p>
    <w:p>
      <w:pPr>
        <w:pStyle w:val="925"/>
        <w:spacing w:before="120" w:after="120"/>
        <w:rPr>
          <w:rFonts w:hint="eastAsia"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925"/>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925"/>
        <w:spacing w:before="120" w:after="120"/>
        <w:rPr>
          <w:rFonts w:hint="eastAsia" w:hAnsi="宋体"/>
          <w:color w:val="auto"/>
          <w:sz w:val="24"/>
          <w:szCs w:val="24"/>
          <w:highlight w:val="none"/>
        </w:rPr>
      </w:pPr>
      <w:r>
        <w:rPr>
          <w:rFonts w:hint="eastAsia" w:hAnsi="宋体"/>
          <w:color w:val="auto"/>
          <w:sz w:val="24"/>
          <w:szCs w:val="24"/>
          <w:highlight w:val="none"/>
        </w:rPr>
        <w:t xml:space="preserve">                                          </w:t>
      </w:r>
      <w:r/>
    </w:p>
    <w:p>
      <w:pPr>
        <w:pStyle w:val="925"/>
        <w:ind w:firstLine="5280"/>
        <w:spacing w:before="120" w:after="120"/>
        <w:rPr>
          <w:rFonts w:hint="eastAsia" w:hAnsi="宋体"/>
          <w:color w:val="auto"/>
          <w:sz w:val="24"/>
          <w:szCs w:val="24"/>
          <w:highlight w:val="none"/>
        </w:rPr>
      </w:pPr>
      <w:r>
        <w:rPr>
          <w:rFonts w:hint="eastAsia" w:hAnsi="宋体"/>
          <w:color w:val="auto"/>
          <w:sz w:val="24"/>
          <w:szCs w:val="24"/>
          <w:highlight w:val="none"/>
        </w:rPr>
        <w:t xml:space="preserve">签订日期：</w:t>
      </w:r>
      <w:r/>
    </w:p>
    <w:p>
      <w:pPr>
        <w:pStyle w:val="925"/>
        <w:ind w:firstLine="4800"/>
        <w:spacing w:before="120" w:after="120"/>
        <w:rPr>
          <w:rFonts w:hint="eastAsia" w:hAnsi="宋体"/>
          <w:color w:val="auto"/>
          <w:sz w:val="24"/>
          <w:szCs w:val="24"/>
          <w:highlight w:val="none"/>
        </w:rPr>
      </w:pPr>
      <w:r>
        <w:rPr>
          <w:rFonts w:hint="eastAsia" w:hAnsi="宋体"/>
          <w:color w:val="auto"/>
          <w:sz w:val="24"/>
          <w:szCs w:val="24"/>
          <w:highlight w:val="none"/>
        </w:rPr>
      </w:r>
      <w:r/>
    </w:p>
    <w:p>
      <w:pPr>
        <w:jc w:val="center"/>
        <w:spacing w:before="145" w:after="145"/>
        <w:rPr>
          <w:rFonts w:hint="eastAsia" w:ascii="宋体" w:hAnsi="宋体"/>
          <w:b/>
          <w:color w:val="auto"/>
          <w:sz w:val="30"/>
          <w:highlight w:val="none"/>
        </w:rPr>
      </w:pPr>
      <w:r>
        <w:rPr>
          <w:rFonts w:hint="eastAsia" w:ascii="宋体" w:hAnsi="宋体"/>
          <w:b/>
          <w:color w:val="auto"/>
          <w:sz w:val="30"/>
          <w:highlight w:val="none"/>
        </w:rPr>
      </w:r>
      <w:r/>
    </w:p>
    <w:p>
      <w:pPr>
        <w:jc w:val="center"/>
        <w:spacing w:before="145" w:after="145"/>
        <w:rPr>
          <w:rFonts w:hint="eastAsia" w:ascii="宋体" w:hAnsi="宋体"/>
          <w:b/>
          <w:color w:val="auto"/>
          <w:sz w:val="30"/>
          <w:highlight w:val="none"/>
        </w:rPr>
        <w:outlineLvl w:val="1"/>
      </w:pPr>
      <w:r>
        <w:rPr>
          <w:rFonts w:hint="eastAsia" w:ascii="宋体" w:hAnsi="宋体"/>
          <w:b/>
          <w:color w:val="auto"/>
          <w:sz w:val="30"/>
          <w:highlight w:val="none"/>
        </w:rPr>
        <w:t xml:space="preserve">《*******合同》补充协议（合同附件）</w:t>
      </w:r>
      <w:r/>
    </w:p>
    <w:p>
      <w:pPr>
        <w:pStyle w:val="925"/>
        <w:ind w:firstLine="840"/>
        <w:jc w:val="left"/>
        <w:spacing w:before="120" w:after="120"/>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shd w:val="nil" w:color="auto"/>
        <w:rPr>
          <w:rFonts w:hint="eastAsia" w:ascii="方正小标宋简体" w:hAnsi="方正小标宋简体" w:eastAsia="方正小标宋简体" w:cs="方正小标宋简体"/>
          <w:color w:val="auto"/>
          <w:sz w:val="36"/>
          <w:szCs w:val="36"/>
          <w:highlight w:val="none"/>
          <w:lang w:val="en-US"/>
        </w:rPr>
        <w:outlineLvl w:val="0"/>
      </w:pPr>
      <w:r>
        <w:rPr>
          <w:highlight w:val="none"/>
        </w:rPr>
        <w:br w:type="page" w:clear="all"/>
      </w:r>
      <w:r>
        <w:rPr>
          <w:highlight w:val="none"/>
        </w:rPr>
      </w:r>
      <w:r/>
    </w:p>
    <w:p>
      <w:pPr>
        <w:pStyle w:val="980"/>
        <w:ind w:left="0"/>
        <w:jc w:val="center"/>
        <w:rPr>
          <w:highlight w:val="none"/>
        </w:rPr>
        <w:outlineLvl w:val="0"/>
      </w:pPr>
      <w:r>
        <w:rPr>
          <w:rFonts w:hint="eastAsia" w:ascii="方正小标宋简体" w:hAnsi="方正小标宋简体" w:eastAsia="方正小标宋简体" w:cs="方正小标宋简体"/>
          <w:color w:val="auto"/>
          <w:sz w:val="36"/>
          <w:szCs w:val="36"/>
          <w:highlight w:val="none"/>
          <w:lang w:val="en-US"/>
        </w:rPr>
        <w:t xml:space="preserve">第</w:t>
      </w:r>
      <w:bookmarkEnd w:id="43"/>
      <w:r>
        <w:rPr>
          <w:rFonts w:hint="eastAsia" w:ascii="方正小标宋简体" w:hAnsi="方正小标宋简体" w:eastAsia="方正小标宋简体" w:cs="方正小标宋简体"/>
          <w:color w:val="auto"/>
          <w:sz w:val="36"/>
          <w:szCs w:val="36"/>
          <w:highlight w:val="none"/>
          <w:lang w:val="en-US"/>
        </w:rPr>
        <w:t xml:space="preserve">四章  采购需求</w:t>
      </w:r>
      <w:bookmarkEnd w:id="44"/>
      <w:r/>
      <w:bookmarkEnd w:id="45"/>
      <w:r/>
      <w:bookmarkEnd w:id="46"/>
      <w:r/>
      <w:r/>
    </w:p>
    <w:p>
      <w:pPr>
        <w:ind w:firstLine="480"/>
        <w:spacing w:line="252" w:lineRule="auto"/>
        <w:rPr>
          <w:rFonts w:hint="eastAsia" w:ascii="黑体" w:hAnsi="黑体" w:eastAsia="黑体" w:cs="黑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ind w:firstLine="480"/>
        <w:spacing w:line="252" w:lineRule="auto"/>
        <w:rPr>
          <w:rFonts w:hint="eastAsia" w:ascii="宋体" w:hAnsi="宋体" w:cs="宋体"/>
          <w:color w:val="auto"/>
          <w:sz w:val="24"/>
          <w:szCs w:val="24"/>
          <w:highlight w:val="none"/>
        </w:rPr>
        <w:outlineLvl w:val="1"/>
      </w:pPr>
      <w:r/>
      <w:bookmarkStart w:id="192" w:name="_Toc49090575"/>
      <w:r/>
      <w:bookmarkStart w:id="193" w:name="_Toc26554093"/>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服务类项目</w:t>
      </w:r>
      <w:r/>
    </w:p>
    <w:p>
      <w:pPr>
        <w:ind w:firstLine="480"/>
        <w:spacing w:line="252"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二、项目概况</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（一）项目背景</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2023年2月江宁区委办公室发布《江宁区水环境综合治理行动方案(2023-2025) 》，明确将智慧水务平台列入重点投资项目，规划在2025年建成。</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《南京市城市生命线安全工程建设工作方案》中要求各区水务数据“统一由智慧水务平台推送”, 智慧水务平台的功能与城市生命线重叠度超过80%（如管网GIS、实时监测、事件预警、应急联动等）。</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宁区水务目前面临着诸多挑战，现有子系统众多，数据分散孤立，缺乏统一的平台；物联感知体系建设基础较为薄弱，监测预警能力不足；此外，在排水管理、供水监管、水环境监测预警、节水管理、防汛与指挥调度等业务领域也存在迫切的模块建设及提升需求。</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本项目将建立统一的智慧水务平台，在数据整合共享的基础上，建设供排水、水环境、水资源、指挥调度、移动应用等应用模块，整合现有的防汛管理等子系统，在重点点位增设水质、水位、流量等</w:t>
      </w:r>
      <w:r>
        <w:rPr>
          <w:rFonts w:ascii="宋体" w:hAnsi="宋体" w:cs="宋体"/>
          <w:color w:val="auto"/>
          <w:sz w:val="24"/>
          <w:szCs w:val="24"/>
          <w:highlight w:val="none"/>
        </w:rPr>
        <w:t xml:space="preserve">物联</w:t>
      </w:r>
      <w:r>
        <w:rPr>
          <w:rFonts w:hint="eastAsia" w:ascii="宋体" w:hAnsi="宋体" w:cs="宋体"/>
          <w:color w:val="auto"/>
          <w:sz w:val="24"/>
          <w:szCs w:val="24"/>
          <w:highlight w:val="none"/>
        </w:rPr>
        <w:t xml:space="preserve">感知</w:t>
      </w:r>
      <w:r>
        <w:rPr>
          <w:rFonts w:ascii="宋体" w:hAnsi="宋体" w:cs="宋体"/>
          <w:color w:val="auto"/>
          <w:sz w:val="24"/>
          <w:szCs w:val="24"/>
          <w:highlight w:val="none"/>
        </w:rPr>
        <w:t xml:space="preserve">设备</w:t>
      </w:r>
      <w:r>
        <w:rPr>
          <w:rFonts w:hint="eastAsia" w:ascii="宋体" w:hAnsi="宋体" w:cs="宋体"/>
          <w:color w:val="auto"/>
          <w:sz w:val="24"/>
          <w:szCs w:val="24"/>
          <w:highlight w:val="none"/>
        </w:rPr>
        <w:t xml:space="preserve">，增强前端感知能力，实现水务业务管理线上化、事件集约化、应急实时调度，同时，建设智慧水务指挥大屏，增强指挥调度能力。</w:t>
      </w:r>
      <w:r/>
    </w:p>
    <w:p>
      <w:pPr>
        <w:ind w:firstLine="480"/>
        <w:spacing w:line="252"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（二）项目建设遵循标准</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《水利信息分类与编码总则》（SL/T 701-2021）</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《水利数据库表结构及标识符编制总则</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》（SL/T 478-2021）</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《水利对象基础数据库表结构及标识符》（SL/T 809-2021</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《水利一张图空间信息服务规范》（SL/T 801-2020）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《水利数据目录服务规范》（SL/T 799-2020）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《水利对象分类与编码总则》（SL/T 213—2020）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《水利空间数据交换协议》（SL/T 797-2020）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《水文数据库表结构及标识符》（SL/T324-2019）</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《水利数据交换规约》（SL/T783-2019）</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《水利政务信息数据库表结构及标识符》（SL/T 707-2015）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《水利工程建设与管理数据库表结构及标识符》（SL/T 700-2015）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《水利空间要素图式与表达规范》（SL/T 730-2015）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《水利信息系统运行维护规范》（SL/T 715-2015）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《水利空间要素数据字典》（SL/T 729-2016）</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《水利信息分类》（SL/T 701-2014）</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《水质数据库表结构及标识符》（SL/T 325-2014）</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《水利政务信息编码规则与代码》（SL 200-2013）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《实时工情数据库表结构及标识符》（SL 577-2013）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《水利信息核心元数据》（SL 473-2010）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《水利统计基础数据采集规范》（SL 620-2013）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《水利信息化项目验收规范》（SL 588-2013）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《水文数据GIS分类编码标准》（SL 385-2007）</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《实时雨水情数据库表结构与标识符标准》（SL 323-2005）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《城市排水防涝设施数据采集与维护技术规范》（GB/T51187-2016）</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《江苏省城镇污水处理厂运行管理考核标准》</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《城镇污水处理厂污染物排放标准》（GB18918-2002）</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《城乡供水一体化数字水务评价规范》（T/FJAS 020.2-2023）</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《智慧水务建设及应用评价规范》（T/ZS 0489-2023）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《基础地理信息城市数据库建设规范》（GB/T 21740-2025）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《计算机软件文档编制规范》（GB/T 8567-2006）</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《计算机软件需求规格说明规范》（GB/T 9385-2008）</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《计算机软件测试规范》（GB/T 15532-2008）</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《计算机软件测试文档编制规范》（GB/T 9386-2008）</w:t>
      </w:r>
      <w:r/>
    </w:p>
    <w:p>
      <w:pPr>
        <w:ind w:firstLine="480"/>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系统与软件工程 系统与软件质量要求和评价</w:t>
      </w:r>
      <w:r>
        <w:rPr>
          <w:rFonts w:hint="eastAsia" w:ascii="宋体" w:hAnsi="宋体" w:cs="宋体"/>
          <w:color w:val="auto"/>
          <w:sz w:val="24"/>
          <w:szCs w:val="24"/>
          <w:highlight w:val="none"/>
        </w:rPr>
        <w:t xml:space="preserve">》（GB/T 25000系列）</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《中华人民共和国网络安全法》</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《中华人民共和国数据安全法》</w:t>
      </w:r>
      <w:r/>
    </w:p>
    <w:p>
      <w:pPr>
        <w:ind w:firstLine="480"/>
        <w:spacing w:line="252" w:lineRule="auto"/>
        <w:rPr>
          <w:rFonts w:hint="eastAsia" w:ascii="宋体" w:hAnsi="宋体" w:cs="宋体"/>
          <w:strike/>
          <w:color w:val="auto"/>
          <w:sz w:val="24"/>
          <w:szCs w:val="24"/>
          <w:highlight w:val="none"/>
        </w:rPr>
      </w:pPr>
      <w:r>
        <w:rPr>
          <w:rFonts w:ascii="宋体" w:hAnsi="宋体" w:cs="宋体"/>
          <w:color w:val="auto"/>
          <w:sz w:val="24"/>
          <w:szCs w:val="24"/>
          <w:highlight w:val="none"/>
        </w:rPr>
        <w:t xml:space="preserve">《中华人民共和国密码法》</w:t>
      </w:r>
      <w:r/>
    </w:p>
    <w:p>
      <w:pPr>
        <w:ind w:firstLine="480"/>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《信息安全技术信息系统安全管理要求》（GB/T 20269-2006）</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《信息安全技术 网络安全等级保护基本要求》（GB/T 22239-2019）</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《信息安全技术 网络安全等级保护实施指南》（GB 25058-2019）</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《信息安全技术 网络安全等级定级指南》（GB/T 22240-2020）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《信息系统密码应用基本要求》（GB/T 39786-2021）</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《信息系统密码应用测评要求》（GM/T 0115-2021）</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《信息安全技术 云计算服务安全指南》（GB/T 31167-2023）</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《信息安全技术 云计算服务安全能力要求》（GB/T 31168-2023）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《计算机软件可靠性和可维护性管理》（GB/T14394-2008）</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《政务云基础设施服务平台技术要求》（YD/T 3942-2021）</w:t>
      </w:r>
      <w:r/>
    </w:p>
    <w:p>
      <w:pPr>
        <w:ind w:firstLine="480"/>
        <w:spacing w:line="252"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911"/>
        <w:tblW w:w="503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2"/>
        <w:gridCol w:w="1968"/>
        <w:gridCol w:w="760"/>
        <w:gridCol w:w="736"/>
        <w:gridCol w:w="1096"/>
        <w:gridCol w:w="1096"/>
        <w:gridCol w:w="1663"/>
        <w:gridCol w:w="851"/>
        <w:gridCol w:w="1162"/>
      </w:tblGrid>
      <w:tr>
        <w:trPr>
          <w:jc w:val="center"/>
          <w:trHeight w:val="732"/>
        </w:trPr>
        <w:tc>
          <w:tcPr>
            <w:tcBorders>
              <w:top w:val="single" w:color="000000" w:sz="2" w:space="0"/>
              <w:bottom w:val="single" w:color="000000" w:sz="2" w:space="0"/>
            </w:tcBorders>
            <w:tcW w:w="255" w:type="pct"/>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Borders>
              <w:top w:val="single" w:color="000000" w:sz="2" w:space="0"/>
              <w:bottom w:val="single" w:color="000000" w:sz="2" w:space="0"/>
            </w:tcBorders>
            <w:tcW w:w="1000"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分项名称</w:t>
            </w:r>
            <w:r/>
          </w:p>
        </w:tc>
        <w:tc>
          <w:tcPr>
            <w:tcBorders>
              <w:top w:val="single" w:color="000000" w:sz="2" w:space="0"/>
              <w:bottom w:val="single" w:color="000000" w:sz="2" w:space="0"/>
            </w:tcBorders>
            <w:tcW w:w="386"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Borders>
              <w:top w:val="single" w:color="000000" w:sz="2" w:space="0"/>
              <w:bottom w:val="single" w:color="000000" w:sz="2" w:space="0"/>
            </w:tcBorders>
            <w:tcW w:w="374"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Borders>
              <w:top w:val="single" w:color="000000" w:sz="2" w:space="0"/>
              <w:bottom w:val="single" w:color="000000" w:sz="2" w:space="0"/>
            </w:tcBorders>
            <w:tcW w:w="55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单价上限</w:t>
            </w:r>
            <w:r/>
          </w:p>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（元）</w:t>
            </w:r>
            <w:r/>
          </w:p>
        </w:tc>
        <w:tc>
          <w:tcPr>
            <w:tcBorders>
              <w:top w:val="single" w:color="000000" w:sz="2" w:space="0"/>
              <w:bottom w:val="single" w:color="000000" w:sz="2" w:space="0"/>
            </w:tcBorders>
            <w:tcW w:w="55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Borders>
              <w:top w:val="single" w:color="000000" w:sz="2" w:space="0"/>
              <w:bottom w:val="single" w:color="000000" w:sz="2" w:space="0"/>
            </w:tcBorders>
            <w:tcW w:w="845"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w:t>
            </w:r>
            <w:r/>
          </w:p>
        </w:tc>
        <w:tc>
          <w:tcPr>
            <w:tcBorders>
              <w:top w:val="single" w:color="000000" w:sz="2" w:space="0"/>
              <w:bottom w:val="single" w:color="000000" w:sz="2" w:space="0"/>
            </w:tcBorders>
            <w:tcW w:w="432"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属性</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数据交易类型</w:t>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采集网关（污水泵站）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758</w:t>
            </w:r>
            <w:r>
              <w:rPr>
                <w:rFonts w:hint="eastAsia" w:ascii="宋体" w:hAnsi="宋体" w:cs="宋体"/>
                <w:color w:val="auto"/>
                <w:sz w:val="24"/>
                <w:szCs w:val="24"/>
                <w:highlight w:val="none"/>
              </w:rPr>
              <w:t xml:space="preserve">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b/>
                <w:bCs/>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雷达液位计（污水泵站）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785</w:t>
            </w:r>
            <w:r>
              <w:rPr>
                <w:rFonts w:hint="eastAsia" w:ascii="宋体" w:hAnsi="宋体" w:cs="宋体"/>
                <w:color w:val="auto"/>
                <w:sz w:val="24"/>
                <w:szCs w:val="24"/>
                <w:highlight w:val="none"/>
              </w:rPr>
              <w:t xml:space="preserve">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b/>
                <w:bCs/>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电磁流量计（污水泵站）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18600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b/>
                <w:bCs/>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水质检测站（污水泵站）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Segoe UI" w:hAnsi="Segoe UI" w:cs="Segoe UI"/>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水质检测站（污水管井）</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Segoe UI" w:hAnsi="Segoe UI" w:cs="Segoe UI"/>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雷达流量计（污水管网责任节点井）</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18844</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液位监测设备（污水漫溢点）</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视频监控（污水漫溢点）</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17440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电子水尺（易积淹点地埋式积水监测）</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4731</w:t>
            </w:r>
            <w:r/>
          </w:p>
        </w:tc>
        <w:tc>
          <w:tcPr>
            <w:tcBorders>
              <w:top w:val="single" w:color="000000" w:sz="2" w:space="0"/>
              <w:bottom w:val="single" w:color="000000" w:sz="2" w:space="0"/>
            </w:tcBorders>
            <w:tcW w:w="557"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视频监控（易积淹点）</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17925</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LED</w:t>
            </w:r>
            <w:r>
              <w:rPr>
                <w:rFonts w:hint="eastAsia" w:ascii="宋体" w:hAnsi="宋体" w:cs="宋体"/>
                <w:color w:val="auto"/>
                <w:sz w:val="24"/>
                <w:szCs w:val="24"/>
                <w:highlight w:val="none"/>
              </w:rPr>
              <w:t xml:space="preserve">大屏</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水质检测站（排水泵站）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133800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Segoe UI" w:hAnsi="Segoe UI" w:cs="Segoe UI"/>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电子水尺（引补水调度，河道水位监测）</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水质检测站（引补水调度）</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252800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Segoe UI" w:hAnsi="Segoe UI" w:cs="Segoe UI"/>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排水子系统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1192900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主要产品</w:t>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供水子系统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304100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水环境子系统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204000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水资源子系统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661900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防汛管理子系统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40400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指挥调度子系统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315600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监管子系统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377200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移动应用</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359800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综合维护子系统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511800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系统接口开发服务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516500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基础平台</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150000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时序数据库</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在线组态平台</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150000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工作流平台</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189600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短信服务费</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服务器操作系统（信创）</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关系型数据库（信创）</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100000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中间件（信创）</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数据治理服务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85600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数据服务</w:t>
            </w:r>
            <w:r/>
          </w:p>
        </w:tc>
      </w:tr>
    </w:tbl>
    <w:p>
      <w:pPr>
        <w:ind w:firstLine="480"/>
        <w:spacing w:line="252"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252"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w:t>
      </w:r>
      <w:r>
        <w:rPr>
          <w:rFonts w:hint="eastAsia" w:ascii="宋体" w:hAnsi="宋体" w:cs="宋体"/>
          <w:color w:val="auto"/>
          <w:sz w:val="24"/>
          <w:szCs w:val="24"/>
          <w:highlight w:val="none"/>
        </w:rPr>
        <w:t xml:space="preserve">采集网关（污水泵站）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1、具备以太网、4G、WiFi等不同上网方式，满足现场的需求；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2、内置主流PLC协议、支持OPC协议、实现远程组态；</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3、支持数据透传，支持远程调试、程序上下载；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4、2路RS232/485/422接口, 支持串口扩展；</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5、3路网口10/100Mbps，交叉直连自适应；</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6、具备数据缓存功能，一旦网络出现问题，可以本地缓存，等网络恢复后直接上传至数据中心，确保数据完整性；</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7、数据接入本项目建设的智慧水务平台；</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、可实现远程数据配置，根据不同的现场灵活配置，确保本地设备的可换性，无需现场配置；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、现场采集端支持SD卡，确保本地能支持大量数据存储。支持历史数据缓存；</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、可远程进行产品固件升级；</w:t>
            </w:r>
            <w:r/>
          </w:p>
          <w:p>
            <w:pPr>
              <w:jc w:val="left"/>
              <w:rPr>
                <w:color w:val="auto"/>
                <w:highlight w:val="none"/>
              </w:rPr>
            </w:pPr>
            <w:r>
              <w:rPr>
                <w:rFonts w:hint="eastAsia" w:ascii="宋体" w:hAnsi="宋体" w:cs="宋体"/>
                <w:color w:val="auto"/>
                <w:sz w:val="24"/>
                <w:szCs w:val="24"/>
                <w:highlight w:val="none"/>
              </w:rPr>
              <w:t xml:space="preserve">4、安装地点：开发区1#泵站、开发区2#泵站、开发区3#泵站、开发区4#泵站、开发区5#泵站、开发区6#泵站、南旺沟泵站、205泵站、牧龙河泵站、兴民路泵站、方前泵站、洋桥泵站、齐武路泵站、9号泵站、新河村泵站、东沟泵站、中前泵站、鞭鞍河泵站、商城泵站、城北临时泵站。</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w:t>
      </w:r>
      <w:r>
        <w:rPr>
          <w:rFonts w:hint="eastAsia" w:ascii="宋体" w:hAnsi="宋体" w:cs="宋体"/>
          <w:color w:val="auto"/>
          <w:sz w:val="24"/>
          <w:szCs w:val="24"/>
          <w:highlight w:val="none"/>
        </w:rPr>
        <w:t xml:space="preserve">雷达液位计（污水泵站）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1、量程：10m/20m；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2、精度：±2mm；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、频率：80GHz；</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、具备蓝牙调试功能；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、防护等级：IP68；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、天线材质：ABS；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、外壳材质：ABS；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、过程连接：G1½"A；</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、安装连接：G1"A；</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、工作温度：-40~70℃；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、信号输出：RS485/Modbus 6～30V DC</w:t>
            </w:r>
            <w:r>
              <w:rPr>
                <w:rFonts w:hint="eastAsia" w:ascii="宋体" w:hAnsi="宋体" w:cs="宋体"/>
                <w:color w:val="auto"/>
                <w:sz w:val="24"/>
                <w:szCs w:val="24"/>
                <w:highlight w:val="none"/>
              </w:rPr>
              <w:t xml:space="preserve">；</w:t>
            </w:r>
            <w:r/>
          </w:p>
          <w:p>
            <w:pPr>
              <w:jc w:val="left"/>
              <w:rPr>
                <w:color w:val="auto"/>
                <w:highlight w:val="none"/>
              </w:rPr>
            </w:pPr>
            <w:r>
              <w:rPr>
                <w:rFonts w:hint="eastAsia" w:ascii="宋体" w:hAnsi="宋体" w:cs="宋体"/>
                <w:color w:val="auto"/>
                <w:sz w:val="24"/>
                <w:szCs w:val="24"/>
                <w:highlight w:val="none"/>
              </w:rPr>
              <w:t xml:space="preserve">7、安装地点：</w:t>
            </w:r>
            <w:r>
              <w:rPr>
                <w:rFonts w:ascii="宋体" w:hAnsi="宋体" w:cs="宋体"/>
                <w:color w:val="auto"/>
                <w:sz w:val="24"/>
                <w:szCs w:val="24"/>
                <w:highlight w:val="none"/>
              </w:rPr>
              <w:t xml:space="preserve">205泵站、牧龙河泵站</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可根据实际需要进行调整</w:t>
            </w:r>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w:t>
      </w:r>
      <w:r>
        <w:rPr>
          <w:rFonts w:hint="eastAsia" w:ascii="宋体" w:hAnsi="宋体" w:cs="宋体"/>
          <w:color w:val="auto"/>
          <w:sz w:val="24"/>
          <w:szCs w:val="24"/>
          <w:highlight w:val="none"/>
        </w:rPr>
        <w:t xml:space="preserve">电磁流量计（污水泵站）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2"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2"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highlight w:val="none"/>
              </w:rPr>
              <w:t xml:space="preserve">1</w:t>
            </w:r>
            <w:r>
              <w:rPr>
                <w:rFonts w:ascii="宋体" w:hAnsi="宋体" w:cs="宋体"/>
                <w:color w:val="auto"/>
                <w:sz w:val="24"/>
                <w:szCs w:val="24"/>
                <w:highlight w:val="none"/>
              </w:rPr>
              <w:t xml:space="preserve">、插入式；</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2、公称通径F: DN100(4")-DN1000(40")；</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3、球阀及安装底座Q3: G2 304SS螺纹球阀，304SS安装底座；</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4、准确度M: 1.5级；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2"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、输出及供电电源AA: 4-20mA+脉冲+RS485，220VAC；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、插入电极材质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电极316LSS，检测头ABS塑料，插入杆304SS；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、电气接口、外壳材质及防护等级WA：分体式，M20×1.5缆塞，铝合金，IP65 ；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、分体线缆长度00: 10m；</w:t>
            </w:r>
            <w:r/>
          </w:p>
          <w:p>
            <w:pPr>
              <w:jc w:val="left"/>
              <w:rPr>
                <w:color w:val="auto"/>
                <w:highlight w:val="none"/>
              </w:rPr>
            </w:pPr>
            <w:r>
              <w:rPr>
                <w:rFonts w:hint="eastAsia" w:ascii="宋体" w:hAnsi="宋体" w:cs="宋体"/>
                <w:color w:val="auto"/>
                <w:sz w:val="24"/>
                <w:szCs w:val="24"/>
                <w:highlight w:val="none"/>
              </w:rPr>
              <w:t xml:space="preserve">5、安装地点：</w:t>
            </w:r>
            <w:r>
              <w:rPr>
                <w:rFonts w:ascii="宋体" w:hAnsi="宋体" w:cs="宋体"/>
                <w:color w:val="auto"/>
                <w:sz w:val="24"/>
                <w:szCs w:val="24"/>
                <w:highlight w:val="none"/>
              </w:rPr>
              <w:t xml:space="preserve">205泵站、牧龙河泵站</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可根据实际需要进行调整。</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4.</w:t>
      </w:r>
      <w:r>
        <w:rPr>
          <w:rFonts w:hint="eastAsia" w:ascii="宋体" w:hAnsi="宋体" w:cs="宋体"/>
          <w:color w:val="auto"/>
          <w:sz w:val="24"/>
          <w:szCs w:val="24"/>
          <w:highlight w:val="none"/>
        </w:rPr>
        <w:t xml:space="preserve">水质检测站（污水泵站）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COD水质在线自动监测仪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量程：0-5000mg/L（可拓展）；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分析方法：重铬酸钾氧化分光光度法；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准确度：±5%；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检出限：≤5mg/L；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重复性：不超过2%；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实际水样比对测试：COD&gt;50mg/L，相对误差≤10%；COD&lt;50mg/L，相对误差≤5mg/L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总磷水质在线自动监测仪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量程：0-50mg/L（可拓展）；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分析方法：钼酸铵分光光度法；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准确度：±5%；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检出限：0.005mg/L；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重复性：不超过2%；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实际水样比对测试：≤10%</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氨氮水质在线自动监测仪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量程：0-300mg/L（可拓展）；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分析方法：水杨酸分光光度法；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准确度：标液浓度为2.0mg/L时，±8%；标液浓度为5.0mg/L时，±5%；标液浓度为8.0mg/L时，±3%；</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检出限：≤0.02mg/L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重复性：不超过2%；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实际水样比对测试：水样浓度≤2.0mg/L时，绝对误差≤0.2mg/L，水样浓度＞2.0mg/L时，相对误差≤10%</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机柜</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机柜尺寸（长×宽×高）：900mm×900mm×2117mm</w:t>
            </w:r>
            <w:r>
              <w:rPr>
                <w:rFonts w:hint="eastAsia" w:ascii="宋体" w:hAnsi="宋体" w:cs="宋体"/>
                <w:color w:val="auto"/>
                <w:sz w:val="24"/>
                <w:szCs w:val="24"/>
                <w:highlight w:val="none"/>
              </w:rPr>
              <w:t xml:space="preserve">（误差±5%）</w:t>
            </w:r>
            <w:r>
              <w:rPr>
                <w:rFonts w:ascii="宋体" w:hAnsi="宋体" w:cs="宋体"/>
                <w:color w:val="auto"/>
                <w:sz w:val="24"/>
                <w:szCs w:val="24"/>
                <w:highlight w:val="none"/>
              </w:rPr>
              <w:t xml:space="preserve">。满足机柜内部设备安装、散热、维护等使用需求</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bookmarkStart w:id="194" w:name="OLE_LINK31"/>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材质：镀锌板；漆面：户外喷粉为聚丙烯</w:t>
            </w:r>
            <w:r>
              <w:rPr>
                <w:rFonts w:hint="eastAsia" w:ascii="宋体" w:hAnsi="宋体" w:cs="宋体"/>
                <w:color w:val="auto"/>
                <w:sz w:val="24"/>
                <w:szCs w:val="24"/>
                <w:highlight w:val="none"/>
              </w:rPr>
              <w:t xml:space="preserve">。</w:t>
            </w:r>
            <w:bookmarkEnd w:id="194"/>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采水单元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采水管路采取保温措施，采水管路采用可拆洗式，配水管路具备水气反冲洗功能；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采水系统的构造保障在汛期或枯水期能正常工作而不</w:t>
            </w:r>
            <w:r>
              <w:rPr>
                <w:rFonts w:hint="eastAsia" w:ascii="宋体" w:hAnsi="宋体" w:cs="宋体"/>
                <w:color w:val="auto"/>
                <w:sz w:val="24"/>
                <w:szCs w:val="24"/>
                <w:highlight w:val="none"/>
              </w:rPr>
              <w:t xml:space="preserve">致</w:t>
            </w:r>
            <w:r>
              <w:rPr>
                <w:rFonts w:ascii="宋体" w:hAnsi="宋体" w:cs="宋体"/>
                <w:color w:val="auto"/>
                <w:sz w:val="24"/>
                <w:szCs w:val="24"/>
                <w:highlight w:val="none"/>
              </w:rPr>
              <w:t xml:space="preserve">被捣坏；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采水系统各部件满足现场使用环境和系统运行要求，具备良好的耐腐蚀性、密封性和可靠性；自吸泵选用技术成熟、性能稳定、质量可靠的产品，确保采水系统工作的可靠性和使用寿命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采水单元采用管道反冲洗、高压水射流等物理清洗方式，禁止使用化学清洗剂或任何可能造成水体二次污染的清洗方法</w:t>
            </w:r>
            <w:r>
              <w:rPr>
                <w:rFonts w:hint="eastAsia"/>
                <w:color w:val="auto"/>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控制单元</w:t>
            </w:r>
            <w:r>
              <w:rPr>
                <w:rFonts w:hint="eastAsia" w:ascii="宋体" w:hAnsi="宋体" w:cs="宋体"/>
                <w:color w:val="auto"/>
                <w:sz w:val="24"/>
                <w:szCs w:val="24"/>
                <w:highlight w:val="none"/>
              </w:rPr>
              <w:t xml:space="preserve">：由</w:t>
            </w:r>
            <w:r>
              <w:rPr>
                <w:rFonts w:ascii="宋体" w:hAnsi="宋体" w:cs="宋体"/>
                <w:color w:val="auto"/>
                <w:sz w:val="24"/>
                <w:szCs w:val="24"/>
                <w:highlight w:val="none"/>
              </w:rPr>
              <w:t xml:space="preserve">A\B 桶装置（采样、配样、留样）和控制及数采传输两部分组成</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控制采水和配样，完成监测仪器的数据采集、输出等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辅助单元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配备废液收集单元，收液量</w:t>
            </w:r>
            <w:r>
              <w:rPr>
                <w:rFonts w:hint="eastAsia" w:ascii="宋体" w:hAnsi="宋体" w:cs="宋体"/>
                <w:color w:val="auto"/>
                <w:sz w:val="24"/>
                <w:szCs w:val="24"/>
                <w:highlight w:val="none"/>
              </w:rPr>
              <w:t xml:space="preserve">须</w:t>
            </w:r>
            <w:r>
              <w:rPr>
                <w:rFonts w:ascii="宋体" w:hAnsi="宋体" w:cs="宋体"/>
                <w:color w:val="auto"/>
                <w:sz w:val="24"/>
                <w:szCs w:val="24"/>
                <w:highlight w:val="none"/>
              </w:rPr>
              <w:t xml:space="preserve">满足人工维护周期&gt;1个月；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全部设备、仪器等的供电电缆、信号电缆采用高质量屏蔽电缆，穿管或在线槽中布线，美观整齐；</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保证分析仪器运行时所用的易变质化学试剂处于4±2°低温保存，试剂箱具有冷藏温度监控功能，超温自动告警</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8、试剂：提供</w:t>
            </w:r>
            <w:r>
              <w:rPr>
                <w:rFonts w:ascii="宋体" w:hAnsi="宋体" w:cs="宋体"/>
                <w:color w:val="auto"/>
                <w:sz w:val="24"/>
                <w:szCs w:val="24"/>
                <w:highlight w:val="none"/>
              </w:rPr>
              <w:t xml:space="preserve">COD、氨氮、总磷检测专用试剂</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采集频率2小时</w:t>
            </w:r>
            <w:r>
              <w:rPr>
                <w:rFonts w:hint="eastAsia" w:ascii="宋体" w:hAnsi="宋体" w:cs="宋体"/>
                <w:color w:val="auto"/>
                <w:sz w:val="24"/>
                <w:szCs w:val="24"/>
                <w:highlight w:val="none"/>
              </w:rPr>
              <w:t xml:space="preserve">1采</w:t>
            </w:r>
            <w:r>
              <w:rPr>
                <w:rFonts w:ascii="宋体" w:hAnsi="宋体" w:cs="宋体"/>
                <w:color w:val="auto"/>
                <w:sz w:val="24"/>
                <w:szCs w:val="24"/>
                <w:highlight w:val="none"/>
              </w:rPr>
              <w:t xml:space="preserve">，1天测12组</w:t>
            </w:r>
            <w:r>
              <w:rPr>
                <w:rFonts w:hint="eastAsia" w:ascii="宋体" w:hAnsi="宋体" w:cs="宋体"/>
                <w:color w:val="auto"/>
                <w:sz w:val="24"/>
                <w:szCs w:val="24"/>
                <w:highlight w:val="none"/>
              </w:rPr>
              <w:t xml:space="preserve">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并提供3年试剂；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相关水质站</w:t>
            </w:r>
            <w:r>
              <w:rPr>
                <w:rFonts w:ascii="宋体" w:hAnsi="宋体" w:cs="宋体"/>
                <w:color w:val="auto"/>
                <w:sz w:val="24"/>
                <w:szCs w:val="24"/>
                <w:highlight w:val="none"/>
              </w:rPr>
              <w:t xml:space="preserve">设施配套</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水电</w:t>
            </w:r>
            <w:r>
              <w:rPr>
                <w:rFonts w:hint="eastAsia" w:ascii="宋体" w:hAnsi="宋体" w:cs="宋体"/>
                <w:color w:val="auto"/>
                <w:sz w:val="24"/>
                <w:szCs w:val="24"/>
                <w:highlight w:val="none"/>
              </w:rPr>
              <w:t xml:space="preserve">接入</w:t>
            </w:r>
            <w:r>
              <w:rPr>
                <w:rFonts w:ascii="宋体" w:hAnsi="宋体" w:cs="宋体"/>
                <w:color w:val="auto"/>
                <w:sz w:val="24"/>
                <w:szCs w:val="24"/>
                <w:highlight w:val="none"/>
              </w:rPr>
              <w:t xml:space="preserve">、地基基础</w:t>
            </w:r>
            <w:r>
              <w:rPr>
                <w:rFonts w:hint="eastAsia" w:ascii="宋体" w:hAnsi="宋体" w:cs="宋体"/>
                <w:color w:val="auto"/>
                <w:sz w:val="24"/>
                <w:szCs w:val="24"/>
                <w:highlight w:val="none"/>
              </w:rPr>
              <w:t xml:space="preserve">等）、网络通讯、安装调试、辅材等费用须包含在报价中。</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color w:val="auto"/>
                <w:highlight w:val="none"/>
              </w:rPr>
            </w:pPr>
            <w:r>
              <w:rPr>
                <w:rFonts w:hint="eastAsia" w:ascii="宋体" w:hAnsi="宋体" w:cs="宋体"/>
                <w:color w:val="auto"/>
                <w:sz w:val="24"/>
                <w:szCs w:val="24"/>
                <w:highlight w:val="none"/>
              </w:rPr>
              <w:t xml:space="preserve">1、安装地点：</w:t>
            </w:r>
            <w:bookmarkStart w:id="195" w:name="OLE_LINK43"/>
            <w:r>
              <w:rPr>
                <w:rFonts w:ascii="宋体" w:hAnsi="宋体" w:cs="宋体"/>
                <w:color w:val="auto"/>
                <w:sz w:val="24"/>
                <w:szCs w:val="24"/>
                <w:highlight w:val="none"/>
              </w:rPr>
              <w:t xml:space="preserve">开发区6#泵站、兴民路泵站、方前泵站、洋桥泵站</w:t>
            </w:r>
            <w:bookmarkEnd w:id="195"/>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5.</w:t>
      </w:r>
      <w:r>
        <w:rPr>
          <w:rFonts w:hint="eastAsia" w:ascii="宋体" w:hAnsi="宋体" w:cs="宋体"/>
          <w:color w:val="auto"/>
          <w:sz w:val="24"/>
          <w:szCs w:val="24"/>
          <w:highlight w:val="none"/>
        </w:rPr>
        <w:t xml:space="preserve">水质检测站（污水管井）</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COD水质在线自动监测仪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（1）量程：10-1500mg/L；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（2）分析方法：重铬酸钾氧化分光光度法；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（3）标定周期≤7天；</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（4）测量精度：≤±10%；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（5）消解温度：175℃；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（6）消解时间：20分钟；</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（7）检出限：10mg/L。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总磷水质在线自动监测仪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（1）量程：0.1-10mg/L；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（2）分析方法：钼酸铵分光光度法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（3）标定周期≤7天；</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（4）测量精度：≤±10%；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（5）消解温度：120℃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（6）消解时间：10分钟</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（7）检出限：0.02mg/L。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氨氮水质在线自动监测仪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（1）量程：0.8-60mg/L；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（2）分析方法：水杨酸分光光度法；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（3）标定周期≤7天；</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（4）测量精度：≤±10%；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（5）检出限：0.2mg/L。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机柜</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机柜尺寸（长×宽×高）：900mm×900mm×2117mm</w:t>
            </w:r>
            <w:r>
              <w:rPr>
                <w:rFonts w:hint="eastAsia" w:ascii="宋体" w:hAnsi="宋体" w:cs="宋体"/>
                <w:color w:val="auto"/>
                <w:sz w:val="24"/>
                <w:szCs w:val="24"/>
                <w:highlight w:val="none"/>
              </w:rPr>
              <w:t xml:space="preserve">（误差±5%）</w:t>
            </w:r>
            <w:r>
              <w:rPr>
                <w:rFonts w:ascii="宋体" w:hAnsi="宋体" w:cs="宋体"/>
                <w:color w:val="auto"/>
                <w:sz w:val="24"/>
                <w:szCs w:val="24"/>
                <w:highlight w:val="none"/>
              </w:rPr>
              <w:t xml:space="preserve">。满足机柜内部设备安装、散热、维护等使用需求</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材质：镀锌板 ；漆面：户外喷粉为聚丙烯</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采水单元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采水管路采取保温措施，采水管路采用可拆洗式，配水管路具备水气反冲洗功能；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采水系统的构造保障在汛期或枯水期能正常工作而不</w:t>
            </w:r>
            <w:r>
              <w:rPr>
                <w:rFonts w:hint="eastAsia" w:ascii="宋体" w:hAnsi="宋体" w:cs="宋体"/>
                <w:color w:val="auto"/>
                <w:sz w:val="24"/>
                <w:szCs w:val="24"/>
                <w:highlight w:val="none"/>
              </w:rPr>
              <w:t xml:space="preserve">致</w:t>
            </w:r>
            <w:r>
              <w:rPr>
                <w:rFonts w:ascii="宋体" w:hAnsi="宋体" w:cs="宋体"/>
                <w:color w:val="auto"/>
                <w:sz w:val="24"/>
                <w:szCs w:val="24"/>
                <w:highlight w:val="none"/>
              </w:rPr>
              <w:t xml:space="preserve">被捣坏；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采水系统各部件满足现场使用环境和系统运行要求，具备良好的耐腐蚀性、密封性和可靠性；自吸泵选用技术成熟、性能稳定、质量可靠的产品，确保采水系统工作的可靠性和使用寿命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采水单元采用管道反冲洗、高压水射流等物理清洗方式，禁止使用化学清洗剂或任何可能造成水体二次污染的清洗方法</w:t>
            </w:r>
            <w:r>
              <w:rPr>
                <w:rStyle w:val="951"/>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配水及预处理单元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配水管路设计合理，流向清晰，便于维护；保证仪器分析测试的水样能代表断面水质情况并满足仪器测试需求；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所选管材满足现场使用环境及系统连续运行要求，具备与使用工况相适的机械强度、耐腐蚀性和化学稳定性；与水样接触的管材不得发生析出、吸附等影响，不得对水样代表性和监测结果准确性造成不利影响</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配水主管路采用串联方式，各仪器之间管路采用并联方式，每台仪器从各自的取样杯中取水，任何仪器的配水管路出现故障不能影响其他仪器的测试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控制单元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支持中文显示，操作方便；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具有断电保护功能，能够在断电时保存系统参数和历史数据，在来电时自动恢复系统；</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具备自动采集数据功能，包括自动采集水质自动分析仪器数据、集成控制数据等，采集的数据自动添加数据标识，能自动识别异常监测数据，并主动上传至平台；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控制器输入输出接口</w:t>
            </w:r>
            <w:r>
              <w:rPr>
                <w:rFonts w:hint="eastAsia" w:ascii="宋体" w:hAnsi="宋体" w:cs="宋体"/>
                <w:color w:val="auto"/>
                <w:sz w:val="24"/>
                <w:szCs w:val="24"/>
                <w:highlight w:val="none"/>
              </w:rPr>
              <w:t xml:space="preserve">有</w:t>
            </w:r>
            <w:r>
              <w:rPr>
                <w:rFonts w:ascii="宋体" w:hAnsi="宋体" w:cs="宋体"/>
                <w:color w:val="auto"/>
                <w:sz w:val="24"/>
                <w:szCs w:val="24"/>
                <w:highlight w:val="none"/>
              </w:rPr>
              <w:t xml:space="preserve">余量且不少于四路，以便以后扩展；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控制器的电磁兼容性能符合《测量、控制和实验室用的电设备 电磁兼容性要求 第1部分：通用要求》GB/T 18268.1-2025的要求，并具备电源隔离、信号隔离及必要的防雷接地措施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具备对留样单元的留样、排样的控制功能；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具备与现有视频监控设备联网对接的能力。在采购人提供现有视频监控设备清单、接口协议、账号权限等必要条件下，实现视频联网接入、画面查看及状态查询。对于校时、重启、参数设置、软件升级、远程维护等功能，以现有视频监控设备具备相应开放接口和管理权限为前提</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具备参数设置功能，能够对小数位、报警(超标)上下限等参数进行设置；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具备各仪器监测结果、重要状态参数(包括校准时间及结果、仪器修正数据等)、运行流程、报警信息等显示的功能；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系统具备三级权限管理功能，至少包括系统管理员、运维管理人员和普通操作人员三级权限，并支持按角色对系统登录、参数设置、设备控制、数据查询、数据导出等功能进行分级授权管理</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具有监测数据查询、导出、自动备份功能，可分类查询水质周期数据、质控数据（空白测试数据、标样核查数据、加标回收率数据等）及其对应的仪器、系统日志流程信息；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具有监测数据查询、数据分类功能，可存储不少于</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年的原始数据和运行日志；</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能够采集自动分析仪器的监测数据，并分类保存；能够采集自动分析仪器和集成系统各单元的工作状态量，并以运行日志的形式记录保存；</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采用无线、有线的通讯方式满足数据传输要求；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具备对通信链路的自动诊断功能，具备超时补发功能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8、质控单元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仪器设备、集成系统具有自动平行样测定功能，并能将平行样结果独立保存到数据库中</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加标量、加标定容误差在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5％以内；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具备按照设定周期或远程发送命令实现对仪器标样自动核查、自动加标回收率、平行样品自动测试等质控措施；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具备根据不同质控方案进行动态加标、密码加标等制样功能；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具备自动实现加标量、标液浓度和定容体积设置的功能，并将加标量、标液浓度和定容体积信息保存并上传至平台；具备自动切换标样管和水样管的功能，以免交叉污染</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具备</w:t>
            </w:r>
            <w:r>
              <w:rPr>
                <w:rFonts w:hint="eastAsia" w:ascii="宋体" w:hAnsi="宋体" w:cs="宋体"/>
                <w:color w:val="auto"/>
                <w:sz w:val="24"/>
                <w:szCs w:val="24"/>
                <w:highlight w:val="none"/>
              </w:rPr>
              <w:t xml:space="preserve">故障</w:t>
            </w:r>
            <w:r>
              <w:rPr>
                <w:rFonts w:ascii="宋体" w:hAnsi="宋体" w:cs="宋体"/>
                <w:color w:val="auto"/>
                <w:sz w:val="24"/>
                <w:szCs w:val="24"/>
                <w:highlight w:val="none"/>
              </w:rPr>
              <w:t xml:space="preserve">自动报警功能；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具备接收远程控制命令，实现在任意时间制定任意浓度、任意加标量的制样功能；具备接受本地和远程控制设置自动实现加标量、标液浓度和定容体积设置的功能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辅助单元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配备废液收集单元，收液量</w:t>
            </w:r>
            <w:r>
              <w:rPr>
                <w:rFonts w:hint="eastAsia" w:ascii="宋体" w:hAnsi="宋体" w:cs="宋体"/>
                <w:color w:val="auto"/>
                <w:sz w:val="24"/>
                <w:szCs w:val="24"/>
                <w:highlight w:val="none"/>
              </w:rPr>
              <w:t xml:space="preserve">须</w:t>
            </w:r>
            <w:r>
              <w:rPr>
                <w:rFonts w:ascii="宋体" w:hAnsi="宋体" w:cs="宋体"/>
                <w:color w:val="auto"/>
                <w:sz w:val="24"/>
                <w:szCs w:val="24"/>
                <w:highlight w:val="none"/>
              </w:rPr>
              <w:t xml:space="preserve">满足人工维护周期&gt;1个月；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配备UPS，断电后至少能保证仪器完成一个测量周期和数据上传，且待机不少于4h；</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采样泵等仪器须进行减震防噪处理，避免对其他精密仪器的干扰；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全部设备、仪器的供电电缆和信号电缆采用屏蔽电缆，穿管或在线槽内规范敷设，布线整齐牢固，并满足抗干扰及安全运行要求</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保证分析仪器运行时所用的易变质化学试剂处于4±2°低温保存，试剂箱具有冷藏温度监控功能，超温自动告警</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10、试剂：提供</w:t>
            </w:r>
            <w:r>
              <w:rPr>
                <w:rFonts w:ascii="宋体" w:hAnsi="宋体" w:cs="宋体"/>
                <w:color w:val="auto"/>
                <w:sz w:val="24"/>
                <w:szCs w:val="24"/>
                <w:highlight w:val="none"/>
              </w:rPr>
              <w:t xml:space="preserve">COD、氨氮、总磷检测专用试剂</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采集频率</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小时</w:t>
            </w:r>
            <w:r>
              <w:rPr>
                <w:rFonts w:hint="eastAsia" w:ascii="宋体" w:hAnsi="宋体" w:cs="宋体"/>
                <w:color w:val="auto"/>
                <w:sz w:val="24"/>
                <w:szCs w:val="24"/>
                <w:highlight w:val="none"/>
              </w:rPr>
              <w:t xml:space="preserve">1采</w:t>
            </w:r>
            <w:r>
              <w:rPr>
                <w:rFonts w:ascii="宋体" w:hAnsi="宋体" w:cs="宋体"/>
                <w:color w:val="auto"/>
                <w:sz w:val="24"/>
                <w:szCs w:val="24"/>
                <w:highlight w:val="none"/>
              </w:rPr>
              <w:t xml:space="preserve">，1天测</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组</w:t>
            </w:r>
            <w:r>
              <w:rPr>
                <w:rFonts w:hint="eastAsia" w:ascii="宋体" w:hAnsi="宋体" w:cs="宋体"/>
                <w:color w:val="auto"/>
                <w:sz w:val="24"/>
                <w:szCs w:val="24"/>
                <w:highlight w:val="none"/>
              </w:rPr>
              <w:t xml:space="preserve">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并提供3年试剂；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相关水质站设施配套（水电接入、地基基础等）、网络通讯、安装调试、辅材等费用须包含在报价中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1、安装位置需中标后经现场勘查后确定。</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6.</w:t>
      </w:r>
      <w:r>
        <w:rPr>
          <w:rFonts w:hint="eastAsia" w:ascii="宋体" w:hAnsi="宋体" w:cs="宋体"/>
          <w:color w:val="auto"/>
          <w:sz w:val="24"/>
          <w:szCs w:val="24"/>
          <w:highlight w:val="none"/>
        </w:rPr>
        <w:t xml:space="preserve">雷达流量计（污水管网责任节点井）</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1、雷达式非接触测量，水位雷达波束角≤8°；</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2、流量、流速、水位一体输出；</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3、水位量程：20m；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4、水位准确度：±1mm；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5、工作温度：-40℃~80℃；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、测速范围：0.02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30m/s（0.02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21m/s、21m</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30m/s）；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、测速精度：8.8mm/s；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、含太阳能供电套装、信号传输、支架杆件；</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、水位雷达频率：80GHz；</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、水位雷达天线类型：平面微带阵列天线；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、流速雷达发射角：12°×12；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、流速雷达工作频率：24GHz；</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、工作电流：65mA@12V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、工作电压：6</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30V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7、安装地点：</w:t>
            </w:r>
            <w:r>
              <w:rPr>
                <w:rFonts w:ascii="宋体" w:hAnsi="宋体" w:cs="宋体"/>
                <w:color w:val="auto"/>
                <w:sz w:val="24"/>
                <w:szCs w:val="24"/>
                <w:highlight w:val="none"/>
              </w:rPr>
              <w:t xml:space="preserve">高新区和东山街道</w:t>
            </w:r>
            <w:r>
              <w:rPr>
                <w:rFonts w:hint="eastAsia" w:ascii="宋体" w:hAnsi="宋体" w:cs="宋体"/>
                <w:color w:val="auto"/>
                <w:sz w:val="24"/>
                <w:szCs w:val="24"/>
                <w:highlight w:val="none"/>
              </w:rPr>
              <w:t xml:space="preserve">节点井，</w:t>
            </w:r>
            <w:r>
              <w:rPr>
                <w:rFonts w:ascii="宋体" w:hAnsi="宋体" w:cs="宋体"/>
                <w:color w:val="auto"/>
                <w:sz w:val="24"/>
                <w:szCs w:val="24"/>
                <w:highlight w:val="none"/>
              </w:rPr>
              <w:t xml:space="preserve">高新区和淳化街道</w:t>
            </w:r>
            <w:r>
              <w:rPr>
                <w:rFonts w:hint="eastAsia" w:ascii="宋体" w:hAnsi="宋体" w:cs="宋体"/>
                <w:color w:val="auto"/>
                <w:sz w:val="24"/>
                <w:szCs w:val="24"/>
                <w:highlight w:val="none"/>
              </w:rPr>
              <w:t xml:space="preserve">节点井，</w:t>
            </w:r>
            <w:r>
              <w:rPr>
                <w:rFonts w:ascii="宋体" w:hAnsi="宋体" w:cs="宋体"/>
                <w:color w:val="auto"/>
                <w:sz w:val="24"/>
                <w:szCs w:val="24"/>
                <w:highlight w:val="none"/>
              </w:rPr>
              <w:t xml:space="preserve">东山总部园和农副物流</w:t>
            </w:r>
            <w:r>
              <w:rPr>
                <w:rFonts w:hint="eastAsia" w:ascii="宋体" w:hAnsi="宋体" w:cs="宋体"/>
                <w:color w:val="auto"/>
                <w:sz w:val="24"/>
                <w:szCs w:val="24"/>
                <w:highlight w:val="none"/>
              </w:rPr>
              <w:t xml:space="preserve">节点井，</w:t>
            </w:r>
            <w:r>
              <w:rPr>
                <w:rFonts w:ascii="宋体" w:hAnsi="宋体" w:cs="宋体"/>
                <w:color w:val="auto"/>
                <w:sz w:val="24"/>
                <w:szCs w:val="24"/>
                <w:highlight w:val="none"/>
              </w:rPr>
              <w:t xml:space="preserve">横溪陶吴集镇和空港开发区</w:t>
            </w:r>
            <w:r>
              <w:rPr>
                <w:rFonts w:hint="eastAsia" w:ascii="宋体" w:hAnsi="宋体" w:cs="宋体"/>
                <w:color w:val="auto"/>
                <w:sz w:val="24"/>
                <w:szCs w:val="24"/>
                <w:highlight w:val="none"/>
              </w:rPr>
              <w:t xml:space="preserve">节点井，</w:t>
            </w:r>
            <w:r>
              <w:rPr>
                <w:rFonts w:ascii="宋体" w:hAnsi="宋体" w:cs="宋体"/>
                <w:color w:val="auto"/>
                <w:sz w:val="24"/>
                <w:szCs w:val="24"/>
                <w:highlight w:val="none"/>
              </w:rPr>
              <w:t xml:space="preserve">高新区往高桥系统节点井</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南区系统中秣陵、未来科技城、开发区节点井3套</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滨江开发区和江宁街道</w:t>
            </w:r>
            <w:r>
              <w:rPr>
                <w:rFonts w:hint="eastAsia" w:ascii="宋体" w:hAnsi="宋体" w:cs="宋体"/>
                <w:color w:val="auto"/>
                <w:sz w:val="24"/>
                <w:szCs w:val="24"/>
                <w:highlight w:val="none"/>
              </w:rPr>
              <w:t xml:space="preserve">（以实际安装位置为准）</w:t>
            </w:r>
            <w:r>
              <w:rPr>
                <w:rFonts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7.</w:t>
      </w:r>
      <w:r>
        <w:rPr>
          <w:rFonts w:hint="eastAsia" w:ascii="宋体" w:hAnsi="宋体" w:cs="宋体"/>
          <w:color w:val="auto"/>
          <w:sz w:val="24"/>
          <w:szCs w:val="24"/>
          <w:highlight w:val="none"/>
        </w:rPr>
        <w:t xml:space="preserve">液位监测设备（污水漫溢点）</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、量程：0-15米；</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2、测量精度：±1.5mm；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3、重复性：±1mm；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、保护等级：IP68（通过水深6米，静置72小时，防尘12小时防护检测）；</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、静压式水位计，量程5米，补雷达盲区；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、静压精度：±5mm（满量程）；</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、通过绝缘性能200MΩ要求；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w:t>
            </w:r>
            <w:r>
              <w:rPr>
                <w:rFonts w:ascii="宋体" w:hAnsi="宋体" w:cs="宋体"/>
                <w:color w:val="auto"/>
                <w:sz w:val="24"/>
                <w:szCs w:val="24"/>
                <w:highlight w:val="none"/>
              </w:rPr>
              <w:t xml:space="preserve">有虚假回波显示、编辑、</w:t>
            </w:r>
            <w:r>
              <w:rPr>
                <w:rFonts w:hint="eastAsia" w:ascii="宋体" w:hAnsi="宋体" w:cs="宋体"/>
                <w:color w:val="auto"/>
                <w:sz w:val="24"/>
                <w:szCs w:val="24"/>
                <w:highlight w:val="none"/>
              </w:rPr>
              <w:t xml:space="preserve">屏蔽</w:t>
            </w:r>
            <w:r>
              <w:rPr>
                <w:rFonts w:ascii="宋体" w:hAnsi="宋体" w:cs="宋体"/>
                <w:color w:val="auto"/>
                <w:sz w:val="24"/>
                <w:szCs w:val="24"/>
                <w:highlight w:val="none"/>
              </w:rPr>
              <w:t xml:space="preserve">虚假信号功能；虚假回波存储功能</w:t>
            </w:r>
            <w:r>
              <w:rPr>
                <w:rFonts w:hint="eastAsia" w:ascii="宋体" w:hAnsi="宋体" w:cs="宋体"/>
                <w:color w:val="auto"/>
                <w:sz w:val="24"/>
                <w:szCs w:val="24"/>
                <w:highlight w:val="none"/>
              </w:rPr>
              <w:t xml:space="preserve">；具</w:t>
            </w:r>
            <w:r>
              <w:rPr>
                <w:rFonts w:ascii="宋体" w:hAnsi="宋体" w:cs="宋体"/>
                <w:color w:val="auto"/>
                <w:sz w:val="24"/>
                <w:szCs w:val="24"/>
                <w:highlight w:val="none"/>
              </w:rPr>
              <w:t xml:space="preserve">有零点回波功能；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、报警点：可无限制设置；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、上报点：数据上报间隔可配置，支持1s～24小时范围内设置；设备配置152Ah电池；</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、双核处理器电子单元，加快处理速度；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2、具备</w:t>
            </w:r>
            <w:r>
              <w:rPr>
                <w:rFonts w:ascii="宋体" w:hAnsi="宋体" w:cs="宋体"/>
                <w:color w:val="auto"/>
                <w:sz w:val="24"/>
                <w:szCs w:val="24"/>
                <w:highlight w:val="none"/>
              </w:rPr>
              <w:t xml:space="preserve">识变增益功能</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根据不同工况，仪表自动调整信号强度，增加仪表可靠性和稳定性；</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抗电磁干扰功能，周围有用电干扰时，因为电压不稳时会有浪涌引起的干扰信号，仪表能自动</w:t>
            </w:r>
            <w:r>
              <w:rPr>
                <w:rFonts w:hint="eastAsia" w:ascii="宋体" w:hAnsi="宋体" w:cs="宋体"/>
                <w:color w:val="auto"/>
                <w:sz w:val="24"/>
                <w:szCs w:val="24"/>
                <w:highlight w:val="none"/>
              </w:rPr>
              <w:t xml:space="preserve">屏蔽</w:t>
            </w:r>
            <w:r>
              <w:rPr>
                <w:rFonts w:ascii="宋体" w:hAnsi="宋体" w:cs="宋体"/>
                <w:color w:val="auto"/>
                <w:sz w:val="24"/>
                <w:szCs w:val="24"/>
                <w:highlight w:val="none"/>
              </w:rPr>
              <w:t xml:space="preserve">掉；</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、工作温度-40℃-70℃；在温度40摄氏度，</w:t>
            </w:r>
            <w:r>
              <w:rPr>
                <w:rFonts w:hint="eastAsia" w:ascii="宋体" w:hAnsi="宋体" w:cs="宋体"/>
                <w:color w:val="auto"/>
                <w:sz w:val="24"/>
                <w:szCs w:val="24"/>
                <w:highlight w:val="none"/>
              </w:rPr>
              <w:t xml:space="preserve">湿度</w:t>
            </w:r>
            <w:r>
              <w:rPr>
                <w:rFonts w:ascii="宋体" w:hAnsi="宋体" w:cs="宋体"/>
                <w:color w:val="auto"/>
                <w:sz w:val="24"/>
                <w:szCs w:val="24"/>
                <w:highlight w:val="none"/>
              </w:rPr>
              <w:t xml:space="preserve">95%保持四小时，工作正常；</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、内置温度补偿；</w:t>
            </w:r>
            <w:r/>
          </w:p>
          <w:p>
            <w:pPr>
              <w:jc w:val="left"/>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手机APP调整功能；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便携式外接调试模块；</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电流调整，偏差现场校正功能；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19、数据接入本项目建设的智慧水务平台；</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、供电范围：6-26V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、通讯接口：RS-485；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、存放温度：-40－+70℃；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、通讯：设备支持4G、</w:t>
            </w:r>
            <w:r>
              <w:rPr>
                <w:rFonts w:hint="eastAsia" w:ascii="宋体" w:hAnsi="宋体" w:cs="宋体"/>
                <w:color w:val="auto"/>
                <w:sz w:val="24"/>
                <w:szCs w:val="24"/>
                <w:highlight w:val="none"/>
              </w:rPr>
              <w:t xml:space="preserve">3G、2G、</w:t>
            </w:r>
            <w:r>
              <w:rPr>
                <w:rFonts w:ascii="宋体" w:hAnsi="宋体" w:cs="宋体"/>
                <w:color w:val="auto"/>
                <w:sz w:val="24"/>
                <w:szCs w:val="24"/>
                <w:highlight w:val="none"/>
              </w:rPr>
              <w:t xml:space="preserve">NB-IoT等无线通信方式中的至少一种，并可根据现场网络条件采用经采购人认可的其他通信方式；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6、安装地点：竹新路、鞭鞍街、金盛路、丰泽路、润发路、万福路、兴业路、泥塘路、富清街、文靖东路。</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8.</w:t>
      </w:r>
      <w:r>
        <w:rPr>
          <w:rFonts w:hint="eastAsia" w:ascii="宋体" w:hAnsi="宋体" w:cs="宋体"/>
          <w:color w:val="auto"/>
          <w:sz w:val="24"/>
          <w:szCs w:val="24"/>
          <w:highlight w:val="none"/>
        </w:rPr>
        <w:t xml:space="preserve">视频监控（污水漫溢点）</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球形摄像机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传感器类型：1/2.8英寸CMOS；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像素：400万；</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最大分辨率：2560×1440；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最低照度：彩色：0.005lux@F1.6 黑白：0.0005lux@F1.60Lux(红外灯开启)；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最大补光距离：150m（红外）；</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镜头焦距：4.8mm～154mm；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镜头光圈：F1.6~4.0；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视场角：水平：55.8°~ 2.3°垂直：31.9°~1.3°对角线：63.7°~ 2.7°；</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光学变倍：32倍；</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定时任务：预置点；巡迹；巡航；线扫；</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可视域功能：支持；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支持人脸检测、周界防范；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防抖功能：电子防抖；</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透雾功能：电子透雾；</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网络接口：1个（内置RJ-45网口，支持10M/100M网络数据）；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语音对讲：支持；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防护等级：IP66；TVS 6000V防雷、防浪涌和防突波保护；</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ascii="宋体" w:hAnsi="宋体" w:cs="宋体"/>
                <w:color w:val="auto"/>
                <w:sz w:val="24"/>
                <w:szCs w:val="24"/>
                <w:highlight w:val="none"/>
              </w:rPr>
              <w:t xml:space="preserve">接口类型：RJ45接口；RS485接口；</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w:t>
            </w:r>
            <w:r>
              <w:rPr>
                <w:rFonts w:ascii="宋体" w:hAnsi="宋体" w:cs="宋体"/>
                <w:color w:val="auto"/>
                <w:sz w:val="24"/>
                <w:szCs w:val="24"/>
                <w:highlight w:val="none"/>
              </w:rPr>
              <w:t xml:space="preserve">存储卡：512G</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太阳能供电套装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太阳能板</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最大功率：200Wp；工作电压：19.60V；工作电流：10.21A；开路电压：23.78V；短路电流：11.55A；组件转化效率：≥17.2%；电池片转化效率：≥20%；最大功率温度系数：-0.42%/K；开路电压温度系数：-0.30%/K；短路电流温度系数：+0.04%/K；绝缘强度：1000V；</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电池片类型：单晶硅；主体材料：硅/钢化玻璃/铝框；电池片尺寸：70mm×210mm；电池片数量：4×18；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磷酸铁锂电池</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充电电压：14.6V；标准放电电流：5A；最大放电电流：10A；</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低温放电性能：≥60%标称容量（-20℃，0.2C）；高温放电性能：≥90%标称容量（60℃，0.2C）；运行功耗：≤50mA；休眠模式：支持，功耗≤1mA；循环寿命：≥1500次；控制器类型：MPPT；充电接口：1路，2芯防水接头；放电接口：1路，Φ5.5mm×Φ2.1mm×10mm；通讯方式：RS485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安装支架：Q235钢材质；抱箍安装，适配100-180mm立柱；三角支架形式，安装便利；支持太阳能板和电池安装</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立杆：杆高3米，含地笼、成套防水箱（配置空开、防雷器等电气元件）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网络传输</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互联网宽带，100M，3年</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球形摄像机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音频输入：1路（LINE IN；裸线）；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音频输出：1路（LINE OUT；裸线）；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报警输入：2路，开关量输入（0~5V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报警输出：1路；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供电方式：DC12V/3A（-10%~+25%）；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球机尺寸：6寸；</w:t>
            </w:r>
            <w:r/>
          </w:p>
          <w:p>
            <w:pPr>
              <w:jc w:val="left"/>
              <w:rPr>
                <w:color w:val="auto"/>
                <w:highlight w:val="none"/>
              </w:rPr>
            </w:pPr>
            <w:r>
              <w:rPr>
                <w:rFonts w:hint="eastAsia" w:ascii="宋体" w:hAnsi="宋体" w:cs="宋体"/>
                <w:color w:val="auto"/>
                <w:sz w:val="24"/>
                <w:szCs w:val="24"/>
                <w:highlight w:val="none"/>
              </w:rPr>
              <w:t xml:space="preserve">2、安装地点：竹新路、鞭鞍街、金盛路、丰泽路、润发路、万福路、兴业路、泥塘路、富清街、文靖东路。</w:t>
            </w:r>
            <w:r/>
          </w:p>
        </w:tc>
      </w:tr>
    </w:tbl>
    <w:p>
      <w:pPr>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9.电子水尺（易积淹点地埋式积水监测）</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1、地埋式积水测点；</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2、内置电池供电（3.6V锂亚电池），无积水的情况下，可连续工作5年；</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3、水位量程≤1.5m；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4、水位误差±1cm（@25℃，101kPa）；</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5、分辨率：1mm；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6、输出信号：NB-IoT网络上传；</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7、外壳材质：304不锈钢；</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8、防护等级：IP68；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1、安装地点：</w:t>
            </w:r>
            <w:r>
              <w:rPr>
                <w:rFonts w:ascii="宋体" w:hAnsi="宋体" w:cs="宋体"/>
                <w:color w:val="auto"/>
                <w:sz w:val="24"/>
                <w:szCs w:val="24"/>
                <w:highlight w:val="none"/>
              </w:rPr>
              <w:t xml:space="preserve">东山主城区积淹点</w:t>
            </w:r>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10.</w:t>
      </w:r>
      <w:r>
        <w:rPr>
          <w:rFonts w:hint="eastAsia" w:ascii="宋体" w:hAnsi="宋体" w:cs="宋体"/>
          <w:color w:val="auto"/>
          <w:sz w:val="24"/>
          <w:szCs w:val="24"/>
          <w:highlight w:val="none"/>
        </w:rPr>
        <w:t xml:space="preserve">视频监控（易积淹点）</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球形摄像机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传感器类型：1/2.8英寸CMOS；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像素：400万；</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最大分辨率：2560×1440；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最低照度：彩色：0.005lux@F1.6 黑白：0.0005lux@F1.60Lux(红外灯开启)；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最大补光距离：150m（红外）；</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镜头焦距：4.8mm～154mm；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镜头光圈：F1.6~4.0；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视场角：水平：55.8°~ 2.3°垂直：31.9°~1.3°对角线：63.7°~ 2.7°；</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光学变倍：32倍；</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定时任务：预置点；巡迹；巡航；线扫；</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可视域功能：支持；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支持人脸检测、周界防范；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防抖功能：电子防抖；</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透雾功能：电子透雾；</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网络接口：1个（内置RJ-45网口，支持10M/100M网络数据）；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语音对讲：支持；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防护等级：IP66；TVS 6000V防雷、防浪涌和防突波保护；</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ascii="宋体" w:hAnsi="宋体" w:cs="宋体"/>
                <w:color w:val="auto"/>
                <w:sz w:val="24"/>
                <w:szCs w:val="24"/>
                <w:highlight w:val="none"/>
              </w:rPr>
              <w:t xml:space="preserve">接口类型：RJ45接口；RS485接口；</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w:t>
            </w:r>
            <w:r>
              <w:rPr>
                <w:rFonts w:ascii="宋体" w:hAnsi="宋体" w:cs="宋体"/>
                <w:color w:val="auto"/>
                <w:sz w:val="24"/>
                <w:szCs w:val="24"/>
                <w:highlight w:val="none"/>
              </w:rPr>
              <w:t xml:space="preserve">存储卡：512G；</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太阳能供电套装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太阳能板</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最大功率：200Wp；工作电压：19.60V；工作电流：10.21A；开路电压：23.78V；短路电流：11.55A；组件转化效率：≥17.2%；电池片转化效率：≥20%；最大功率温度系数：-0.42%/K；开路电压温度系数：-0.30%/K；短路电流温度系数：+0.04%/K；绝缘强度：1000V；</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电池片类型：单晶硅；主体材料：硅/钢化玻璃/铝框；电池片尺寸：70mm×210mm；电池片数量：4×18；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磷酸铁锂电池</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充电电压：14.6V；标准放电电流：5A；最大放电电流：10A；</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低温放电性能：≥60%标称容量（-20℃，0.2C）；高温放电性能：≥90%标称容量（60℃，0.2C）；运行功耗：≤50mA；休眠模式：支持，功耗≤1mA；循环寿命：≥1500次；控制器类型：MPPT；充电接口：1路，2芯防水接头；放电接口：1路，Φ5.5mm×Φ2.1mm×10mm；通讯方式：RS485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安装支架：Q235钢材质；抱箍安装，适配100-180mm立柱；三角支架形式，安装便利；支持太阳能板和电池安装</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立杆：杆高3米，含地笼、成套防水箱（配置空开、防雷器等电气元件）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网络传输</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互联网宽带，100M，3年</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6、相关安装调试、辅材等费用须包含在报价中。</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球形摄像机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音频输入：1路（LINE IN；裸线）；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音频输出：1路（LINE OUT；裸线）；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报警输入：2路，开关量输入（0~5V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报警输出：1路；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供电方式：DC12V/3A（-10%~+25%）；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球机尺寸：6寸</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2、安装地点：</w:t>
            </w:r>
            <w:r>
              <w:rPr>
                <w:rFonts w:ascii="宋体" w:hAnsi="宋体" w:cs="宋体"/>
                <w:color w:val="auto"/>
                <w:sz w:val="24"/>
                <w:szCs w:val="24"/>
                <w:highlight w:val="none"/>
              </w:rPr>
              <w:t xml:space="preserve">东山主城区积淹点</w:t>
            </w:r>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11.</w:t>
      </w:r>
      <w:r>
        <w:rPr>
          <w:rFonts w:ascii="宋体" w:hAnsi="宋体" w:cs="宋体"/>
          <w:color w:val="auto"/>
          <w:sz w:val="24"/>
          <w:szCs w:val="24"/>
          <w:highlight w:val="none"/>
        </w:rPr>
        <w:t xml:space="preserve">LED</w:t>
      </w:r>
      <w:r>
        <w:rPr>
          <w:rFonts w:hint="eastAsia" w:ascii="宋体" w:hAnsi="宋体" w:cs="宋体"/>
          <w:color w:val="auto"/>
          <w:sz w:val="24"/>
          <w:szCs w:val="24"/>
          <w:highlight w:val="none"/>
        </w:rPr>
        <w:t xml:space="preserve">大屏</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LED 全彩显示屏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尺寸：5.44m*1.6m（宽*高）= 8.704㎡；</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物理像素点间距：1.25mm；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物理像素密度：640000点/M2；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白平衡亮度：0cd/㎡-1200cd/㎡可调；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视角水平：≥160°,垂直：≥160°；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灰度等级：100%亮度，16bit；70%亮度，15bit；50%亮度，13bit；20%亮度，12bit；</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换帧速度：≥60帧/秒；</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刷新频率：支持软件调节900-4200H</w:t>
            </w:r>
            <w:r>
              <w:rPr>
                <w:rFonts w:hint="eastAsia" w:ascii="宋体" w:hAnsi="宋体" w:cs="宋体"/>
                <w:color w:val="auto"/>
                <w:sz w:val="24"/>
                <w:szCs w:val="24"/>
                <w:highlight w:val="none"/>
              </w:rPr>
              <w:t xml:space="preserve">z</w:t>
            </w:r>
            <w:r>
              <w:rPr>
                <w:rFonts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扫描方式：动态恒流；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环境/工作温度：-20℃～60℃；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相对湿度：10%～95%；</w:t>
            </w:r>
            <w:r>
              <w:rPr>
                <w:rFonts w:hint="eastAsia"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连续工作时间：≥7×24小时；</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屏幕寿命：≥100,000（Hrs）；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无故障工作时间 连续工作时间：≥10000小时，无故障；</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平整度 整屏拼缝和平整度：≤1mm；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亮度均匀性：≥98%；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色度均匀性：发光点中心距偏差≤2%，色度均匀性±0.002（Cx，Cy之内）；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ascii="宋体" w:hAnsi="宋体" w:cs="宋体"/>
                <w:color w:val="auto"/>
                <w:sz w:val="24"/>
                <w:szCs w:val="24"/>
                <w:highlight w:val="none"/>
              </w:rPr>
              <w:t xml:space="preserve">产品安全性：产品在溶液浓度5%Nacl溶液试验箱及烟雾温度：35°C实验时间：16h试验后，样品的表面、内部线路部分及机械转运无腐蚀</w:t>
            </w:r>
            <w:r>
              <w:rPr>
                <w:rFonts w:hint="eastAsia" w:ascii="宋体" w:hAnsi="宋体" w:cs="宋体"/>
                <w:color w:val="auto"/>
                <w:sz w:val="24"/>
                <w:szCs w:val="24"/>
                <w:highlight w:val="none"/>
              </w:rPr>
              <w:t xml:space="preserve">；</w:t>
            </w:r>
            <w:r/>
          </w:p>
          <w:p>
            <w:pPr>
              <w:jc w:val="left"/>
              <w:rPr>
                <w:color w:val="auto"/>
                <w:highlight w:val="none"/>
              </w:rPr>
            </w:pPr>
            <w:r>
              <w:rPr>
                <w:rFonts w:hint="eastAsia" w:cs="宋体"/>
                <w:color w:val="auto"/>
                <w:sz w:val="24"/>
                <w:szCs w:val="24"/>
                <w:highlight w:val="none"/>
              </w:rPr>
              <w:t xml:space="preserve">（19）</w:t>
            </w:r>
            <w:r>
              <w:rPr>
                <w:rFonts w:hint="eastAsia" w:cs="宋体"/>
                <w:b/>
                <w:bCs/>
                <w:color w:val="auto"/>
                <w:sz w:val="24"/>
                <w:szCs w:val="24"/>
                <w:highlight w:val="none"/>
              </w:rPr>
              <w:t xml:space="preserve">该产品</w:t>
            </w:r>
            <w:r>
              <w:rPr>
                <w:rFonts w:hint="eastAsia" w:ascii="宋体" w:hAnsi="宋体" w:cs="宋体"/>
                <w:b/>
                <w:bCs/>
                <w:color w:val="auto"/>
                <w:sz w:val="24"/>
                <w:szCs w:val="24"/>
                <w:highlight w:val="none"/>
              </w:rPr>
              <w:t xml:space="preserve">涉及</w:t>
            </w:r>
            <w:r>
              <w:rPr>
                <w:rFonts w:hint="eastAsia" w:cs="宋体"/>
                <w:b/>
                <w:bCs/>
                <w:color w:val="auto"/>
                <w:sz w:val="24"/>
                <w:szCs w:val="24"/>
                <w:highlight w:val="none"/>
              </w:rPr>
              <w:t xml:space="preserve">国家强制性产品认证（CCC认证证书），签订合同时须提供国家确定的认证机构出具的、处于有效期之内的CCC产品认证证书。</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视频处理器</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五画面；带载1040万、横向最大16384、纵向最大8192；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输入：4xDVI，1xHDMI2.0,1x3G SDI；</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输出：16x网口，4x10G光纤，1xHDMI预监，支持HDR输出，支持3D功能，专业控制软件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LED智能配电箱：10KW，PLC控制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安装支架：模块化框架式标准支架 全钢质材料、黑色喷漆成型、表面消除反光措施、所有紧固件采用镀锌钝化工艺, 拼接机架具有上下左右、前后的调整功能，平面平整度不大于0.2mm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5、相关安装调试、辅材（</w:t>
            </w:r>
            <w:r>
              <w:rPr>
                <w:rFonts w:ascii="宋体" w:hAnsi="宋体" w:cs="宋体"/>
                <w:color w:val="auto"/>
                <w:sz w:val="24"/>
                <w:szCs w:val="24"/>
                <w:highlight w:val="none"/>
              </w:rPr>
              <w:t xml:space="preserve">信号线、电缆等</w:t>
            </w:r>
            <w:r>
              <w:rPr>
                <w:rFonts w:hint="eastAsia" w:ascii="宋体" w:hAnsi="宋体" w:cs="宋体"/>
                <w:color w:val="auto"/>
                <w:sz w:val="24"/>
                <w:szCs w:val="24"/>
                <w:highlight w:val="none"/>
              </w:rPr>
              <w:t xml:space="preserve">）、拆旧服务等费用须包含在报价中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LED全彩显示屏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发光像素：SMD0808三合一黑灯；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工作电压：AC220V/380V±10%，50Hz（三相五线制）；</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平均功耗：≤180W/m²；</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最大功耗：≤400W/m²；</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配电系统：工控远程智能上电；</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维护方式：模组、电源、信号驱动完全前维护，满足现场快速维修需求；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控制方式：屏幕像素与控制机显示器点点对应，同步映射；</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控制设备：纯硬件系统设备：整套系统采用纯嵌入式硬件设备，确保系统运行的稳定性；</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噪音：麦克风与样品外表距离1米，针对测试面≤10dB(A)</w:t>
            </w:r>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12.</w:t>
      </w:r>
      <w:r>
        <w:rPr>
          <w:rFonts w:hint="eastAsia" w:ascii="宋体" w:hAnsi="宋体" w:cs="宋体"/>
          <w:color w:val="auto"/>
          <w:sz w:val="24"/>
          <w:szCs w:val="24"/>
          <w:highlight w:val="none"/>
        </w:rPr>
        <w:t xml:space="preserve">水质检测站（排水泵站）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氨氮在线分析仪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分析方法：水杨酸分光光度法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前处理方式：吹气加热蒸馏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消解温度：60℃</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测量范围：(0～1/5/20/100) mg/L；可调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准确度：±5%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分辨率：0.01mg/L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重复性：≤5%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零点漂移：±2%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量程漂移：±2%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检出限：0.02mg/L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测量时间：≤10min</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MTBF：≥1440小时/次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能进行自动测定和手动测定两种工作模式的设置及时间常量的设定；具备自动校准和标样自动核查功能；能对试样进行测定，自动保存结果；能按天查询、按小时查询测量结果；具备浓度超过设定值时自动报警、设备故障及缺试剂报警；具备仪器运行状态信息输出、接受远程控制；能储存至少3年的测量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微型站房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钢结构</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面积：1平方米</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防护等级：IP65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含机柜空调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采水管路采取保温措施，采水管路采用可拆洗式，配水管路具备水气反冲洗功能；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采水系统的构造保障在汛期或枯水期能正常工作而不</w:t>
            </w:r>
            <w:r>
              <w:rPr>
                <w:rFonts w:hint="eastAsia" w:ascii="宋体" w:hAnsi="宋体" w:cs="宋体"/>
                <w:color w:val="auto"/>
                <w:sz w:val="24"/>
                <w:szCs w:val="24"/>
                <w:highlight w:val="none"/>
              </w:rPr>
              <w:t xml:space="preserve">致</w:t>
            </w:r>
            <w:r>
              <w:rPr>
                <w:rFonts w:ascii="宋体" w:hAnsi="宋体" w:cs="宋体"/>
                <w:color w:val="auto"/>
                <w:sz w:val="24"/>
                <w:szCs w:val="24"/>
                <w:highlight w:val="none"/>
              </w:rPr>
              <w:t xml:space="preserve">被捣坏；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采水系统各部件满足现场使用环境和系统运行要求，具备良好的耐腐蚀性、密封性和可靠性；自吸泵选用技术成熟、性能稳定、质量可靠的产品，确保采水系统工作的可靠性和使用寿命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采水单元采用管道反冲洗、高压水射流等物理清洗方式，禁止使用化学清洗剂或任何可能造成水体二次污染的清洗方法。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配水及预处理单元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配水管路设计合理，流向清晰，便于维护；保证仪器分析测试的水样能代表断面水质情况并满足仪器测试需求；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所选管材</w:t>
            </w:r>
            <w:r>
              <w:rPr>
                <w:rFonts w:hint="eastAsia" w:ascii="宋体" w:hAnsi="宋体" w:cs="宋体"/>
                <w:color w:val="auto"/>
                <w:sz w:val="24"/>
                <w:szCs w:val="24"/>
                <w:highlight w:val="none"/>
              </w:rPr>
              <w:t xml:space="preserve">具备良好的</w:t>
            </w:r>
            <w:r>
              <w:rPr>
                <w:rFonts w:ascii="宋体" w:hAnsi="宋体" w:cs="宋体"/>
                <w:color w:val="auto"/>
                <w:sz w:val="24"/>
                <w:szCs w:val="24"/>
                <w:highlight w:val="none"/>
              </w:rPr>
              <w:t xml:space="preserve">机械强度及化学稳定性、使用寿命长、便于安装维护，不会对水样水质造成影响；</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配水主管路采用串联方式，各仪器之间管路采用并联方式，每台仪器从各自的取样杯中取水，任何仪器的配水管路出现故障</w:t>
            </w:r>
            <w:r>
              <w:rPr>
                <w:rFonts w:hint="eastAsia" w:ascii="宋体" w:hAnsi="宋体" w:cs="宋体"/>
                <w:color w:val="auto"/>
                <w:sz w:val="24"/>
                <w:szCs w:val="24"/>
                <w:highlight w:val="none"/>
              </w:rPr>
              <w:t xml:space="preserve">均</w:t>
            </w:r>
            <w:r>
              <w:rPr>
                <w:rFonts w:ascii="宋体" w:hAnsi="宋体" w:cs="宋体"/>
                <w:color w:val="auto"/>
                <w:sz w:val="24"/>
                <w:szCs w:val="24"/>
                <w:highlight w:val="none"/>
              </w:rPr>
              <w:t xml:space="preserve">不能影响其他仪器的测试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5、控制单元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控制单元与各分析仪器采用总线连接，可采用一主多从，电气连接采用RS-232/485或者TCP/IP总线形式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具有断电保护功能，能够在断电时保存系统参数和历史数据，在来电时自动恢复系统</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具备自动采集数据功能，包括自动采集在线分析仪器数据、集成控制数据等，采集的数据自动添加数据标识，异常监测数据能自动识别，并主动上传至平台</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具备单点控制功能，能够对单一控制点（阀、泵等）进行调试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具备对自动监测分析仪器的启停、校时、校准、质控测试等控制功能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具备对留样单元的自动留样、自动排样的控制功能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具备参数设置功能，能够对小数位、单位、仪器测定上下限、报警（超标）上下限等参数进行设置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具备仪器监测结果、状态参数、运行流程、报警信息等显示的功能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具有监测数据查询、导出、自动备份功能，可分类查询水质周期数据、质控数据（零点核查数据、跨度核查数据）及其对应的仪器、系统日志流程信息</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配置无线通讯模块，通过无线通讯方式完成数据传输要求（实现≥6个地址传送功能），将水站的相关数据实时上送至用户指定的上层数据平台软件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（11）具备</w:t>
            </w:r>
            <w:r>
              <w:rPr>
                <w:rFonts w:ascii="宋体" w:hAnsi="宋体" w:cs="宋体"/>
                <w:color w:val="auto"/>
                <w:sz w:val="24"/>
                <w:szCs w:val="24"/>
                <w:highlight w:val="none"/>
              </w:rPr>
              <w:t xml:space="preserve">控制系统运行设置功能：基站控制系统接受本地和远程设置常规数据、异常数据及超标数据自动识别的多种智能运行模式，有效判别异常数据和超标数据；具备设置水质监测系统自动并行分析或顺序分析功能，对常规约束性指标、富营养化指标和有检出指标进行周期监测，对常规评价指标、未检出指标和高风险污染指标进行同时或顺序监测（每24小时测试1次），对未检出指标一旦检出后系统自动判别超标数据并进入应急监测，周期缩短加密测试，由系统设备自动完成，并具备全流程质控系统</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满足关于印发《国家地表水水质自动监测站运行维护管理实施细则（试行）》等文件的通知之附件6《地表水自动监测系统通信协议技术规定》（试行）中要求的系统数据标记，如电源故障、取水故障、仪器故障、仪器通讯故障、现场启动测试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具备单独为各仪器监测运行周期进行设置的功能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具备异常数据判别功能，并实施相关设置的质控操作。具备自动实现加标量、标液浓度和定容体积设置的功能，并将加标量、标液浓度和定容体积信息保存并上传至平台</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控制系统单元具备对监测仪器功能管理，</w:t>
            </w:r>
            <w:r>
              <w:rPr>
                <w:rFonts w:hint="eastAsia" w:ascii="宋体" w:hAnsi="宋体" w:cs="宋体"/>
                <w:color w:val="auto"/>
                <w:sz w:val="24"/>
                <w:szCs w:val="24"/>
                <w:highlight w:val="none"/>
              </w:rPr>
              <w:t xml:space="preserve">包括</w:t>
            </w:r>
            <w:r>
              <w:rPr>
                <w:rFonts w:ascii="宋体" w:hAnsi="宋体" w:cs="宋体"/>
                <w:color w:val="auto"/>
                <w:sz w:val="24"/>
                <w:szCs w:val="24"/>
                <w:highlight w:val="none"/>
              </w:rPr>
              <w:t xml:space="preserve">标样核查、仪器日志、校准功能、数据查询、量程切换、断电保护、自动报警、零点漂移、跨度漂移等自动质控功能等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具备接收中平台的远程访问功能，实现包括校时、复位、测试、下次测试时间、测试周期（频率）、紧急监测、留样方式控制等功能，并对命令进行响应</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数据传输支持一点多传、断点续传。</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辅助单元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配备废液收集单元，收液量需满足人工维护周期&gt;1个月；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全部设备、仪器等的供电电缆、信号电缆均采用高质量屏蔽电缆，穿管或在线槽中布线，美观整齐；</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保证分析仪器运行时所用的易变质化学试剂处于4+2°低温保存，试剂箱具有冷藏温度监控功能，超温自动告警</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w:t>
            </w:r>
            <w:r>
              <w:rPr>
                <w:rFonts w:ascii="宋体" w:hAnsi="宋体" w:cs="宋体"/>
                <w:color w:val="auto"/>
                <w:sz w:val="24"/>
                <w:szCs w:val="24"/>
                <w:highlight w:val="none"/>
              </w:rPr>
              <w:t xml:space="preserve">氨氮检测专用试剂</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采集频率</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小时</w:t>
            </w:r>
            <w:r>
              <w:rPr>
                <w:rFonts w:hint="eastAsia" w:ascii="宋体" w:hAnsi="宋体" w:cs="宋体"/>
                <w:color w:val="auto"/>
                <w:sz w:val="24"/>
                <w:szCs w:val="24"/>
                <w:highlight w:val="none"/>
              </w:rPr>
              <w:t xml:space="preserve">1采</w:t>
            </w:r>
            <w:r>
              <w:rPr>
                <w:rFonts w:ascii="宋体" w:hAnsi="宋体" w:cs="宋体"/>
                <w:color w:val="auto"/>
                <w:sz w:val="24"/>
                <w:szCs w:val="24"/>
                <w:highlight w:val="none"/>
              </w:rPr>
              <w:t xml:space="preserve">，1天测</w:t>
            </w: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组</w:t>
            </w:r>
            <w:r>
              <w:rPr>
                <w:rFonts w:hint="eastAsia" w:ascii="宋体" w:hAnsi="宋体" w:cs="宋体"/>
                <w:color w:val="auto"/>
                <w:sz w:val="24"/>
                <w:szCs w:val="24"/>
                <w:highlight w:val="none"/>
              </w:rPr>
              <w:t xml:space="preserve">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提供3年试剂；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相关水质站设施配套（水电接入、地基基础等）、网络通讯、安装调试、辅材等费用须包含在报价中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1、安装地点：金村沟泵站。</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13.</w:t>
      </w:r>
      <w:r>
        <w:rPr>
          <w:rFonts w:hint="eastAsia" w:ascii="宋体" w:hAnsi="宋体" w:cs="宋体"/>
          <w:color w:val="auto"/>
          <w:sz w:val="24"/>
          <w:szCs w:val="24"/>
          <w:highlight w:val="none"/>
        </w:rPr>
        <w:t xml:space="preserve">电子水尺（引补水调度，河道水位监测）</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1、电子水尺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水位测量精度：1cm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分辨率：0.1cm、1cm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量程：240cm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立杆</w:t>
            </w:r>
            <w:r>
              <w:rPr>
                <w:rFonts w:hint="eastAsia" w:ascii="宋体" w:hAnsi="宋体" w:cs="宋体"/>
                <w:color w:val="auto"/>
                <w:sz w:val="24"/>
                <w:szCs w:val="24"/>
                <w:highlight w:val="none"/>
              </w:rPr>
              <w:t xml:space="preserve">：高2米，</w:t>
            </w:r>
            <w:r>
              <w:rPr>
                <w:rFonts w:ascii="宋体" w:hAnsi="宋体" w:cs="宋体"/>
                <w:color w:val="auto"/>
                <w:sz w:val="24"/>
                <w:szCs w:val="24"/>
                <w:highlight w:val="none"/>
              </w:rPr>
              <w:t xml:space="preserve">直径76mm，壁厚2.0mm；材质镀锌管，表面喷塑处理；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3、数据接入本项目建设的智慧水务平台；</w:t>
            </w:r>
            <w:r/>
          </w:p>
          <w:p>
            <w:pPr>
              <w:jc w:val="left"/>
              <w:rPr>
                <w:rFonts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相关安装调试、辅材、网络流量等费用须包含在报价中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1、电子水尺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直流供电（默认）：DC 10</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30V</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输出方式：GPRS/GSM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数据上传：GPRS进行数据上传，数据上传间隔20-65535s可设</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参数设置：用提供的配置软件通过 USB 接口进行配置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主机最大功耗：1W</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单节水尺最大功耗：0.05W</w:t>
            </w:r>
            <w:r>
              <w:rPr>
                <w:rFonts w:hint="eastAsia" w:ascii="宋体" w:hAnsi="宋体" w:cs="宋体"/>
                <w:color w:val="auto"/>
                <w:sz w:val="24"/>
                <w:szCs w:val="24"/>
                <w:highlight w:val="none"/>
              </w:rPr>
              <w:t xml:space="preserve">。</w:t>
            </w:r>
            <w:r/>
          </w:p>
          <w:p>
            <w:pPr>
              <w:jc w:val="left"/>
              <w:rPr>
                <w:color w:val="auto"/>
                <w:highlight w:val="none"/>
              </w:rPr>
            </w:pPr>
            <w:r>
              <w:rPr>
                <w:rFonts w:hint="eastAsia" w:ascii="宋体" w:hAnsi="宋体" w:cs="宋体"/>
                <w:color w:val="auto"/>
                <w:sz w:val="24"/>
                <w:szCs w:val="24"/>
                <w:highlight w:val="none"/>
              </w:rPr>
              <w:t xml:space="preserve">2、安装地点：金村沟泵站前池。</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14.</w:t>
      </w:r>
      <w:r>
        <w:rPr>
          <w:rFonts w:hint="eastAsia" w:ascii="宋体" w:hAnsi="宋体" w:cs="宋体"/>
          <w:color w:val="auto"/>
          <w:sz w:val="24"/>
          <w:szCs w:val="24"/>
          <w:highlight w:val="none"/>
        </w:rPr>
        <w:t xml:space="preserve">水质检测站（引补水调度）</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氨氮在线分析仪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分析方法：水杨酸分光光度法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前处理方式：吹气加热蒸馏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消解温度：60℃</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测量范围：(0～1/5/20/100) mg/L； 可调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准确度：±5%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分辨率：0.01mg/L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重复性：≤5%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零点漂移：±2%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量程漂移：±2%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检出限：0.02mg/L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测量时间：≤10min</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MTBF：≥1440小时/次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能进行自动测定和手动测定两种工作模式的设置及时间常量的设定；具备自动校准和标样自动核查功能；能对试样进行测定，自动保存结果；能按天查询、按小时查询测量结果；具备浓度超过设定值时自动报警、设备故障及缺试剂报警；具备仪器运行状态信息输出、接受远程控制；能储存至少3年的测量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高锰酸盐指数在线分析仪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分析方法：高锰酸钾氧化法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测量范围：0～20 mg/L；可调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准确度： ±5%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分辨率： 0.001mg/L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重复性：≤5%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零点漂移：±3%</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量程漂移：±3%</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检出限：≤0.1mg/L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测量时间：≤40min</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MTBF：≥1440小时/次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能进行自动测定和手动测定两种工作模式的设置及时间常量的设定；具备自动校准和标样自动核查功能；能对试样进行测定，自动保存结果；能按天查询、按小时查询测量结果；具备浓度超过设定值时自动报警、设备故障及缺试剂报警；具备仪器运行状态信息输出、接受远程控制；能储存至少3年的测量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总磷在线分析仪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分析方法：钼酸铵分光光度法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测量范围：(0～1/5/10) mg/L；可调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检测方式：红外检测，抗浊度干扰强</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消解温度：125℃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准确度： ±3%</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分辨率： 0.001mg/L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重复性：≤3%</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零点漂移：±2%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量程漂移：±2%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检出限：≤0.005mg/L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测量时间：≤25min</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MTBF：≥1440小时/次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能进行自动测定和手动测定两种工作模式的设置及时间常量的设定；具备自动校准和标样自动核查功能；能对试样进行测定，自动保存结果；能按天查询、按小时查询测量结果；具备浓度超过设定值时自动报警、设备故障及缺试剂报警；具备仪器运行状态信息输出、接受远程控制；能储存至少3年的测量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微型站房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钢结构</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面积：1平方米</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防护等级：IP65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含机柜空调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采水单元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采水管路采取保温措施，采水管路采用可拆洗式，配水管路具备水气反冲洗功能；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采水系统的构造保障在汛期或枯水期能正常工作而不</w:t>
            </w:r>
            <w:r>
              <w:rPr>
                <w:rFonts w:hint="eastAsia" w:ascii="宋体" w:hAnsi="宋体" w:cs="宋体"/>
                <w:color w:val="auto"/>
                <w:sz w:val="24"/>
                <w:szCs w:val="24"/>
                <w:highlight w:val="none"/>
              </w:rPr>
              <w:t xml:space="preserve">致</w:t>
            </w:r>
            <w:r>
              <w:rPr>
                <w:rFonts w:ascii="宋体" w:hAnsi="宋体" w:cs="宋体"/>
                <w:color w:val="auto"/>
                <w:sz w:val="24"/>
                <w:szCs w:val="24"/>
                <w:highlight w:val="none"/>
              </w:rPr>
              <w:t xml:space="preserve">被捣坏；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采水系统各部件满足现场使用环境和系统运行要求，具备良好的耐腐蚀性、密封性和可靠性；自吸泵选用技术成熟、性能稳定、质量可靠的产品，确保采水系统工作的可靠性和使用寿命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采水单元采用管道反冲洗、高压水射流等物理清洗方式，禁止使用化学清洗剂或任何可能造成水体二次污染的清洗方法。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配水及预处理单元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配水管路设计合理，流向清晰，便于维护；保证仪器分析测试的水样能代表断面水质情况并满足仪器测试需求；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所选管材</w:t>
            </w:r>
            <w:r>
              <w:rPr>
                <w:rFonts w:hint="eastAsia" w:ascii="宋体" w:hAnsi="宋体" w:cs="宋体"/>
                <w:color w:val="auto"/>
                <w:sz w:val="24"/>
                <w:szCs w:val="24"/>
                <w:highlight w:val="none"/>
              </w:rPr>
              <w:t xml:space="preserve">具备良好的</w:t>
            </w:r>
            <w:r>
              <w:rPr>
                <w:rFonts w:ascii="宋体" w:hAnsi="宋体" w:cs="宋体"/>
                <w:color w:val="auto"/>
                <w:sz w:val="24"/>
                <w:szCs w:val="24"/>
                <w:highlight w:val="none"/>
              </w:rPr>
              <w:t xml:space="preserve">机械强度及化学稳定性、使用寿命长、便于安装维护，不会对水样水质造成影响；</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配水主管路采用串联方式，各仪器之间管路采用并联方式，每台仪器从各自的取样杯中取水，任何仪器的配水管路出现故障</w:t>
            </w:r>
            <w:r>
              <w:rPr>
                <w:rFonts w:hint="eastAsia" w:ascii="宋体" w:hAnsi="宋体" w:cs="宋体"/>
                <w:color w:val="auto"/>
                <w:sz w:val="24"/>
                <w:szCs w:val="24"/>
                <w:highlight w:val="none"/>
              </w:rPr>
              <w:t xml:space="preserve">均</w:t>
            </w:r>
            <w:r>
              <w:rPr>
                <w:rFonts w:ascii="宋体" w:hAnsi="宋体" w:cs="宋体"/>
                <w:color w:val="auto"/>
                <w:sz w:val="24"/>
                <w:szCs w:val="24"/>
                <w:highlight w:val="none"/>
              </w:rPr>
              <w:t xml:space="preserve">不能影响其他仪器的测试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7、控制单元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控制单元与各分析仪器采用总线连接，可采用一主多从，电气连接采用RS-232/485或者TCP/IP总线形式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具有断电保护功能，能够在断电时保存系统参数和历史数据，在来电时自动恢复系统</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具备自动采集数据功能，包括自动采集在线分析仪器数据、集成控制数据等，采集的数据自动添加数据标识，异常监测数据能自动识别，并主动上传至平台</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具备单点控制功能，能够对单一控制点（阀、泵等）进行调试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具备对自动监测分析仪器的启停、校时、校准、质控测试等控制功能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具备对留样单元的自动留样、自动排样的控制功能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具备参数设置功能，能够对小数位、单位、仪器测定上下限、报警（超标）上下限等参数进行设置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具备仪器监测结果、状态参数、运行流程、报警信息等显示的功能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具有监测数据查询、导出、自动备份功能，可分类查询水质周期数据、质控数据（零点核查数据、跨度核查数据）及其对应的仪器、系统日志流程信息</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配置无线通讯模块，通过无线通讯方式完成数据传输要求（实现≥6个地址传送功能），将水站的相关数据实时上送至用户指定的上层数据平台软件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（11）具备</w:t>
            </w:r>
            <w:r>
              <w:rPr>
                <w:rFonts w:ascii="宋体" w:hAnsi="宋体" w:cs="宋体"/>
                <w:color w:val="auto"/>
                <w:sz w:val="24"/>
                <w:szCs w:val="24"/>
                <w:highlight w:val="none"/>
              </w:rPr>
              <w:t xml:space="preserve">控制系统运行设置功能：基站控制系统接受本地和远程设置常规数据、异常数据及超标数据自动识别的多种智能运行模式，有效判别异常数据和超标数据；具备设置水质监测系统自动并行分析或顺序分析功能，对常规约束性指标、富营养化指标和有检出指标进行周期监测，对常规评价指标、未检出指标和高风险污染指标进行同时或顺序监测（每24小时测试1次），对未检出指标</w:t>
            </w:r>
            <w:r>
              <w:rPr>
                <w:rFonts w:hint="eastAsia" w:ascii="宋体" w:hAnsi="宋体" w:cs="宋体"/>
                <w:color w:val="auto"/>
                <w:sz w:val="24"/>
                <w:szCs w:val="24"/>
                <w:highlight w:val="none"/>
              </w:rPr>
              <w:t xml:space="preserve">一旦</w:t>
            </w:r>
            <w:r>
              <w:rPr>
                <w:rFonts w:ascii="宋体" w:hAnsi="宋体" w:cs="宋体"/>
                <w:color w:val="auto"/>
                <w:sz w:val="24"/>
                <w:szCs w:val="24"/>
                <w:highlight w:val="none"/>
              </w:rPr>
              <w:t xml:space="preserve">检出后系统自动判别超标数据并进入应急监测，周期缩短加密测试，由系统设备自动完成，并具备全流程质控系统</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满足关于印发《国家地表水水质自动监测站运行维护管理实施细则（试行）》等文件的通知之附件6《地表水自动监测系统通信协议技术规定》（试行）中要求的系统数据标记，如电源故障、取水故障、仪器故障、仪器通讯故障、现场启动测试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具备单独为各仪器监测运行周期进行设置的功能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具备异常数据判别功能，并实施相关设置的质控操作。具备自动实现加标量、标液浓度和定容体积设置的功能，并将加标量、标液浓度和定容体积信息保存并上传至平台</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控制系统单元具备对监测仪器功能管理，</w:t>
            </w:r>
            <w:r>
              <w:rPr>
                <w:rFonts w:hint="eastAsia" w:ascii="宋体" w:hAnsi="宋体" w:cs="宋体"/>
                <w:color w:val="auto"/>
                <w:sz w:val="24"/>
                <w:szCs w:val="24"/>
                <w:highlight w:val="none"/>
              </w:rPr>
              <w:t xml:space="preserve">包括</w:t>
            </w:r>
            <w:r>
              <w:rPr>
                <w:rFonts w:ascii="宋体" w:hAnsi="宋体" w:cs="宋体"/>
                <w:color w:val="auto"/>
                <w:sz w:val="24"/>
                <w:szCs w:val="24"/>
                <w:highlight w:val="none"/>
              </w:rPr>
              <w:t xml:space="preserve">标样核查、仪器日志、校准功能、数据查询、量程切换、断电保护、自动报警、零点漂移、跨度漂移等自动质控功能等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具备接收中平台的远程访问功能，实现包括校时、复位、测试、下次测试时间、测试周期（频率）、紧急监测、留样方式控制等功能，并对命令进行响应</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数据传输支持一点多传、断点续传。</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辅助单元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配备废液收集单元，收液量需满足人工维护周期&gt;1个月；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全部设备、仪器等的供电电缆、信号电缆均采用高质量屏蔽电缆，穿管或在线槽中布线，美观整齐；</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保证分析仪器运行时所用的易变质化学试剂处于4+2°低温保存，试剂箱具有冷藏温度监控功能，超温自动告警</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w:t>
            </w:r>
            <w:r>
              <w:rPr>
                <w:rFonts w:ascii="宋体" w:hAnsi="宋体" w:cs="宋体"/>
                <w:color w:val="auto"/>
                <w:sz w:val="24"/>
                <w:szCs w:val="24"/>
                <w:highlight w:val="none"/>
              </w:rPr>
              <w:t xml:space="preserve">CODMn、氨氮、总磷检测专用试剂</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采集频率</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小时</w:t>
            </w:r>
            <w:r>
              <w:rPr>
                <w:rFonts w:hint="eastAsia" w:ascii="宋体" w:hAnsi="宋体" w:cs="宋体"/>
                <w:color w:val="auto"/>
                <w:sz w:val="24"/>
                <w:szCs w:val="24"/>
                <w:highlight w:val="none"/>
              </w:rPr>
              <w:t xml:space="preserve">1采</w:t>
            </w:r>
            <w:r>
              <w:rPr>
                <w:rFonts w:ascii="宋体" w:hAnsi="宋体" w:cs="宋体"/>
                <w:color w:val="auto"/>
                <w:sz w:val="24"/>
                <w:szCs w:val="24"/>
                <w:highlight w:val="none"/>
              </w:rPr>
              <w:t xml:space="preserve">，1天测</w:t>
            </w: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组</w:t>
            </w:r>
            <w:r>
              <w:rPr>
                <w:rFonts w:hint="eastAsia" w:ascii="宋体" w:hAnsi="宋体" w:cs="宋体"/>
                <w:color w:val="auto"/>
                <w:sz w:val="24"/>
                <w:szCs w:val="24"/>
                <w:highlight w:val="none"/>
              </w:rPr>
              <w:t xml:space="preserve">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提供3年试剂；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相关水质站设施配套（水电接入、地基基础等）、网络通讯、安装调试、辅材等费用须包含在报价中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1、安装地点：云台山河。</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15.</w:t>
      </w:r>
      <w:r>
        <w:rPr>
          <w:rFonts w:hint="eastAsia" w:ascii="宋体" w:hAnsi="宋体" w:cs="宋体"/>
          <w:color w:val="auto"/>
          <w:sz w:val="24"/>
          <w:szCs w:val="24"/>
          <w:highlight w:val="none"/>
        </w:rPr>
        <w:t xml:space="preserve">排水子系统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运行总览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（1）运行总览</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ascii="宋体" w:hAnsi="宋体" w:cs="宋体"/>
                <w:color w:val="auto"/>
                <w:sz w:val="24"/>
                <w:szCs w:val="24"/>
                <w:highlight w:val="none"/>
              </w:rPr>
              <w:t xml:space="preserve">支持对全区污水处理设计总体规模、日均污水处理总量、处理厂运行负荷率进行统计分析，并对污水厂、污水泵站、污水管网等设施数量进行汇总统计</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ascii="宋体" w:hAnsi="宋体" w:cs="宋体"/>
                <w:color w:val="auto"/>
                <w:sz w:val="24"/>
                <w:szCs w:val="24"/>
                <w:highlight w:val="none"/>
              </w:rPr>
              <w:t xml:space="preserve">基于GIS</w:t>
            </w:r>
            <w:r>
              <w:rPr>
                <w:rFonts w:hint="eastAsia" w:ascii="宋体" w:hAnsi="宋体" w:cs="宋体"/>
                <w:color w:val="auto"/>
                <w:sz w:val="24"/>
                <w:szCs w:val="24"/>
                <w:highlight w:val="none"/>
              </w:rPr>
              <w:t xml:space="preserve">地图</w:t>
            </w:r>
            <w:r>
              <w:rPr>
                <w:rFonts w:ascii="宋体" w:hAnsi="宋体" w:cs="宋体"/>
                <w:color w:val="auto"/>
                <w:sz w:val="24"/>
                <w:szCs w:val="24"/>
                <w:highlight w:val="none"/>
              </w:rPr>
              <w:t xml:space="preserve">可视化呈现城市污水、雨水排放系统主要设施分布，包括重点排放单位、管网及附属设施、污水泵站、污水处理厂、排口等</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ascii="宋体" w:hAnsi="宋体" w:cs="宋体"/>
                <w:color w:val="auto"/>
                <w:sz w:val="24"/>
                <w:szCs w:val="24"/>
                <w:highlight w:val="none"/>
              </w:rPr>
              <w:t xml:space="preserve">支持动态图层控制管理，按行政区划、排水片区、污水/雨水系统等分类展示，支持排水设施图层叠加</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w:t>
            </w:r>
            <w:r>
              <w:rPr>
                <w:rFonts w:ascii="宋体" w:hAnsi="宋体" w:cs="宋体"/>
                <w:color w:val="auto"/>
                <w:sz w:val="24"/>
                <w:szCs w:val="24"/>
                <w:highlight w:val="none"/>
              </w:rPr>
              <w:t xml:space="preserve">支持按设施名称关键字进行全局搜索并自动定位，支持查看各设施的属性数据、实时监测及预警数据</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支持方便快速查找特定排水设施。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（2）在线监测,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①监测设备总览：</w:t>
            </w:r>
            <w:r>
              <w:rPr>
                <w:rFonts w:ascii="宋体" w:hAnsi="宋体" w:cs="宋体"/>
                <w:color w:val="auto"/>
                <w:sz w:val="24"/>
                <w:szCs w:val="24"/>
                <w:highlight w:val="none"/>
              </w:rPr>
              <w:t xml:space="preserve">支持对水位、流量、水质、视频监控等监测设备数量进行分类统计，分析监测设备在线状态，实现排水系统监测点位落图展示，支持按行政区划、监测对象、设备分类进行落图筛选</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②排水户监测：</w:t>
            </w:r>
            <w:r>
              <w:rPr>
                <w:rFonts w:ascii="宋体" w:hAnsi="宋体" w:cs="宋体"/>
                <w:color w:val="auto"/>
                <w:sz w:val="24"/>
                <w:szCs w:val="24"/>
                <w:highlight w:val="none"/>
              </w:rPr>
              <w:t xml:space="preserve">支持查看重点排水户排放流量、污染物特征因子的实时数据、排放限值、历史趋势、当前报警及历史报警情况</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③排水管网监测：</w:t>
            </w:r>
            <w:r>
              <w:rPr>
                <w:rFonts w:ascii="宋体" w:hAnsi="宋体" w:cs="宋体"/>
                <w:color w:val="auto"/>
                <w:sz w:val="24"/>
                <w:szCs w:val="24"/>
                <w:highlight w:val="none"/>
              </w:rPr>
              <w:t xml:space="preserve">支持查看排水管网节点井水质监测点水质数据，污水漫溢点的水位、管网充满度、压力、流量数据及趋势分析；支持设置水位警戒线并触发报警，支持查看当前报警及历史报警</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④污水泵站监测：</w:t>
            </w:r>
            <w:r>
              <w:rPr>
                <w:rFonts w:ascii="宋体" w:hAnsi="宋体" w:cs="宋体"/>
                <w:color w:val="auto"/>
                <w:sz w:val="24"/>
                <w:szCs w:val="24"/>
                <w:highlight w:val="none"/>
              </w:rPr>
              <w:t xml:space="preserve">支持以组态监控画面展示泵站工艺流程图，对前池液位、流量、水质、水泵运行状况、视频监控等进行实时监视、历史数据趋势分析，支持查看当前报警及历史报警</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⑤污水厂运行监控：</w:t>
            </w:r>
            <w:r>
              <w:rPr>
                <w:rFonts w:ascii="宋体" w:hAnsi="宋体" w:cs="宋体"/>
                <w:color w:val="auto"/>
                <w:sz w:val="24"/>
                <w:szCs w:val="24"/>
                <w:highlight w:val="none"/>
              </w:rPr>
              <w:t xml:space="preserve">支持展示污水处理厂主要实时进出水运行数据，包括进水流量、进水水质（</w:t>
            </w:r>
            <w:r>
              <w:rPr>
                <w:rFonts w:hint="eastAsia" w:ascii="宋体" w:hAnsi="宋体" w:cs="宋体"/>
                <w:color w:val="auto"/>
                <w:sz w:val="24"/>
                <w:szCs w:val="24"/>
                <w:highlight w:val="none"/>
              </w:rPr>
              <w:t xml:space="preserve">p</w:t>
            </w:r>
            <w:r>
              <w:rPr>
                <w:rFonts w:ascii="宋体" w:hAnsi="宋体" w:cs="宋体"/>
                <w:color w:val="auto"/>
                <w:sz w:val="24"/>
                <w:szCs w:val="24"/>
                <w:highlight w:val="none"/>
              </w:rPr>
              <w:t xml:space="preserve">H值、COD、BOD、TP、TN、氨氮等），支持历史数据趋势分析、当前报警及历史报警查看</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⑥视频监控：</w:t>
            </w:r>
            <w:r>
              <w:rPr>
                <w:rFonts w:ascii="宋体" w:hAnsi="宋体" w:cs="宋体"/>
                <w:color w:val="auto"/>
                <w:sz w:val="24"/>
                <w:szCs w:val="24"/>
                <w:highlight w:val="none"/>
              </w:rPr>
              <w:t xml:space="preserve">支持在GIS地图展示泵站、排口、污水漫溢点等视频监控点位分布，支持按监控对象筛选；支持GIS地图叠加视频墙图层，支持个人用户对视频墙的设置管理。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（3）报警及处置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①支持根据设定的压力、液位、流量、水质等报警阈值，当满足条件时自动触发在线报警；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各类报警（压力、液位、流量、水质）进行集中汇聚展示，包括当前报警总数、当前报警信息滚动显示；支持查看具体报警内容信息，包括报警时间、报警对象、报警内容、报警等级、责任单位、责任人及联系方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③支持报警GIS联动，报警发生点在GIS地图中支持动效或醒目颜色显示；</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④支持报警视频联动，报警时自动调用报警点附近监控画面；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⑤支持报警数据联动，可查看报警参数设定的阈值、实时数据、历史数据趋势分析；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⑥支持报警工单联动，针对特定类型报警自动识别责任单位并根据报警等级自动派发工单，支持手动调整工单内容。</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（4）巡检监管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①支持对水务局直管水利设施的巡检任务完成情况进行综合分析，支持从时间周期、设施类型、运维单位、片区等多维度统计分析；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②支持对巡检过程发现问题的工单处置情况进行在线监管，包括问题工单完成率、处置及时率、平均响应时长、延返次数等；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③支持结合GIS地图设施标注查看具体水务设施的巡检情况。</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（5）分析与决策支持</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①支持排水量分析，按年、月统计排水总量，分析日小时平均排水量变化，总结排水高峰时段和每日排水量的变化，对比分析不同区域间排水规律差异；</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②支持厂站网调度分析，基于GIS地图构建排水户-管网-泵站-污水厂的拓扑网络，展示各节点流量、液位数据；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③支持水质整治成效分析，围绕污水厂-站-网体系展示各水质监测点水质数据，对水质指标（如COD等）按时间维度进行整治前后对比分析。</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排水户管理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（1）排水户信息管理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提供排水户信息新增、修改、删除和查询功能。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（2）排水许可审批及监管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①提供排水单位信息注册、审核功能，审核完成后自动开通平台账号及相关权限；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②支持根据排水单位类别配置相应的申报材料模板；</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③提供排水许可在线申报及审批功能，支持审批查询和进度跟踪。</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（3）GIS可视化管理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①支持排水户落图、在线监测及排放分析的可视化管理；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②支持对排水户总量、各区域及分类数量进行统计；支持在GIS地图展示排水户位置分布，按行政区划、排水户类型、分类等进行落图筛选；支持查看排水户基本信息；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③支持查看重点排水户最新流量、水质监测数据及历史数据分析，支持对排放超标情况进行报警；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④支持在地图查看排水户排放流向，包括排放经过的管道、泵站、污水处理厂，支持实时展示排放路径中各监测点位置的流量、压力、水质信息。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支持按照排水户类别、行政区划等条件进行汇总分析，分析结果通过图表、表格形式展示，支持导出至Excel。</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ascii="宋体" w:hAnsi="宋体" w:cs="宋体"/>
                <w:b/>
                <w:bCs/>
                <w:color w:val="auto"/>
                <w:sz w:val="24"/>
                <w:szCs w:val="24"/>
                <w:highlight w:val="none"/>
              </w:rPr>
              <w:t xml:space="preserve">管网管理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（1）管网编辑</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①支持Shapefile、GeoJSON、CAD等格式管网数据导入；</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提供管网空间数据编辑功能，支持手动绘制新的排水管网，包括管道、检查井等设施的添加和连接；支持对现有管网空间位置进行调整，如移动管道、调整管道走向、改变检查井位置等；支持删除不再使用的管网设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③提供管网属性数据编辑功能，对入库管道数据、一井一档档案信息、视频检测报告信息等进行修改；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④对录入和修改的数据进行校验，检查数据完整性和准确性；支持数据质量监控系统，排查管网数据中存在的逆坡、雨污混接、错位、倒虹吸、大管接小管、无上下游连接关系等问题数据。</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（2）综合查询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①支持空间查询，通过在地图上绘制区域、选择特定范围或指定地理位置查询该区域内所有排水设施；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②支持属性查询，根据设施属性信息进行查询，如查找特定材质管道、特定类型检查井等；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③支持联合查询，结合空间和属性条件进行综合查询。</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（3）专题地图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①根据用户选择的专题（管材分布、管径分布、管龄分布、检查井类型分布、节点井分布、CCTV管道缺陷等级分布等）生成相应专题地图；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②支持不同专题地图图层叠加，自由控制各图层显示与隐藏，调整图层透明度。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①支持对排水管网各类数据进行汇总统计，如管道总长度、节点井总数、不同材质管道比例等；支持根据管网建设时间进行年代统计分析；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②支持空间分析，提供管网横剖面分析、纵剖面分析、连通性分析、流向分析、开挖分析。</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ascii="宋体" w:hAnsi="宋体" w:cs="宋体"/>
                <w:b/>
                <w:bCs/>
                <w:color w:val="auto"/>
                <w:sz w:val="24"/>
                <w:szCs w:val="24"/>
                <w:highlight w:val="none"/>
              </w:rPr>
              <w:t xml:space="preserve">污水泵站监管</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（1）污水泵站一张图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①支持基于GIS地图展示污水泵站分布及实时运行情况；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②支持泵站总览统计，包括泵站总数、各类型泵站数量、异常报警泵站数量；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③支持对泵站水位、水泵设备启停状态、流量、前池液位、水质、能耗数据进行实时监视；支持以工艺组态图形式对具体泵站运行状态进行可视化监管；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④支持查看泵站历史数据及趋势分析；支持以工艺组态图形式按时间轴对历史运行情况进行工况回放；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⑤支持对各泵站运行水位超限、设备故障、水质超标、能耗异常等情况进行实时报警；支持报警GIS联动、视频联动、数据联动分析；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⑥支持多画面展示主要泵站监控画面。</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（2）水泵启停记录</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支持查询泵站各水泵启停记录，包括水泵编号、启动时间、运行时长、停止时间等信息。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（3）报警查询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支持根据时间范围查询泵站实时报警、历史报警情况。</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①支持泵站日流量分析，统计每日流量数据及变化趋势；</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②支持日高峰时段流量分析，确定泵站日高峰时段及流量特征；</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③支持泵站运行负荷率分析，计算运行负荷率；</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④支持泵站水质分析，分析水质变化趋势。</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w:t>
            </w:r>
            <w:r>
              <w:rPr>
                <w:rFonts w:ascii="宋体" w:hAnsi="宋体" w:cs="宋体"/>
                <w:b/>
                <w:bCs/>
                <w:color w:val="auto"/>
                <w:sz w:val="24"/>
                <w:szCs w:val="24"/>
                <w:highlight w:val="none"/>
              </w:rPr>
              <w:t xml:space="preserve">污水厂监管技术要求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（1）污水厂一张图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①支持在GIS地图中展示污水厂分布情况及纳污片区范围；支持查看污水厂基本信息；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②支持重要指标展示，包括污水厂总数、昨日总污水处理量、总设计处理量、水质超标情况及各个污水处理厂详细指标；</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③支持实时展示污水厂水质、进出口水量等监测数据；支持历史数据查询分析、水质超标越限统计查询。</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（2）历史数据查询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支持根据时间范围查询污水处理厂水质、进出口流量等相关历史数据，支持表格、曲线等多种形式展现。</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（3）报警查询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支持根据时间范围查询污水处理厂水质超标排放实时报警、历史超标情况。</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①支持污水处理厂运行负荷分析，计算运行负荷率，对比实际处理量与设计处理量；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②支持日处理高峰时段分析，确定污水厂日处理高峰时段及流量特征；</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③支持污水厂达标排放分析，统计达标排放率；</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④支持污染物削减分析，统计污染物削减量。</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16.</w:t>
      </w:r>
      <w:r>
        <w:rPr>
          <w:rFonts w:hint="eastAsia" w:ascii="宋体" w:hAnsi="宋体" w:cs="宋体"/>
          <w:color w:val="auto"/>
          <w:sz w:val="24"/>
          <w:szCs w:val="24"/>
          <w:highlight w:val="none"/>
        </w:rPr>
        <w:t xml:space="preserve">供水子系统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运行总览</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通过与江宁水务集团既有的多个内部系统数据对接（相关协调工作由采购人协助中标人进行），汇总供水过程关键环节数据，对江宁区供水总体运行态势进行分析，实现对水源地、水厂、二次泵站、供水管网日常运行的有效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②支持对全区供水总体设计规模、日均供水总量、负荷率进行分析；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③提供水厂、二次供水泵站、供水管网等供水设施数量统计功能；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④支持基于GIS技术可视化呈现城市供水系统主要设施分布，包括水厂、二次供水泵站、供水管网、水源地等；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⑤支持动态图层控制管理，设施图层可叠加；</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⑥支持按设施名称关键字全局搜索并自动定位；</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⑦支持查看各设施的属性数据、实时监测及预警数据。</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水厂运行监控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①以水厂工艺总图形式实时展示4个水厂的水质、流量、压力、视频信息；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②支持查看监测指标历史数据曲线；</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③支持查看水厂各工艺段、加药间等重要点位视频监控；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④支持对各运行指标设定报警阈值，出现异常时颜色闪烁提醒。</w:t>
            </w:r>
            <w:r/>
          </w:p>
          <w:p>
            <w:pPr>
              <w:jc w:val="left"/>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二次供水泵站监控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①将江宁水务集团二次供水泵站站点地理位置分布与江宁区行政区划地理信息结合，形成完整的二次供水图；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②通过对接江宁水务集团二次供水泵站各泵主要生产运行数据，对二次供水泵的工情信息（阀门状态、泵的启停状态）、压力、流量等数据进行在线监视；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③支持查看各监测指标历史数据曲线、实时/历史报警信息。</w:t>
            </w:r>
            <w:r/>
          </w:p>
          <w:p>
            <w:pPr>
              <w:jc w:val="left"/>
              <w:rPr>
                <w:rFonts w:hint="eastAsia" w:ascii="宋体" w:hAnsi="宋体" w:cs="宋体"/>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供水管网监控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①导入江宁水务集团供水管网GIS一张图，展示供水管网分布情况；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②通过接口对接采集供水管网压力、水质监测点数据，实现数据在线监视、历史数据趋势分析、实时/历史报警查询功能。</w:t>
            </w:r>
            <w:r/>
          </w:p>
          <w:p>
            <w:pPr>
              <w:jc w:val="left"/>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5</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水源地监管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①支持在GIS底图展示应急水源地分布情况；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②支持查看水源地实时监测数据，包括库容、水质、水位、流量、入侵检测视频等；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③支持历史数据趋势分析、报警功能；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④支持在GIS地图上叠加取水加压泵站，查看泵站运行状态、流量等信息。</w:t>
            </w:r>
            <w:r/>
          </w:p>
          <w:p>
            <w:pPr>
              <w:jc w:val="left"/>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6</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水质水压查询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①支持城区水压监测报告、各水厂出厂水水质检测报告、管网水质检测报告的定期导入功能；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②支持按照时间、检测对象查看相关报告详细情况。</w:t>
            </w:r>
            <w:r/>
          </w:p>
          <w:p>
            <w:pPr>
              <w:jc w:val="left"/>
              <w:rPr>
                <w:color w:val="auto"/>
                <w:highlight w:val="none"/>
              </w:rPr>
            </w:pPr>
            <w:r>
              <w:rPr>
                <w:rFonts w:hint="eastAsia" w:ascii="宋体" w:hAnsi="宋体" w:cs="宋体"/>
                <w:b/>
                <w:bCs/>
                <w:color w:val="auto"/>
                <w:sz w:val="24"/>
                <w:szCs w:val="24"/>
                <w:highlight w:val="none"/>
              </w:rPr>
              <w:t xml:space="preserve">7、接口对接、数据推送等工作由区水务局负责协调，中标人根据协调结果进行开发。</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r>
      <w:r/>
    </w:p>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17.</w:t>
      </w:r>
      <w:r>
        <w:rPr>
          <w:rFonts w:hint="eastAsia" w:ascii="宋体" w:hAnsi="宋体" w:cs="宋体"/>
          <w:color w:val="auto"/>
          <w:sz w:val="24"/>
          <w:szCs w:val="24"/>
          <w:highlight w:val="none"/>
        </w:rPr>
        <w:t xml:space="preserve">水环境子系统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水质监测预警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（1）水系分布图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基于GIS地图可视化呈现江宁区水系分布情况，包括河湖基线（河流起止点、河湖岸线、江宁区及各街道管理范围线、考核断面）和河湖关联对象落图（取水口、雨水口、入河排污口、水闸、泵站等沿河水利工程设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②支持输入水体名称等关键词快速地图定位，展示水体及支流情况；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③支持按行政区划、流域、水体类型等重要属性进行筛选过滤；</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④支持以列表形式展示江宁区河湖名录，支持查看河湖基本情况，包括河道名称、起点、终点、所属流域、行政区划、河道长度、河道等级；湖泊名称、所属流域、行政区划、水域面积；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⑤支持查看河湖取水口信息，包括取水许可证编号、名称、关联水体、取水方式；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⑥支持查看雨水口、入河排污口信息，包括排口名称、登记编号、坐标、关联水体。</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（2）水环境总览</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①支持河湖总数及类型分类统计；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②支持重点水质监测断面总数及断面类型分类统计；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③支持监测点总数、监测类型分类统计（水质、水位、视频监控）及监测设备在线情况统计；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④支持展示河道当前水质及达标情况、一周水质变化趋势。</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（3）实时监测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①支持结合GIS地图展示各河湖水质监测点位置；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②支持查看监测点实时数据，包括河湖水位、水质监测数据（当前水质等级、目标水质等级、达标情况、氨氮、总磷、高锰酸盐、pH值、溶解氧、水温、浊度、电导率等）、流量。</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（4）历史数据查询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①支持根据时间范围查询河湖监测点水位、水质、流量等相关历史数据；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②支持表格、曲线等多种形式展现。</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（5）水环境视频监控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①支持结合GIS地图展示各视频监控点位置；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②支持多画面展示重点河湖和泵站排口的实时画面；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③支持GIS地图点位联动、报警联动；</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④支持云台控制（需设备支持）和历史回放功能。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（6）水质监测预警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①支持基于水质实时监测数据对断面水质超标等异常情况设置相关阈值进行集中报警和处理；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②支持展示当前报警总数及滚动列表；</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③支持查看当前报警内容、历史报警记录，包括报警时间、报警对象、报警内容、报警等级、责任单位、责任人及联系方式；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④支持报警GIS联动，报警点在GIS地图中支持动效或醒目颜色显示；</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⑤支持报警视频联动，调用报警点附近监控画面；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⑥支持报警数据联动，查看报警参数设定的阈值、实时数据、历史数据趋势分析；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⑦支持报警工单联动，针对特定类型报警自动识别责任单位并根据报警等级自动派发工单，支持手动调整工单内容；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⑧以金村沟、云台山河为引补水调度试点，支持根据水质预警等级、河道容积、水质目标，自动计算引流量、补水时长，生成调度建议。</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（7）统计分析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①支持水质日报、月报，结合表格、趋势图展示各河道监测站点水质达标情况；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②支持水质变化趋势分析、单个水质监测因子的同比、环比分析；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③支持以柱状图、折线图等形式展示不同水系、不同湖库和同一水系、不同河段之间的水质比对。</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18.</w:t>
      </w:r>
      <w:r>
        <w:rPr>
          <w:rFonts w:hint="eastAsia" w:ascii="宋体" w:hAnsi="宋体" w:cs="宋体"/>
          <w:color w:val="auto"/>
          <w:sz w:val="24"/>
          <w:szCs w:val="24"/>
          <w:highlight w:val="none"/>
        </w:rPr>
        <w:t xml:space="preserve">水资源子系统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w:t>
            </w:r>
            <w:r>
              <w:rPr>
                <w:rFonts w:ascii="宋体" w:hAnsi="宋体" w:cs="宋体"/>
                <w:b/>
                <w:bCs/>
                <w:color w:val="auto"/>
                <w:sz w:val="24"/>
                <w:szCs w:val="24"/>
                <w:highlight w:val="none"/>
              </w:rPr>
              <w:t xml:space="preserve">水资源可视化</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①支持基于GIS服务（天地图）绘制全区用水热力图；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②重点监控对象（年用水量50万以上）支持根据工业和服务业分类在地图上以不同颜色标注；</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③支持查看具体用水单位的信息概览及用水数据详情；</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④支持可视化呈现区域内非居民用水户用水情况分析，包括年度用水计划总量、年度实际用水量、年度实际用水量排行、年度用水定额达标情况（先进值、通用值）。</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w:t>
            </w:r>
            <w:r>
              <w:rPr>
                <w:rFonts w:ascii="宋体" w:hAnsi="宋体" w:cs="宋体"/>
                <w:b/>
                <w:bCs/>
                <w:color w:val="auto"/>
                <w:sz w:val="24"/>
                <w:szCs w:val="24"/>
                <w:highlight w:val="none"/>
              </w:rPr>
              <w:t xml:space="preserve">节水管理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（一）水务局管理端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首页板块</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①待办事项：支持审批用水户用水相关申请，包括年度用水计划申请、年度用水计划调整申请、用水户基本信息变更、水平衡测试延期审批；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②年度用水：支持展示年度用水量与计划年度用水量对比；</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③年度用水量排行：支持根据年用水量排行展示企业用水情况；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④水平衡测试开展情况：支持展示所有计划用水户水平衡测试开展情况（在水平衡测试的有效期内）。</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2.单位信息管理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（1）用水单位台账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查看用水单位的基本信息，有权限的管理人员可进行修改，包括所在区县、实际用户水表数、分类、客户名称、用户代码、用水性质、营业场所、用户名称、用户地址、实际用水单位全称、联系人、联系电话、管理单位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②支持根据分类、客户名称、用户代码、用水性质、营业所、联系人进行联合搜索；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③支持导出excel、支持在线打印；</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④支持对同一单位不同水表户号的合并管理。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（2）用水单位账号管理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具备权限的管理人员可管理用水单位登录的账号，进行账号密码的重置、停用、启用等操作。</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（3）重点监管单位名录</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①支持通过系统设置开启自动识别重点监管用户功能，如配置年用水量超过50万m³以上时自动划归为重点监管用户；</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②支持手动将用水单位划分为重点监管单位，在用水单位台账功能下手动修改为重点监管用户；</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③支持导出excel、支持在线打印。</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（4）实际用水查看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①支持查询相应单位用户，点击用水单位名称后查询年度用水和月度实际用水；</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②支持企业端实际用水的确认；</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③支持导出用水excel数据。</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（5）档案管理（一户一档）</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①支持附件分类管理；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②支持word、excel、pdf等格式文件上传及在线预览、下载。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3.用水管理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（1）计划用水管理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①年度用水计划测算：支持根据近三年用水单位实际用水情况、上年度超计划用水处理情况、考核情况进行用水单位本年度计划用水测算并下发至用户；</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②用水计划下发：支持将测算后的计划下发至用水单位进行确认，对接EMS物流数据匹配寄递文件的快递物流信息；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③用水计划执行：支持对接水务集团用水企业数据、用户端上传实际用水情况，展示企业用水实际详情；支持按月度或年度查询用水单位实际用水情况，月度汇总实际用水量占用水计划的执行比例；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超计划用水预警：支持预警设置规则（例如从6月份开始，月度用水量汇总超过年度用水计划50%（6/12），7月份超过59%(7/12)，8月份超过67%（8/12)，9月份超过75%（9/12)等进行实时预警）；支持对需要预警的用水户一键下发超计划用水预警，支持下载用水预警通知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⑤用水计划调整：支持用水单位针对年度计划测算后的用水计划进行变更申请，提交后由水务局进行审批/驳回；</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调整计划审批：支持针对用水户确认后的用水计划进行审批通过/驳回，审批通过后可形成计划用水指标并盖章，可导出PDF以邮件形式发送至用水单位或以短信告知用水单位，调整后的用水计划同步更新年度用水计划。</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（2）水平衡测试</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水平衡测试单位年度管理：支持展示用水单位基本信息、计划用水、实际用水、超计划用水，可按年度、月度展示；支持选择单位添加至水平衡测试单位并下发至用水单位；支持水平衡测试3、5年的开展逻辑，基于今年使用数量及上一次测试报告年限进行对应调整（年用水量12万以上3年开展一次，年用水量1万-12万5年开展一次），对临期需要开展水平衡测试的单位进行预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②水平衡测试通知下发：支持对到期未开展水平衡测试的单位下发通知，在用户端待办事项中提醒办理；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③水平衡测试单位查询：支持查询水平衡测试单位，点击单位名称可查看水平衡测试用水单位上传的水平衡测试报告，支持下载和预览。</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（3）用水审计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①支持用水审计通知下发（每年年用水量50万以上）；</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②支持用水审计结论下发（经专家评审后下达用水审计结论通知书）；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③支持用水审计整改方案上报（用户对用水审计结论通知书上报用水审计整改方案）。</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4.综合统计分析</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（1）用水统计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①支持对年度所有用水户计划用水、实际用水、临时用水、本年度完成水平衡测试情况等数据汇总；</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②支持对用水户按月份、年份的同环比分析；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③支持分析结果以excel格式导出。</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（2）多维分析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①支持对用水数据按行业类别、属性等维度进行分析；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②支持不同时间维度开展区域内用水总量分析、趋势分析、对比分析等；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③支持分析结果以excel格式导出。</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（3）可视化展现</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支持数据分析结果可视化呈现，包括图表、柱形图、环形图、趋势图等形式的直观展示。</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5.系统接口</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①快递物流接口：配置邮政速递（EMS）物流查询接口，显示邮递文件最新物流状态，确认用户是否收到文件快递；</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②省系统对接：包括省节约用水系统对接，包括计划用水数据、计划用水名录，可调用县区文件、汇总表，以及用水审计数据、水平衡测试数据、用水定额数据等；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ascii="宋体" w:hAnsi="宋体" w:cs="宋体"/>
                <w:color w:val="auto"/>
                <w:sz w:val="24"/>
                <w:szCs w:val="24"/>
                <w:highlight w:val="none"/>
              </w:rPr>
              <w:t xml:space="preserve">水务集团对接：系统预留与江宁水务集团</w:t>
            </w:r>
            <w:r>
              <w:rPr>
                <w:rFonts w:hint="eastAsia" w:ascii="宋体" w:hAnsi="宋体" w:cs="宋体"/>
                <w:color w:val="auto"/>
                <w:sz w:val="24"/>
                <w:szCs w:val="24"/>
                <w:highlight w:val="none"/>
              </w:rPr>
              <w:t xml:space="preserve">内部系统</w:t>
            </w:r>
            <w:r>
              <w:rPr>
                <w:rFonts w:ascii="宋体" w:hAnsi="宋体" w:cs="宋体"/>
                <w:color w:val="auto"/>
                <w:sz w:val="24"/>
                <w:szCs w:val="24"/>
                <w:highlight w:val="none"/>
              </w:rPr>
              <w:t xml:space="preserve">的数据对接接口，具备用水户实际用水数据接入扩展能力。接口标准、数据格式、传输协议及安全要求以采购人或相关对接单位后续提供的正式接口规范为准。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（二）用水客户端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系统注册</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①提供用水户注册功能，注册需填写用水单位信息、水表户号、联系方式、联系人（提交盖章件的用水管理信息确认表为附件）；</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②同一用水单位分不同厂区、用水单元时，支持注册一个账号查看本单位多个计划用水户相关信息；针对同一用水单位分厂区、分用水单元由不同人员管理的情况，用户可选择分厂区注册不同用户端账号。</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首页板块</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（1）我的待办</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①年度用水计划确认：支持对水务局下发的用水计划文件进行确认；</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②月度实际用水量确认：支持对系统平台上展示的企业每月实际用水量进行确认，对疑义数据在页面补充说明，支持上传附件佐证材料；</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③水务局发送文件确认：支持对水务局发送文件进行线上确认，支持线上材料浏览和下载，材料包括节水宣传、上级水效提升等政策性文件、日常监管检查文件等。</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（2）预警管理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①年度超计划用水预警：支持接收局端用水超计划预警，用户端查看预警情况；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②水平衡测试工作预警：支持对在水平衡测试期间未及时开展水平衡测试的企业进行预警；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③其他相关工作预警：支持对水务局下发的有时限要求的其他相关工作文件临近日期进行预警。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3.单位信息管理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（1）单位基本信息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支持用水单位管理基本信息查看和编辑，包括用水单位主要经营范围、情况简介等。</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（2）基本信息变更</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支持用户进行基本信息调整，包括单位基本信息、水表户号、联系人等，填写信息变更申请，水务局审核通过后修改生效。</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（3）水务经理信息维护</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①支持填写用水单位联系人信息，可增加多个联系人；</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②支持填写三级管理责任人：法人代表、用水单位管水部门负责人、联系人（水务经理）。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4.日常用水管理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（1）用水计划填报</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①支持新用水户在用水前三十日向水务局提交年度用水计划申请；</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②支持每年度按规定要求在12月31日前上报下一年度用水计划申请。</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（2）用水计划调整</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支持针对水务局下发的用水计划，如有调整需求或接收到超计划用水预警后填写用水计划调整申请表并提交至水务局审批。</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（3）水平衡测试上报</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支持根据节水管理部门下发的水平衡测试通知上传水平衡测试报告，填写水平衡测试信息。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（4）用水审计整改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支持根据水务局下发的用水审计结论通知书，在规定时限内向水务局提交用水审计整改方案。</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19.</w:t>
      </w:r>
      <w:r>
        <w:rPr>
          <w:rFonts w:hint="eastAsia" w:ascii="宋体" w:hAnsi="宋体" w:cs="宋体"/>
          <w:color w:val="auto"/>
          <w:sz w:val="24"/>
          <w:szCs w:val="24"/>
          <w:highlight w:val="none"/>
        </w:rPr>
        <w:t xml:space="preserve">防汛管理子系统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rHeight w:val="3355"/>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tabs>
                <w:tab w:val="left" w:pos="720" w:leader="none"/>
              </w:tabs>
              <w:rPr>
                <w:rFonts w:hint="eastAsia" w:ascii="宋体" w:hAnsi="宋体" w:cs="宋体"/>
                <w:color w:val="auto"/>
                <w:sz w:val="24"/>
                <w:szCs w:val="24"/>
                <w:highlight w:val="none"/>
              </w:rPr>
            </w:pPr>
            <w:r>
              <w:rPr>
                <w:rFonts w:ascii="宋体" w:hAnsi="宋体" w:cs="宋体"/>
                <w:color w:val="auto"/>
                <w:sz w:val="24"/>
                <w:szCs w:val="24"/>
                <w:highlight w:val="none"/>
              </w:rPr>
              <w:t xml:space="preserve">在现有江宁城区防汛指挥中心智慧系统基础上，对防汛管理子系统进行升级完善</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现有系统已建成指挥大屏、防汛一张图、监测预警、应急保障、统计报表、智慧分析等功能模块</w:t>
            </w:r>
            <w:r>
              <w:rPr>
                <w:rFonts w:hint="eastAsia" w:ascii="宋体" w:hAnsi="宋体" w:cs="宋体"/>
                <w:color w:val="auto"/>
                <w:sz w:val="24"/>
                <w:szCs w:val="24"/>
                <w:highlight w:val="none"/>
              </w:rPr>
              <w:t xml:space="preserve">）：</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整合区数字治理中心已建成的江宁城区防汛指挥中心智慧系统、防汛感知平台、江宁开发区水务一体化平台</w:t>
            </w:r>
            <w:r>
              <w:rPr>
                <w:rFonts w:hint="eastAsia" w:ascii="宋体" w:hAnsi="宋体" w:cs="宋体"/>
                <w:color w:val="auto"/>
                <w:sz w:val="24"/>
                <w:szCs w:val="24"/>
                <w:highlight w:val="none"/>
              </w:rPr>
              <w:t xml:space="preserve">等防汛</w:t>
            </w:r>
            <w:r>
              <w:rPr>
                <w:rFonts w:ascii="宋体" w:hAnsi="宋体" w:cs="宋体"/>
                <w:color w:val="auto"/>
                <w:sz w:val="24"/>
                <w:szCs w:val="24"/>
                <w:highlight w:val="none"/>
              </w:rPr>
              <w:t xml:space="preserve">相关基础数据、物联感知数据、视频信息</w:t>
            </w:r>
            <w:r>
              <w:rPr>
                <w:rFonts w:hint="eastAsia" w:ascii="宋体" w:hAnsi="宋体" w:cs="宋体"/>
                <w:color w:val="auto"/>
                <w:sz w:val="24"/>
                <w:szCs w:val="24"/>
                <w:highlight w:val="none"/>
              </w:rPr>
              <w:t xml:space="preserve">；</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接入</w:t>
            </w:r>
            <w:r>
              <w:rPr>
                <w:rFonts w:hint="eastAsia" w:ascii="宋体" w:hAnsi="宋体" w:cs="宋体"/>
                <w:color w:val="auto"/>
                <w:sz w:val="24"/>
                <w:szCs w:val="24"/>
                <w:highlight w:val="none"/>
              </w:rPr>
              <w:t xml:space="preserve">本项目新增的</w:t>
            </w:r>
            <w:r>
              <w:rPr>
                <w:rFonts w:ascii="宋体" w:hAnsi="宋体" w:cs="宋体"/>
                <w:color w:val="auto"/>
                <w:sz w:val="24"/>
                <w:szCs w:val="24"/>
                <w:highlight w:val="none"/>
              </w:rPr>
              <w:t xml:space="preserve">积水监测、污水漫溢</w:t>
            </w:r>
            <w:r>
              <w:rPr>
                <w:rFonts w:hint="eastAsia" w:ascii="宋体" w:hAnsi="宋体" w:cs="宋体"/>
                <w:color w:val="auto"/>
                <w:sz w:val="24"/>
                <w:szCs w:val="24"/>
                <w:highlight w:val="none"/>
              </w:rPr>
              <w:t xml:space="preserve">传感器数据、</w:t>
            </w:r>
            <w:r>
              <w:rPr>
                <w:rFonts w:ascii="宋体" w:hAnsi="宋体" w:cs="宋体"/>
                <w:color w:val="auto"/>
                <w:sz w:val="24"/>
                <w:szCs w:val="24"/>
                <w:highlight w:val="none"/>
              </w:rPr>
              <w:t xml:space="preserve">视频监控数据</w:t>
            </w:r>
            <w:r>
              <w:rPr>
                <w:rFonts w:hint="eastAsia" w:ascii="宋体" w:hAnsi="宋体" w:cs="宋体"/>
                <w:color w:val="auto"/>
                <w:sz w:val="24"/>
                <w:szCs w:val="24"/>
                <w:highlight w:val="none"/>
              </w:rPr>
              <w:t xml:space="preserve">；</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3、接入排水</w:t>
            </w:r>
            <w:r>
              <w:rPr>
                <w:rFonts w:ascii="宋体" w:hAnsi="宋体" w:cs="宋体"/>
                <w:color w:val="auto"/>
                <w:sz w:val="24"/>
                <w:szCs w:val="24"/>
                <w:highlight w:val="none"/>
              </w:rPr>
              <w:t xml:space="preserve">管网</w:t>
            </w:r>
            <w:r>
              <w:rPr>
                <w:rFonts w:hint="eastAsia" w:ascii="宋体" w:hAnsi="宋体" w:cs="宋体"/>
                <w:color w:val="auto"/>
                <w:sz w:val="24"/>
                <w:szCs w:val="24"/>
                <w:highlight w:val="none"/>
              </w:rPr>
              <w:t xml:space="preserve">GIS数据；</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防汛系统的管理</w:t>
            </w:r>
            <w:r>
              <w:rPr>
                <w:rFonts w:ascii="宋体" w:hAnsi="宋体" w:cs="宋体"/>
                <w:color w:val="auto"/>
                <w:sz w:val="24"/>
                <w:szCs w:val="24"/>
                <w:highlight w:val="none"/>
              </w:rPr>
              <w:t xml:space="preserve">范围从主城区覆盖至全区，</w:t>
            </w:r>
            <w:r>
              <w:rPr>
                <w:rFonts w:hint="eastAsia" w:ascii="宋体" w:hAnsi="宋体" w:cs="宋体"/>
                <w:color w:val="auto"/>
                <w:sz w:val="24"/>
                <w:szCs w:val="24"/>
                <w:highlight w:val="none"/>
              </w:rPr>
              <w:t xml:space="preserve">包括农村基层，实现河道、水库、雨情、水情监测预警；</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5、实现现有防汛系统与本项目建设的智慧水务平台的</w:t>
            </w:r>
            <w:r>
              <w:rPr>
                <w:rFonts w:ascii="宋体" w:hAnsi="宋体" w:cs="宋体"/>
                <w:color w:val="auto"/>
                <w:sz w:val="24"/>
                <w:szCs w:val="24"/>
                <w:highlight w:val="none"/>
              </w:rPr>
              <w:t xml:space="preserve">集成</w:t>
            </w:r>
            <w:r>
              <w:rPr>
                <w:rFonts w:hint="eastAsia" w:ascii="宋体" w:hAnsi="宋体" w:cs="宋体"/>
                <w:color w:val="auto"/>
                <w:sz w:val="24"/>
                <w:szCs w:val="24"/>
                <w:highlight w:val="none"/>
              </w:rPr>
              <w:t xml:space="preserve">；</w:t>
            </w:r>
            <w:r/>
          </w:p>
          <w:p>
            <w:pPr>
              <w:jc w:val="left"/>
              <w:tabs>
                <w:tab w:val="left" w:pos="720" w:leader="none"/>
              </w:tabs>
              <w:rPr>
                <w:color w:val="auto"/>
                <w:highlight w:val="none"/>
              </w:rPr>
            </w:pPr>
            <w:r>
              <w:rPr>
                <w:rFonts w:hint="eastAsia" w:ascii="宋体" w:hAnsi="宋体" w:cs="宋体"/>
                <w:b/>
                <w:bCs/>
                <w:color w:val="auto"/>
                <w:sz w:val="24"/>
                <w:szCs w:val="24"/>
                <w:highlight w:val="none"/>
              </w:rPr>
              <w:t xml:space="preserve">6、接口对接、数据推送等工作由区水务局负责协调，中标人根据协调结果进行开发。</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20.</w:t>
      </w:r>
      <w:r>
        <w:rPr>
          <w:rFonts w:hint="eastAsia" w:ascii="宋体" w:hAnsi="宋体" w:cs="宋体"/>
          <w:color w:val="auto"/>
          <w:sz w:val="24"/>
          <w:szCs w:val="24"/>
          <w:highlight w:val="none"/>
        </w:rPr>
        <w:t xml:space="preserve">指挥调度子系统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rHeight w:val="96"/>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监测预警系统</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（1）基础数据管理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提供对报警分类、报警等级、报警来源的配置功能。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（2）物联报警规则</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支持物联报警规则配置，包括设备分类代码、设备代码、监测对象、监测项、报警限值、报警分类、报警等级、报警来源、报警内容格式、消息推送机制等；</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提供报警规则的新建、修改、删除、查询功能；</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支持限值、死点、晃动、偏差、速率、条件和抑制七种类型；</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支持多级报警阈值设置；</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支持报警延时功能，当报警时间超过设置的时长时触发事件。</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（3）监测预警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具备智能化的预警机制，通过对实时数据的分析和处理，根据配置的报警规则及时发现异常情况（如水位超标、流量异常、水质污染等），自动生成预警信息。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（4）报警提醒</w:t>
            </w:r>
            <w:r/>
          </w:p>
          <w:p>
            <w:pPr>
              <w:numPr>
                <w:ilvl w:val="0"/>
                <w:numId w:val="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一旦发生报警事件，系统立即将该事件通知到指定的用户；</w:t>
            </w:r>
            <w:r/>
          </w:p>
          <w:p>
            <w:pPr>
              <w:numPr>
                <w:ilvl w:val="0"/>
                <w:numId w:val="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支持平台消息、手机短信、移动端消息、邮件等多种方式推送报警信息；</w:t>
            </w:r>
            <w:r/>
          </w:p>
          <w:p>
            <w:pPr>
              <w:numPr>
                <w:ilvl w:val="0"/>
                <w:numId w:val="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支持根据用户的关注点，针对不同报警分类、报警等级、报警来源的事件设置具体通知对象，实现消息的精准推送。</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（5）报警记录存档</w:t>
            </w:r>
            <w:r/>
          </w:p>
          <w:p>
            <w:pPr>
              <w:numPr>
                <w:ilvl w:val="0"/>
                <w:numId w:val="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系统可自动记录所有报警事件的详细信息，包括发生时间、持续时间、结束时间、发生地点、报警描述、报警分类、报警等级、报警来源、当前报警值、最高报警值、相关报警对象信息等；</w:t>
            </w:r>
            <w:r/>
          </w:p>
          <w:p>
            <w:pPr>
              <w:numPr>
                <w:ilvl w:val="0"/>
                <w:numId w:val="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用户可随时查看报警历史数据记录。</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（6）报警分析及处置</w:t>
            </w:r>
            <w:r/>
          </w:p>
          <w:p>
            <w:pPr>
              <w:numPr>
                <w:ilvl w:val="0"/>
                <w:numId w:val="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提供对报警事件的分析和处置功能，实现报警闭环管理；</w:t>
            </w:r>
            <w:r/>
          </w:p>
          <w:p>
            <w:pPr>
              <w:numPr>
                <w:ilvl w:val="0"/>
                <w:numId w:val="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报警分析提供报警趋势分析、强度分析、同环比分析、关联分析等多种方式；</w:t>
            </w:r>
            <w:r/>
          </w:p>
          <w:p>
            <w:pPr>
              <w:numPr>
                <w:ilvl w:val="0"/>
                <w:numId w:val="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报警的日常处置可联动本项目拟开发的日常指挥调度的工单系统，实现报警问题的任务分配和处理。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（7）数据分析与决策支持</w:t>
            </w:r>
            <w:r/>
          </w:p>
          <w:p>
            <w:pPr>
              <w:numPr>
                <w:ilvl w:val="0"/>
                <w:numId w:val="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支持按报警分类、报警等级、报警来源、报警时间、处置情况等多维度统计分析，支持趋势图、饼图等多种图表展示；</w:t>
            </w:r>
            <w:r/>
          </w:p>
          <w:p>
            <w:pPr>
              <w:numPr>
                <w:ilvl w:val="0"/>
                <w:numId w:val="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系统能够对水务数据进行趋势分析、对比分析和异常检测，发现潜在的风险和问题。</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日常指挥调度</w:t>
            </w:r>
            <w:r>
              <w:rPr>
                <w:rFonts w:hint="eastAsia" w:ascii="宋体" w:hAnsi="宋体" w:cs="宋体"/>
                <w:b/>
                <w:bCs/>
                <w:color w:val="auto"/>
                <w:sz w:val="24"/>
                <w:szCs w:val="24"/>
                <w:highlight w:val="none"/>
              </w:rPr>
              <w:t xml:space="preserve">系统</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（1）工单看板</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支持按时间范围展示工单任务派遣的总体情况，包括工单完成情况统计、责任单位统计、工单来源统计等，并在地图上展示工单任务的全区分布情况。</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（2）工单派发</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支持新建事件工单，对指定单位进行任务派发。</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（3）工单流转</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基于本项目拟购买的工作流平台，支持按照预先设置的环节实现工单的自动流转，包括工单审核、分配、处理、结案等，支持移动端处理工单流转。</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）综合查询</w:t>
            </w:r>
            <w:r/>
          </w:p>
          <w:p>
            <w:pPr>
              <w:numPr>
                <w:ilvl w:val="0"/>
                <w:numId w:val="1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支持按照工单日期、责任部门、工单类型、工单来源、处置状态等过滤条件查询重点工作，查询结果以任务栏的形式展示；</w:t>
            </w:r>
            <w:r/>
          </w:p>
          <w:p>
            <w:pPr>
              <w:numPr>
                <w:ilvl w:val="0"/>
                <w:numId w:val="1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支持查看任一工单的详细信息、办理经过和办理进度。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）统计分析</w:t>
            </w:r>
            <w:r/>
          </w:p>
          <w:p>
            <w:pPr>
              <w:numPr>
                <w:ilvl w:val="0"/>
                <w:numId w:val="1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GIS工单热力图：结合GIS地图，展示工单分布密度、高发故障区域；</w:t>
            </w:r>
            <w:r/>
          </w:p>
          <w:p>
            <w:pPr>
              <w:numPr>
                <w:ilvl w:val="0"/>
                <w:numId w:val="1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多维分析看板：实时统计并展示工单数量、完成率、处置及时率、平均响应时间、延返次数等KPI；</w:t>
            </w:r>
            <w:r/>
          </w:p>
          <w:p>
            <w:pPr>
              <w:numPr>
                <w:ilvl w:val="0"/>
                <w:numId w:val="1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支持按时间、设施类型、问题来源、运维单位、片区等多维度进行趋势分析、排行分析、同环比分析，支持数据下钻，查看具体工单情况。</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21.</w:t>
      </w:r>
      <w:r>
        <w:rPr>
          <w:rFonts w:hint="eastAsia" w:ascii="宋体" w:hAnsi="宋体" w:cs="宋体"/>
          <w:color w:val="auto"/>
          <w:sz w:val="24"/>
          <w:szCs w:val="24"/>
          <w:highlight w:val="none"/>
        </w:rPr>
        <w:t xml:space="preserve">监管子系统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★实质性要求</w:t>
            </w:r>
            <w:r/>
          </w:p>
        </w:tc>
        <w:tc>
          <w:tcPr>
            <w:tcW w:w="3523" w:type="pct"/>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不低于以下要求：</w:t>
            </w:r>
            <w:r>
              <w:rPr>
                <w:rFonts w:ascii="宋体" w:hAnsi="宋体"/>
                <w:color w:val="auto"/>
                <w:sz w:val="24"/>
                <w:highlight w:val="none"/>
              </w:rPr>
              <w:t xml:space="preserve"> </w:t>
            </w:r>
            <w:r/>
          </w:p>
          <w:p>
            <w:pPr>
              <w:jc w:val="left"/>
              <w:rPr>
                <w:rFonts w:hint="eastAsia"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水务工程管理</w:t>
            </w:r>
            <w:r/>
          </w:p>
          <w:p>
            <w:pPr>
              <w:jc w:val="left"/>
              <w:rPr>
                <w:rFonts w:hint="eastAsia" w:ascii="宋体" w:hAnsi="宋体"/>
                <w:color w:val="auto"/>
                <w:sz w:val="24"/>
                <w:highlight w:val="none"/>
              </w:rPr>
            </w:pPr>
            <w:r>
              <w:rPr>
                <w:rFonts w:hint="eastAsia" w:ascii="宋体" w:hAnsi="宋体"/>
                <w:color w:val="auto"/>
                <w:sz w:val="24"/>
                <w:highlight w:val="none"/>
              </w:rPr>
              <w:t xml:space="preserve">（1）基础数据管理</w:t>
            </w:r>
            <w:r/>
          </w:p>
          <w:p>
            <w:pPr>
              <w:jc w:val="left"/>
              <w:rPr>
                <w:rFonts w:hint="eastAsia" w:ascii="宋体" w:hAnsi="宋体"/>
                <w:color w:val="auto"/>
                <w:sz w:val="24"/>
                <w:highlight w:val="none"/>
              </w:rPr>
            </w:pPr>
            <w:r>
              <w:rPr>
                <w:rFonts w:ascii="宋体" w:hAnsi="宋体"/>
                <w:color w:val="auto"/>
                <w:sz w:val="24"/>
                <w:highlight w:val="none"/>
              </w:rPr>
              <w:t xml:space="preserve">提供项目类型设置、项目阶段设置、档案目录设置、参建单位档案等基础数据管理功能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（2）项目信息管理</w:t>
            </w:r>
            <w:r/>
          </w:p>
          <w:p>
            <w:pPr>
              <w:jc w:val="left"/>
              <w:rPr>
                <w:rFonts w:hint="eastAsia" w:ascii="宋体" w:hAnsi="宋体"/>
                <w:color w:val="auto"/>
                <w:sz w:val="24"/>
                <w:highlight w:val="none"/>
              </w:rPr>
            </w:pPr>
            <w:r>
              <w:rPr>
                <w:rFonts w:ascii="宋体" w:hAnsi="宋体"/>
                <w:color w:val="auto"/>
                <w:sz w:val="24"/>
                <w:highlight w:val="none"/>
              </w:rPr>
              <w:t xml:space="preserve">提供项目信息的登记、维护和检索功能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（3）合同信息管理</w:t>
            </w:r>
            <w:r/>
          </w:p>
          <w:p>
            <w:pPr>
              <w:jc w:val="left"/>
              <w:rPr>
                <w:rFonts w:hint="eastAsia" w:ascii="宋体" w:hAnsi="宋体"/>
                <w:color w:val="auto"/>
                <w:sz w:val="24"/>
                <w:highlight w:val="none"/>
              </w:rPr>
            </w:pPr>
            <w:r>
              <w:rPr>
                <w:rFonts w:ascii="宋体" w:hAnsi="宋体"/>
                <w:color w:val="auto"/>
                <w:sz w:val="24"/>
                <w:highlight w:val="none"/>
              </w:rPr>
              <w:t xml:space="preserve">提供合同信息的登记、维护和检索功能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（4）项目档案管理</w:t>
            </w:r>
            <w:r/>
          </w:p>
          <w:p>
            <w:pPr>
              <w:jc w:val="left"/>
              <w:rPr>
                <w:rFonts w:hint="eastAsia" w:ascii="宋体" w:hAnsi="宋体"/>
                <w:color w:val="auto"/>
                <w:sz w:val="24"/>
                <w:highlight w:val="none"/>
              </w:rPr>
            </w:pPr>
            <w:r>
              <w:rPr>
                <w:rFonts w:ascii="宋体" w:hAnsi="宋体"/>
                <w:color w:val="auto"/>
                <w:sz w:val="24"/>
                <w:highlight w:val="none"/>
              </w:rPr>
              <w:t xml:space="preserve">提供档案上传、删除、预览、下载、打包下载功能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（5）信息检索与查询</w:t>
            </w:r>
            <w:r/>
          </w:p>
          <w:p>
            <w:pPr>
              <w:jc w:val="left"/>
              <w:rPr>
                <w:rFonts w:hint="eastAsia" w:ascii="宋体" w:hAnsi="宋体"/>
                <w:color w:val="auto"/>
                <w:sz w:val="24"/>
                <w:highlight w:val="none"/>
              </w:rPr>
            </w:pPr>
            <w:r>
              <w:rPr>
                <w:rFonts w:ascii="宋体" w:hAnsi="宋体"/>
                <w:color w:val="auto"/>
                <w:sz w:val="24"/>
                <w:highlight w:val="none"/>
              </w:rPr>
              <w:t xml:space="preserve">支持通过关键词、项目名称、文档类型等快速查找项目及所需档案</w:t>
            </w:r>
            <w:r>
              <w:rPr>
                <w:rFonts w:hint="eastAsia" w:ascii="宋体" w:hAnsi="宋体"/>
                <w:color w:val="auto"/>
                <w:sz w:val="24"/>
                <w:highlight w:val="none"/>
              </w:rPr>
              <w:t xml:space="preserve">。</w:t>
            </w:r>
            <w:r/>
          </w:p>
          <w:p>
            <w:pPr>
              <w:jc w:val="left"/>
              <w:rPr>
                <w:rFonts w:hint="eastAsia"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巡检监管</w:t>
            </w:r>
            <w:r/>
          </w:p>
          <w:p>
            <w:pPr>
              <w:jc w:val="left"/>
              <w:rPr>
                <w:rFonts w:hint="eastAsia" w:ascii="宋体" w:hAnsi="宋体"/>
                <w:color w:val="auto"/>
                <w:sz w:val="24"/>
                <w:highlight w:val="none"/>
              </w:rPr>
            </w:pPr>
            <w:r>
              <w:rPr>
                <w:rFonts w:ascii="宋体" w:hAnsi="宋体"/>
                <w:color w:val="auto"/>
                <w:sz w:val="24"/>
                <w:highlight w:val="none"/>
              </w:rPr>
              <w:t xml:space="preserve">（1）基础管理</w:t>
            </w:r>
            <w:r/>
          </w:p>
          <w:p>
            <w:pPr>
              <w:numPr>
                <w:ilvl w:val="0"/>
                <w:numId w:val="1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检查项模板：支持定义巡检检查项，检查项支持多级分类，可配置检查项是否必填、登记的数据类型要求、枚举项等；</w:t>
            </w:r>
            <w:r/>
          </w:p>
          <w:p>
            <w:pPr>
              <w:numPr>
                <w:ilvl w:val="0"/>
                <w:numId w:val="1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巡检点管理：巡检点须关联地理坐标和地图标注，支持关联绑定具体的水务设施，匹配检查项模板；</w:t>
            </w:r>
            <w:r/>
          </w:p>
          <w:p>
            <w:pPr>
              <w:numPr>
                <w:ilvl w:val="0"/>
                <w:numId w:val="1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巡检路线管理：支持规划巡检点及巡检顺序，支持路线预览</w:t>
            </w:r>
            <w:r/>
          </w:p>
          <w:p>
            <w:pPr>
              <w:numPr>
                <w:ilvl w:val="0"/>
                <w:numId w:val="1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班组及人员管理：支持设置巡检班组及班组成员。</w:t>
            </w:r>
            <w:r/>
          </w:p>
          <w:p>
            <w:pPr>
              <w:jc w:val="left"/>
              <w:rPr>
                <w:rFonts w:hint="eastAsia" w:ascii="宋体" w:hAnsi="宋体"/>
                <w:color w:val="auto"/>
                <w:sz w:val="24"/>
                <w:highlight w:val="none"/>
              </w:rPr>
            </w:pPr>
            <w:r>
              <w:rPr>
                <w:rFonts w:ascii="宋体" w:hAnsi="宋体"/>
                <w:color w:val="auto"/>
                <w:sz w:val="24"/>
                <w:highlight w:val="none"/>
              </w:rPr>
              <w:t xml:space="preserve">（2）巡检计划</w:t>
            </w:r>
            <w:r/>
          </w:p>
          <w:p>
            <w:pPr>
              <w:numPr>
                <w:ilvl w:val="0"/>
                <w:numId w:val="13"/>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支持根据水务运行维护需求制定详细的巡检计划模板，包括巡检路线、巡检周期、检查人员、检查项等，人员轮班按班组负载均衡分配任务；</w:t>
            </w:r>
            <w:r/>
          </w:p>
          <w:p>
            <w:pPr>
              <w:numPr>
                <w:ilvl w:val="0"/>
                <w:numId w:val="13"/>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巡检计划周期策略支持日/周/月/自定义周期（如每3天一次），可设置节假日自动跳过。</w:t>
            </w:r>
            <w:r/>
          </w:p>
          <w:p>
            <w:pPr>
              <w:jc w:val="left"/>
              <w:rPr>
                <w:rFonts w:hint="eastAsia" w:ascii="宋体" w:hAnsi="宋体"/>
                <w:color w:val="auto"/>
                <w:sz w:val="24"/>
                <w:highlight w:val="none"/>
              </w:rPr>
            </w:pPr>
            <w:r>
              <w:rPr>
                <w:rFonts w:ascii="宋体" w:hAnsi="宋体"/>
                <w:color w:val="auto"/>
                <w:sz w:val="24"/>
                <w:highlight w:val="none"/>
              </w:rPr>
              <w:t xml:space="preserve">（3）巡检任务管理</w:t>
            </w:r>
            <w:r/>
          </w:p>
          <w:p>
            <w:pPr>
              <w:numPr>
                <w:ilvl w:val="0"/>
                <w:numId w:val="1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支持根据巡检计划自动生成巡检任务并分配给相关巡检人员；</w:t>
            </w:r>
            <w:r/>
          </w:p>
          <w:p>
            <w:pPr>
              <w:numPr>
                <w:ilvl w:val="0"/>
                <w:numId w:val="1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巡检人员可通过移动应用端接收巡检任务，查看巡检路线、巡检内容和注意事项；</w:t>
            </w:r>
            <w:r/>
          </w:p>
          <w:p>
            <w:pPr>
              <w:numPr>
                <w:ilvl w:val="0"/>
                <w:numId w:val="1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支持巡检任务的实时跟踪和管理，包括任务完成率、打卡率、各个巡检点的打卡时间、巡检内容的记录情况等。</w:t>
            </w:r>
            <w:r/>
          </w:p>
          <w:p>
            <w:pPr>
              <w:jc w:val="left"/>
              <w:rPr>
                <w:rFonts w:hint="eastAsia" w:ascii="宋体" w:hAnsi="宋体"/>
                <w:color w:val="auto"/>
                <w:sz w:val="24"/>
                <w:highlight w:val="none"/>
              </w:rPr>
            </w:pPr>
            <w:r>
              <w:rPr>
                <w:rFonts w:ascii="宋体" w:hAnsi="宋体"/>
                <w:color w:val="auto"/>
                <w:sz w:val="24"/>
                <w:highlight w:val="none"/>
              </w:rPr>
              <w:t xml:space="preserve">（4）异常情况处理</w:t>
            </w:r>
            <w:r/>
          </w:p>
          <w:p>
            <w:pPr>
              <w:jc w:val="left"/>
              <w:rPr>
                <w:rFonts w:hint="eastAsia" w:ascii="宋体" w:hAnsi="宋体"/>
                <w:color w:val="auto"/>
                <w:sz w:val="24"/>
                <w:highlight w:val="none"/>
              </w:rPr>
            </w:pPr>
            <w:r>
              <w:rPr>
                <w:rFonts w:ascii="宋体" w:hAnsi="宋体"/>
                <w:color w:val="auto"/>
                <w:sz w:val="24"/>
                <w:highlight w:val="none"/>
              </w:rPr>
              <w:t xml:space="preserve">巡检人员在巡检过程中发现异常情况时，可通过移动应用端及时上报，上传相关图片和视频</w:t>
            </w:r>
            <w:r>
              <w:rPr>
                <w:rFonts w:hint="eastAsia" w:ascii="宋体" w:hAnsi="宋体"/>
                <w:color w:val="auto"/>
                <w:sz w:val="24"/>
                <w:highlight w:val="none"/>
              </w:rPr>
              <w:t xml:space="preserve">，</w:t>
            </w:r>
            <w:r>
              <w:rPr>
                <w:rFonts w:ascii="宋体" w:hAnsi="宋体"/>
                <w:color w:val="auto"/>
                <w:sz w:val="24"/>
                <w:highlight w:val="none"/>
              </w:rPr>
              <w:t xml:space="preserve">系统自动生成工单并通知相关人员进行处理</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（5）统计分析</w:t>
            </w:r>
            <w:r/>
          </w:p>
          <w:p>
            <w:pPr>
              <w:jc w:val="left"/>
              <w:rPr>
                <w:rFonts w:hint="eastAsia" w:ascii="宋体" w:hAnsi="宋体"/>
                <w:color w:val="auto"/>
                <w:sz w:val="24"/>
                <w:highlight w:val="none"/>
              </w:rPr>
            </w:pPr>
            <w:r>
              <w:rPr>
                <w:rFonts w:hint="eastAsia" w:ascii="宋体" w:hAnsi="宋体"/>
                <w:color w:val="auto"/>
                <w:sz w:val="24"/>
                <w:highlight w:val="none"/>
              </w:rPr>
              <w:t xml:space="preserve">支持</w:t>
            </w:r>
            <w:r>
              <w:rPr>
                <w:rFonts w:ascii="宋体" w:hAnsi="宋体"/>
                <w:color w:val="auto"/>
                <w:sz w:val="24"/>
                <w:highlight w:val="none"/>
              </w:rPr>
              <w:t xml:space="preserve">对巡检任务的完成率、及时率，巡检工单处理完成率、按</w:t>
            </w:r>
            <w:r>
              <w:rPr>
                <w:rFonts w:hint="eastAsia" w:ascii="宋体" w:hAnsi="宋体"/>
                <w:color w:val="auto"/>
                <w:sz w:val="24"/>
                <w:highlight w:val="none"/>
              </w:rPr>
              <w:t xml:space="preserve">时</w:t>
            </w:r>
            <w:r>
              <w:rPr>
                <w:rFonts w:ascii="宋体" w:hAnsi="宋体"/>
                <w:color w:val="auto"/>
                <w:sz w:val="24"/>
                <w:highlight w:val="none"/>
              </w:rPr>
              <w:t xml:space="preserve">完成率、评价耗时、延期次数等指标进行分析</w:t>
            </w:r>
            <w:r>
              <w:rPr>
                <w:rFonts w:hint="eastAsia" w:ascii="宋体" w:hAnsi="宋体"/>
                <w:color w:val="auto"/>
                <w:sz w:val="24"/>
                <w:highlight w:val="none"/>
              </w:rPr>
              <w:t xml:space="preserve">，</w:t>
            </w:r>
            <w:r>
              <w:rPr>
                <w:rFonts w:ascii="宋体" w:hAnsi="宋体"/>
                <w:color w:val="auto"/>
                <w:sz w:val="24"/>
                <w:highlight w:val="none"/>
              </w:rPr>
              <w:t xml:space="preserve">支持从时间、片区、运维单位、设施类型等多维度统计分析</w:t>
            </w:r>
            <w:r>
              <w:rPr>
                <w:rFonts w:hint="eastAsia" w:ascii="宋体" w:hAnsi="宋体"/>
                <w:color w:val="auto"/>
                <w:sz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22.</w:t>
      </w:r>
      <w:r>
        <w:rPr>
          <w:rFonts w:hint="eastAsia" w:ascii="宋体" w:hAnsi="宋体" w:cs="宋体"/>
          <w:color w:val="auto"/>
          <w:sz w:val="24"/>
          <w:szCs w:val="24"/>
          <w:highlight w:val="none"/>
        </w:rPr>
        <w:t xml:space="preserve">移动应用</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待办任务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（1）我的待办：支持集中显示在移动端处理的个人工作任务列表，支持按任务主题关键字检索，支持查看待处理任务的详细内容及各流程环节审批情况，支持进行任务的审批、驳回等处理；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（2）已完成任务：支持显示个人参与的已完结任务列表；</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（3）我的发起：支持显示个人提交的流程任务，支持跟踪流程审批进度情况。</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消息通知</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平台</w:t>
            </w:r>
            <w:r>
              <w:rPr>
                <w:rFonts w:ascii="宋体" w:hAnsi="宋体"/>
                <w:color w:val="auto"/>
                <w:sz w:val="24"/>
                <w:highlight w:val="none"/>
              </w:rPr>
              <w:t xml:space="preserve">相关</w:t>
            </w:r>
            <w:r>
              <w:rPr>
                <w:rFonts w:ascii="宋体" w:hAnsi="宋体" w:cs="宋体"/>
                <w:color w:val="auto"/>
                <w:sz w:val="24"/>
                <w:szCs w:val="24"/>
                <w:highlight w:val="none"/>
              </w:rPr>
              <w:t xml:space="preserve">业务</w:t>
            </w:r>
            <w:r>
              <w:rPr>
                <w:rFonts w:hint="eastAsia" w:ascii="宋体" w:hAnsi="宋体" w:cs="宋体"/>
                <w:color w:val="auto"/>
                <w:sz w:val="24"/>
                <w:szCs w:val="24"/>
                <w:highlight w:val="none"/>
              </w:rPr>
              <w:t xml:space="preserve">产生</w:t>
            </w:r>
            <w:r>
              <w:rPr>
                <w:rFonts w:ascii="宋体" w:hAnsi="宋体" w:cs="宋体"/>
                <w:color w:val="auto"/>
                <w:sz w:val="24"/>
                <w:szCs w:val="24"/>
                <w:highlight w:val="none"/>
              </w:rPr>
              <w:t xml:space="preserve">的</w:t>
            </w:r>
            <w:r>
              <w:rPr>
                <w:rFonts w:hint="eastAsia" w:ascii="宋体" w:hAnsi="宋体" w:cs="宋体"/>
                <w:color w:val="auto"/>
                <w:sz w:val="24"/>
                <w:szCs w:val="24"/>
                <w:highlight w:val="none"/>
              </w:rPr>
              <w:t xml:space="preserve">系统</w:t>
            </w:r>
            <w:r>
              <w:rPr>
                <w:rFonts w:ascii="宋体" w:hAnsi="宋体" w:cs="宋体"/>
                <w:color w:val="auto"/>
                <w:sz w:val="24"/>
                <w:szCs w:val="24"/>
                <w:highlight w:val="none"/>
              </w:rPr>
              <w:t xml:space="preserve">消息</w:t>
            </w:r>
            <w:r>
              <w:rPr>
                <w:rFonts w:ascii="宋体" w:hAnsi="宋体"/>
                <w:color w:val="auto"/>
                <w:sz w:val="24"/>
                <w:highlight w:val="none"/>
              </w:rPr>
              <w:t xml:space="preserve">支持</w:t>
            </w:r>
            <w:r>
              <w:rPr>
                <w:rFonts w:ascii="宋体" w:hAnsi="宋体" w:cs="宋体"/>
                <w:color w:val="auto"/>
                <w:sz w:val="24"/>
                <w:szCs w:val="24"/>
                <w:highlight w:val="none"/>
              </w:rPr>
              <w:t xml:space="preserve">与</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我的江宁</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App消息接口对接</w:t>
            </w:r>
            <w:r>
              <w:rPr>
                <w:rStyle w:val="951"/>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采购人负责提供或协调接口文档、测试环境、账号权限等对接条件，供应商负责完成接口开发、联调测试及上线配合</w:t>
            </w:r>
            <w:r>
              <w:rPr>
                <w:rStyle w:val="951"/>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w:t>
            </w:r>
            <w:r>
              <w:rPr>
                <w:rFonts w:ascii="宋体" w:hAnsi="宋体"/>
                <w:color w:val="auto"/>
                <w:sz w:val="24"/>
                <w:highlight w:val="none"/>
              </w:rPr>
              <w:t xml:space="preserve">进行</w:t>
            </w:r>
            <w:r>
              <w:rPr>
                <w:rFonts w:ascii="宋体" w:hAnsi="宋体" w:cs="宋体"/>
                <w:color w:val="auto"/>
                <w:sz w:val="24"/>
                <w:szCs w:val="24"/>
                <w:highlight w:val="none"/>
              </w:rPr>
              <w:t xml:space="preserve">集中展示</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包括</w:t>
            </w:r>
            <w:r>
              <w:rPr>
                <w:rFonts w:ascii="宋体" w:hAnsi="宋体"/>
                <w:color w:val="auto"/>
                <w:sz w:val="24"/>
                <w:highlight w:val="none"/>
              </w:rPr>
              <w:t xml:space="preserve">流程</w:t>
            </w:r>
            <w:r>
              <w:rPr>
                <w:rFonts w:ascii="宋体" w:hAnsi="宋体" w:cs="宋体"/>
                <w:color w:val="auto"/>
                <w:sz w:val="24"/>
                <w:szCs w:val="24"/>
                <w:highlight w:val="none"/>
              </w:rPr>
              <w:t xml:space="preserve">引擎</w:t>
            </w:r>
            <w:r>
              <w:rPr>
                <w:rFonts w:hint="eastAsia" w:ascii="宋体" w:hAnsi="宋体" w:cs="宋体"/>
                <w:color w:val="auto"/>
                <w:sz w:val="24"/>
                <w:szCs w:val="24"/>
                <w:highlight w:val="none"/>
              </w:rPr>
              <w:t xml:space="preserve">推送</w:t>
            </w:r>
            <w:r>
              <w:rPr>
                <w:rFonts w:ascii="宋体" w:hAnsi="宋体" w:cs="宋体"/>
                <w:color w:val="auto"/>
                <w:sz w:val="24"/>
                <w:szCs w:val="24"/>
                <w:highlight w:val="none"/>
              </w:rPr>
              <w:t xml:space="preserve">的消息、物联监测预警发送的消息、防汛应急响应相关消息等</w:t>
            </w:r>
            <w:r>
              <w:rPr>
                <w:rFonts w:hint="eastAsia" w:ascii="宋体" w:hAnsi="宋体" w:cs="宋体"/>
                <w:color w:val="auto"/>
                <w:sz w:val="24"/>
                <w:szCs w:val="24"/>
                <w:highlight w:val="none"/>
              </w:rPr>
              <w:t xml:space="preserve">。</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ascii="宋体" w:hAnsi="宋体" w:cs="宋体"/>
                <w:b/>
                <w:bCs/>
                <w:color w:val="auto"/>
                <w:sz w:val="24"/>
                <w:szCs w:val="24"/>
                <w:highlight w:val="none"/>
              </w:rPr>
              <w:t xml:space="preserve">新闻公告</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（1）提供新闻公告的编辑、审核、发布和在线浏览功能，移动端可以查看；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（2）支持设置新闻公告的阅读权限，可选择公开或指定相关单位或人员查阅；</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（3）支持查看发布新闻公告的阅读量、阅读人员、阅读时间等情况。</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ascii="宋体" w:hAnsi="宋体" w:cs="宋体"/>
                <w:b/>
                <w:bCs/>
                <w:color w:val="auto"/>
                <w:sz w:val="24"/>
                <w:szCs w:val="24"/>
                <w:highlight w:val="none"/>
              </w:rPr>
              <w:t xml:space="preserve">监测预警</w:t>
            </w:r>
            <w:r/>
          </w:p>
          <w:p>
            <w:pPr>
              <w:jc w:val="left"/>
              <w:rPr>
                <w:rFonts w:hint="eastAsia" w:ascii="宋体" w:hAnsi="宋体" w:cs="宋体"/>
                <w:color w:val="auto"/>
                <w:sz w:val="24"/>
                <w:szCs w:val="24"/>
                <w:highlight w:val="none"/>
              </w:rPr>
            </w:pPr>
            <w:r>
              <w:rPr>
                <w:rFonts w:ascii="宋体" w:hAnsi="宋体"/>
                <w:color w:val="auto"/>
                <w:sz w:val="24"/>
                <w:highlight w:val="none"/>
              </w:rPr>
              <w:t xml:space="preserve">移动</w:t>
            </w:r>
            <w:r>
              <w:rPr>
                <w:rFonts w:ascii="宋体" w:hAnsi="宋体" w:cs="宋体"/>
                <w:color w:val="auto"/>
                <w:sz w:val="24"/>
                <w:szCs w:val="24"/>
                <w:highlight w:val="none"/>
              </w:rPr>
              <w:t xml:space="preserve">端支持接收</w:t>
            </w:r>
            <w:r>
              <w:rPr>
                <w:rFonts w:hint="eastAsia" w:ascii="宋体" w:hAnsi="宋体" w:cs="宋体"/>
                <w:color w:val="auto"/>
                <w:sz w:val="24"/>
                <w:szCs w:val="24"/>
                <w:highlight w:val="none"/>
              </w:rPr>
              <w:t xml:space="preserve">汇总物联设备的监测</w:t>
            </w:r>
            <w:r>
              <w:rPr>
                <w:rFonts w:ascii="宋体" w:hAnsi="宋体" w:cs="宋体"/>
                <w:color w:val="auto"/>
                <w:sz w:val="24"/>
                <w:szCs w:val="24"/>
                <w:highlight w:val="none"/>
              </w:rPr>
              <w:t xml:space="preserve">预警信息，对报警</w:t>
            </w:r>
            <w:r>
              <w:rPr>
                <w:rFonts w:hint="eastAsia" w:ascii="宋体" w:hAnsi="宋体" w:cs="宋体"/>
                <w:color w:val="auto"/>
                <w:sz w:val="24"/>
                <w:szCs w:val="24"/>
                <w:highlight w:val="none"/>
              </w:rPr>
              <w:t xml:space="preserve">信息</w:t>
            </w:r>
            <w:r>
              <w:rPr>
                <w:rFonts w:ascii="宋体" w:hAnsi="宋体" w:cs="宋体"/>
                <w:color w:val="auto"/>
                <w:sz w:val="24"/>
                <w:szCs w:val="24"/>
                <w:highlight w:val="none"/>
              </w:rPr>
              <w:t xml:space="preserve">进行集中展示</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支持查看当前报警、今日报警发生情况，进行历史趋势分析</w:t>
            </w:r>
            <w:r>
              <w:rPr>
                <w:rFonts w:hint="eastAsia" w:ascii="宋体" w:hAnsi="宋体" w:cs="宋体"/>
                <w:color w:val="auto"/>
                <w:sz w:val="24"/>
                <w:szCs w:val="24"/>
                <w:highlight w:val="none"/>
              </w:rPr>
              <w:t xml:space="preserve">。</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w:t>
            </w:r>
            <w:r>
              <w:rPr>
                <w:rFonts w:ascii="宋体" w:hAnsi="宋体" w:cs="宋体"/>
                <w:b/>
                <w:bCs/>
                <w:color w:val="auto"/>
                <w:sz w:val="24"/>
                <w:szCs w:val="24"/>
                <w:highlight w:val="none"/>
              </w:rPr>
              <w:t xml:space="preserve">排水管理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（1）污水处理厂运行监控</w:t>
            </w:r>
            <w:r/>
          </w:p>
          <w:p>
            <w:pPr>
              <w:numPr>
                <w:ilvl w:val="0"/>
                <w:numId w:val="1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支持查看全区18座污水厂的实时进出水量、进出水水质，异常值数据突出提醒，支持数据下钻查看各指标的历史数据曲线，流量提供小时流量曲线、日累计流量曲线；</w:t>
            </w:r>
            <w:r/>
          </w:p>
          <w:p>
            <w:pPr>
              <w:numPr>
                <w:ilvl w:val="0"/>
                <w:numId w:val="1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支持查看所有污水厂的实时报警信息列表。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（2）排水泵站运行监控</w:t>
            </w:r>
            <w:r/>
          </w:p>
          <w:p>
            <w:pPr>
              <w:numPr>
                <w:ilvl w:val="0"/>
                <w:numId w:val="1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支持查看泵站的小时流量、液位、水泵运行状态等实时数据，异常报警数据突出提醒，支持数据下钻查看各指标的历史数据曲线，流量提供历史小时流量曲线、日累计流量曲线；</w:t>
            </w:r>
            <w:r/>
          </w:p>
          <w:p>
            <w:pPr>
              <w:numPr>
                <w:ilvl w:val="0"/>
                <w:numId w:val="1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支持查看所有泵站的实时报警信息列表。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（3）排水管网运行监控</w:t>
            </w:r>
            <w:r/>
          </w:p>
          <w:p>
            <w:pPr>
              <w:numPr>
                <w:ilvl w:val="0"/>
                <w:numId w:val="1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支持查看排水管网污水漫溢监测点的水位、流量、流速实时数据，并根据当前水位及管径计算管网的实时充满度；</w:t>
            </w:r>
            <w:r/>
          </w:p>
          <w:p>
            <w:pPr>
              <w:numPr>
                <w:ilvl w:val="0"/>
                <w:numId w:val="1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支持查看管网节点井水质监测点的水质数据；</w:t>
            </w:r>
            <w:r/>
          </w:p>
          <w:p>
            <w:pPr>
              <w:numPr>
                <w:ilvl w:val="0"/>
                <w:numId w:val="1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根据设置的报警阈值进行流量、水位、水质报警提醒，提示污水漫溢或水质污染风险。</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（4）排口运行监控</w:t>
            </w:r>
            <w:r/>
          </w:p>
          <w:p>
            <w:pPr>
              <w:jc w:val="left"/>
              <w:rPr>
                <w:rFonts w:hint="eastAsia" w:ascii="宋体" w:hAnsi="宋体" w:cs="宋体"/>
                <w:color w:val="auto"/>
                <w:sz w:val="24"/>
                <w:szCs w:val="24"/>
                <w:highlight w:val="none"/>
              </w:rPr>
            </w:pPr>
            <w:r>
              <w:rPr>
                <w:rFonts w:ascii="宋体" w:hAnsi="宋体"/>
                <w:color w:val="auto"/>
                <w:sz w:val="24"/>
                <w:highlight w:val="none"/>
              </w:rPr>
              <w:t xml:space="preserve">提供排口信息列表，支持查看排口基本信息（管径、受纳水体等）</w:t>
            </w:r>
            <w:r>
              <w:rPr>
                <w:rFonts w:hint="eastAsia" w:ascii="宋体" w:hAnsi="宋体"/>
                <w:color w:val="auto"/>
                <w:sz w:val="24"/>
                <w:highlight w:val="none"/>
              </w:rPr>
              <w:t xml:space="preserve">，</w:t>
            </w:r>
            <w:r>
              <w:rPr>
                <w:rFonts w:ascii="宋体" w:hAnsi="宋体"/>
                <w:color w:val="auto"/>
                <w:sz w:val="24"/>
                <w:highlight w:val="none"/>
              </w:rPr>
              <w:t xml:space="preserve">支持</w:t>
            </w:r>
            <w:r>
              <w:rPr>
                <w:rFonts w:ascii="宋体" w:hAnsi="宋体" w:cs="宋体"/>
                <w:color w:val="auto"/>
                <w:sz w:val="24"/>
                <w:szCs w:val="24"/>
                <w:highlight w:val="none"/>
              </w:rPr>
              <w:t xml:space="preserve">查看排口的流量、水质监测数据、视频数据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6、</w:t>
            </w:r>
            <w:r>
              <w:rPr>
                <w:rFonts w:ascii="宋体" w:hAnsi="宋体" w:cs="宋体"/>
                <w:b/>
                <w:bCs/>
                <w:color w:val="auto"/>
                <w:sz w:val="24"/>
                <w:szCs w:val="24"/>
                <w:highlight w:val="none"/>
              </w:rPr>
              <w:t xml:space="preserve">供水管理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（1）水厂运行监控</w:t>
            </w:r>
            <w:r/>
          </w:p>
          <w:p>
            <w:pPr>
              <w:numPr>
                <w:ilvl w:val="0"/>
                <w:numId w:val="1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支持查看全区4座水厂的实时进出水量、进水水质、出厂水的压力、液位、流量、水质等数据，并设置异常报警数据突出提醒；</w:t>
            </w:r>
            <w:r/>
          </w:p>
          <w:p>
            <w:pPr>
              <w:numPr>
                <w:ilvl w:val="0"/>
                <w:numId w:val="1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支持数据下钻查看各指标的历史数据曲线，流量提供历史小时流量曲线、日累计流量曲线；</w:t>
            </w:r>
            <w:r/>
          </w:p>
          <w:p>
            <w:pPr>
              <w:numPr>
                <w:ilvl w:val="0"/>
                <w:numId w:val="1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提供所有水厂当天的报警信息列表。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（2）二次供水泵站运行监控</w:t>
            </w:r>
            <w:r/>
          </w:p>
          <w:p>
            <w:pPr>
              <w:numPr>
                <w:ilvl w:val="0"/>
                <w:numId w:val="1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支持查询二次供水泵站的实时运行数据，包括压力、泵站运行状态、数据更新时间等，并设置异常报警数据突出提醒；</w:t>
            </w:r>
            <w:r/>
          </w:p>
          <w:p>
            <w:pPr>
              <w:numPr>
                <w:ilvl w:val="0"/>
                <w:numId w:val="1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支持下钻查看各指标的历史数据曲线；</w:t>
            </w:r>
            <w:r/>
          </w:p>
          <w:p>
            <w:pPr>
              <w:numPr>
                <w:ilvl w:val="0"/>
                <w:numId w:val="1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提供当天的报警信息列表。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（3）水源地运行监控</w:t>
            </w:r>
            <w:r/>
          </w:p>
          <w:p>
            <w:pPr>
              <w:numPr>
                <w:ilvl w:val="0"/>
                <w:numId w:val="2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支持查询各水源地取水口的水质监测、水位监测实时数据，并设置异常报警数据突出提醒；</w:t>
            </w:r>
            <w:r/>
          </w:p>
          <w:p>
            <w:pPr>
              <w:numPr>
                <w:ilvl w:val="0"/>
                <w:numId w:val="2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支持查询各加压泵站的运行状态、流量数据；</w:t>
            </w:r>
            <w:r/>
          </w:p>
          <w:p>
            <w:pPr>
              <w:numPr>
                <w:ilvl w:val="0"/>
                <w:numId w:val="2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支持下钻查看各指标的历史数据曲线，流量提供历史小时流量曲线、日累计流量曲线；</w:t>
            </w:r>
            <w:r/>
          </w:p>
          <w:p>
            <w:pPr>
              <w:numPr>
                <w:ilvl w:val="0"/>
                <w:numId w:val="2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提供当天的报警信息列表。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（4）供水管网运行</w:t>
            </w:r>
            <w:r/>
          </w:p>
          <w:p>
            <w:pPr>
              <w:numPr>
                <w:ilvl w:val="0"/>
                <w:numId w:val="2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支持查询供水管网压力监测点、水质监测点的实时监测数据，并设置异常报警数据突出提醒；</w:t>
            </w:r>
            <w:r/>
          </w:p>
          <w:p>
            <w:pPr>
              <w:numPr>
                <w:ilvl w:val="0"/>
                <w:numId w:val="2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支持下钻查看各指标的历史数据曲线；</w:t>
            </w:r>
            <w:r/>
          </w:p>
          <w:p>
            <w:pPr>
              <w:numPr>
                <w:ilvl w:val="0"/>
                <w:numId w:val="2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提供当天的报警信息列表。</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w:t>
            </w:r>
            <w:r>
              <w:rPr>
                <w:rFonts w:ascii="宋体" w:hAnsi="宋体" w:cs="宋体"/>
                <w:b/>
                <w:bCs/>
                <w:color w:val="auto"/>
                <w:sz w:val="24"/>
                <w:szCs w:val="24"/>
                <w:highlight w:val="none"/>
              </w:rPr>
              <w:t xml:space="preserve">水环境管理</w:t>
            </w:r>
            <w:r/>
          </w:p>
          <w:p>
            <w:pPr>
              <w:numPr>
                <w:ilvl w:val="0"/>
                <w:numId w:val="2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支持查询河湖断面水质监测站点的水质等级及各监测因子实时数据、人工监测填报的水质数据，并设置异常报警数据突出提醒；</w:t>
            </w:r>
            <w:r/>
          </w:p>
          <w:p>
            <w:pPr>
              <w:numPr>
                <w:ilvl w:val="0"/>
                <w:numId w:val="2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提供水质等级变化趋势、监测因子趋势分析；</w:t>
            </w:r>
            <w:r/>
          </w:p>
          <w:p>
            <w:pPr>
              <w:numPr>
                <w:ilvl w:val="0"/>
                <w:numId w:val="2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提供水质超标报警信息功能。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8、</w:t>
            </w:r>
            <w:r>
              <w:rPr>
                <w:rFonts w:ascii="宋体" w:hAnsi="宋体" w:cs="宋体"/>
                <w:b/>
                <w:bCs/>
                <w:color w:val="auto"/>
                <w:sz w:val="24"/>
                <w:szCs w:val="24"/>
                <w:highlight w:val="none"/>
              </w:rPr>
              <w:t xml:space="preserve">节水管理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1.水务局管理端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（1）待我审批</w:t>
            </w:r>
            <w:r/>
          </w:p>
          <w:p>
            <w:pPr>
              <w:numPr>
                <w:ilvl w:val="0"/>
                <w:numId w:val="23"/>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支持审批用水户用水相关申请，包括用水计划待审批、临时性用水审批、用水户注册等；</w:t>
            </w:r>
            <w:r/>
          </w:p>
          <w:p>
            <w:pPr>
              <w:numPr>
                <w:ilvl w:val="0"/>
                <w:numId w:val="23"/>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支持审批用水单位提交的投诉建议等。</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（2）我的关注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支持查看年度用水量与计划年度用水量对比、年度用水量排行、有效期内计划用水户水平衡测试开展情况</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（3）用水单位管理</w:t>
            </w:r>
            <w:r/>
          </w:p>
          <w:p>
            <w:pPr>
              <w:numPr>
                <w:ilvl w:val="0"/>
                <w:numId w:val="2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用水单位查看：支持查询用水单位，可通过营业所、用水单位名称等关键字搜索，支持按年份查看该用水单位月度用水情况；</w:t>
            </w:r>
            <w:r/>
          </w:p>
          <w:p>
            <w:pPr>
              <w:numPr>
                <w:ilvl w:val="0"/>
                <w:numId w:val="2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重点监管单位查看：支持查询重点监管用水单位，查看重点监管用水单位用水情况，包括浏览档案信息。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w:t>
            </w:r>
            <w:r>
              <w:rPr>
                <w:rFonts w:ascii="宋体" w:hAnsi="宋体" w:cs="宋体"/>
                <w:color w:val="auto"/>
                <w:sz w:val="24"/>
                <w:szCs w:val="24"/>
                <w:highlight w:val="none"/>
              </w:rPr>
              <w:t xml:space="preserve">.用水户端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（1）我的待办</w:t>
            </w:r>
            <w:r/>
          </w:p>
          <w:p>
            <w:pPr>
              <w:numPr>
                <w:ilvl w:val="0"/>
                <w:numId w:val="2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年度用水计划确认：支持对水务局下发的用水计划文件进行确认；</w:t>
            </w:r>
            <w:r/>
          </w:p>
          <w:p>
            <w:pPr>
              <w:numPr>
                <w:ilvl w:val="0"/>
                <w:numId w:val="2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月度实际用水量确认：支持对水务集团端口传送的企业每月实际用水量进行确认，对疑义数据在页面上补充说明，支持上传附件佐证材料。</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（2）预警信息</w:t>
            </w:r>
            <w:r/>
          </w:p>
          <w:p>
            <w:pPr>
              <w:numPr>
                <w:ilvl w:val="0"/>
                <w:numId w:val="2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年度超计划用水预警：支持接收查看本企业年度用水量执行率进度，查看月度用水汇总量超过年度用水执行率的分阶段预警；</w:t>
            </w:r>
            <w:r/>
          </w:p>
          <w:p>
            <w:pPr>
              <w:numPr>
                <w:ilvl w:val="0"/>
                <w:numId w:val="2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水平衡测试工作预警：根据不同计划用水户水平衡测试开展工作的临近日期进行预警；</w:t>
            </w:r>
            <w:r/>
          </w:p>
          <w:p>
            <w:pPr>
              <w:numPr>
                <w:ilvl w:val="0"/>
                <w:numId w:val="2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其他相关工作预警：对水务局下发的有时限要求的其他相关工作文件临近日期进行预警。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（3）我的用水</w:t>
            </w:r>
            <w:r/>
          </w:p>
          <w:p>
            <w:pPr>
              <w:numPr>
                <w:ilvl w:val="0"/>
                <w:numId w:val="2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用水计划查看：支持企业用户移动端查看企业用水计划情况，包括实际用水记录；</w:t>
            </w:r>
            <w:r/>
          </w:p>
          <w:p>
            <w:pPr>
              <w:numPr>
                <w:ilvl w:val="0"/>
                <w:numId w:val="2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我的水平衡：支持查看历史水平衡记录。</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（4）单位基本信息</w:t>
            </w:r>
            <w:r/>
          </w:p>
          <w:p>
            <w:pPr>
              <w:numPr>
                <w:ilvl w:val="0"/>
                <w:numId w:val="2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用水基本信息变更：支持用户进行用水基本信息调整，填写信息变更申请，水务局审核通过后修改生效；</w:t>
            </w:r>
            <w:r/>
          </w:p>
          <w:p>
            <w:pPr>
              <w:numPr>
                <w:ilvl w:val="0"/>
                <w:numId w:val="2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水务经理信息维护：支持填写用水单位联系人信息（可增加多个联系人），填写三级管理责任人（法人代表、用水单位管水部门负责人、联系人即水务经理）。</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9、防汛管理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（1）运行监测</w:t>
            </w:r>
            <w:r/>
          </w:p>
          <w:p>
            <w:pPr>
              <w:jc w:val="left"/>
              <w:rPr>
                <w:rFonts w:hint="eastAsia" w:ascii="宋体" w:hAnsi="宋体"/>
                <w:color w:val="auto"/>
                <w:sz w:val="24"/>
                <w:highlight w:val="none"/>
              </w:rPr>
            </w:pPr>
            <w:r>
              <w:rPr>
                <w:rFonts w:hint="eastAsia" w:ascii="宋体" w:hAnsi="宋体"/>
                <w:color w:val="auto"/>
                <w:sz w:val="24"/>
                <w:highlight w:val="none"/>
              </w:rPr>
              <w:t xml:space="preserve">可查询气象预报数据，水雨情监测、工情监测、积水监测、漫溢点监测的实时数据、历史数据，对水位异常等情况进行告警，突出醒目展示。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（2）防汛调度</w:t>
            </w:r>
            <w:r/>
          </w:p>
          <w:p>
            <w:pPr>
              <w:jc w:val="left"/>
              <w:rPr>
                <w:rFonts w:hint="eastAsia" w:ascii="宋体" w:hAnsi="宋体"/>
                <w:color w:val="auto"/>
                <w:sz w:val="24"/>
                <w:highlight w:val="none"/>
              </w:rPr>
            </w:pPr>
            <w:r>
              <w:rPr>
                <w:rFonts w:hint="eastAsia" w:ascii="宋体" w:hAnsi="宋体"/>
                <w:color w:val="auto"/>
                <w:sz w:val="24"/>
                <w:highlight w:val="none"/>
              </w:rPr>
              <w:t xml:space="preserve">可查询防汛物资分布及库存情况，查看防汛队伍信息，支持在线查看联络人信息，通过移动端直接拨打电话，对物资及人员进行快速调度，系统支持根据调度指令的目标地点，为抢险人员直接生成导航地图。</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10、</w:t>
            </w:r>
            <w:r>
              <w:rPr>
                <w:rFonts w:ascii="宋体" w:hAnsi="宋体" w:cs="宋体"/>
                <w:b/>
                <w:bCs/>
                <w:color w:val="auto"/>
                <w:sz w:val="24"/>
                <w:szCs w:val="24"/>
                <w:highlight w:val="none"/>
              </w:rPr>
              <w:t xml:space="preserve">巡检管理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（1）巡检人员可通过移动端接收巡检任务，查看巡检路线、巡检内容和注意事项；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（2）巡检人员可通过移动端定位打卡，记录巡检位置和时间；</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（3）支持巡检任务处理，根据检查项模板，登记反馈设备运行状态、故障等信息；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（4）针对巡检时发现的问题，支持问题的快速上报，自动生成问题工单。</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11、</w:t>
            </w:r>
            <w:r>
              <w:rPr>
                <w:rFonts w:ascii="宋体" w:hAnsi="宋体" w:cs="宋体"/>
                <w:b/>
                <w:bCs/>
                <w:color w:val="auto"/>
                <w:sz w:val="24"/>
                <w:szCs w:val="24"/>
                <w:highlight w:val="none"/>
              </w:rPr>
              <w:t xml:space="preserve">问题上报</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w:t>
            </w:r>
            <w:r>
              <w:rPr>
                <w:rFonts w:ascii="宋体" w:hAnsi="宋体"/>
                <w:color w:val="auto"/>
                <w:sz w:val="24"/>
                <w:highlight w:val="none"/>
              </w:rPr>
              <w:t xml:space="preserve">巡检过程中发现的问题</w:t>
            </w:r>
            <w:r>
              <w:rPr>
                <w:rFonts w:hint="eastAsia" w:ascii="宋体" w:hAnsi="宋体"/>
                <w:color w:val="auto"/>
                <w:sz w:val="24"/>
                <w:highlight w:val="none"/>
              </w:rPr>
              <w:t xml:space="preserve">支持</w:t>
            </w:r>
            <w:r>
              <w:rPr>
                <w:rFonts w:ascii="宋体" w:hAnsi="宋体"/>
                <w:color w:val="auto"/>
                <w:sz w:val="24"/>
                <w:highlight w:val="none"/>
              </w:rPr>
              <w:t xml:space="preserve">快速上报</w:t>
            </w:r>
            <w:r>
              <w:rPr>
                <w:rFonts w:hint="eastAsia" w:ascii="宋体" w:hAnsi="宋体"/>
                <w:color w:val="auto"/>
                <w:sz w:val="24"/>
                <w:highlight w:val="none"/>
              </w:rPr>
              <w:t xml:space="preserve">功能，上报时支持</w:t>
            </w:r>
            <w:r>
              <w:rPr>
                <w:rFonts w:ascii="宋体" w:hAnsi="宋体"/>
                <w:color w:val="auto"/>
                <w:sz w:val="24"/>
                <w:highlight w:val="none"/>
              </w:rPr>
              <w:t xml:space="preserve">拍照上传现场照片、短视频</w:t>
            </w:r>
            <w:r>
              <w:rPr>
                <w:rFonts w:hint="eastAsia" w:ascii="宋体" w:hAnsi="宋体"/>
                <w:color w:val="auto"/>
                <w:sz w:val="24"/>
                <w:highlight w:val="none"/>
              </w:rPr>
              <w:t xml:space="preserve">，支持</w:t>
            </w:r>
            <w:r>
              <w:rPr>
                <w:rFonts w:ascii="宋体" w:hAnsi="宋体"/>
                <w:color w:val="auto"/>
                <w:sz w:val="24"/>
                <w:highlight w:val="none"/>
              </w:rPr>
              <w:t xml:space="preserve">语音留言</w:t>
            </w:r>
            <w:r>
              <w:rPr>
                <w:rFonts w:hint="eastAsia" w:ascii="宋体" w:hAnsi="宋体"/>
                <w:color w:val="auto"/>
                <w:sz w:val="24"/>
                <w:highlight w:val="none"/>
              </w:rPr>
              <w:t xml:space="preserve">、录入文字描述</w:t>
            </w:r>
            <w:r>
              <w:rPr>
                <w:rFonts w:ascii="宋体" w:hAnsi="宋体"/>
                <w:color w:val="auto"/>
                <w:sz w:val="24"/>
                <w:highlight w:val="none"/>
              </w:rPr>
              <w:t xml:space="preserve">等</w:t>
            </w:r>
            <w:r>
              <w:rPr>
                <w:rFonts w:hint="eastAsia" w:ascii="宋体" w:hAnsi="宋体"/>
                <w:color w:val="auto"/>
                <w:sz w:val="24"/>
                <w:highlight w:val="none"/>
              </w:rPr>
              <w:t xml:space="preserve">信息，系统同时记录当前位置信息，</w:t>
            </w:r>
            <w:r>
              <w:rPr>
                <w:rFonts w:ascii="宋体" w:hAnsi="宋体"/>
                <w:color w:val="auto"/>
                <w:sz w:val="24"/>
                <w:highlight w:val="none"/>
              </w:rPr>
              <w:t xml:space="preserve">实现</w:t>
            </w:r>
            <w:r>
              <w:rPr>
                <w:rFonts w:hint="eastAsia" w:ascii="宋体" w:hAnsi="宋体"/>
                <w:color w:val="auto"/>
                <w:sz w:val="24"/>
                <w:highlight w:val="none"/>
              </w:rPr>
              <w:t xml:space="preserve">问题工单的快速反馈。</w:t>
            </w:r>
            <w:r/>
          </w:p>
          <w:p>
            <w:pPr>
              <w:jc w:val="left"/>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排水许可申报及审批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（1）排水单位可在线查看排水许可申报条件、所需材料及注意事项，具体申报操作在PC端执行，移动端支持查看排水许可的审批进度情况；</w:t>
            </w:r>
            <w:r/>
          </w:p>
          <w:p>
            <w:pPr>
              <w:jc w:val="left"/>
              <w:tabs>
                <w:tab w:val="left" w:pos="0" w:leader="none"/>
              </w:tabs>
              <w:rPr>
                <w:rFonts w:hint="eastAsia" w:ascii="宋体" w:hAnsi="宋体"/>
                <w:color w:val="auto"/>
                <w:sz w:val="24"/>
                <w:highlight w:val="none"/>
              </w:rPr>
            </w:pPr>
            <w:r>
              <w:rPr>
                <w:rFonts w:hint="eastAsia" w:ascii="宋体" w:hAnsi="宋体" w:cs="宋体"/>
                <w:color w:val="auto"/>
                <w:sz w:val="24"/>
                <w:szCs w:val="24"/>
                <w:highlight w:val="none"/>
              </w:rPr>
              <w:t xml:space="preserve">（2）水务局可在移动端查看排水许可审批任务，进行流程审批及驳回。</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23.</w:t>
      </w:r>
      <w:r>
        <w:rPr>
          <w:rFonts w:hint="eastAsia" w:ascii="宋体" w:hAnsi="宋体" w:cs="宋体"/>
          <w:color w:val="auto"/>
          <w:sz w:val="24"/>
          <w:szCs w:val="24"/>
          <w:highlight w:val="none"/>
        </w:rPr>
        <w:t xml:space="preserve">综合维护子系统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1、公共基础数据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包括行政区划、小区、片区等基础数据维护功能，提供基础数据的新建、编辑、删除、</w:t>
            </w:r>
            <w:r>
              <w:rPr>
                <w:rFonts w:ascii="宋体" w:hAnsi="宋体"/>
                <w:color w:val="auto"/>
                <w:sz w:val="24"/>
                <w:highlight w:val="none"/>
              </w:rPr>
              <w:t xml:space="preserve">Excel</w:t>
            </w:r>
            <w:r>
              <w:rPr>
                <w:rFonts w:hint="eastAsia" w:ascii="宋体" w:hAnsi="宋体"/>
                <w:color w:val="auto"/>
                <w:sz w:val="24"/>
                <w:highlight w:val="none"/>
              </w:rPr>
              <w:t xml:space="preserve">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2、排水基础数据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包括泵站、污水处理厂、排口等，提供新建、编辑、删除、</w:t>
            </w:r>
            <w:r>
              <w:rPr>
                <w:rFonts w:ascii="宋体" w:hAnsi="宋体"/>
                <w:color w:val="auto"/>
                <w:sz w:val="24"/>
                <w:highlight w:val="none"/>
              </w:rPr>
              <w:t xml:space="preserve">Excel</w:t>
            </w:r>
            <w:r>
              <w:rPr>
                <w:rFonts w:hint="eastAsia" w:ascii="宋体" w:hAnsi="宋体"/>
                <w:color w:val="auto"/>
                <w:sz w:val="24"/>
                <w:highlight w:val="none"/>
              </w:rPr>
              <w:t xml:space="preserve">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3、供水基础数据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包括水源地、取水泵站、水厂、供水管网、二次加压泵房、表井、水表等，提供新建、编辑、删除、Excel导入和导出、查询、地理位置标注、电子围栏绘制等功能。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4、水环境基础数据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包括河道、水库、堤防、塘坝、山塘、水闸、涵闸、考核断面等基础数据维护功能，提供新建、编辑、删除、</w:t>
            </w:r>
            <w:r>
              <w:rPr>
                <w:rFonts w:ascii="宋体" w:hAnsi="宋体"/>
                <w:color w:val="auto"/>
                <w:sz w:val="24"/>
                <w:highlight w:val="none"/>
              </w:rPr>
              <w:t xml:space="preserve">Excel</w:t>
            </w:r>
            <w:r>
              <w:rPr>
                <w:rFonts w:hint="eastAsia" w:ascii="宋体" w:hAnsi="宋体"/>
                <w:color w:val="auto"/>
                <w:sz w:val="24"/>
                <w:highlight w:val="none"/>
              </w:rPr>
              <w:t xml:space="preserve">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5、防汛排涝基础数据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包括易积淹点、防汛队伍、堤防等基础数据维护功能，提供新建、编辑、删除、</w:t>
            </w:r>
            <w:r>
              <w:rPr>
                <w:rFonts w:ascii="宋体" w:hAnsi="宋体"/>
                <w:color w:val="auto"/>
                <w:sz w:val="24"/>
                <w:highlight w:val="none"/>
              </w:rPr>
              <w:t xml:space="preserve">Excel</w:t>
            </w:r>
            <w:r>
              <w:rPr>
                <w:rFonts w:hint="eastAsia" w:ascii="宋体" w:hAnsi="宋体"/>
                <w:color w:val="auto"/>
                <w:sz w:val="24"/>
                <w:highlight w:val="none"/>
              </w:rPr>
              <w:t xml:space="preserve">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6、水务设施类型代码表</w:t>
            </w:r>
            <w:r/>
          </w:p>
          <w:p>
            <w:pPr>
              <w:jc w:val="left"/>
              <w:rPr>
                <w:rFonts w:hint="eastAsia" w:ascii="宋体" w:hAnsi="宋体"/>
                <w:color w:val="auto"/>
                <w:sz w:val="24"/>
                <w:highlight w:val="none"/>
              </w:rPr>
            </w:pPr>
            <w:r>
              <w:rPr>
                <w:rFonts w:hint="eastAsia" w:ascii="宋体" w:hAnsi="宋体"/>
                <w:color w:val="auto"/>
                <w:sz w:val="24"/>
                <w:highlight w:val="none"/>
              </w:rPr>
              <w:t xml:space="preserve">提供水务设施类型代码表功能，如设置排水大类下细分为排水管网、泵站、河道等，建立水务设施统一编码管理体系。</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7、监测点位</w:t>
            </w:r>
            <w:r/>
          </w:p>
          <w:p>
            <w:pPr>
              <w:jc w:val="left"/>
              <w:rPr>
                <w:rFonts w:hint="eastAsia" w:ascii="宋体" w:hAnsi="宋体"/>
                <w:color w:val="auto"/>
                <w:sz w:val="24"/>
                <w:highlight w:val="none"/>
              </w:rPr>
            </w:pPr>
            <w:r>
              <w:rPr>
                <w:rFonts w:hint="eastAsia" w:ascii="宋体" w:hAnsi="宋体"/>
                <w:color w:val="auto"/>
                <w:sz w:val="24"/>
                <w:highlight w:val="none"/>
              </w:rPr>
              <w:t xml:space="preserve">提供监测点位配置功能，包括基本信息（维护点位代码、点位名称、设施类型代码、设施名称、监测位置等）、</w:t>
            </w:r>
            <w:r>
              <w:rPr>
                <w:rFonts w:ascii="宋体" w:hAnsi="宋体"/>
                <w:color w:val="auto"/>
                <w:sz w:val="24"/>
                <w:highlight w:val="none"/>
              </w:rPr>
              <w:t xml:space="preserve">GIS</w:t>
            </w:r>
            <w:r>
              <w:rPr>
                <w:rFonts w:hint="eastAsia" w:ascii="宋体" w:hAnsi="宋体"/>
                <w:color w:val="auto"/>
                <w:sz w:val="24"/>
                <w:highlight w:val="none"/>
              </w:rPr>
              <w:t xml:space="preserve">坐标信息等。</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8、设备分类及监测项</w:t>
            </w:r>
            <w:r/>
          </w:p>
          <w:p>
            <w:pPr>
              <w:jc w:val="left"/>
              <w:rPr>
                <w:rFonts w:hint="eastAsia" w:ascii="宋体" w:hAnsi="宋体"/>
                <w:color w:val="auto"/>
                <w:sz w:val="24"/>
                <w:highlight w:val="none"/>
              </w:rPr>
            </w:pPr>
            <w:r>
              <w:rPr>
                <w:rFonts w:hint="eastAsia" w:ascii="宋体" w:hAnsi="宋体"/>
                <w:color w:val="auto"/>
                <w:sz w:val="24"/>
                <w:highlight w:val="none"/>
              </w:rPr>
              <w:t xml:space="preserve">提供设备分类及监测项配置功能。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9、监测设备台账</w:t>
            </w:r>
            <w:r/>
          </w:p>
          <w:p>
            <w:pPr>
              <w:jc w:val="left"/>
              <w:rPr>
                <w:rFonts w:hint="eastAsia" w:ascii="宋体" w:hAnsi="宋体"/>
                <w:color w:val="auto"/>
                <w:sz w:val="24"/>
                <w:highlight w:val="none"/>
              </w:rPr>
            </w:pPr>
            <w:r>
              <w:rPr>
                <w:rFonts w:hint="eastAsia" w:ascii="宋体" w:hAnsi="宋体"/>
                <w:color w:val="auto"/>
                <w:sz w:val="24"/>
                <w:highlight w:val="none"/>
              </w:rPr>
              <w:t xml:space="preserve">提供监测设备台账的管理功能，登记维护物联监测设备的基本信息（代码、名称、监测点位代码、厂家、安装时间、安装位置、供电方式、监测项、采集频率、上传频率、设备状态等）。</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10、视频监控台账</w:t>
            </w:r>
            <w:r/>
          </w:p>
          <w:p>
            <w:pPr>
              <w:jc w:val="left"/>
              <w:rPr>
                <w:rFonts w:hint="eastAsia" w:ascii="宋体" w:hAnsi="宋体"/>
                <w:color w:val="auto"/>
                <w:sz w:val="24"/>
                <w:highlight w:val="none"/>
              </w:rPr>
            </w:pPr>
            <w:r>
              <w:rPr>
                <w:rFonts w:hint="eastAsia" w:ascii="宋体" w:hAnsi="宋体"/>
                <w:color w:val="auto"/>
                <w:sz w:val="24"/>
                <w:highlight w:val="none"/>
              </w:rPr>
              <w:t xml:space="preserve">提供视频设备台账管理功能，配置视频基本信息、播放协议、通道等。</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24.</w:t>
      </w:r>
      <w:r>
        <w:rPr>
          <w:rFonts w:hint="eastAsia" w:ascii="宋体" w:hAnsi="宋体" w:cs="宋体"/>
          <w:color w:val="auto"/>
          <w:sz w:val="24"/>
          <w:szCs w:val="24"/>
          <w:highlight w:val="none"/>
        </w:rPr>
        <w:t xml:space="preserve">系统接口开发</w:t>
      </w:r>
      <w:r>
        <w:rPr>
          <w:rStyle w:val="951"/>
          <w:rFonts w:hint="eastAsia" w:ascii="宋体" w:hAnsi="宋体" w:cs="Courier New"/>
          <w:color w:val="auto"/>
          <w:sz w:val="24"/>
          <w:szCs w:val="24"/>
          <w:highlight w:val="none"/>
        </w:rPr>
        <w:t xml:space="preserve">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rHeight w:val="8728"/>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1、系统对接</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（1）江宁区水务局</w:t>
            </w:r>
            <w:r/>
          </w:p>
          <w:p>
            <w:pPr>
              <w:jc w:val="left"/>
              <w:rPr>
                <w:rFonts w:hint="eastAsia" w:ascii="宋体" w:hAnsi="宋体"/>
                <w:color w:val="auto"/>
                <w:sz w:val="24"/>
                <w:highlight w:val="none"/>
              </w:rPr>
            </w:pPr>
            <w:r>
              <w:rPr>
                <w:rFonts w:hint="eastAsia" w:ascii="宋体" w:hAnsi="宋体"/>
                <w:color w:val="auto"/>
                <w:sz w:val="24"/>
                <w:highlight w:val="none"/>
              </w:rPr>
              <w:t xml:space="preserve">对接泵站排水信息化管理平台、泵站视频监控平台（萤石云），获取泵站运行监测数据、视频数据。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（2）江宁区数治中心</w:t>
            </w:r>
            <w:r/>
          </w:p>
          <w:p>
            <w:pPr>
              <w:numPr>
                <w:ilvl w:val="0"/>
                <w:numId w:val="2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对接江宁城区防汛指挥中心智慧系统；</w:t>
            </w:r>
            <w:r/>
          </w:p>
          <w:p>
            <w:pPr>
              <w:numPr>
                <w:ilvl w:val="0"/>
                <w:numId w:val="2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对接物联感知平台、视联网平台；</w:t>
            </w:r>
            <w:r/>
          </w:p>
          <w:p>
            <w:pPr>
              <w:numPr>
                <w:ilvl w:val="0"/>
                <w:numId w:val="2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对接区一网统管平台，接入涉水工单数据；</w:t>
            </w:r>
            <w:r/>
          </w:p>
          <w:p>
            <w:pPr>
              <w:numPr>
                <w:ilvl w:val="0"/>
                <w:numId w:val="2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对接“我的江宁”App，建设智慧水务模块。</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（3）江宁开发区</w:t>
            </w:r>
            <w:r/>
          </w:p>
          <w:p>
            <w:pPr>
              <w:jc w:val="left"/>
              <w:rPr>
                <w:rFonts w:hint="eastAsia" w:ascii="宋体" w:hAnsi="宋体"/>
                <w:color w:val="auto"/>
                <w:sz w:val="24"/>
                <w:highlight w:val="none"/>
              </w:rPr>
            </w:pPr>
            <w:r>
              <w:rPr>
                <w:rFonts w:hint="eastAsia" w:ascii="宋体" w:hAnsi="宋体"/>
                <w:color w:val="auto"/>
                <w:sz w:val="24"/>
                <w:highlight w:val="none"/>
              </w:rPr>
              <w:t xml:space="preserve">对接江宁开启水务一体化平台，接入水务运行监测数据、视频监控数据。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（4）江宁区生态环境局</w:t>
            </w:r>
            <w:r/>
          </w:p>
          <w:p>
            <w:pPr>
              <w:jc w:val="left"/>
              <w:rPr>
                <w:rFonts w:hint="eastAsia" w:ascii="宋体" w:hAnsi="宋体"/>
                <w:color w:val="auto"/>
                <w:sz w:val="24"/>
                <w:highlight w:val="none"/>
              </w:rPr>
            </w:pPr>
            <w:r>
              <w:rPr>
                <w:rFonts w:hint="eastAsia" w:ascii="宋体" w:hAnsi="宋体"/>
                <w:color w:val="auto"/>
                <w:sz w:val="24"/>
                <w:highlight w:val="none"/>
              </w:rPr>
              <w:t xml:space="preserve">对接</w:t>
            </w:r>
            <w:r>
              <w:rPr>
                <w:rFonts w:hint="eastAsia" w:ascii="宋体" w:hAnsi="宋体" w:cs="宋体"/>
                <w:color w:val="auto"/>
                <w:sz w:val="24"/>
                <w:szCs w:val="24"/>
                <w:highlight w:val="none"/>
              </w:rPr>
              <w:t xml:space="preserve">生态</w:t>
            </w:r>
            <w:r>
              <w:rPr>
                <w:rFonts w:hint="eastAsia" w:ascii="宋体" w:hAnsi="宋体"/>
                <w:color w:val="auto"/>
                <w:sz w:val="24"/>
                <w:highlight w:val="none"/>
              </w:rPr>
              <w:t xml:space="preserve">环境局水质监测系统、污染源监控系统，获取河湖断面水质数据、污水处理厂数据、重点企业水污染源数据。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（5）江宁区水务集团</w:t>
            </w:r>
            <w:r/>
          </w:p>
          <w:p>
            <w:pPr>
              <w:numPr>
                <w:ilvl w:val="0"/>
                <w:numId w:val="3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接入江宁水务集团供水系统相关数据；</w:t>
            </w:r>
            <w:r/>
          </w:p>
          <w:p>
            <w:pPr>
              <w:numPr>
                <w:ilvl w:val="0"/>
                <w:numId w:val="3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接入东山主城区排水管网监测数据；</w:t>
            </w:r>
            <w:r/>
          </w:p>
          <w:p>
            <w:pPr>
              <w:numPr>
                <w:ilvl w:val="0"/>
                <w:numId w:val="3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接入智慧农污运营平台农污站点数据。</w:t>
            </w:r>
            <w:r/>
          </w:p>
          <w:p>
            <w:pPr>
              <w:jc w:val="left"/>
              <w:rPr>
                <w:color w:val="auto"/>
                <w:highlight w:val="none"/>
              </w:rPr>
            </w:pPr>
            <w:r>
              <w:rPr>
                <w:color w:val="auto"/>
                <w:sz w:val="24"/>
                <w:szCs w:val="24"/>
                <w:highlight w:val="none"/>
              </w:rPr>
              <w:t xml:space="preserve">（6）</w:t>
            </w:r>
            <w:r>
              <w:rPr>
                <w:rFonts w:hint="eastAsia" w:ascii="宋体" w:hAnsi="宋体" w:cs="宋体"/>
                <w:color w:val="auto"/>
                <w:sz w:val="24"/>
                <w:szCs w:val="24"/>
                <w:highlight w:val="none"/>
              </w:rPr>
              <w:t xml:space="preserve">预留城市生命线监测预警平台相关接口，满足对接要求</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2、系统对接数据共享与开放</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（1）单点登录接口：提供智慧水务平台单点登录的通用接口，第三方可调用实现一次登录后的信任访问；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（2）基础设施信息查询</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服务：提供水务设施查询，详情查询、地理空间信息</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（3）运行监测数据</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服务：提供监测点信息、设备信息，监测实时数据、历史数据、报警数据</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（4）统计分析</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服务：提供设施统计类、设备统计类、监测报警统计类、业务统计类</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w:t>
            </w:r>
            <w:r/>
          </w:p>
          <w:p>
            <w:pPr>
              <w:jc w:val="left"/>
              <w:rPr>
                <w:color w:val="auto"/>
                <w:highlight w:val="none"/>
              </w:rPr>
            </w:pPr>
            <w:r>
              <w:rPr>
                <w:rFonts w:hint="eastAsia" w:ascii="宋体" w:hAnsi="宋体" w:cs="宋体"/>
                <w:b/>
                <w:bCs/>
                <w:color w:val="auto"/>
                <w:sz w:val="24"/>
                <w:szCs w:val="24"/>
                <w:highlight w:val="none"/>
              </w:rPr>
              <w:t xml:space="preserve">3、接口对接、数据推送等工作由区水务局负责协调，中标人根据协调结果进行开发。</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25.</w:t>
      </w:r>
      <w:r>
        <w:rPr>
          <w:rFonts w:hint="eastAsia" w:ascii="宋体" w:hAnsi="宋体" w:cs="宋体"/>
          <w:color w:val="auto"/>
          <w:sz w:val="24"/>
          <w:szCs w:val="24"/>
          <w:highlight w:val="none"/>
        </w:rPr>
        <w:t xml:space="preserve">基础平台</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供应商提供成熟、安全、稳定、可扩展的基础平台作为本项目技术底座，平台采用主流微服务架构，并支持在该平台基础上开展本项目相关业务应用开发、配置、集成、部署和运维管理。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提供</w:t>
            </w:r>
            <w:r>
              <w:rPr>
                <w:rFonts w:hint="eastAsia" w:ascii="宋体" w:hAnsi="宋体" w:cs="宋体"/>
                <w:color w:val="auto"/>
                <w:sz w:val="24"/>
                <w:szCs w:val="24"/>
                <w:highlight w:val="none"/>
              </w:rPr>
              <w:t xml:space="preserve">包括但不限于以下功能：</w:t>
            </w:r>
            <w:r/>
          </w:p>
          <w:p>
            <w:pPr>
              <w:jc w:val="lef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组织机构</w:t>
            </w:r>
            <w:r>
              <w:rPr>
                <w:rFonts w:ascii="宋体" w:hAnsi="宋体"/>
                <w:color w:val="auto"/>
                <w:sz w:val="24"/>
                <w:highlight w:val="none"/>
              </w:rPr>
              <w:t xml:space="preserve">管理</w:t>
            </w:r>
            <w:r/>
          </w:p>
          <w:p>
            <w:pPr>
              <w:jc w:val="left"/>
              <w:rPr>
                <w:rFonts w:hint="eastAsia" w:ascii="宋体" w:hAnsi="宋体"/>
                <w:color w:val="auto"/>
                <w:sz w:val="24"/>
                <w:highlight w:val="none"/>
              </w:rPr>
            </w:pPr>
            <w:r>
              <w:rPr>
                <w:rFonts w:hint="eastAsia" w:ascii="宋体" w:hAnsi="宋体"/>
                <w:color w:val="auto"/>
                <w:sz w:val="24"/>
                <w:highlight w:val="none"/>
              </w:rPr>
              <w:t xml:space="preserve">支持多层级的组织机构的管理功能，提供公司、部门、岗位、人员的创建与维护功能。</w:t>
            </w:r>
            <w:r/>
          </w:p>
          <w:p>
            <w:pPr>
              <w:jc w:val="left"/>
              <w:rPr>
                <w:rFonts w:hint="eastAsia" w:ascii="宋体" w:hAnsi="宋体"/>
                <w:color w:val="auto"/>
                <w:sz w:val="24"/>
                <w:highlight w:val="none"/>
              </w:rPr>
            </w:pPr>
            <w:r>
              <w:rPr>
                <w:rFonts w:ascii="宋体" w:hAnsi="宋体"/>
                <w:color w:val="auto"/>
                <w:sz w:val="24"/>
                <w:highlight w:val="none"/>
              </w:rPr>
              <w:t xml:space="preserve">（2）用户管理</w:t>
            </w:r>
            <w:r/>
          </w:p>
          <w:p>
            <w:pPr>
              <w:jc w:val="left"/>
              <w:rPr>
                <w:rFonts w:hint="eastAsia" w:ascii="宋体" w:hAnsi="宋体"/>
                <w:color w:val="auto"/>
                <w:sz w:val="24"/>
                <w:highlight w:val="none"/>
              </w:rPr>
            </w:pPr>
            <w:r>
              <w:rPr>
                <w:rFonts w:ascii="宋体" w:hAnsi="宋体"/>
                <w:color w:val="auto"/>
                <w:sz w:val="24"/>
                <w:highlight w:val="none"/>
              </w:rPr>
              <w:t xml:space="preserve">支持用户账号的管理与配置功能，提供用户的新建、修改、密码</w:t>
            </w:r>
            <w:r>
              <w:rPr>
                <w:rFonts w:hint="eastAsia" w:ascii="宋体" w:hAnsi="宋体"/>
                <w:color w:val="auto"/>
                <w:sz w:val="24"/>
                <w:highlight w:val="none"/>
              </w:rPr>
              <w:t xml:space="preserve">重置</w:t>
            </w:r>
            <w:r>
              <w:rPr>
                <w:rFonts w:ascii="宋体" w:hAnsi="宋体"/>
                <w:color w:val="auto"/>
                <w:sz w:val="24"/>
                <w:highlight w:val="none"/>
              </w:rPr>
              <w:t xml:space="preserve">、权限维护等功能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（3）角色管理</w:t>
            </w:r>
            <w:r/>
          </w:p>
          <w:p>
            <w:pPr>
              <w:jc w:val="left"/>
              <w:rPr>
                <w:rFonts w:hint="eastAsia" w:ascii="宋体" w:hAnsi="宋体"/>
                <w:color w:val="auto"/>
                <w:sz w:val="24"/>
                <w:highlight w:val="none"/>
              </w:rPr>
            </w:pPr>
            <w:r>
              <w:rPr>
                <w:rFonts w:ascii="宋体" w:hAnsi="宋体"/>
                <w:color w:val="auto"/>
                <w:sz w:val="24"/>
                <w:highlight w:val="none"/>
              </w:rPr>
              <w:t xml:space="preserve">支持角色管理功能，实现</w:t>
            </w:r>
            <w:r>
              <w:rPr>
                <w:rFonts w:hint="eastAsia" w:ascii="宋体" w:hAnsi="宋体"/>
                <w:color w:val="auto"/>
                <w:sz w:val="24"/>
                <w:highlight w:val="none"/>
              </w:rPr>
              <w:t xml:space="preserve">用户</w:t>
            </w:r>
            <w:r>
              <w:rPr>
                <w:rFonts w:ascii="宋体" w:hAnsi="宋体"/>
                <w:color w:val="auto"/>
                <w:sz w:val="24"/>
                <w:highlight w:val="none"/>
              </w:rPr>
              <w:t xml:space="preserve">与角色</w:t>
            </w:r>
            <w:r>
              <w:rPr>
                <w:rFonts w:hint="eastAsia" w:ascii="宋体" w:hAnsi="宋体"/>
                <w:color w:val="auto"/>
                <w:sz w:val="24"/>
                <w:highlight w:val="none"/>
              </w:rPr>
              <w:t xml:space="preserve">关系绑定。</w:t>
            </w:r>
            <w:r/>
          </w:p>
          <w:p>
            <w:pPr>
              <w:jc w:val="left"/>
              <w:rPr>
                <w:rFonts w:hint="eastAsia" w:ascii="宋体" w:hAnsi="宋体"/>
                <w:color w:val="auto"/>
                <w:sz w:val="24"/>
                <w:highlight w:val="none"/>
              </w:rPr>
            </w:pPr>
            <w:r>
              <w:rPr>
                <w:rFonts w:ascii="宋体" w:hAnsi="宋体"/>
                <w:color w:val="auto"/>
                <w:sz w:val="24"/>
                <w:highlight w:val="none"/>
              </w:rPr>
              <w:t xml:space="preserve">（4）权限管理</w:t>
            </w:r>
            <w:r/>
          </w:p>
          <w:p>
            <w:pPr>
              <w:numPr>
                <w:ilvl w:val="0"/>
                <w:numId w:val="3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支持按角色或用户进行授权；</w:t>
            </w:r>
            <w:r/>
          </w:p>
          <w:p>
            <w:pPr>
              <w:numPr>
                <w:ilvl w:val="0"/>
                <w:numId w:val="3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支持系统功能菜单权限分配、表行/列数据权限分配、页面操作控件的权限分配与管理。</w:t>
            </w:r>
            <w:r/>
          </w:p>
          <w:p>
            <w:pPr>
              <w:jc w:val="left"/>
              <w:rPr>
                <w:rFonts w:hint="eastAsia" w:ascii="宋体" w:hAnsi="宋体"/>
                <w:color w:val="auto"/>
                <w:sz w:val="24"/>
                <w:highlight w:val="none"/>
              </w:rPr>
            </w:pPr>
            <w:r>
              <w:rPr>
                <w:rFonts w:ascii="宋体" w:hAnsi="宋体"/>
                <w:color w:val="auto"/>
                <w:sz w:val="24"/>
                <w:highlight w:val="none"/>
              </w:rPr>
              <w:t xml:space="preserve">（5）消息</w:t>
            </w:r>
            <w:r>
              <w:rPr>
                <w:rFonts w:hint="eastAsia" w:ascii="宋体" w:hAnsi="宋体"/>
                <w:color w:val="auto"/>
                <w:sz w:val="24"/>
                <w:highlight w:val="none"/>
              </w:rPr>
              <w:t xml:space="preserve">推送</w:t>
            </w:r>
            <w:r/>
          </w:p>
          <w:p>
            <w:pPr>
              <w:jc w:val="left"/>
              <w:rPr>
                <w:rFonts w:hint="eastAsia" w:ascii="宋体" w:hAnsi="宋体"/>
                <w:color w:val="auto"/>
                <w:sz w:val="24"/>
                <w:highlight w:val="none"/>
              </w:rPr>
            </w:pPr>
            <w:r>
              <w:rPr>
                <w:rFonts w:hint="eastAsia" w:ascii="宋体" w:hAnsi="宋体"/>
                <w:color w:val="auto"/>
                <w:sz w:val="24"/>
                <w:highlight w:val="none"/>
              </w:rPr>
              <w:t xml:space="preserve">支持平台消息、短信、邮件、钉钉、企业微信等多种消息推送机制。</w:t>
            </w:r>
            <w:r/>
          </w:p>
          <w:p>
            <w:pPr>
              <w:jc w:val="left"/>
              <w:rPr>
                <w:rFonts w:hint="eastAsia" w:ascii="宋体" w:hAnsi="宋体"/>
                <w:color w:val="auto"/>
                <w:sz w:val="24"/>
                <w:highlight w:val="none"/>
              </w:rPr>
            </w:pPr>
            <w:r>
              <w:rPr>
                <w:rFonts w:ascii="宋体" w:hAnsi="宋体"/>
                <w:color w:val="auto"/>
                <w:sz w:val="24"/>
                <w:highlight w:val="none"/>
              </w:rPr>
              <w:t xml:space="preserve">（6）日志管理</w:t>
            </w:r>
            <w:r/>
          </w:p>
          <w:p>
            <w:pPr>
              <w:numPr>
                <w:ilvl w:val="0"/>
                <w:numId w:val="3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针对系统登录、功能浏览、重要操作、关键数据修改等关键事件提供日志记录功能；</w:t>
            </w:r>
            <w:r/>
          </w:p>
          <w:p>
            <w:pPr>
              <w:numPr>
                <w:ilvl w:val="0"/>
                <w:numId w:val="32"/>
              </w:numPr>
              <w:jc w:val="left"/>
              <w:rPr>
                <w:rFonts w:hint="eastAsia" w:ascii="宋体" w:hAnsi="宋体"/>
                <w:color w:val="auto"/>
                <w:sz w:val="24"/>
                <w:highlight w:val="none"/>
              </w:rPr>
            </w:pPr>
            <w:r>
              <w:rPr>
                <w:rFonts w:hint="eastAsia" w:ascii="宋体" w:hAnsi="宋体" w:cs="宋体"/>
                <w:color w:val="auto"/>
                <w:sz w:val="24"/>
                <w:szCs w:val="24"/>
                <w:highlight w:val="none"/>
              </w:rPr>
              <w:t xml:space="preserve">提供日志查询及统计分析功能。</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26.</w:t>
      </w:r>
      <w:r>
        <w:rPr>
          <w:rFonts w:hint="eastAsia" w:ascii="宋体" w:hAnsi="宋体" w:cs="宋体"/>
          <w:color w:val="auto"/>
          <w:sz w:val="24"/>
          <w:szCs w:val="24"/>
          <w:highlight w:val="none"/>
        </w:rPr>
        <w:t xml:space="preserve">时序数据库</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协议解析库</w:t>
            </w:r>
            <w:r/>
          </w:p>
          <w:p>
            <w:pPr>
              <w:jc w:val="left"/>
              <w:rPr>
                <w:rFonts w:hint="eastAsia" w:ascii="宋体" w:hAnsi="宋体"/>
                <w:color w:val="auto"/>
                <w:sz w:val="24"/>
                <w:highlight w:val="none"/>
              </w:rPr>
            </w:pPr>
            <w:r>
              <w:rPr>
                <w:rFonts w:ascii="宋体" w:hAnsi="宋体"/>
                <w:color w:val="auto"/>
                <w:sz w:val="24"/>
                <w:highlight w:val="none"/>
              </w:rPr>
              <w:t xml:space="preserve">内置行业主要协议，满足水务主要场景数据采集需求，实现对主流通信协议的标准化管理维护</w:t>
            </w:r>
            <w:r>
              <w:rPr>
                <w:rFonts w:hint="eastAsia" w:ascii="宋体" w:hAnsi="宋体"/>
                <w:color w:val="auto"/>
                <w:sz w:val="24"/>
                <w:highlight w:val="none"/>
              </w:rPr>
              <w:t xml:space="preserve">，包括但不限于：</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（1）通用协议：OPC DA2.0、OPC UA、Modbus-RTU、Modbus-TCP、MQTT等；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（2）PLC协议：西门子S7-200、西门子S7-300、AB LOGIX_CIP、GE ETHERNET等；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（3）HJ212环境监测数据传输协议。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采集任务管理</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支持</w:t>
            </w:r>
            <w:r>
              <w:rPr>
                <w:rFonts w:ascii="宋体" w:hAnsi="宋体" w:cs="宋体"/>
                <w:color w:val="auto"/>
                <w:sz w:val="24"/>
                <w:szCs w:val="24"/>
                <w:highlight w:val="none"/>
              </w:rPr>
              <w:t xml:space="preserve">完成采集任务定义，包括任务协议、采集周期、测点配置、协议配置、任务描述等内容的定义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支持实现任务的启停管理、任务状态监控功能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s="宋体"/>
                <w:color w:val="auto"/>
                <w:sz w:val="24"/>
                <w:szCs w:val="24"/>
                <w:highlight w:val="none"/>
              </w:rPr>
              <w:t xml:space="preserve">支持百万级测点大容量；</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（4）</w:t>
            </w:r>
            <w:r>
              <w:rPr>
                <w:rFonts w:hint="eastAsia" w:ascii="宋体" w:hAnsi="宋体" w:cs="宋体"/>
                <w:color w:val="auto"/>
                <w:sz w:val="24"/>
                <w:szCs w:val="24"/>
                <w:highlight w:val="none"/>
              </w:rPr>
              <w:t xml:space="preserve">支持高</w:t>
            </w:r>
            <w:r>
              <w:rPr>
                <w:rFonts w:hint="eastAsia" w:ascii="宋体" w:hAnsi="宋体"/>
                <w:color w:val="auto"/>
                <w:sz w:val="24"/>
                <w:highlight w:val="none"/>
              </w:rPr>
              <w:t xml:space="preserve">并发处理</w:t>
            </w:r>
            <w:r>
              <w:rPr>
                <w:rFonts w:hint="eastAsia" w:ascii="宋体" w:hAnsi="宋体" w:cs="宋体"/>
                <w:color w:val="auto"/>
                <w:sz w:val="24"/>
                <w:szCs w:val="24"/>
                <w:highlight w:val="none"/>
              </w:rPr>
              <w:t xml:space="preserve">能力，吞吐量&gt;100万事件/秒。</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转发任务管理</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支持</w:t>
            </w:r>
            <w:r>
              <w:rPr>
                <w:rFonts w:ascii="宋体" w:hAnsi="宋体" w:cs="宋体"/>
                <w:color w:val="auto"/>
                <w:sz w:val="24"/>
                <w:szCs w:val="24"/>
                <w:highlight w:val="none"/>
              </w:rPr>
              <w:t xml:space="preserve">完成转发任务定义，包括任务转发类型、转发周期、测点配置、任务描述等内容的定义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支持实现转发任务的启停管理、任务状态监控功能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多路转发</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通过</w:t>
            </w:r>
            <w:r>
              <w:rPr>
                <w:rFonts w:ascii="宋体" w:hAnsi="宋体" w:cs="宋体"/>
                <w:color w:val="auto"/>
                <w:sz w:val="24"/>
                <w:szCs w:val="24"/>
                <w:highlight w:val="none"/>
              </w:rPr>
              <w:t xml:space="preserve">读取转发配置信息，实现任务的详细转发逻辑周期性调度执行</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支持</w:t>
            </w:r>
            <w:r>
              <w:rPr>
                <w:rFonts w:ascii="宋体" w:hAnsi="宋体" w:cs="宋体"/>
                <w:color w:val="auto"/>
                <w:sz w:val="24"/>
                <w:szCs w:val="24"/>
                <w:highlight w:val="none"/>
              </w:rPr>
              <w:t xml:space="preserve">相同测点往不同目的地转发，方便与其他平台对接</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数据缓存与断点续传</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s="宋体"/>
                <w:color w:val="auto"/>
                <w:sz w:val="24"/>
                <w:szCs w:val="24"/>
                <w:highlight w:val="none"/>
              </w:rPr>
              <w:t xml:space="preserve">支持至少7天</w:t>
            </w:r>
            <w:r>
              <w:rPr>
                <w:rFonts w:hint="eastAsia" w:ascii="宋体" w:hAnsi="宋体" w:cs="宋体"/>
                <w:color w:val="auto"/>
                <w:sz w:val="24"/>
                <w:szCs w:val="24"/>
                <w:highlight w:val="none"/>
              </w:rPr>
              <w:t xml:space="preserve">的</w:t>
            </w:r>
            <w:r>
              <w:rPr>
                <w:rFonts w:ascii="宋体" w:hAnsi="宋体" w:cs="宋体"/>
                <w:color w:val="auto"/>
                <w:sz w:val="24"/>
                <w:szCs w:val="24"/>
                <w:highlight w:val="none"/>
              </w:rPr>
              <w:t xml:space="preserve">数据缓存</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能根据网络</w:t>
            </w:r>
            <w:r>
              <w:rPr>
                <w:rFonts w:ascii="宋体" w:hAnsi="宋体"/>
                <w:color w:val="auto"/>
                <w:sz w:val="24"/>
                <w:highlight w:val="none"/>
              </w:rPr>
              <w:t xml:space="preserve">异常</w:t>
            </w:r>
            <w:r>
              <w:rPr>
                <w:rFonts w:ascii="宋体" w:hAnsi="宋体" w:cs="宋体"/>
                <w:color w:val="auto"/>
                <w:sz w:val="24"/>
                <w:szCs w:val="24"/>
                <w:highlight w:val="none"/>
              </w:rPr>
              <w:t xml:space="preserve">情况自动识别数据丢失部分，生成数据补发记录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ascii="宋体" w:hAnsi="宋体" w:cs="宋体"/>
                <w:color w:val="auto"/>
                <w:sz w:val="24"/>
                <w:szCs w:val="24"/>
                <w:highlight w:val="none"/>
              </w:rPr>
              <w:t xml:space="preserve">在网络恢复后自动补传数据，历史数据补传过程中不影响实时数据传输</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无人值守</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支持</w:t>
            </w:r>
            <w:r>
              <w:rPr>
                <w:rFonts w:ascii="宋体" w:hAnsi="宋体" w:cs="宋体"/>
                <w:color w:val="auto"/>
                <w:sz w:val="24"/>
                <w:szCs w:val="24"/>
                <w:highlight w:val="none"/>
              </w:rPr>
              <w:t xml:space="preserve">系统守护</w:t>
            </w:r>
            <w:r>
              <w:rPr>
                <w:rFonts w:ascii="宋体" w:hAnsi="宋体"/>
                <w:color w:val="auto"/>
                <w:sz w:val="24"/>
                <w:highlight w:val="none"/>
              </w:rPr>
              <w:t xml:space="preserve">功能</w:t>
            </w:r>
            <w:r>
              <w:rPr>
                <w:rFonts w:ascii="宋体" w:hAnsi="宋体" w:cs="宋体"/>
                <w:color w:val="auto"/>
                <w:sz w:val="24"/>
                <w:szCs w:val="24"/>
                <w:highlight w:val="none"/>
              </w:rPr>
              <w:t xml:space="preserve">，开机自启动，任务异常自动重启调度，网络异常自动重连</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确保</w:t>
            </w:r>
            <w:r>
              <w:rPr>
                <w:rFonts w:ascii="宋体" w:hAnsi="宋体" w:cs="宋体"/>
                <w:color w:val="auto"/>
                <w:sz w:val="24"/>
                <w:szCs w:val="24"/>
                <w:highlight w:val="none"/>
              </w:rPr>
              <w:t xml:space="preserve">在导致故障的因素消失后系统自动恢复，无需运维人员现场操作维护</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采集监控</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s="宋体"/>
                <w:color w:val="auto"/>
                <w:sz w:val="24"/>
                <w:szCs w:val="24"/>
                <w:highlight w:val="none"/>
              </w:rPr>
              <w:t xml:space="preserve">实现所有</w:t>
            </w:r>
            <w:r>
              <w:rPr>
                <w:rFonts w:ascii="宋体" w:hAnsi="宋体"/>
                <w:color w:val="auto"/>
                <w:sz w:val="24"/>
                <w:highlight w:val="none"/>
              </w:rPr>
              <w:t xml:space="preserve">采集</w:t>
            </w:r>
            <w:r>
              <w:rPr>
                <w:rFonts w:ascii="宋体" w:hAnsi="宋体" w:cs="宋体"/>
                <w:color w:val="auto"/>
                <w:sz w:val="24"/>
                <w:szCs w:val="24"/>
                <w:highlight w:val="none"/>
              </w:rPr>
              <w:t xml:space="preserve">、转发任务的监控、系统资源监控、系统异常监控，并通过可视化手段清晰展示</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能查看所有采集、转发任务的测点值刷新情况，页面刷新时长不大于1秒</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、部署、</w:t>
            </w:r>
            <w:r>
              <w:rPr>
                <w:rFonts w:ascii="宋体" w:hAnsi="宋体" w:cs="宋体"/>
                <w:color w:val="auto"/>
                <w:sz w:val="24"/>
                <w:szCs w:val="24"/>
                <w:highlight w:val="none"/>
              </w:rPr>
              <w:t xml:space="preserve">网络与数据安全</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hint="eastAsia" w:ascii="宋体" w:hAnsi="宋体" w:cs="宋体"/>
                <w:color w:val="auto"/>
                <w:sz w:val="24"/>
                <w:szCs w:val="24"/>
                <w:highlight w:val="none"/>
              </w:rPr>
              <w:t xml:space="preserve">支持分布式部署，数据节点服务器可横向扩展，支持云端部署；</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hint="eastAsia" w:ascii="宋体" w:hAnsi="宋体" w:cs="宋体"/>
                <w:color w:val="auto"/>
                <w:sz w:val="24"/>
                <w:szCs w:val="24"/>
                <w:highlight w:val="none"/>
              </w:rPr>
              <w:t xml:space="preserve">支持跨平台和</w:t>
            </w:r>
            <w:r>
              <w:rPr>
                <w:rFonts w:hint="eastAsia" w:ascii="宋体" w:hAnsi="宋体"/>
                <w:color w:val="auto"/>
                <w:sz w:val="24"/>
                <w:highlight w:val="none"/>
              </w:rPr>
              <w:t xml:space="preserve">国产</w:t>
            </w:r>
            <w:r>
              <w:rPr>
                <w:rFonts w:hint="eastAsia" w:ascii="宋体" w:hAnsi="宋体" w:cs="宋体"/>
                <w:color w:val="auto"/>
                <w:sz w:val="24"/>
                <w:szCs w:val="24"/>
                <w:highlight w:val="none"/>
              </w:rPr>
              <w:t xml:space="preserve">处理器部署应用，自主可控；</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ascii="宋体" w:hAnsi="宋体" w:cs="宋体"/>
                <w:color w:val="auto"/>
                <w:sz w:val="24"/>
                <w:szCs w:val="24"/>
                <w:highlight w:val="none"/>
              </w:rPr>
              <w:t xml:space="preserve">数据传输采用</w:t>
            </w:r>
            <w:r>
              <w:rPr>
                <w:rFonts w:ascii="宋体" w:hAnsi="宋体"/>
                <w:color w:val="auto"/>
                <w:sz w:val="24"/>
                <w:highlight w:val="none"/>
              </w:rPr>
              <w:t xml:space="preserve">高效</w:t>
            </w:r>
            <w:r>
              <w:rPr>
                <w:rFonts w:ascii="宋体" w:hAnsi="宋体" w:cs="宋体"/>
                <w:color w:val="auto"/>
                <w:sz w:val="24"/>
                <w:szCs w:val="24"/>
                <w:highlight w:val="none"/>
              </w:rPr>
              <w:t xml:space="preserve">的二进制传输模式，数据传输链路与数据包均采用加密算法处理</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（4）</w:t>
            </w:r>
            <w:r>
              <w:rPr>
                <w:rFonts w:ascii="宋体" w:hAnsi="宋体" w:cs="宋体"/>
                <w:color w:val="auto"/>
                <w:sz w:val="24"/>
                <w:szCs w:val="24"/>
                <w:highlight w:val="none"/>
              </w:rPr>
              <w:t xml:space="preserve">支持复杂</w:t>
            </w:r>
            <w:r>
              <w:rPr>
                <w:rFonts w:ascii="宋体" w:hAnsi="宋体"/>
                <w:color w:val="auto"/>
                <w:sz w:val="24"/>
                <w:highlight w:val="none"/>
              </w:rPr>
              <w:t xml:space="preserve">网络</w:t>
            </w:r>
            <w:r>
              <w:rPr>
                <w:rFonts w:ascii="宋体" w:hAnsi="宋体" w:cs="宋体"/>
                <w:color w:val="auto"/>
                <w:sz w:val="24"/>
                <w:szCs w:val="24"/>
                <w:highlight w:val="none"/>
              </w:rPr>
              <w:t xml:space="preserve">环境的数据传输，至少满足过网闸单向数据传输</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能够</w:t>
            </w:r>
            <w:r>
              <w:rPr>
                <w:rFonts w:ascii="宋体" w:hAnsi="宋体" w:cs="宋体"/>
                <w:color w:val="auto"/>
                <w:sz w:val="24"/>
                <w:szCs w:val="24"/>
                <w:highlight w:val="none"/>
              </w:rPr>
              <w:t xml:space="preserve">实现控制区与管理区间隔离DMZ区域数据穿透转发</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边缘计算</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s="宋体"/>
                <w:color w:val="auto"/>
                <w:sz w:val="24"/>
                <w:szCs w:val="24"/>
                <w:highlight w:val="none"/>
              </w:rPr>
              <w:t xml:space="preserve">支持常规</w:t>
            </w:r>
            <w:r>
              <w:rPr>
                <w:rFonts w:ascii="宋体" w:hAnsi="宋体"/>
                <w:color w:val="auto"/>
                <w:sz w:val="24"/>
                <w:highlight w:val="none"/>
              </w:rPr>
              <w:t xml:space="preserve">四则运算</w:t>
            </w:r>
            <w:r>
              <w:rPr>
                <w:rFonts w:ascii="宋体" w:hAnsi="宋体" w:cs="宋体"/>
                <w:color w:val="auto"/>
                <w:sz w:val="24"/>
                <w:szCs w:val="24"/>
                <w:highlight w:val="none"/>
              </w:rPr>
              <w:t xml:space="preserve">与积分等常用数学函数库</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支持行业常用机理规则函数库，便于在边缘侧完成机理规则计算</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ascii="宋体" w:hAnsi="宋体" w:cs="宋体"/>
                <w:color w:val="auto"/>
                <w:sz w:val="24"/>
                <w:szCs w:val="24"/>
                <w:highlight w:val="none"/>
              </w:rPr>
              <w:t xml:space="preserve">提供各类常用数学分析函数、统计分析以及常见的持续时间、逻辑判断等计算公式，包括但不限于求和、平均、最大最小值、IF语句等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数据压缩和存储功能</w:t>
            </w:r>
            <w:r/>
          </w:p>
          <w:p>
            <w:pPr>
              <w:jc w:val="left"/>
              <w:rPr>
                <w:color w:val="auto"/>
                <w:highlight w:val="none"/>
              </w:rPr>
            </w:pPr>
            <w:r>
              <w:rPr>
                <w:rFonts w:hint="eastAsia" w:ascii="宋体" w:hAnsi="宋体"/>
                <w:color w:val="auto"/>
                <w:sz w:val="24"/>
                <w:highlight w:val="none"/>
              </w:rPr>
              <w:t xml:space="preserve">（1）</w:t>
            </w:r>
            <w:r>
              <w:rPr>
                <w:rFonts w:ascii="宋体" w:hAnsi="宋体" w:cs="宋体"/>
                <w:color w:val="auto"/>
                <w:sz w:val="24"/>
                <w:szCs w:val="24"/>
                <w:highlight w:val="none"/>
              </w:rPr>
              <w:t xml:space="preserve">采用高效压缩算法，</w:t>
            </w:r>
            <w:r>
              <w:rPr>
                <w:rFonts w:hint="eastAsia" w:ascii="宋体" w:hAnsi="宋体" w:cs="宋体"/>
                <w:color w:val="auto"/>
                <w:sz w:val="24"/>
                <w:szCs w:val="24"/>
                <w:highlight w:val="none"/>
              </w:rPr>
              <w:t xml:space="preserve">平均压缩比不低于70:1；</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支持配置历史数据的自动归档策略，如当某种事件发生或在线数据达到某个指定文件大小时对数据进行自动归档存储</w:t>
            </w:r>
            <w:r>
              <w:rPr>
                <w:rFonts w:hint="eastAsia"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r>
      <w:r/>
    </w:p>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27.</w:t>
      </w:r>
      <w:r>
        <w:rPr>
          <w:rFonts w:hint="eastAsia" w:ascii="宋体" w:hAnsi="宋体" w:cs="宋体"/>
          <w:color w:val="auto"/>
          <w:sz w:val="24"/>
          <w:szCs w:val="24"/>
          <w:highlight w:val="none"/>
        </w:rPr>
        <w:t xml:space="preserve">在线组态平台</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在线组态平台向</w:t>
            </w:r>
            <w:r>
              <w:rPr>
                <w:rFonts w:hint="eastAsia" w:ascii="宋体" w:hAnsi="宋体" w:cs="宋体"/>
                <w:color w:val="auto"/>
                <w:sz w:val="24"/>
                <w:szCs w:val="24"/>
                <w:highlight w:val="none"/>
              </w:rPr>
              <w:t xml:space="preserve">本项目购买和研发的</w:t>
            </w:r>
            <w:r>
              <w:rPr>
                <w:rFonts w:ascii="宋体" w:hAnsi="宋体" w:cs="宋体"/>
                <w:color w:val="auto"/>
                <w:sz w:val="24"/>
                <w:szCs w:val="24"/>
                <w:highlight w:val="none"/>
              </w:rPr>
              <w:t xml:space="preserve">所有应用</w:t>
            </w:r>
            <w:r>
              <w:rPr>
                <w:rFonts w:hint="eastAsia" w:ascii="宋体" w:hAnsi="宋体" w:cs="宋体"/>
                <w:color w:val="auto"/>
                <w:sz w:val="24"/>
                <w:szCs w:val="24"/>
                <w:highlight w:val="none"/>
              </w:rPr>
              <w:t xml:space="preserve">子系统</w:t>
            </w:r>
            <w:r>
              <w:rPr>
                <w:rFonts w:ascii="宋体" w:hAnsi="宋体" w:cs="宋体"/>
                <w:color w:val="auto"/>
                <w:sz w:val="24"/>
                <w:szCs w:val="24"/>
                <w:highlight w:val="none"/>
              </w:rPr>
              <w:t xml:space="preserve">提供统一服务，实现一套工具、多端应用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满足污水处理厂、水厂、泵站等工艺流程仿真需求</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数据接入</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支持静态模拟数据、关系型数据库数据、实时数据库数据、第三方API数据、透明通道传输等多种数据接入方法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设计器功能要求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提供节点、连线、通用图元、箭头、行业特色元素、特殊图形、图片、柱状图、折线图、雷达图、散点图、饼图、仪表盘等数十种可编辑图元类型</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提供强大绘图功能和画线工具，可快速绘制直线、虚线、曲线、多边形等不同线条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图元样式配置丰富，支持字体、边框、颜色、渐变等样式配置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支持常用操作快捷键，提升绘图效率</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事件交互功能要求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支持自定义交互事件配置，包括鼠标悬浮、单击、双击、右击等交互操作</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可实现页面跳转、打开弹窗、数据下钻等操作</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支持全局变量功能，图元绑定变量后可实现组件间交互</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交互配置可实现复杂功能开发和第三方功能接入</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二次计算功能要求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支持计算公式配置，可对接入数据进行二次运算</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内置常见数学函数，支持用户自定义相关函数使用</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发布与集成功能要求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发布</w:t>
            </w:r>
            <w:r>
              <w:rPr>
                <w:rFonts w:hint="eastAsia" w:ascii="宋体" w:hAnsi="宋体" w:cs="宋体"/>
                <w:color w:val="auto"/>
                <w:sz w:val="24"/>
                <w:szCs w:val="24"/>
                <w:highlight w:val="none"/>
              </w:rPr>
              <w:t xml:space="preserve">的</w:t>
            </w:r>
            <w:r>
              <w:rPr>
                <w:rFonts w:ascii="宋体" w:hAnsi="宋体" w:cs="宋体"/>
                <w:color w:val="auto"/>
                <w:sz w:val="24"/>
                <w:szCs w:val="24"/>
                <w:highlight w:val="none"/>
              </w:rPr>
              <w:t xml:space="preserve">画面组态</w:t>
            </w:r>
            <w:r>
              <w:rPr>
                <w:rFonts w:hint="eastAsia" w:ascii="宋体" w:hAnsi="宋体" w:cs="宋体"/>
                <w:color w:val="auto"/>
                <w:sz w:val="24"/>
                <w:szCs w:val="24"/>
                <w:highlight w:val="none"/>
              </w:rPr>
              <w:t xml:space="preserve">画面支持</w:t>
            </w:r>
            <w:r>
              <w:rPr>
                <w:rFonts w:ascii="宋体" w:hAnsi="宋体" w:cs="宋体"/>
                <w:color w:val="auto"/>
                <w:sz w:val="24"/>
                <w:szCs w:val="24"/>
                <w:highlight w:val="none"/>
              </w:rPr>
              <w:t xml:space="preserve">在PC</w:t>
            </w:r>
            <w:r>
              <w:rPr>
                <w:rFonts w:hint="eastAsia" w:ascii="宋体" w:hAnsi="宋体" w:cs="宋体"/>
                <w:color w:val="auto"/>
                <w:sz w:val="24"/>
                <w:szCs w:val="24"/>
                <w:highlight w:val="none"/>
              </w:rPr>
              <w:t xml:space="preserve">端</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移动端</w:t>
            </w:r>
            <w:r>
              <w:rPr>
                <w:rFonts w:ascii="宋体" w:hAnsi="宋体" w:cs="宋体"/>
                <w:color w:val="auto"/>
                <w:sz w:val="24"/>
                <w:szCs w:val="24"/>
                <w:highlight w:val="none"/>
              </w:rPr>
              <w:t xml:space="preserve">查看，具备数据实时监控、实时报警、趋势分析、工况回放等功能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发布的画面支持与各业务子系统交互与集成，如鼠标点击排水GIS地图中某个泵站可调用发布的泵站组态画面，展示泵站工艺流程图、水位、流量、水质等实时监测数据、设备运行数据、报警数据等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工程管理功能要求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支持个性化工程管理，基于多租户权限体系，每个工程人员都可拥有自己的组态空间进行组态工程管理，配置通用数据源等必备资源</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工程具备复制、离线导出、导入等功能，方便工程复用</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具备模板化能力，制作好的工程及画面可设置为模板，提升后续绘图效率</w:t>
            </w:r>
            <w:r>
              <w:rPr>
                <w:rFonts w:hint="eastAsia"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28.</w:t>
      </w:r>
      <w:r>
        <w:rPr>
          <w:rFonts w:hint="eastAsia" w:ascii="宋体" w:hAnsi="宋体" w:cs="宋体"/>
          <w:color w:val="auto"/>
          <w:sz w:val="24"/>
          <w:szCs w:val="24"/>
          <w:highlight w:val="none"/>
        </w:rPr>
        <w:t xml:space="preserve">工作流平台</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支持零代码图形化绘制，可自由组合流程图，迅速进行工作流配置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提供任务、排他、并行、包容、会签、子流程等多种节点类型，支持各种中式工作流模式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支持和具体业务程序绑定，每个业务程序可根据具体业务字段绘制不同工作流，或在一个流程中根据某个业务字段值范围选择不同审批分支</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支持事务管理，工作流处理成功后业务程序相应联动</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支持回退、转发、挂起、直接结束、驳回、协办等多种审核功能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支持流程模型的控制权限，在工作流绘制过程中系统管理员可根据管理需要对不同流程模型设置不同用户操作权限，支持不同节点的页面权限控制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支持工作流模型的版本管理功能，在系统运行过程中可根据需要调整工作流模型，已启动或审批流程运用旧模型，新启动流程运行新版本流程模型，保证业务完整和流畅</w:t>
            </w:r>
            <w:r>
              <w:rPr>
                <w:rFonts w:hint="eastAsia"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29.</w:t>
      </w:r>
      <w:r>
        <w:rPr>
          <w:rFonts w:hint="eastAsia" w:ascii="宋体" w:hAnsi="宋体" w:cs="宋体"/>
          <w:color w:val="auto"/>
          <w:sz w:val="24"/>
          <w:szCs w:val="24"/>
          <w:highlight w:val="none"/>
        </w:rPr>
        <w:t xml:space="preserve">短信服务费</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提供不低于</w:t>
            </w:r>
            <w:r>
              <w:rPr>
                <w:rFonts w:ascii="宋体" w:hAnsi="宋体" w:cs="宋体"/>
                <w:color w:val="auto"/>
                <w:sz w:val="24"/>
                <w:szCs w:val="24"/>
                <w:highlight w:val="none"/>
              </w:rPr>
              <w:t xml:space="preserve">6万条短信包，</w:t>
            </w:r>
            <w:r>
              <w:rPr>
                <w:rFonts w:hint="eastAsia" w:ascii="宋体" w:hAnsi="宋体" w:cs="宋体"/>
                <w:color w:val="auto"/>
                <w:sz w:val="24"/>
                <w:szCs w:val="24"/>
                <w:highlight w:val="none"/>
              </w:rPr>
              <w:t xml:space="preserve">并提供</w:t>
            </w:r>
            <w:r>
              <w:rPr>
                <w:rFonts w:ascii="宋体" w:hAnsi="宋体" w:cs="宋体"/>
                <w:color w:val="auto"/>
                <w:sz w:val="24"/>
                <w:szCs w:val="24"/>
                <w:highlight w:val="none"/>
              </w:rPr>
              <w:t xml:space="preserve">短信服务</w:t>
            </w:r>
            <w:r>
              <w:rPr>
                <w:rFonts w:hint="eastAsia" w:ascii="宋体" w:hAnsi="宋体" w:cs="宋体"/>
                <w:color w:val="auto"/>
                <w:sz w:val="24"/>
                <w:szCs w:val="24"/>
                <w:highlight w:val="none"/>
              </w:rPr>
              <w:t xml:space="preserve">API</w:t>
            </w:r>
            <w:r>
              <w:rPr>
                <w:rFonts w:ascii="宋体" w:hAnsi="宋体" w:cs="宋体"/>
                <w:color w:val="auto"/>
                <w:sz w:val="24"/>
                <w:szCs w:val="24"/>
                <w:highlight w:val="none"/>
              </w:rPr>
              <w:t xml:space="preserve">接口</w:t>
            </w:r>
            <w:r>
              <w:rPr>
                <w:rFonts w:hint="eastAsia" w:ascii="宋体" w:hAnsi="宋体" w:cs="宋体"/>
                <w:color w:val="auto"/>
                <w:sz w:val="24"/>
                <w:szCs w:val="24"/>
                <w:highlight w:val="none"/>
              </w:rPr>
              <w:t xml:space="preserve">，满足项目建设及运维期间的</w:t>
            </w:r>
            <w:r>
              <w:rPr>
                <w:rFonts w:ascii="宋体" w:hAnsi="宋体" w:cs="宋体"/>
                <w:color w:val="auto"/>
                <w:sz w:val="24"/>
                <w:szCs w:val="24"/>
                <w:highlight w:val="none"/>
              </w:rPr>
              <w:t xml:space="preserve">使用</w:t>
            </w:r>
            <w:r>
              <w:rPr>
                <w:rFonts w:hint="eastAsia" w:ascii="宋体" w:hAnsi="宋体" w:cs="宋体"/>
                <w:color w:val="auto"/>
                <w:sz w:val="24"/>
                <w:szCs w:val="24"/>
                <w:highlight w:val="none"/>
              </w:rPr>
              <w:t xml:space="preserve">需求。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30.</w:t>
      </w:r>
      <w:r>
        <w:rPr>
          <w:rFonts w:hint="eastAsia" w:ascii="宋体" w:hAnsi="宋体" w:cs="宋体"/>
          <w:color w:val="auto"/>
          <w:sz w:val="24"/>
          <w:szCs w:val="24"/>
          <w:highlight w:val="none"/>
        </w:rPr>
        <w:t xml:space="preserve">服务器操作系统（信创）</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color w:val="auto"/>
                <w:highlight w:val="none"/>
              </w:rPr>
            </w:pPr>
            <w:r>
              <w:rPr>
                <w:rFonts w:ascii="宋体" w:hAnsi="宋体" w:cs="宋体"/>
                <w:color w:val="auto"/>
                <w:sz w:val="24"/>
                <w:szCs w:val="24"/>
                <w:highlight w:val="none"/>
              </w:rPr>
              <w:t xml:space="preserve">投标产品</w:t>
            </w:r>
            <w:r>
              <w:rPr>
                <w:rFonts w:hint="eastAsia" w:ascii="宋体" w:hAnsi="宋体" w:cs="宋体"/>
                <w:color w:val="auto"/>
                <w:sz w:val="24"/>
                <w:szCs w:val="24"/>
                <w:highlight w:val="none"/>
              </w:rPr>
              <w:t xml:space="preserve">参数</w:t>
            </w:r>
            <w:r>
              <w:rPr>
                <w:rFonts w:ascii="宋体" w:hAnsi="宋体" w:cs="宋体"/>
                <w:color w:val="auto"/>
                <w:sz w:val="24"/>
                <w:szCs w:val="24"/>
                <w:highlight w:val="none"/>
              </w:rPr>
              <w:t xml:space="preserve">应符合《操作系统政府采购需求标准（2023年版）》（财库〔2023〕34号）要求</w:t>
            </w:r>
            <w:r>
              <w:rPr>
                <w:rFonts w:hint="eastAsia" w:ascii="宋体" w:hAnsi="宋体" w:cs="宋体"/>
                <w:color w:val="auto"/>
                <w:sz w:val="24"/>
                <w:szCs w:val="24"/>
                <w:highlight w:val="none"/>
              </w:rPr>
              <w:t xml:space="preserve">中加“*”指标最低要求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并满足</w:t>
            </w:r>
            <w:r>
              <w:rPr>
                <w:rFonts w:ascii="宋体" w:hAnsi="宋体" w:cs="宋体"/>
                <w:color w:val="auto"/>
                <w:sz w:val="24"/>
                <w:szCs w:val="24"/>
                <w:highlight w:val="none"/>
              </w:rPr>
              <w:t xml:space="preserve">安全可靠应用及信创适配要求，支持国家商用密码算法</w:t>
            </w:r>
            <w:r>
              <w:rPr>
                <w:rFonts w:hint="eastAsia" w:ascii="宋体" w:hAnsi="宋体" w:cs="宋体"/>
                <w:color w:val="auto"/>
                <w:sz w:val="24"/>
                <w:szCs w:val="24"/>
                <w:highlight w:val="none"/>
              </w:rPr>
              <w:t xml:space="preserve">。且</w:t>
            </w:r>
            <w:r>
              <w:rPr>
                <w:rFonts w:ascii="宋体" w:hAnsi="宋体" w:cs="宋体"/>
                <w:color w:val="auto"/>
                <w:sz w:val="24"/>
                <w:szCs w:val="24"/>
                <w:highlight w:val="none"/>
              </w:rPr>
              <w:t xml:space="preserve">与本项目拟</w:t>
            </w:r>
            <w:r>
              <w:rPr>
                <w:rFonts w:hint="eastAsia" w:ascii="宋体" w:hAnsi="宋体" w:cs="宋体"/>
                <w:color w:val="auto"/>
                <w:sz w:val="24"/>
                <w:szCs w:val="24"/>
                <w:highlight w:val="none"/>
              </w:rPr>
              <w:t xml:space="preserve">购买</w:t>
            </w:r>
            <w:r>
              <w:rPr>
                <w:rFonts w:ascii="宋体" w:hAnsi="宋体" w:cs="宋体"/>
                <w:color w:val="auto"/>
                <w:sz w:val="24"/>
                <w:szCs w:val="24"/>
                <w:highlight w:val="none"/>
              </w:rPr>
              <w:t xml:space="preserve">的数据库及中间件等基础软硬件完成深度适配。</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pStyle w:val="978"/>
              <w:ind w:firstLine="0"/>
              <w:rPr>
                <w:rFonts w:hint="eastAsia"/>
                <w:color w:val="auto"/>
                <w:highlight w:val="none"/>
                <w:lang w:eastAsia="zh-CN"/>
              </w:rPr>
            </w:pPr>
            <w:r>
              <w:rPr>
                <w:rFonts w:hint="eastAsia"/>
                <w:color w:val="auto"/>
                <w:highlight w:val="none"/>
                <w:lang w:eastAsia="zh-CN"/>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31.</w:t>
      </w:r>
      <w:r>
        <w:rPr>
          <w:rFonts w:hint="eastAsia" w:ascii="宋体" w:hAnsi="宋体" w:cs="宋体"/>
          <w:color w:val="auto"/>
          <w:sz w:val="24"/>
          <w:szCs w:val="24"/>
          <w:highlight w:val="none"/>
        </w:rPr>
        <w:t xml:space="preserve">关系型数据库（信创）</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投标产品</w:t>
            </w:r>
            <w:r>
              <w:rPr>
                <w:rFonts w:hint="eastAsia" w:ascii="宋体" w:hAnsi="宋体" w:cs="宋体"/>
                <w:color w:val="auto"/>
                <w:sz w:val="24"/>
                <w:szCs w:val="24"/>
                <w:highlight w:val="none"/>
              </w:rPr>
              <w:t xml:space="preserve">参数</w:t>
            </w:r>
            <w:r>
              <w:rPr>
                <w:rFonts w:ascii="宋体" w:hAnsi="宋体" w:cs="宋体"/>
                <w:color w:val="auto"/>
                <w:sz w:val="24"/>
                <w:szCs w:val="24"/>
                <w:highlight w:val="none"/>
              </w:rPr>
              <w:t xml:space="preserve">应符合《数据库政府采购需求标准（2023年版）》（财库〔2023〕35号）要求</w:t>
            </w:r>
            <w:r>
              <w:rPr>
                <w:rFonts w:hint="eastAsia" w:ascii="宋体" w:hAnsi="宋体" w:cs="宋体"/>
                <w:color w:val="auto"/>
                <w:sz w:val="24"/>
                <w:szCs w:val="24"/>
                <w:highlight w:val="none"/>
              </w:rPr>
              <w:t xml:space="preserve">中加“*”指标最低要求，并满足</w:t>
            </w:r>
            <w:r>
              <w:rPr>
                <w:rFonts w:ascii="宋体" w:hAnsi="宋体" w:cs="宋体"/>
                <w:color w:val="auto"/>
                <w:sz w:val="24"/>
                <w:szCs w:val="24"/>
                <w:highlight w:val="none"/>
              </w:rPr>
              <w:t xml:space="preserve">安全可靠应用</w:t>
            </w:r>
            <w:r>
              <w:rPr>
                <w:rFonts w:hint="eastAsia" w:ascii="宋体" w:hAnsi="宋体" w:cs="宋体"/>
                <w:color w:val="auto"/>
                <w:sz w:val="24"/>
                <w:szCs w:val="24"/>
                <w:highlight w:val="none"/>
              </w:rPr>
              <w:t xml:space="preserve">及</w:t>
            </w:r>
            <w:r>
              <w:rPr>
                <w:rFonts w:ascii="宋体" w:hAnsi="宋体" w:cs="宋体"/>
                <w:color w:val="auto"/>
                <w:sz w:val="24"/>
                <w:szCs w:val="24"/>
                <w:highlight w:val="none"/>
              </w:rPr>
              <w:t xml:space="preserve">信创适配要求</w:t>
            </w:r>
            <w:r>
              <w:rPr>
                <w:rFonts w:hint="eastAsia" w:ascii="宋体" w:hAnsi="宋体" w:cs="宋体"/>
                <w:color w:val="auto"/>
                <w:sz w:val="24"/>
                <w:szCs w:val="24"/>
                <w:highlight w:val="none"/>
              </w:rPr>
              <w:t xml:space="preserve">，且</w:t>
            </w:r>
            <w:r>
              <w:rPr>
                <w:rFonts w:ascii="宋体" w:hAnsi="宋体" w:cs="宋体"/>
                <w:color w:val="auto"/>
                <w:sz w:val="24"/>
                <w:szCs w:val="24"/>
                <w:highlight w:val="none"/>
              </w:rPr>
              <w:t xml:space="preserve">与项目</w:t>
            </w:r>
            <w:r>
              <w:rPr>
                <w:rFonts w:hint="eastAsia" w:ascii="宋体" w:hAnsi="宋体" w:cs="宋体"/>
                <w:color w:val="auto"/>
                <w:sz w:val="24"/>
                <w:szCs w:val="24"/>
                <w:highlight w:val="none"/>
              </w:rPr>
              <w:t xml:space="preserve">拟购买的服务器操作系统、中间件</w:t>
            </w:r>
            <w:r>
              <w:rPr>
                <w:rFonts w:ascii="宋体" w:hAnsi="宋体" w:cs="宋体"/>
                <w:color w:val="auto"/>
                <w:sz w:val="24"/>
                <w:szCs w:val="24"/>
                <w:highlight w:val="none"/>
              </w:rPr>
              <w:t xml:space="preserve">等基础软硬件</w:t>
            </w:r>
            <w:r>
              <w:rPr>
                <w:rFonts w:hint="eastAsia" w:ascii="宋体" w:hAnsi="宋体" w:cs="宋体"/>
                <w:color w:val="auto"/>
                <w:sz w:val="24"/>
                <w:szCs w:val="24"/>
                <w:highlight w:val="none"/>
              </w:rPr>
              <w:t xml:space="preserve">完成深度适配。</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32.</w:t>
      </w:r>
      <w:r>
        <w:rPr>
          <w:rFonts w:hint="eastAsia" w:ascii="宋体" w:hAnsi="宋体" w:cs="宋体"/>
          <w:color w:val="auto"/>
          <w:sz w:val="24"/>
          <w:szCs w:val="24"/>
          <w:highlight w:val="none"/>
        </w:rPr>
        <w:t xml:space="preserve">中间件（信创）</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投标产品应</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国家现行安全可靠应用及信创适配要求，</w:t>
            </w:r>
            <w:r>
              <w:rPr>
                <w:rFonts w:hint="eastAsia" w:ascii="宋体" w:hAnsi="宋体" w:cs="宋体"/>
                <w:color w:val="auto"/>
                <w:sz w:val="24"/>
                <w:szCs w:val="24"/>
                <w:highlight w:val="none"/>
              </w:rPr>
              <w:t xml:space="preserve">并</w:t>
            </w:r>
            <w:r>
              <w:rPr>
                <w:rFonts w:ascii="宋体" w:hAnsi="宋体" w:cs="宋体"/>
                <w:color w:val="auto"/>
                <w:sz w:val="24"/>
                <w:szCs w:val="24"/>
                <w:highlight w:val="none"/>
              </w:rPr>
              <w:t xml:space="preserve">与项目</w:t>
            </w:r>
            <w:r>
              <w:rPr>
                <w:rFonts w:hint="eastAsia" w:ascii="宋体" w:hAnsi="宋体" w:cs="宋体"/>
                <w:color w:val="auto"/>
                <w:sz w:val="24"/>
                <w:szCs w:val="24"/>
                <w:highlight w:val="none"/>
              </w:rPr>
              <w:t xml:space="preserve">拟购买的服务器操作系统、关系型数据库</w:t>
            </w:r>
            <w:r>
              <w:rPr>
                <w:rFonts w:ascii="宋体" w:hAnsi="宋体" w:cs="宋体"/>
                <w:color w:val="auto"/>
                <w:sz w:val="24"/>
                <w:szCs w:val="24"/>
                <w:highlight w:val="none"/>
              </w:rPr>
              <w:t xml:space="preserve">等基础软硬件</w:t>
            </w:r>
            <w:r>
              <w:rPr>
                <w:rFonts w:hint="eastAsia" w:ascii="宋体" w:hAnsi="宋体" w:cs="宋体"/>
                <w:color w:val="auto"/>
                <w:sz w:val="24"/>
                <w:szCs w:val="24"/>
                <w:highlight w:val="none"/>
              </w:rPr>
              <w:t xml:space="preserve">完成深度适配。</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33.</w:t>
      </w:r>
      <w:r>
        <w:rPr>
          <w:rFonts w:hint="eastAsia" w:ascii="宋体" w:hAnsi="宋体" w:cs="宋体"/>
          <w:color w:val="auto"/>
          <w:sz w:val="24"/>
          <w:szCs w:val="24"/>
          <w:highlight w:val="none"/>
        </w:rPr>
        <w:t xml:space="preserve">数据治理服务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1、排水管网数据服务</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（1）制定排水管网数据录入规范，并提供相关的培训和录入指导，协助各街道完成排水管网的录入工作；</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（2）对录入的</w:t>
            </w:r>
            <w:r>
              <w:rPr>
                <w:rFonts w:ascii="宋体" w:hAnsi="宋体" w:cs="宋体"/>
                <w:color w:val="auto"/>
                <w:sz w:val="24"/>
                <w:szCs w:val="24"/>
                <w:highlight w:val="none"/>
              </w:rPr>
              <w:t xml:space="preserve">管网数据质量</w:t>
            </w:r>
            <w:r>
              <w:rPr>
                <w:rFonts w:hint="eastAsia" w:ascii="宋体" w:hAnsi="宋体" w:cs="宋体"/>
                <w:color w:val="auto"/>
                <w:sz w:val="24"/>
                <w:szCs w:val="24"/>
                <w:highlight w:val="none"/>
              </w:rPr>
              <w:t xml:space="preserve">进行检查分析，生成问题清单并指导处理。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2、信息资源目录编制</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按照行业相关规范，建立水务数据资源目录和核心元数据。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3、水务基础数据整合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（1）归集现有分散的水务信息资源，包括现有信息系统中的数据</w:t>
            </w:r>
            <w:r>
              <w:rPr>
                <w:rFonts w:hint="eastAsia"/>
                <w:color w:val="auto"/>
                <w:highlight w:val="none"/>
              </w:rPr>
              <w:t xml:space="preserve">，</w:t>
            </w:r>
            <w:r>
              <w:rPr>
                <w:rFonts w:hint="eastAsia"/>
                <w:color w:val="auto"/>
                <w:sz w:val="24"/>
                <w:szCs w:val="24"/>
                <w:highlight w:val="none"/>
              </w:rPr>
              <w:t xml:space="preserve">如江宁区泵站排水信息化管理平台、江宁城区防汛指挥中心智慧系统、污染源监控系统、江宁开发区水务一体化平台、智慧供水系统、智慧农污智慧运营平台等</w:t>
            </w:r>
            <w:r>
              <w:rPr>
                <w:rFonts w:hint="eastAsia" w:ascii="宋体" w:hAnsi="宋体" w:cs="宋体"/>
                <w:color w:val="auto"/>
                <w:sz w:val="24"/>
                <w:szCs w:val="24"/>
                <w:highlight w:val="none"/>
              </w:rPr>
              <w:t xml:space="preserve">，业务科室手工台账及图纸数据，将水务基础设施（包括</w:t>
            </w:r>
            <w:r>
              <w:rPr>
                <w:rFonts w:ascii="宋体" w:hAnsi="宋体" w:cs="宋体"/>
                <w:color w:val="auto"/>
                <w:sz w:val="24"/>
                <w:szCs w:val="24"/>
                <w:highlight w:val="none"/>
              </w:rPr>
              <w:t xml:space="preserve">污水处理厂、泵站、排口、排水户、河道、水库、堤防、考核断面、塘坝、水闸、涵闸、易积淹点</w:t>
            </w:r>
            <w:r>
              <w:rPr>
                <w:rFonts w:hint="eastAsia" w:ascii="宋体" w:hAnsi="宋体" w:cs="宋体"/>
                <w:color w:val="auto"/>
                <w:sz w:val="24"/>
                <w:szCs w:val="24"/>
                <w:highlight w:val="none"/>
              </w:rPr>
              <w:t xml:space="preserve">等）的属性数据、空间数据进行梳理；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（2）将归集的基础数据按照元数据设计规范进行数据的融合、集成、清洗、转化，完成标准化入库。</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ind w:firstLine="480"/>
        <w:spacing w:line="252" w:lineRule="auto"/>
        <w:rPr>
          <w:rFonts w:hint="eastAsia"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（二）商务要求</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合同签订后270天内完成系统开发、部署、调试</w:t>
      </w:r>
      <w:r>
        <w:rPr>
          <w:rFonts w:hint="eastAsia" w:ascii="宋体" w:hAnsi="宋体" w:cs="宋体"/>
          <w:color w:val="auto"/>
          <w:sz w:val="24"/>
          <w:szCs w:val="24"/>
          <w:highlight w:val="none"/>
        </w:rPr>
        <w:t xml:space="preserve">以及配套软、硬件的采购、运输、安装、调试</w:t>
      </w:r>
      <w:r>
        <w:rPr>
          <w:rFonts w:ascii="宋体" w:hAnsi="宋体" w:cs="宋体"/>
          <w:color w:val="auto"/>
          <w:sz w:val="24"/>
          <w:szCs w:val="24"/>
          <w:highlight w:val="none"/>
        </w:rPr>
        <w:t xml:space="preserve">等工作，并具备整体上线试运行条件；试运行</w:t>
      </w: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0天后，</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验收标准的，完成项目验收并正式投入运行。</w:t>
      </w:r>
      <w:r>
        <w:rPr>
          <w:rFonts w:hint="eastAsia" w:ascii="宋体" w:hAnsi="宋体" w:cs="宋体"/>
          <w:color w:val="auto"/>
          <w:sz w:val="24"/>
          <w:szCs w:val="24"/>
          <w:highlight w:val="none"/>
        </w:rPr>
        <w:t xml:space="preserve">自项目最终验收合格之日起，开始进入不低于三年的项目维护期。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成交供应商根据采购人要求，提交项目实施方案、进度计划、人员安排、阶段性成果及相关文档资料，并按计划完成需求确认、系统设计、开发测试、部署上线、培训、试运行和验收配合等工作。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服务要求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保证对其提供给采购人使用的软件系统拥有合法完整的版权和其他合法权利，有权授权采购人使用，并且不会侵害任何第三方的合法权益；如果任何第三方提出侵权指控，则与采购人无关，成交供应商须与第三方交涉并承担可能发生的后果与一切费用。如采购人因此而遭致损失的，成交供应商赔偿该损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成交供应商按采购人要求提交与本项目有关的部署文档、接口文档、数据库设计文档、操作手册、运维手册、培训材料、测试资料及验收材料，并配合完成系统培训、上线保障和试运行支持工作。</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人员要求</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①项目经理：1人，具有5年及以上的信息化项目管理工作经验，不得兼任其他岗位。</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w:t>
      </w:r>
      <w:r>
        <w:rPr>
          <w:rFonts w:hint="eastAsia" w:ascii="宋体" w:hAnsi="宋体" w:cs="宋体"/>
          <w:color w:val="auto"/>
          <w:sz w:val="24"/>
          <w:szCs w:val="24"/>
          <w:highlight w:val="none"/>
        </w:rPr>
        <w:t xml:space="preserve">技术负责人：1人，具有3年</w:t>
      </w:r>
      <w:r>
        <w:rPr>
          <w:rFonts w:hint="eastAsia" w:ascii="宋体" w:hAnsi="宋体"/>
          <w:color w:val="auto"/>
          <w:sz w:val="24"/>
          <w:szCs w:val="24"/>
          <w:highlight w:val="none"/>
        </w:rPr>
        <w:t xml:space="preserve">及</w:t>
      </w:r>
      <w:r>
        <w:rPr>
          <w:rFonts w:hint="eastAsia" w:ascii="宋体" w:hAnsi="宋体" w:cs="宋体"/>
          <w:color w:val="auto"/>
          <w:sz w:val="24"/>
          <w:szCs w:val="24"/>
          <w:highlight w:val="none"/>
        </w:rPr>
        <w:t xml:space="preserve">以上的信息化</w:t>
      </w:r>
      <w:r>
        <w:rPr>
          <w:rFonts w:hint="eastAsia" w:ascii="宋体" w:hAnsi="宋体"/>
          <w:color w:val="auto"/>
          <w:sz w:val="24"/>
          <w:szCs w:val="24"/>
          <w:highlight w:val="none"/>
        </w:rPr>
        <w:t xml:space="preserve">项目</w:t>
      </w:r>
      <w:r>
        <w:rPr>
          <w:rFonts w:hint="eastAsia" w:ascii="宋体" w:hAnsi="宋体" w:cs="宋体"/>
          <w:color w:val="auto"/>
          <w:sz w:val="24"/>
          <w:szCs w:val="24"/>
          <w:highlight w:val="none"/>
        </w:rPr>
        <w:t xml:space="preserve">技术管理工作经验，不得兼任其他岗位。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③开发实施人员：不少于8人，具有1年及以上的信息化项目工作经验。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④项目组所有人员必须为供应商正式工作人员，不得兼任其他项目工作，未经采购人同意，人员不得更换。</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验收要求</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①软件全部完成开发，具备整体上线试运行条件后，采购人将组织初步验收，以实际使用人（最终用户）的验收报告为初步验收结果。初步验收时发现未完成开发、部署和调试的，采购人有权要求供应商立即进行补充。初步验收通过，系统进入试运行状态。</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②软件上线试运行90天，且实际使用人（最终用户）未提出疑议，供应商可申请进行最终验收</w:t>
      </w:r>
      <w:r>
        <w:rPr>
          <w:rFonts w:hint="eastAsia" w:ascii="宋体" w:hAnsi="宋体"/>
          <w:color w:val="auto"/>
          <w:sz w:val="24"/>
          <w:szCs w:val="24"/>
          <w:highlight w:val="none"/>
        </w:rPr>
        <w:t xml:space="preserve">。验收规范 (包括计划、验收功能清单、系统性能指标等)由供应商在验收前两周提交给采购人，采购人可根据合同及技术规范书和采购人的有关规定进行修改和补充。验收规范经采购人、实际使用人（最终用户）、供应商三方确认后形成验收文件作为验收依据。供应商根据系统业务需求，提供自测文档，列明系统功能、流程、接口清单供验收核对，并按采购人要求提供完备的验收材料。最终验收中发现由于系统质量等造成某些指标达不到要求，允许供应商进行修复，终验顺延一个月，在全部达到要求时，采购人、实际使用人（最终用户）、供应商三方签署最终验收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（5）运行维护要求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项目维护期：供应商须确保本次采购所有项目的安全稳定的运行，并承诺提供不低于三年的项目维护服务（自项目最终验收合格之日起，开始进入项目维护期）。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护期内，本合同项目所有技术和服务发生任何非人为故障，由供应商负责系统恢复。故障报修的响应时间不超出1小时，到达现场的时间不超出2小时，小型故障恢复时间不超出4个小时，严重故障恢复时间不超出24小时，并及时有效地提供解决方案。</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维护期内，对采购人提出的服务要求，供应商必须及时进行电话、邮件及远程网络支持，并在2小时内到场服务。如不到场，采购人有权自行处理，相关费用由供应商负责。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供应商需提供定期回访服务，对采购人提出的合理优化建议应提供项目升级服务，相关费用由供应商承担。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所有的服务方式均为供应商上门保修，即由供应商派员到系统使用现场进行故障恢复，由此产生的一切费用均由供应商承担。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（6）数据共享要求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内部共享：各子系统（排水、供水、水环境、水资源、防汛、指挥调度、监管、移动应用等）数据互联互通。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外部对接：需对接区水务局、数治中心、开发区、生态环境局、水务集团等现有系统，预留城市生命线接口。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共享方式：提供标准API服务（单点登录、设施查询、监测数据、统计分析），遵循水利行业数据标准。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安全管理：遵循“最小必要”原则，数据共享须经审批，实施脱敏、加密、审计。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（7）安全审查和保密要求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安全审查：系统上线前须通过采购人组织的安全审查（架构、数据、密码、访问控制等）。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保密义务：中标人对接触的所有信息承担保密责任，保密期限至验收后5年或信息依法公开日。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保密措施：建立保密制度，人员背景审查，签订保密承诺书，项目文档和源代码不得外泄。</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数据安全：数据分类分级（一般、重要、核心），采取相应加密、访问控制、审计措施。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（8）分级保护要求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政务数据分级：配合采购人对数据进行一般、重要、核心三级分类，按最高级别保护。</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权限分级：按“最小必要”原则分配权限，建立审批和定期审查机制。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技术措施：网络隔离、加密保护、差异访问控制、全审计追踪（日志保存≥6个月）、防泄漏。应急响应：制定分级保护安全应急预案，定期演练，事件及时报告。</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olor w:val="auto"/>
          <w:sz w:val="24"/>
          <w:szCs w:val="24"/>
          <w:highlight w:val="none"/>
        </w:rPr>
        <w:t xml:space="preserve">网络安全等级保护测评要求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供应商须</w:t>
      </w:r>
      <w:r>
        <w:rPr>
          <w:rFonts w:ascii="宋体" w:hAnsi="宋体" w:cs="宋体"/>
          <w:color w:val="auto"/>
          <w:sz w:val="24"/>
          <w:szCs w:val="24"/>
          <w:highlight w:val="none"/>
        </w:rPr>
        <w:t xml:space="preserve">配合采购人完成网络安全等级保护测评（三级）工作，并根据测评结果</w:t>
      </w:r>
      <w:r>
        <w:rPr>
          <w:rFonts w:hint="eastAsia" w:ascii="宋体" w:hAnsi="宋体" w:cs="宋体"/>
          <w:color w:val="auto"/>
          <w:sz w:val="24"/>
          <w:szCs w:val="24"/>
          <w:highlight w:val="none"/>
        </w:rPr>
        <w:t xml:space="preserve">完成</w:t>
      </w:r>
      <w:r>
        <w:rPr>
          <w:rFonts w:ascii="宋体" w:hAnsi="宋体" w:cs="宋体"/>
          <w:color w:val="auto"/>
          <w:sz w:val="24"/>
          <w:szCs w:val="24"/>
          <w:highlight w:val="none"/>
        </w:rPr>
        <w:t xml:space="preserve">整改</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s="宋体"/>
          <w:color w:val="auto"/>
          <w:sz w:val="24"/>
          <w:szCs w:val="24"/>
          <w:highlight w:val="none"/>
        </w:rPr>
        <w:t xml:space="preserve">商用密码应用安全性评估</w:t>
      </w:r>
      <w:r>
        <w:rPr>
          <w:rFonts w:hint="eastAsia" w:ascii="宋体" w:hAnsi="宋体" w:cs="宋体"/>
          <w:color w:val="auto"/>
          <w:sz w:val="24"/>
          <w:szCs w:val="24"/>
          <w:highlight w:val="none"/>
        </w:rPr>
        <w:t xml:space="preserve">（密评）要求</w:t>
      </w:r>
      <w:r/>
    </w:p>
    <w:p>
      <w:pPr>
        <w:ind w:firstLine="480"/>
        <w:rPr>
          <w:rStyle w:val="951"/>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w:t>
      </w:r>
      <w:r>
        <w:rPr>
          <w:rFonts w:ascii="宋体" w:hAnsi="宋体" w:cs="宋体"/>
          <w:color w:val="auto"/>
          <w:sz w:val="24"/>
          <w:szCs w:val="24"/>
          <w:highlight w:val="none"/>
        </w:rPr>
        <w:t xml:space="preserve">采购人提出要求时，须全面配合采购人完成对本项目所建系统的商用密码应用安全性评估工作</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并根据测评结果进行整改</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（11）信创适配要求</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项目涉及的软件、硬件产品满足信创要求。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hint="eastAsia" w:ascii="宋体" w:hAnsi="宋体"/>
          <w:color w:val="auto"/>
          <w:sz w:val="24"/>
          <w:szCs w:val="24"/>
          <w:highlight w:val="none"/>
        </w:rPr>
        <w:t xml:space="preserve">系统对接要求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供应商在提供定制软件开发服务时，应根据采购人提供的接口文档、测试环境、账号权限、网络策略及相关业务系统对接条件，完成与相关业务平台的接口开发、联调测试、上线配合及问题整改。具体对接范围、接口方式、数据项、频率及安全要求以采购人组织确认的接口方案为准。</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为进一步明确系统对接范围，本项目拟对接或预留对接以下系统：</w:t>
      </w:r>
      <w:r/>
    </w:p>
    <w:tbl>
      <w:tblPr>
        <w:tblStyle w:val="945"/>
        <w:tblW w:w="98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4"/>
        <w:gridCol w:w="1301"/>
        <w:gridCol w:w="1308"/>
        <w:gridCol w:w="1750"/>
        <w:gridCol w:w="1900"/>
        <w:gridCol w:w="1392"/>
        <w:gridCol w:w="1731"/>
      </w:tblGrid>
      <w:tr>
        <w:trPr>
          <w:jc w:val="center"/>
          <w:tblHeader/>
        </w:trPr>
        <w:tc>
          <w:tcPr>
            <w:tcMar>
              <w:left w:w="60" w:type="dxa"/>
              <w:top w:w="80" w:type="dxa"/>
              <w:right w:w="60" w:type="dxa"/>
              <w:bottom w:w="80" w:type="dxa"/>
            </w:tcMar>
            <w:tcW w:w="424"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序号</w:t>
            </w:r>
            <w:r/>
          </w:p>
        </w:tc>
        <w:tc>
          <w:tcPr>
            <w:tcMar>
              <w:left w:w="60" w:type="dxa"/>
              <w:top w:w="80" w:type="dxa"/>
              <w:right w:w="60" w:type="dxa"/>
              <w:bottom w:w="80" w:type="dxa"/>
            </w:tcMar>
            <w:tcW w:w="1301"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对接系统</w:t>
            </w:r>
            <w:r/>
          </w:p>
        </w:tc>
        <w:tc>
          <w:tcPr>
            <w:tcMar>
              <w:left w:w="60" w:type="dxa"/>
              <w:top w:w="80" w:type="dxa"/>
              <w:right w:w="60" w:type="dxa"/>
              <w:bottom w:w="80" w:type="dxa"/>
            </w:tcMar>
            <w:tcW w:w="1308"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所属/管理单位</w:t>
            </w:r>
            <w:r/>
          </w:p>
        </w:tc>
        <w:tc>
          <w:tcPr>
            <w:tcMar>
              <w:left w:w="60" w:type="dxa"/>
              <w:top w:w="80" w:type="dxa"/>
              <w:right w:w="60" w:type="dxa"/>
              <w:bottom w:w="80" w:type="dxa"/>
            </w:tcMar>
            <w:tcW w:w="1750"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系统基本情况及业务用途</w:t>
            </w:r>
            <w:r/>
          </w:p>
        </w:tc>
        <w:tc>
          <w:tcPr>
            <w:tcMar>
              <w:left w:w="60" w:type="dxa"/>
              <w:top w:w="80" w:type="dxa"/>
              <w:right w:w="60" w:type="dxa"/>
              <w:bottom w:w="80" w:type="dxa"/>
            </w:tcMar>
            <w:tcW w:w="1900"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主要接入内容</w:t>
            </w:r>
            <w:r/>
          </w:p>
        </w:tc>
        <w:tc>
          <w:tcPr>
            <w:tcMar>
              <w:left w:w="60" w:type="dxa"/>
              <w:top w:w="80" w:type="dxa"/>
              <w:right w:w="60" w:type="dxa"/>
              <w:bottom w:w="80" w:type="dxa"/>
            </w:tcMar>
            <w:tcW w:w="1392"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参考接入标准/方式</w:t>
            </w:r>
            <w:r/>
          </w:p>
        </w:tc>
        <w:tc>
          <w:tcPr>
            <w:tcMar>
              <w:left w:w="60" w:type="dxa"/>
              <w:top w:w="80" w:type="dxa"/>
              <w:right w:w="60" w:type="dxa"/>
              <w:bottom w:w="80" w:type="dxa"/>
            </w:tcMar>
            <w:tcW w:w="1731"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对接责任边界</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泵站排水信息化管理平台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江宁区水务局</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用于泵站、排口、排水设施运行监测及在线监管。</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泵站运行数据、水位/流量、水质、设备状态、告警、视频点位信息。</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API、WebService、JSON/XML、数据库视图、消息推送等。</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采购人协调区水务局及原系统运维单位开放接口；供应商负责本项目侧接口开发、数据转换和联调。</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2</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泵站视频监控平台/萤石云视频平台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江宁区水务局或相关运维单位</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萤石云为海康/萤石体系的视频云平台，可通过开放平台、SDK、视频流地址等方式集成。</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泵站视频预览、录像回放、设备通道信息、抓拍、告警。</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GB/T 28181、RTSP、HLS、FLV、萤石开放平台 API、SDK。</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原视频平台提供账号、设备序列号、通道信息及接口权限；供应商负责视频集成和展示。</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3</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江宁城区防汛指挥中心智慧系统/智慧防汛平台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江宁区城市数字治理中心、江宁区水务局</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用于防汛监测、预警、调度、应急处置，涉及水位、雨量、河道、泵站、积水点等数据。</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水位、雨量、预警事件、防汛工单、应急处置信息。</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API、消息队列、JSON/XML、WebSocket。</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数治中心和水务局确认数据范围；供应商负责接入防汛相关数据和预警联动。</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4</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物联感知平台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江宁区城市数字治理中心</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汇聚区内物联网感知设备数据，作为城市运行感知基础平台。</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感知设备编码、设备状态、实时监测数据、告警数据。</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MQTT、HTTP/HTTPS、RESTful API、Kafka 等。</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数治中心提供平台接口和订阅权限；供应商负责数据订阅、解析和入库。</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5</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视联网平台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江宁区城市数字治理中心</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汇聚全区视频资源，服务城市治理、应急、防汛、城管等场景。</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视频点位目录、实时视频流、录像回放地址、视频状态。</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GB/T 28181、ONVIF、RTSP、平台 SDK。</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数治中心或平台运维单位提供视频资源目录和调用权限；供应商负责平台侧视频调用。</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6</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一网统管平台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江宁区城市数字治理中心</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城市治理综合管理平台，汇聚 12345、随手拍、城市运行事件、涉水工单等数据。</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涉水工单、事件上报、派单、处置进度、处置结果、评价信息。</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API、JSON、消息队列、数据交换平台。</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数治中心负责接口协调；供应商负责涉水事件接入、工单闭环和状态同步。</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7</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“我的江宁”App</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江宁区数据局/数治中心</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面向公众的移动服务入口，可承载智慧水务服务模块。</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水务信息发布、问题上报、服务申请、办理进度、水费信息跳转或查询。</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API、统一身份认证、OAuth2、HTTPS。</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采购人协调 App 管理单位；供应商负责智慧水务模块接口、页面或服务能力接入。</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8</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江宁开发区水务一体化平台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江宁开发区相关管理部门/水务集团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用于开发区水务运行监测和视频监控。</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水务运行监测数据、泵站/水厂/管网数据、视频数据。</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OPC、Modbus、RESTful API、数据库、GB/T 28181、RTSP。</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开发区及原平台运维单位提供接口条件；供应商负责适配接入。</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9</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水质监测系统</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江宁区生态环境局</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用于河湖断面、水质自动站、饮用水源地等水质监测。</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pH、COD、氨氮、总磷、总氮、溶解氧、浊度、水温、告警。</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HJ 212、RESTful API、WebService、JSON/XML、数据库视图。</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生态环境部门或监测中心提供接口和数据授权；供应商负责数据接入和展示分析。</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10</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污染源监控系统</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江宁区生态环境局</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用于重点排污单位、污水处理厂污染源在线监管。</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排口流量、COD、氨氮、总磷、总氮、pH、设备状态、异常标记。</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HJ 212、HJ 356、RESTful API、数据库、数据交换平台。</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生态环境部门负责授权；供应商负责污染源数据接入、异常识别和关联展示。</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11</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江宁水务集团供水 SCADA 系统</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供水调度和生产运行核心系统，涉及水厂、泵站、管网压力、流量、水质等。</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供水压力、流量、水质、泵站状态、水厂生产、能耗、告警。</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OPC DA/UA、数据库视图、WebService、RESTful API。</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水务集团及原 SCADA 运维单位提供接口；供应商负责只读接入和安全隔离。</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12</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东山主城区排水管网监测系统</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用于排水管网液位、流量、水质、内涝风险监测。</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管网液位、流量、雨量、水质、井盖/设备状态、告警。</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MQTT、HTTP、RESTful API、WebSocket、GeoJSON、RTSP。</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水务集团提供点位和接口；供应商负责排水监测数据接入和 GIS 展示。</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13</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农污智慧化运维平台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用于农村污水处理设施运行、运维、工单、视频和设备状态管理。</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农污站点、设备状态、电量、流量、水质、视频、运维工单。</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MQTT、Modbus、RESTful API、数据库、GB/T 28181/RTSP。</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水务集团提供接口及站点清单；供应商负责数据融合和运维监管展示。</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14</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互联网+水务服务平台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面向用户提供用水报装、水费缴纳、业务办理、报修投诉等服务。</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用户服务信息、业务办理进度、报修投诉、水费缴纳状态、通知公告。</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API、JSON、HTTPS、统一身份认证。</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水务集团客服/信息化部门提供接口；供应商负责服务信息接入和业务协同。</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15</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城市生命线监测预警平台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南京市级平台，区级协同</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面向燃气、供水、排水、桥梁、管廊等城市生命线风险监测预警。</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排水设施、供水设施、监测点位、预警事件、GIS、视频。</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T/CI 618-2024、DB3201/T 1240-2025、JSON/XML、MQTT、视频流。</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本项目应预留标准接口，后续由市、区主管部门统一组织对接。</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注：表中系统基本情况主要依据公开资料、采购人已掌握情况及项目建设需求整理，具体系统架构、数据库类型、接口规范、数据范围、账号权限、网络策略等，以项目实施阶段采购人组织相关单位确认的接口方案为准。</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供应商应在项目实施阶段开展接口专项调研，形成《系统对接调研确认表》《接口开发实施方案》《接口字段映射表》《接口联调测试记录》等资料，明确各系统的开发单位、运维单位、部署环境、网络区域、数据库或接口方式、数据字典、接口调用频率、数据安全要求及责任分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对于已具备标准接口的系统，供应商应按采购人确认的接口规范完成开发和联调；对于暂不具备标准接口开放条件的系统，供应商应配合采购人采用数据库视图、文件交换、离线导入、接口网关、消息订阅、模拟数据接入等方式进行适配或预留接口。</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采购人负责协调相关主管部门、数据提供单位及既有系统建设或运维单位提供必要的接口资料、测试环境、账号权限、网络策略和联调支持；供应商负责本项目侧接口开发、数据清洗、字段映射、权限控制、日志审计、接口监测、异常告警、上线配合及问题整改。涉及既有系统侧接口开放、数据库视图开放、账号授权、网络策略调整、SDK授权或原系统改造的，由采购人协调既有系统建设或运维单位配合完成。</w:t>
      </w:r>
      <w:r/>
    </w:p>
    <w:p>
      <w:pPr>
        <w:ind w:firstLine="480"/>
        <w:rPr>
          <w:rFonts w:hint="eastAsia" w:ascii="宋体" w:hAnsi="宋体" w:cs="宋体"/>
          <w:color w:val="auto"/>
          <w:sz w:val="24"/>
          <w:szCs w:val="24"/>
          <w:highlight w:val="none"/>
        </w:rPr>
      </w:pPr>
      <w:r>
        <w:rPr>
          <w:rFonts w:hint="eastAsia" w:ascii="宋体" w:hAnsi="宋体"/>
          <w:color w:val="auto"/>
          <w:sz w:val="24"/>
          <w:szCs w:val="24"/>
          <w:highlight w:val="none"/>
        </w:rPr>
        <w:t xml:space="preserve">对接工作联系人：孙先生，联系电话：025-86139002。</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（13）培训要求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供应商应根据项目建设和使用需要，面向采购人管理人员、系统管理员、业务使用人员及运维人员开展培训。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培训内容应包括系统功能操作、业务流程办理、移动端使用、数据查询分析、监测预警处置、后台配置管理、日常运维及常见问题处理等。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培训完成后应提交培训签到表、培训课件、操作手册、培训记录等材料。</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培训相关费用由供应商承担，并包含在本项目投标报价中，采购人不再另行支付。</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（14）本项目各产品实际使用人的说明</w:t>
      </w:r>
      <w:r/>
    </w:p>
    <w:p>
      <w:pPr>
        <w:ind w:firstLine="480"/>
        <w:rPr>
          <w:color w:val="auto"/>
          <w:highlight w:val="none"/>
        </w:rPr>
      </w:pPr>
      <w:r>
        <w:rPr>
          <w:rFonts w:hint="eastAsia" w:ascii="宋体" w:hAnsi="宋体" w:cs="宋体"/>
          <w:color w:val="auto"/>
          <w:sz w:val="24"/>
          <w:szCs w:val="24"/>
          <w:highlight w:val="none"/>
        </w:rPr>
        <w:t xml:space="preserve">本项目主要应用方向为水务业务管理线上化、事件集约化、应急实时调度，本项目主要用户主体为南京市江宁区水务局。</w:t>
      </w:r>
      <w:r/>
    </w:p>
    <w:p>
      <w:pPr>
        <w:ind w:firstLine="480"/>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付款条件</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（1）交付时间：合同签订后270天内完成系统开发、部署、调试</w:t>
      </w:r>
      <w:r>
        <w:rPr>
          <w:rFonts w:hint="eastAsia" w:ascii="宋体" w:hAnsi="宋体" w:cs="宋体"/>
          <w:color w:val="auto"/>
          <w:sz w:val="24"/>
          <w:szCs w:val="24"/>
          <w:highlight w:val="none"/>
        </w:rPr>
        <w:t xml:space="preserve">以及配套硬件的采购、运输、安装、调试</w:t>
      </w:r>
      <w:r>
        <w:rPr>
          <w:rFonts w:ascii="宋体" w:hAnsi="宋体" w:cs="宋体"/>
          <w:color w:val="auto"/>
          <w:sz w:val="24"/>
          <w:szCs w:val="24"/>
          <w:highlight w:val="none"/>
        </w:rPr>
        <w:t xml:space="preserve">等工作，并具备整体上线试运行条件；试运行</w:t>
      </w: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0天后，</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验收标准的，完成项目</w:t>
      </w:r>
      <w:r>
        <w:rPr>
          <w:rFonts w:hint="eastAsia" w:ascii="宋体" w:hAnsi="宋体" w:cs="宋体"/>
          <w:color w:val="auto"/>
          <w:sz w:val="24"/>
          <w:szCs w:val="24"/>
          <w:highlight w:val="none"/>
        </w:rPr>
        <w:t xml:space="preserve">最终</w:t>
      </w:r>
      <w:r>
        <w:rPr>
          <w:rFonts w:ascii="宋体" w:hAnsi="宋体" w:cs="宋体"/>
          <w:color w:val="auto"/>
          <w:sz w:val="24"/>
          <w:szCs w:val="24"/>
          <w:highlight w:val="none"/>
        </w:rPr>
        <w:t xml:space="preserve">验收并正式投入运行。</w:t>
      </w:r>
      <w:r>
        <w:rPr>
          <w:rFonts w:hint="eastAsia" w:ascii="宋体" w:hAnsi="宋体" w:cs="宋体"/>
          <w:color w:val="auto"/>
          <w:sz w:val="24"/>
          <w:szCs w:val="24"/>
          <w:highlight w:val="none"/>
        </w:rPr>
        <w:t xml:space="preserve">自项目最终验收合格之日起进入不低于三年的项目维护期。</w:t>
      </w:r>
      <w:r/>
    </w:p>
    <w:p>
      <w:pPr>
        <w:ind w:firstLine="480"/>
        <w:spacing w:line="252" w:lineRule="auto"/>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（2）交付地点：采购人指定地点</w:t>
      </w:r>
      <w:r>
        <w:rPr>
          <w:rFonts w:hint="eastAsia" w:ascii="宋体" w:hAnsi="宋体" w:cs="宋体"/>
          <w:bCs/>
          <w:color w:val="auto"/>
          <w:sz w:val="24"/>
          <w:szCs w:val="24"/>
          <w:highlight w:val="none"/>
        </w:rPr>
        <w:t xml:space="preserve">。</w:t>
      </w:r>
      <w:r/>
    </w:p>
    <w:p>
      <w:pPr>
        <w:ind w:firstLine="480"/>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spacing w:line="252" w:lineRule="auto"/>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spacing w:line="252" w:lineRule="auto"/>
        <w:rPr>
          <w:rFonts w:hint="eastAsia" w:ascii="宋体" w:hAnsi="宋体" w:cs="宋体"/>
          <w:bCs/>
          <w:color w:val="auto"/>
          <w:sz w:val="24"/>
          <w:szCs w:val="24"/>
          <w:highlight w:val="none"/>
        </w:rPr>
      </w:pPr>
      <w:r/>
      <w:bookmarkStart w:id="196" w:name="OLE_LINK1"/>
      <w:r>
        <w:rPr>
          <w:rFonts w:hint="eastAsia" w:ascii="宋体" w:hAnsi="宋体" w:cs="宋体"/>
          <w:bCs/>
          <w:color w:val="auto"/>
          <w:sz w:val="24"/>
          <w:szCs w:val="24"/>
          <w:highlight w:val="none"/>
        </w:rPr>
        <w:t xml:space="preserve">6.其他要求</w:t>
      </w:r>
      <w:bookmarkEnd w:id="196"/>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color w:val="auto"/>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rPr>
          <w:rFonts w:hint="eastAsia" w:ascii="方正小标宋简体" w:hAnsi="方正小标宋简体" w:eastAsia="方正小标宋简体" w:cs="方正小标宋简体"/>
          <w:color w:val="auto"/>
          <w:sz w:val="36"/>
          <w:szCs w:val="36"/>
          <w:highlight w:val="none"/>
        </w:rPr>
        <w:outlineLvl w:val="0"/>
      </w:pPr>
      <w:r/>
      <w:bookmarkStart w:id="197" w:name="_Toc120614281"/>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三、评标标准中2.3项”得分由高到低顺序排列。在投标文件满足招标文件全部实质性要求的供应商中，按照评审得分由高到低选取</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2.联合体投标说明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（1）联合体各方均应当符合《中华人民共和国政府采购法</w:t>
      </w:r>
      <w:r>
        <w:rPr>
          <w:rFonts w:hint="eastAsia" w:ascii="宋体" w:hAnsi="宋体" w:cs="宋体"/>
          <w:color w:val="auto"/>
          <w:sz w:val="24"/>
          <w:szCs w:val="24"/>
          <w:highlight w:val="none"/>
        </w:rPr>
        <w:t xml:space="preserve">》第二十二条第一款规定的条件，采购人根据采购项目的特殊要求规定供应商特定条件的，联合体各方中至少应当有一方符合特定条件并在投标文件中申明。由同一专业的供应商组成的联合体，联合体中由相同专业的供应商按照联合体分工承担相同工作的，按照资质等级较低的供应商确定资质等级，并以投标全权代表方的应答材料作为商务评审的依据（另有约定的，从其约定）；由不同专业的供应商组成联合体，首先以投标全权代表方的应答材料作为认定资质以及商务评审的依据（另有约定的，从其约定），涉及行业专属的资质，按照所属行业对应的供应商的应答材料确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联合体各方必须签订联合体协议（格式见第六章），协议必须明确投标全权代表方并明确约定联合体各方承担的工作和相应的责任。联合体各方必须共同与采购人签订采购合同，就采购合同约定的事项对采购人承担连带责任。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（3）联合体各方均应按照招标文件的规定提交《供应商信用承诺函》和“信用中国”截图等资格证明材料。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（4）评标标准中1.1项为价格评审因素，2.1至2.8项为技术评审因素，3.1、4.1至4.5项为商务评审因素。</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SimSun" w:hAnsi="SimSun" w:eastAsia="SimSun" w:cs="SimSun"/>
          <w:color w:val="auto"/>
          <w:sz w:val="24"/>
        </w:rPr>
        <w:t xml:space="preserve">评标标准中“3.业绩”、“4.履约能力”按照联合体各方汇总认定并计算。</w:t>
      </w: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20"/>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1.本</w:t>
      </w:r>
      <w:r>
        <w:rPr>
          <w:rFonts w:hint="eastAsia" w:ascii="宋体" w:hAnsi="宋体"/>
          <w:color w:val="auto"/>
          <w:sz w:val="24"/>
          <w:szCs w:val="24"/>
          <w:highlight w:val="none"/>
        </w:rPr>
        <w:t xml:space="preserve">项目如</w:t>
      </w:r>
      <w:r>
        <w:rPr>
          <w:rFonts w:hint="eastAsia" w:ascii="宋体" w:hAnsi="宋体"/>
          <w:color w:val="auto"/>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highlight w:val="none"/>
        </w:rPr>
        <w:t xml:space="preserve">且供应商在投标（响应）文件中对此作出承诺的（按照采购文件要求在《投标分项报价表》中作出承诺）</w:t>
      </w:r>
      <w:r>
        <w:rPr>
          <w:rFonts w:hint="eastAsia" w:ascii="宋体" w:hAnsi="宋体"/>
          <w:color w:val="auto"/>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highlight w:val="none"/>
        </w:rPr>
        <w:t xml:space="preserve">全部产品是指货物或服务采购项目或采购包中包含的全部货物、服务产品。</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rPr>
          <w:rFonts w:hint="eastAsia" w:ascii="宋体" w:hAnsi="宋体"/>
          <w:color w:val="auto"/>
          <w:sz w:val="24"/>
          <w:szCs w:val="24"/>
          <w:highlight w:val="none"/>
        </w:rPr>
      </w:pPr>
      <w:r>
        <w:rPr>
          <w:rFonts w:hint="eastAsia" w:ascii="宋体" w:hAnsi="宋体"/>
          <w:b/>
          <w:bCs/>
          <w:color w:val="auto"/>
          <w:sz w:val="24"/>
          <w:szCs w:val="24"/>
          <w:highlight w:val="none"/>
        </w:rPr>
        <w:t xml:space="preserve">4.对本国产品的支持政策与政府采购支持中小企业、节能环保等优惠政策叠加适用，对应执行价格扣除政策的项目，统一在原报价的基础上给予价格扣除。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四、联合体或分包价格扣除</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w:t>
      </w:r>
      <w:r>
        <w:rPr>
          <w:rFonts w:hint="eastAsia" w:ascii="宋体" w:hAnsi="宋体"/>
          <w:color w:val="auto"/>
          <w:sz w:val="24"/>
          <w:szCs w:val="24"/>
          <w:highlight w:val="none"/>
        </w:rPr>
        <w:t xml:space="preserve">的扣除，</w:t>
      </w:r>
      <w:r>
        <w:rPr>
          <w:rFonts w:hint="eastAsia" w:ascii="宋体" w:hAnsi="宋体" w:cs="宋体"/>
          <w:color w:val="auto"/>
          <w:sz w:val="24"/>
          <w:szCs w:val="24"/>
          <w:highlight w:val="none"/>
        </w:rPr>
        <w:t xml:space="preserve">用扣除后的价格参与评审。</w:t>
      </w:r>
      <w:r/>
    </w:p>
    <w:p>
      <w:pPr>
        <w:ind w:firstLine="480"/>
        <w:rPr>
          <w:color w:val="auto"/>
          <w:highlight w:val="none"/>
        </w:rPr>
      </w:pPr>
      <w:r>
        <w:rPr>
          <w:rFonts w:hint="eastAsia" w:ascii="宋体" w:hAnsi="宋体" w:cs="宋体"/>
          <w:color w:val="auto"/>
          <w:sz w:val="24"/>
          <w:szCs w:val="24"/>
          <w:highlight w:val="none"/>
        </w:rPr>
        <w:t xml:space="preserve">2.联合体各方均为小型、微型企业或残疾人福利性单位、监狱企业的，给予与小微企业相同的价格扣除，用扣除后的价格参与评审。</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五、评标标准</w:t>
      </w:r>
      <w:r/>
    </w:p>
    <w:tbl>
      <w:tblPr>
        <w:tblStyle w:val="911"/>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jc w:val="center"/>
          <w:trHeight w:val="493"/>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序号</w:t>
            </w:r>
            <w:r/>
          </w:p>
        </w:tc>
        <w:tc>
          <w:tcPr>
            <w:tcBorders>
              <w:top w:val="single" w:color="000000" w:sz="2" w:space="0"/>
              <w:bottom w:val="single" w:color="000000" w:sz="2" w:space="0"/>
            </w:tcBorders>
            <w:tcW w:w="1180"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评审因素</w:t>
            </w:r>
            <w:r/>
          </w:p>
        </w:tc>
        <w:tc>
          <w:tcPr>
            <w:tcBorders>
              <w:top w:val="single" w:color="000000" w:sz="2" w:space="0"/>
              <w:bottom w:val="single" w:color="000000" w:sz="2" w:space="0"/>
            </w:tcBorders>
            <w:tcW w:w="6624"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评审细则</w:t>
            </w:r>
            <w:r/>
          </w:p>
        </w:tc>
        <w:tc>
          <w:tcPr>
            <w:tcBorders>
              <w:top w:val="single" w:color="000000" w:sz="2" w:space="0"/>
              <w:bottom w:val="single" w:color="000000" w:sz="2" w:space="0"/>
            </w:tcBorders>
            <w:tcW w:w="573"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分值</w:t>
            </w:r>
            <w:r/>
          </w:p>
        </w:tc>
        <w:tc>
          <w:tcPr>
            <w:tcBorders>
              <w:top w:val="single" w:color="000000" w:sz="2" w:space="0"/>
              <w:bottom w:val="single" w:color="000000" w:sz="2" w:space="0"/>
            </w:tcBorders>
            <w:tcW w:w="861"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类型</w:t>
            </w:r>
            <w:r/>
          </w:p>
        </w:tc>
      </w:tr>
      <w:tr>
        <w:trPr>
          <w:jc w:val="center"/>
          <w:trHeight w:val="465"/>
        </w:trPr>
        <w:tc>
          <w:tcPr>
            <w:gridSpan w:val="5"/>
            <w:tcBorders>
              <w:top w:val="single" w:color="000000" w:sz="2" w:space="0"/>
              <w:bottom w:val="single" w:color="000000" w:sz="2" w:space="0"/>
            </w:tcBorders>
            <w:tcW w:w="9757" w:type="dxa"/>
            <w:textDirection w:val="lrTb"/>
            <w:noWrap w:val="false"/>
          </w:tcPr>
          <w:p>
            <w:pPr>
              <w:ind w:left="114"/>
              <w:spacing w:before="122"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20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Borders>
              <w:top w:val="single" w:color="000000" w:sz="2" w:space="0"/>
              <w:bottom w:val="single" w:color="000000" w:sz="2" w:space="0"/>
            </w:tcBorders>
            <w:tcW w:w="1180" w:type="dxa"/>
            <w:vAlign w:val="center"/>
            <w:textDirection w:val="lrTb"/>
            <w:noWrap w:val="false"/>
          </w:tcPr>
          <w:p>
            <w:pPr>
              <w:jc w:val="left"/>
              <w:spacing w:before="68" w:line="264" w:lineRule="auto"/>
              <w:rPr>
                <w:rFonts w:hint="eastAsia" w:ascii="宋体" w:hAnsi="宋体" w:cs="宋体"/>
                <w:color w:val="auto"/>
                <w:highlight w:val="none"/>
              </w:rPr>
            </w:pPr>
            <w:r>
              <w:rPr>
                <w:rFonts w:ascii="宋体" w:hAnsi="宋体" w:cs="宋体"/>
                <w:color w:val="auto"/>
                <w:spacing w:val="-2"/>
                <w:highlight w:val="none"/>
              </w:rPr>
              <w:t xml:space="preserve">价格分</w:t>
            </w:r>
            <w:r/>
          </w:p>
        </w:tc>
        <w:tc>
          <w:tcPr>
            <w:tcBorders>
              <w:top w:val="single" w:color="000000" w:sz="2" w:space="0"/>
              <w:bottom w:val="single" w:color="000000" w:sz="2" w:space="0"/>
            </w:tcBorders>
            <w:tcW w:w="6624" w:type="dxa"/>
            <w:vAlign w:val="center"/>
            <w:textDirection w:val="lrTb"/>
            <w:noWrap w:val="false"/>
          </w:tcPr>
          <w:p>
            <w:pPr>
              <w:jc w:val="left"/>
              <w:spacing w:line="264" w:lineRule="auto"/>
              <w:rPr>
                <w:rFonts w:hint="eastAsia" w:ascii="宋体" w:hAnsi="宋体" w:cs="宋体"/>
                <w:color w:val="auto"/>
                <w:highlight w:val="none"/>
              </w:rPr>
            </w:pPr>
            <w:r>
              <w:rPr>
                <w:rFonts w:hint="eastAsia" w:ascii="宋体" w:hAnsi="宋体" w:cs="宋体"/>
                <w:color w:val="auto"/>
                <w:spacing w:val="1"/>
                <w:highlight w:val="none"/>
              </w:rPr>
              <w:t xml:space="preserve">采用低价优先</w:t>
            </w:r>
            <w:r>
              <w:rPr>
                <w:rFonts w:hint="eastAsia" w:ascii="宋体" w:hAnsi="宋体" w:cs="宋体"/>
                <w:color w:val="auto"/>
                <w:highlight w:val="none"/>
              </w:rPr>
              <w:t xml:space="preserve">法计算，即满足招标文件要求且投标价格最低的投标</w:t>
            </w:r>
            <w:r>
              <w:rPr>
                <w:rFonts w:hint="eastAsia" w:ascii="宋体" w:hAnsi="宋体" w:cs="宋体"/>
                <w:color w:val="auto"/>
                <w:spacing w:val="1"/>
                <w:highlight w:val="none"/>
              </w:rPr>
              <w:t xml:space="preserve">报价为评标基准</w:t>
            </w:r>
            <w:r>
              <w:rPr>
                <w:rFonts w:hint="eastAsia" w:ascii="宋体" w:hAnsi="宋体" w:cs="宋体"/>
                <w:color w:val="auto"/>
                <w:highlight w:val="none"/>
              </w:rPr>
              <w:t xml:space="preserve">价，其价格分为满分。其他投标人的价格分统一按</w:t>
            </w:r>
            <w:r>
              <w:rPr>
                <w:rFonts w:hint="eastAsia" w:ascii="宋体" w:hAnsi="宋体" w:cs="宋体"/>
                <w:color w:val="auto"/>
                <w:spacing w:val="-1"/>
                <w:highlight w:val="none"/>
              </w:rPr>
              <w:t xml:space="preserve">照下列公</w:t>
            </w:r>
            <w:r>
              <w:rPr>
                <w:rFonts w:hint="eastAsia" w:ascii="宋体" w:hAnsi="宋体" w:cs="宋体"/>
                <w:color w:val="auto"/>
                <w:highlight w:val="none"/>
              </w:rPr>
              <w:t xml:space="preserve">式计算：投标报价得分=(评标基准价/投标报价)×价格分值（小数点保留两位）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spacing w:val="-4"/>
                <w:highlight w:val="none"/>
              </w:rPr>
            </w:pPr>
            <w:r>
              <w:rPr>
                <w:rFonts w:hint="eastAsia" w:ascii="宋体" w:hAnsi="宋体" w:cs="宋体"/>
                <w:color w:val="auto"/>
                <w:highlight w:val="none"/>
              </w:rPr>
              <w:t xml:space="preserve">10</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价格分</w:t>
            </w:r>
            <w:r/>
          </w:p>
        </w:tc>
      </w:tr>
      <w:tr>
        <w:trPr>
          <w:jc w:val="center"/>
          <w:trHeight w:val="465"/>
        </w:trPr>
        <w:tc>
          <w:tcPr>
            <w:gridSpan w:val="5"/>
            <w:tcBorders>
              <w:top w:val="single" w:color="000000" w:sz="2" w:space="0"/>
              <w:bottom w:val="single" w:color="000000" w:sz="2" w:space="0"/>
            </w:tcBorders>
            <w:tcW w:w="9757" w:type="dxa"/>
            <w:textDirection w:val="lrTb"/>
            <w:noWrap w:val="false"/>
          </w:tcPr>
          <w:p>
            <w:pPr>
              <w:ind w:left="114"/>
              <w:spacing w:before="123"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2.服务</w:t>
            </w:r>
            <w:r/>
          </w:p>
        </w:tc>
      </w:tr>
      <w:tr>
        <w:trPr>
          <w:jc w:val="center"/>
          <w:trHeight w:val="8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ascii="宋体" w:hAnsi="宋体" w:cs="宋体"/>
                <w:color w:val="auto"/>
                <w:spacing w:val="-2"/>
                <w:highlight w:val="none"/>
              </w:rPr>
              <w:t xml:space="preserve">2.1</w:t>
            </w:r>
            <w:r/>
          </w:p>
        </w:tc>
        <w:tc>
          <w:tcPr>
            <w:tcBorders>
              <w:top w:val="single" w:color="000000" w:sz="2" w:space="0"/>
              <w:bottom w:val="single" w:color="000000" w:sz="2" w:space="0"/>
            </w:tcBorders>
            <w:tcW w:w="1180" w:type="dxa"/>
            <w:vAlign w:val="center"/>
            <w:textDirection w:val="lrTb"/>
            <w:noWrap w:val="false"/>
          </w:tcPr>
          <w:p>
            <w:pPr>
              <w:ind w:right="108"/>
              <w:jc w:val="left"/>
              <w:spacing w:before="68" w:line="264" w:lineRule="auto"/>
              <w:rPr>
                <w:rFonts w:hint="eastAsia" w:ascii="宋体" w:hAnsi="宋体" w:cs="宋体"/>
                <w:color w:val="auto"/>
                <w:spacing w:val="-2"/>
                <w:highlight w:val="none"/>
              </w:rPr>
            </w:pPr>
            <w:r>
              <w:rPr>
                <w:rStyle w:val="951"/>
                <w:rFonts w:hint="eastAsia" w:ascii="宋体" w:hAnsi="宋体" w:cs="宋体"/>
                <w:color w:val="auto"/>
                <w:spacing w:val="-2"/>
                <w:highlight w:val="none"/>
              </w:rPr>
              <w:t xml:space="preserve">需求理解方案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供应商针对本项目采购需求中“技术要求及相关要求”编制</w:t>
            </w:r>
            <w:r>
              <w:rPr>
                <w:rFonts w:ascii="宋体" w:hAnsi="宋体" w:cs="宋体"/>
                <w:color w:val="auto"/>
                <w:highlight w:val="none"/>
              </w:rPr>
              <w:t xml:space="preserve">需求</w:t>
            </w:r>
            <w:r>
              <w:rPr>
                <w:rFonts w:hint="eastAsia" w:ascii="宋体" w:hAnsi="宋体" w:cs="宋体"/>
                <w:color w:val="auto"/>
                <w:highlight w:val="none"/>
              </w:rPr>
              <w:t xml:space="preserve">理解方案，内容包含：1.项目背景分析；2.现状与痛点分析；3.业务需求分析；4.技术需求分析；5.建设目标分析；6.建设任务分析。以上每项内容逐项评分：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完整详细、逻辑清晰、针对性强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0.5</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2.2</w:t>
            </w:r>
            <w:r/>
          </w:p>
        </w:tc>
        <w:tc>
          <w:tcPr>
            <w:tcBorders>
              <w:top w:val="single" w:color="000000" w:sz="2" w:space="0"/>
              <w:bottom w:val="single" w:color="000000" w:sz="2" w:space="0"/>
            </w:tcBorders>
            <w:tcW w:w="1180" w:type="dxa"/>
            <w:vAlign w:val="center"/>
            <w:textDirection w:val="lrTb"/>
            <w:noWrap w:val="false"/>
          </w:tcPr>
          <w:p>
            <w:pPr>
              <w:jc w:val="left"/>
              <w:spacing w:before="260"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总体架构方案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供应商针对本项目采购需求中“技术要求及相关要求”编制总体架构方案，内容包含：1.设计理念与总体思路；2.总体逻辑架构；3.关键技术路线；4.平台安全性与稳定性。以上每项内容逐项评分：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完整详细、逻辑清晰、可操作性强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rFonts w:hint="eastAsia" w:ascii="宋体" w:hAnsi="宋体" w:cs="宋体"/>
                <w:color w:val="auto"/>
                <w:spacing w:val="1"/>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0.5</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89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3</w:t>
            </w:r>
            <w:r/>
          </w:p>
        </w:tc>
        <w:tc>
          <w:tcPr>
            <w:tcBorders>
              <w:top w:val="single" w:color="000000" w:sz="2" w:space="0"/>
              <w:bottom w:val="single" w:color="000000" w:sz="2" w:space="0"/>
            </w:tcBorders>
            <w:tcW w:w="1180" w:type="dxa"/>
            <w:vAlign w:val="center"/>
            <w:textDirection w:val="lrTb"/>
            <w:noWrap w:val="false"/>
          </w:tcPr>
          <w:p>
            <w:pPr>
              <w:jc w:val="left"/>
              <w:spacing w:before="260"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详细设计方案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技术要求及相关要求”编制详细设计方案，内容包含：1.排水子系统；2.供水子系统；3.水环境子系统；4.水资源子系统；5.防汛管理子系统；6.指挥调度子系统；7.监管子系统；8.移动应用；9.综合维护子系统。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完整详细、科学合理、可操作性强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0.5</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9</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9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2.4</w:t>
            </w:r>
            <w:r/>
          </w:p>
        </w:tc>
        <w:tc>
          <w:tcPr>
            <w:tcBorders>
              <w:top w:val="single" w:color="000000" w:sz="2" w:space="0"/>
              <w:bottom w:val="single" w:color="000000" w:sz="2" w:space="0"/>
            </w:tcBorders>
            <w:tcW w:w="1180" w:type="dxa"/>
            <w:vAlign w:val="center"/>
            <w:textDirection w:val="lrTb"/>
            <w:noWrap w:val="false"/>
          </w:tcPr>
          <w:p>
            <w:pPr>
              <w:jc w:val="left"/>
              <w:spacing w:before="260"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项目实施方案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供应商针对本项目采购需求中“实施要求及相关要求”编制项目实施方案，内容包含：1.项目实施组织体系；2.项目实施计划；3.项目进度管理；4.质量保证体系；5.项目风险管理。以上每项内容逐项评分：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完整详细、具体可行、可操作性强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jc w:val="left"/>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2</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10</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6"/>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5</w:t>
            </w:r>
            <w:r/>
          </w:p>
        </w:tc>
        <w:tc>
          <w:tcPr>
            <w:tcBorders>
              <w:top w:val="single" w:color="000000" w:sz="2" w:space="0"/>
              <w:bottom w:val="single" w:color="000000" w:sz="2" w:space="0"/>
            </w:tcBorders>
            <w:tcW w:w="1180" w:type="dxa"/>
            <w:vAlign w:val="center"/>
            <w:textDirection w:val="lrTb"/>
            <w:noWrap w:val="false"/>
          </w:tcPr>
          <w:p>
            <w:pPr>
              <w:jc w:val="left"/>
              <w:spacing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网络安全方案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分级保护要求及相关要求”编制网络安全方案，内容包含：1.安全目标与设计原则；2.安全风险与需求分析；3.网络安全总体设计；4.网络安全等级保护建设方案；5.信息系统密码应用方案；6.数据安全系统建设方案。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完整详细、科学合理、针对性强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2</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12</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11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6</w:t>
            </w:r>
            <w:r/>
          </w:p>
        </w:tc>
        <w:tc>
          <w:tcPr>
            <w:tcBorders>
              <w:top w:val="single" w:color="000000" w:sz="2" w:space="0"/>
              <w:bottom w:val="single" w:color="000000" w:sz="2" w:space="0"/>
            </w:tcBorders>
            <w:tcW w:w="1180" w:type="dxa"/>
            <w:vAlign w:val="center"/>
            <w:textDirection w:val="lrTb"/>
            <w:noWrap w:val="false"/>
          </w:tcPr>
          <w:p>
            <w:pPr>
              <w:contextualSpacing/>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系统对接方案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供应商针对本项目采购需求中“技术要求及相关要求”编制系统对接方案，内容包含：1.对接内容；2.对接方案。以上每项内容逐项评分：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完整详细、科学合理、可操作性强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4</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2</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5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7</w:t>
            </w:r>
            <w:r/>
          </w:p>
        </w:tc>
        <w:tc>
          <w:tcPr>
            <w:tcBorders>
              <w:top w:val="single" w:color="000000" w:sz="2" w:space="0"/>
              <w:bottom w:val="single" w:color="000000" w:sz="2" w:space="0"/>
            </w:tcBorders>
            <w:tcW w:w="1180" w:type="dxa"/>
            <w:vAlign w:val="center"/>
            <w:textDirection w:val="lrTb"/>
            <w:noWrap w:val="false"/>
          </w:tcPr>
          <w:p>
            <w:pPr>
              <w:jc w:val="left"/>
              <w:spacing w:before="69"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维保服务方案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供应商针对本项目采购需求中“运行维护要求及相关要求”编制维保服务方案，内容包含：1.服务策略与承诺；2.维保服务内容；3.服务流程与响应机制；4.应急响应与故障处理。以上每项内容逐项评分：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完整详细、科学合理、阐述清晰</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2</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5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8</w:t>
            </w:r>
            <w:r/>
          </w:p>
        </w:tc>
        <w:tc>
          <w:tcPr>
            <w:tcBorders>
              <w:top w:val="single" w:color="000000" w:sz="2" w:space="0"/>
              <w:bottom w:val="single" w:color="000000" w:sz="2" w:space="0"/>
            </w:tcBorders>
            <w:tcW w:w="1180" w:type="dxa"/>
            <w:vAlign w:val="center"/>
            <w:textDirection w:val="lrTb"/>
            <w:noWrap w:val="false"/>
          </w:tcPr>
          <w:p>
            <w:pPr>
              <w:jc w:val="left"/>
              <w:spacing w:before="69"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培训方案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供应商针对本项目采购需求中“培训要求及相关要求”编制培训方案，内容包含：1.培训内容；2.培训方式；3.培训计划；4.资源保障。以上每项内容逐项评分：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完整详细、科学合理、阐述清晰</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0.5</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60"/>
        </w:trPr>
        <w:tc>
          <w:tcPr>
            <w:gridSpan w:val="5"/>
            <w:tcBorders>
              <w:top w:val="single" w:color="000000" w:sz="2" w:space="0"/>
              <w:bottom w:val="single" w:color="000000" w:sz="2" w:space="0"/>
            </w:tcBorders>
            <w:tcW w:w="9757"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3.业绩</w:t>
            </w:r>
            <w:r/>
          </w:p>
        </w:tc>
      </w:tr>
      <w:tr>
        <w:trPr>
          <w:jc w:val="center"/>
          <w:trHeight w:val="101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ascii="宋体" w:hAnsi="宋体" w:cs="宋体"/>
                <w:color w:val="auto"/>
                <w:spacing w:val="-2"/>
                <w:highlight w:val="none"/>
              </w:rPr>
              <w:t xml:space="preserve">3.1</w:t>
            </w:r>
            <w:r/>
          </w:p>
        </w:tc>
        <w:tc>
          <w:tcPr>
            <w:tcBorders>
              <w:top w:val="single" w:color="000000" w:sz="2" w:space="0"/>
              <w:bottom w:val="single" w:color="000000" w:sz="2" w:space="0"/>
            </w:tcBorders>
            <w:tcW w:w="1180" w:type="dxa"/>
            <w:vAlign w:val="center"/>
            <w:textDirection w:val="lrTb"/>
            <w:noWrap w:val="false"/>
          </w:tcPr>
          <w:p>
            <w:pPr>
              <w:spacing w:before="69" w:line="264" w:lineRule="auto"/>
              <w:rPr>
                <w:rFonts w:hint="eastAsia" w:ascii="宋体" w:hAnsi="宋体" w:cs="宋体"/>
                <w:color w:val="auto"/>
                <w:spacing w:val="-2"/>
                <w:highlight w:val="none"/>
              </w:rPr>
            </w:pPr>
            <w:r>
              <w:rPr>
                <w:rFonts w:hint="eastAsia" w:ascii="宋体" w:hAnsi="宋体" w:cs="宋体"/>
                <w:color w:val="auto"/>
                <w:spacing w:val="-1"/>
                <w:highlight w:val="none"/>
              </w:rPr>
              <w:t xml:space="preserve">投标人业绩</w:t>
            </w:r>
            <w:r/>
          </w:p>
        </w:tc>
        <w:tc>
          <w:tcPr>
            <w:tcBorders>
              <w:top w:val="single" w:color="000000" w:sz="2" w:space="0"/>
              <w:bottom w:val="single" w:color="000000" w:sz="2" w:space="0"/>
            </w:tcBorders>
            <w:tcW w:w="6624" w:type="dxa"/>
            <w:vAlign w:val="center"/>
            <w:textDirection w:val="lrTb"/>
            <w:noWrap w:val="false"/>
          </w:tcPr>
          <w:p>
            <w:pPr>
              <w:spacing w:line="264" w:lineRule="auto"/>
              <w:rPr>
                <w:color w:val="auto"/>
                <w:highlight w:val="none"/>
              </w:rPr>
            </w:pPr>
            <w:r>
              <w:rPr>
                <w:rFonts w:hint="eastAsia" w:ascii="宋体" w:hAnsi="宋体" w:cs="宋体"/>
                <w:color w:val="auto"/>
                <w:highlight w:val="none"/>
              </w:rPr>
              <w:t xml:space="preserve">投标人提供2022年1月1日（含）以来信息化类项目业绩，每提供1个得2分，最多得6分。（时间以合同签订时间为准，投标人须在投标文件中提供有效合同，合同页须清晰可见，并至少包含合同首页、合同内容描述页、合同盖章页，如有缺漏视为未提供）</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427"/>
        </w:trPr>
        <w:tc>
          <w:tcPr>
            <w:gridSpan w:val="5"/>
            <w:tcBorders>
              <w:top w:val="single" w:color="000000" w:sz="2" w:space="0"/>
              <w:bottom w:val="single" w:color="000000" w:sz="2" w:space="0"/>
            </w:tcBorders>
            <w:tcW w:w="9757" w:type="dxa"/>
            <w:textDirection w:val="lrTb"/>
            <w:noWrap w:val="false"/>
          </w:tcPr>
          <w:p>
            <w:pPr>
              <w:spacing w:before="123"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4.履约能力</w:t>
            </w:r>
            <w:r/>
          </w:p>
        </w:tc>
      </w:tr>
      <w:tr>
        <w:trPr>
          <w:jc w:val="center"/>
          <w:trHeight w:val="797"/>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4.1</w:t>
            </w:r>
            <w:r/>
          </w:p>
        </w:tc>
        <w:tc>
          <w:tcPr>
            <w:tcW w:w="1180" w:type="dxa"/>
            <w:vAlign w:val="center"/>
            <w:textDirection w:val="lrTb"/>
            <w:noWrap w:val="false"/>
          </w:tcPr>
          <w:p>
            <w:pP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企业综合实力</w:t>
            </w:r>
            <w:r/>
          </w:p>
        </w:tc>
        <w:tc>
          <w:tcPr>
            <w:tcBorders>
              <w:top w:val="single" w:color="000000" w:sz="2" w:space="0"/>
              <w:bottom w:val="single" w:color="000000" w:sz="2" w:space="0"/>
            </w:tcBorders>
            <w:tcW w:w="6624" w:type="dxa"/>
            <w:vAlign w:val="center"/>
            <w:textDirection w:val="lrTb"/>
            <w:noWrap w:val="false"/>
          </w:tcPr>
          <w:p>
            <w:pPr>
              <w:spacing w:line="264" w:lineRule="auto"/>
              <w:rPr>
                <w:b/>
                <w:bCs/>
                <w:color w:val="auto"/>
                <w:highlight w:val="none"/>
              </w:rPr>
            </w:pPr>
            <w:r>
              <w:rPr>
                <w:rFonts w:hint="eastAsia" w:ascii="宋体" w:hAnsi="宋体" w:cs="宋体"/>
                <w:color w:val="auto"/>
                <w:highlight w:val="none"/>
              </w:rPr>
              <w:t xml:space="preserve">投标人具有有效期内的知识产权管理体系认证证书，且认证范围至少包含软件研发、计算机信息系统集成、工业自动化系统、信息化系统建设或信息化服务等与本项目相关内容之一的，得4分；未提供、证书不在有效期内、证书持有人名称与投标人名称不一致或认证范围与本项目采购内容无关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w:t>
            </w:r>
            <w:r>
              <w:rPr>
                <w:rFonts w:ascii="宋体" w:hAnsi="宋体" w:cs="宋体"/>
                <w:color w:val="auto"/>
                <w:spacing w:val="-2"/>
                <w:highlight w:val="none"/>
              </w:rPr>
              <w:t xml:space="preserve">.2</w:t>
            </w:r>
            <w:r/>
          </w:p>
        </w:tc>
        <w:tc>
          <w:tcPr>
            <w:tcBorders>
              <w:top w:val="single" w:color="000000" w:sz="2" w:space="0"/>
              <w:bottom w:val="single" w:color="000000" w:sz="2" w:space="0"/>
            </w:tcBorders>
            <w:tcW w:w="1180" w:type="dxa"/>
            <w:vAlign w:val="center"/>
            <w:textDirection w:val="lrTb"/>
            <w:noWrap w:val="false"/>
          </w:tcPr>
          <w:p>
            <w:pP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软件著作权证书</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具有以下软件著作权证书：智慧水务类、智慧管网类、智慧排水类、智慧供水类、水环境综合治理类、防汛管理类、应急指挥类、巡检养护类、时序数据库类、工作流类、GIS地理信息类。每提供一类证书得1分（重复类别不累计得分），本项最高得9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（投标人须在投标文件中提供上述证书扫描件，证书获取时间在本项目招标公告发布时间前）</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9</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
        </w:trPr>
        <w:tc>
          <w:tcPr>
            <w:tcBorders>
              <w:top w:val="single" w:color="000000" w:sz="2" w:space="0"/>
            </w:tcBorders>
            <w:tcW w:w="519" w:type="dxa"/>
            <w:vAlign w:val="center"/>
            <w:textDirection w:val="lrTb"/>
            <w:noWrap w:val="false"/>
          </w:tcPr>
          <w:p>
            <w:pPr>
              <w:jc w:val="center"/>
              <w:spacing w:line="264" w:lineRule="auto"/>
              <w:rPr>
                <w:rFonts w:hint="eastAsia" w:ascii="宋体" w:hAnsi="宋体" w:cs="宋体"/>
                <w:color w:val="auto"/>
                <w:spacing w:val="-3"/>
                <w:highlight w:val="none"/>
              </w:rPr>
            </w:pPr>
            <w:r>
              <w:rPr>
                <w:rFonts w:hint="eastAsia" w:ascii="宋体" w:hAnsi="宋体" w:cs="宋体"/>
                <w:color w:val="auto"/>
                <w:spacing w:val="-3"/>
                <w:highlight w:val="none"/>
              </w:rPr>
              <w:t xml:space="preserve">4.3</w:t>
            </w:r>
            <w:r/>
          </w:p>
        </w:tc>
        <w:tc>
          <w:tcPr>
            <w:tcBorders>
              <w:top w:val="single" w:color="000000" w:sz="2" w:space="0"/>
            </w:tcBorders>
            <w:tcW w:w="1180" w:type="dxa"/>
            <w:vAlign w:val="center"/>
            <w:textDirection w:val="lrTb"/>
            <w:noWrap w:val="false"/>
          </w:tcPr>
          <w:p>
            <w:pPr>
              <w:jc w:val="left"/>
              <w:widowControl/>
              <w:rPr>
                <w:rFonts w:hint="eastAsia" w:ascii="宋体" w:hAnsi="宋体" w:cs="宋体"/>
                <w:color w:val="auto"/>
                <w:spacing w:val="-1"/>
                <w:highlight w:val="none"/>
              </w:rPr>
            </w:pPr>
            <w:r>
              <w:rPr>
                <w:rFonts w:hint="eastAsia" w:ascii="宋体" w:hAnsi="宋体" w:cs="宋体"/>
                <w:color w:val="auto"/>
                <w:sz w:val="22"/>
                <w:szCs w:val="22"/>
                <w:highlight w:val="none"/>
              </w:rPr>
              <w:t xml:space="preserve">项目</w:t>
            </w:r>
            <w:r>
              <w:rPr>
                <w:rFonts w:hint="eastAsia" w:ascii="宋体" w:hAnsi="宋体" w:cs="宋体"/>
                <w:color w:val="auto"/>
                <w:highlight w:val="none"/>
              </w:rPr>
              <w:t xml:space="preserve">经理</w:t>
            </w:r>
            <w:r>
              <w:rPr>
                <w:rFonts w:hint="eastAsia" w:ascii="宋体" w:hAnsi="宋体" w:cs="宋体"/>
                <w:color w:val="auto"/>
                <w:sz w:val="22"/>
                <w:szCs w:val="22"/>
                <w:highlight w:val="none"/>
              </w:rPr>
              <w:t xml:space="preserve">能力</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投标人拟投入项目经理：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具备信息系统项目管理师（高级）证书的，得3分；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具备系统集成项目管理工程师（中级）证书的，得2分。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注：同时具备上述多个证书的，按最高分计取，不重复计分，本项最高得3分。未按要求提供的不得分。</w:t>
            </w:r>
            <w:r/>
          </w:p>
          <w:p>
            <w:pPr>
              <w:spacing w:line="264" w:lineRule="auto"/>
              <w:rPr>
                <w:color w:val="auto"/>
                <w:highlight w:val="none"/>
              </w:rPr>
            </w:pPr>
            <w:r>
              <w:rPr>
                <w:rFonts w:hint="eastAsia" w:ascii="宋体" w:hAnsi="宋体" w:cs="宋体"/>
                <w:color w:val="auto"/>
                <w:highlight w:val="none"/>
              </w:rPr>
              <w:t xml:space="preserve">（提供加盖公章的证书</w:t>
            </w:r>
            <w:r>
              <w:rPr>
                <w:rFonts w:hint="eastAsia"/>
                <w:color w:val="auto"/>
                <w:highlight w:val="none"/>
              </w:rPr>
              <w:t xml:space="preserve">扫描件</w:t>
            </w:r>
            <w:r>
              <w:rPr>
                <w:rFonts w:hint="eastAsia" w:ascii="宋体" w:hAnsi="宋体" w:cs="宋体"/>
                <w:color w:val="auto"/>
                <w:highlight w:val="none"/>
              </w:rPr>
              <w:t xml:space="preserve">和投标人为其缴纳的2026年1月1日以来任意一个月的社保证明材料，未提供的不得分）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Borders>
              <w:top w:val="single" w:color="000000" w:sz="2" w:space="0"/>
              <w:bottom w:val="single" w:color="000000" w:sz="2" w:space="0"/>
            </w:tcBorders>
            <w:tcW w:w="861" w:type="dxa"/>
            <w:vAlign w:val="center"/>
            <w:textDirection w:val="lrTb"/>
            <w:noWrap w:val="false"/>
          </w:tcPr>
          <w:p>
            <w:pPr>
              <w:ind w:right="89"/>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rPr>
                <w:rFonts w:ascii="宋体" w:hAnsi="宋体" w:cs="宋体"/>
                <w:color w:val="auto"/>
                <w:highlight w:val="none"/>
              </w:rPr>
              <w:t xml:space="preserve"> </w:t>
            </w:r>
            <w:r/>
          </w:p>
        </w:tc>
      </w:tr>
      <w:tr>
        <w:trPr>
          <w:jc w:val="center"/>
          <w:trHeight w:val="90"/>
        </w:trPr>
        <w:tc>
          <w:tcPr>
            <w:tcBorders>
              <w:top w:val="single" w:color="000000" w:sz="2" w:space="0"/>
            </w:tcBorders>
            <w:tcW w:w="519" w:type="dxa"/>
            <w:vAlign w:val="center"/>
            <w:textDirection w:val="lrTb"/>
            <w:noWrap w:val="false"/>
          </w:tcPr>
          <w:p>
            <w:pPr>
              <w:jc w:val="center"/>
              <w:spacing w:line="264" w:lineRule="auto"/>
              <w:rPr>
                <w:rFonts w:hint="eastAsia" w:ascii="宋体" w:hAnsi="宋体" w:cs="宋体"/>
                <w:color w:val="auto"/>
                <w:spacing w:val="-3"/>
                <w:highlight w:val="none"/>
              </w:rPr>
            </w:pPr>
            <w:r>
              <w:rPr>
                <w:rFonts w:hint="eastAsia" w:ascii="宋体" w:hAnsi="宋体" w:cs="宋体"/>
                <w:color w:val="auto"/>
                <w:spacing w:val="-3"/>
                <w:highlight w:val="none"/>
              </w:rPr>
              <w:t xml:space="preserve">4.4</w:t>
            </w:r>
            <w:r/>
          </w:p>
        </w:tc>
        <w:tc>
          <w:tcPr>
            <w:tcBorders>
              <w:top w:val="single" w:color="000000" w:sz="2" w:space="0"/>
            </w:tcBorders>
            <w:tcW w:w="1180" w:type="dxa"/>
            <w:vAlign w:val="center"/>
            <w:textDirection w:val="lrTb"/>
            <w:noWrap w:val="false"/>
          </w:tcPr>
          <w:p>
            <w:pPr>
              <w:jc w:val="left"/>
              <w:widowControl/>
              <w:rPr>
                <w:rFonts w:hint="eastAsia" w:ascii="宋体" w:hAnsi="宋体" w:cs="宋体"/>
                <w:color w:val="auto"/>
                <w:spacing w:val="-1"/>
                <w:highlight w:val="none"/>
              </w:rPr>
            </w:pPr>
            <w:r>
              <w:rPr>
                <w:rFonts w:hint="eastAsia" w:ascii="宋体" w:hAnsi="宋体" w:cs="宋体"/>
                <w:color w:val="auto"/>
                <w:sz w:val="22"/>
                <w:szCs w:val="22"/>
                <w:highlight w:val="none"/>
              </w:rPr>
              <w:t xml:space="preserve">技术负责人能力</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投标人拟投入技术负责人：</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具有信息系统项目管理师（高级）和系统架构设计师（高级）证书的得3分；</w:t>
            </w:r>
            <w:r/>
          </w:p>
          <w:p>
            <w:pPr>
              <w:spacing w:line="264" w:lineRule="auto"/>
              <w:rPr>
                <w:rFonts w:hint="eastAsia" w:ascii="宋体" w:hAnsi="宋体" w:cs="宋体"/>
                <w:strike/>
                <w:color w:val="auto"/>
                <w:highlight w:val="none"/>
              </w:rPr>
            </w:pPr>
            <w:r>
              <w:rPr>
                <w:rFonts w:hint="eastAsia"/>
                <w:color w:val="auto"/>
                <w:highlight w:val="none"/>
              </w:rPr>
              <w:t xml:space="preserve">仅具有信息系统项目管理师（高级）或系统架构设计师（高级）其中一个证书的，得 1分；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注：未按要求提供的不得分。</w:t>
            </w:r>
            <w:r/>
          </w:p>
          <w:p>
            <w:pPr>
              <w:spacing w:line="264" w:lineRule="auto"/>
              <w:rPr>
                <w:color w:val="auto"/>
                <w:highlight w:val="none"/>
              </w:rPr>
            </w:pPr>
            <w:r>
              <w:rPr>
                <w:rFonts w:hint="eastAsia"/>
                <w:color w:val="auto"/>
                <w:highlight w:val="none"/>
              </w:rPr>
              <w:t xml:space="preserve">（提供</w:t>
            </w:r>
            <w:r>
              <w:rPr>
                <w:rFonts w:hint="eastAsia" w:ascii="宋体" w:hAnsi="宋体" w:cs="宋体"/>
                <w:color w:val="auto"/>
                <w:highlight w:val="none"/>
              </w:rPr>
              <w:t xml:space="preserve">加盖公章的证书</w:t>
            </w:r>
            <w:r>
              <w:rPr>
                <w:rFonts w:hint="eastAsia"/>
                <w:color w:val="auto"/>
                <w:highlight w:val="none"/>
              </w:rPr>
              <w:t xml:space="preserve">扫描件和投标人为其缴纳的2026年1月1日以来任意一个月的社保证明材料，未提供的不得分）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Borders>
              <w:top w:val="single" w:color="000000" w:sz="2" w:space="0"/>
              <w:bottom w:val="single" w:color="000000" w:sz="2" w:space="0"/>
            </w:tcBorders>
            <w:tcW w:w="861" w:type="dxa"/>
            <w:vAlign w:val="center"/>
            <w:textDirection w:val="lrTb"/>
            <w:noWrap w:val="false"/>
          </w:tcPr>
          <w:p>
            <w:pPr>
              <w:ind w:right="89"/>
              <w:jc w:val="center"/>
              <w:spacing w:before="68" w:line="264"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75"/>
        </w:trPr>
        <w:tc>
          <w:tcPr>
            <w:tcBorders>
              <w:bottom w:val="single" w:color="000000" w:sz="2" w:space="0"/>
            </w:tcBorders>
            <w:tcW w:w="519" w:type="dxa"/>
            <w:vAlign w:val="center"/>
            <w:textDirection w:val="lrTb"/>
            <w:noWrap w:val="false"/>
          </w:tcPr>
          <w:p>
            <w:pPr>
              <w:jc w:val="center"/>
              <w:spacing w:line="264" w:lineRule="auto"/>
              <w:rPr>
                <w:rFonts w:hint="eastAsia" w:ascii="宋体" w:hAnsi="宋体" w:cs="宋体"/>
                <w:color w:val="auto"/>
                <w:spacing w:val="-3"/>
                <w:highlight w:val="none"/>
              </w:rPr>
            </w:pPr>
            <w:r>
              <w:rPr>
                <w:rFonts w:hint="eastAsia" w:ascii="宋体" w:hAnsi="宋体" w:cs="宋体"/>
                <w:color w:val="auto"/>
                <w:spacing w:val="-3"/>
                <w:highlight w:val="none"/>
              </w:rPr>
              <w:t xml:space="preserve">4.5</w:t>
            </w:r>
            <w:r/>
          </w:p>
        </w:tc>
        <w:tc>
          <w:tcPr>
            <w:tcBorders>
              <w:bottom w:val="single" w:color="000000" w:sz="2" w:space="0"/>
            </w:tcBorders>
            <w:tcW w:w="1180" w:type="dxa"/>
            <w:vAlign w:val="center"/>
            <w:textDirection w:val="lrTb"/>
            <w:noWrap w:val="false"/>
          </w:tcPr>
          <w:p>
            <w:pPr>
              <w:jc w:val="left"/>
              <w:widowControl/>
              <w:rPr>
                <w:rFonts w:hint="eastAsia" w:ascii="宋体" w:hAnsi="宋体" w:cs="宋体"/>
                <w:color w:val="auto"/>
                <w:spacing w:val="-1"/>
                <w:highlight w:val="none"/>
              </w:rPr>
            </w:pPr>
            <w:r>
              <w:rPr>
                <w:rFonts w:hint="eastAsia" w:ascii="宋体" w:hAnsi="宋体" w:cs="宋体"/>
                <w:color w:val="auto"/>
                <w:sz w:val="22"/>
                <w:szCs w:val="22"/>
                <w:highlight w:val="none"/>
              </w:rPr>
              <w:t xml:space="preserve">项目组成员能力</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投标人拟投入项目组成员（不含项目经理、技术负责人）：</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每提供1名具备系统集成项目管理工程师（中级）证书或软件设计师（中级）证书或计算机、信息类（中级及以上）工程师证书的人员，得1分，最高4分，同一人拥有多个证书不重复计分。</w:t>
            </w:r>
            <w:r/>
          </w:p>
          <w:p>
            <w:pPr>
              <w:spacing w:line="264" w:lineRule="auto"/>
              <w:rPr>
                <w:color w:val="auto"/>
                <w:highlight w:val="none"/>
              </w:rPr>
            </w:pPr>
            <w:r>
              <w:rPr>
                <w:rFonts w:hint="eastAsia" w:ascii="宋体" w:hAnsi="宋体" w:cs="宋体"/>
                <w:color w:val="auto"/>
                <w:highlight w:val="none"/>
              </w:rPr>
              <w:t xml:space="preserve">（提供加盖公章的证书</w:t>
            </w:r>
            <w:r>
              <w:rPr>
                <w:rFonts w:hint="eastAsia"/>
                <w:color w:val="auto"/>
                <w:highlight w:val="none"/>
              </w:rPr>
              <w:t xml:space="preserve">扫描</w:t>
            </w:r>
            <w:r>
              <w:rPr>
                <w:rFonts w:hint="eastAsia" w:ascii="宋体" w:hAnsi="宋体" w:cs="宋体"/>
                <w:color w:val="auto"/>
                <w:highlight w:val="none"/>
              </w:rPr>
              <w:t xml:space="preserve">件和投标人为其缴纳的2026年1月1日以来任意一个月的社保证明材料，未提供的不得分）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861" w:type="dxa"/>
            <w:vAlign w:val="center"/>
            <w:textDirection w:val="lrTb"/>
            <w:noWrap w:val="false"/>
          </w:tcPr>
          <w:p>
            <w:pPr>
              <w:ind w:right="89"/>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rPr>
                <w:rFonts w:ascii="宋体" w:hAnsi="宋体" w:cs="宋体"/>
                <w:color w:val="auto"/>
                <w:highlight w:val="none"/>
              </w:rPr>
              <w:t xml:space="preserve"> </w:t>
            </w:r>
            <w:r/>
          </w:p>
        </w:tc>
      </w:tr>
      <w:tr>
        <w:trPr>
          <w:jc w:val="center"/>
          <w:trHeight w:val="47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Borders>
              <w:top w:val="single" w:color="000000" w:sz="2" w:space="0"/>
              <w:bottom w:val="single" w:color="000000" w:sz="2" w:space="0"/>
            </w:tcBorders>
            <w:tcW w:w="7804" w:type="dxa"/>
            <w:vAlign w:val="center"/>
            <w:textDirection w:val="lrTb"/>
            <w:noWrap w:val="false"/>
          </w:tcPr>
          <w:p>
            <w:pPr>
              <w:ind w:left="172"/>
              <w:jc w:val="center"/>
              <w:spacing w:before="123" w:line="264" w:lineRule="auto"/>
              <w:rPr>
                <w:rFonts w:hint="eastAsia" w:ascii="宋体" w:hAnsi="宋体" w:cs="宋体"/>
                <w:color w:val="auto"/>
                <w:spacing w:val="-2"/>
                <w:highlight w:val="none"/>
              </w:rPr>
            </w:pPr>
            <w:r>
              <w:rPr>
                <w:rFonts w:hint="eastAsia" w:ascii="宋体" w:hAnsi="宋体" w:cs="宋体"/>
                <w:color w:val="auto"/>
                <w:spacing w:val="-2"/>
                <w:highlight w:val="none"/>
              </w:rPr>
            </w:r>
            <w:r/>
          </w:p>
        </w:tc>
        <w:tc>
          <w:tcPr>
            <w:gridSpan w:val="2"/>
            <w:tcBorders>
              <w:top w:val="single" w:color="000000" w:sz="2" w:space="0"/>
              <w:bottom w:val="single" w:color="000000" w:sz="2" w:space="0"/>
            </w:tcBorders>
            <w:tcW w:w="1434" w:type="dxa"/>
            <w:vAlign w:val="center"/>
            <w:textDirection w:val="lrTb"/>
            <w:noWrap w:val="false"/>
          </w:tcPr>
          <w:p>
            <w:pPr>
              <w:jc w:val="center"/>
              <w:spacing w:line="264" w:lineRule="auto"/>
              <w:rPr>
                <w:rFonts w:hint="eastAsia" w:ascii="宋体" w:hAnsi="宋体" w:cs="宋体"/>
                <w:color w:val="auto"/>
                <w:highlight w:val="none"/>
              </w:rPr>
            </w:pPr>
            <w:r>
              <w:rPr>
                <w:rFonts w:ascii="宋体" w:hAnsi="宋体" w:cs="宋体"/>
                <w:color w:val="auto"/>
                <w:spacing w:val="-11"/>
                <w:highlight w:val="none"/>
              </w:rPr>
              <w:t xml:space="preserve">100分</w:t>
            </w:r>
            <w:r/>
          </w:p>
        </w:tc>
      </w:tr>
    </w:tbl>
    <w:p>
      <w:pPr>
        <w:pStyle w:val="980"/>
        <w:rPr>
          <w:color w:val="auto"/>
          <w:highlight w:val="none"/>
          <w:lang w:val="en-US"/>
        </w:rPr>
      </w:pPr>
      <w:r>
        <w:rPr>
          <w:color w:val="auto"/>
          <w:highlight w:val="none"/>
          <w:lang w:val="en-US"/>
        </w:rPr>
      </w:r>
      <w:r/>
    </w:p>
    <w:p>
      <w:pPr>
        <w:pStyle w:val="978"/>
        <w:rPr>
          <w:rFonts w:hint="eastAsia"/>
          <w:color w:val="auto"/>
          <w:highlight w:val="none"/>
        </w:rPr>
      </w:pPr>
      <w:r>
        <w:rPr>
          <w:color w:val="auto"/>
          <w:highlight w:val="none"/>
        </w:rPr>
        <w:br w:type="page" w:clear="all"/>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  投标</w:t>
      </w:r>
      <w:bookmarkEnd w:id="192"/>
      <w:r/>
      <w:bookmarkEnd w:id="193"/>
      <w:r/>
      <w:bookmarkEnd w:id="197"/>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highlight w:val="none"/>
        </w:rPr>
      </w:pPr>
      <w:r/>
      <w:bookmarkStart w:id="198" w:name="_Hlt26955039"/>
      <w:r/>
      <w:bookmarkEnd w:id="198"/>
      <w:r/>
      <w:bookmarkStart w:id="199" w:name="_Hlt26671244"/>
      <w:r/>
      <w:bookmarkEnd w:id="199"/>
      <w:r/>
      <w:bookmarkStart w:id="200" w:name="_Toc120614282"/>
      <w:r/>
      <w:bookmarkStart w:id="201" w:name="_Toc49090576"/>
      <w:r/>
      <w:bookmarkStart w:id="202" w:name="_Toc26554094"/>
      <w:r/>
      <w:bookmarkStart w:id="203" w:name="_Hlk220405584"/>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highlight w:val="none"/>
        </w:rPr>
      </w:pPr>
      <w:r>
        <w:rPr>
          <w:rFonts w:hint="eastAsia" w:ascii="宋体" w:hAnsi="宋体"/>
          <w:color w:val="auto"/>
          <w:highlight w:val="none"/>
        </w:rPr>
      </w:r>
      <w:r/>
    </w:p>
    <w:p>
      <w:pPr>
        <w:jc w:val="center"/>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六、投标分项报价表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十一、联合体协议（如有）</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十二、</w:t>
      </w:r>
      <w:r>
        <w:rPr>
          <w:rFonts w:hint="eastAsia" w:cs="宋体"/>
          <w:color w:val="auto"/>
          <w:sz w:val="28"/>
          <w:szCs w:val="28"/>
          <w:highlight w:val="none"/>
        </w:rPr>
        <w:t xml:space="preserve">关于符合本国产品标准的声明函（如有）</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pStyle w:val="981"/>
        <w:rPr>
          <w:rFonts w:hint="eastAsia"/>
          <w:color w:val="auto"/>
          <w:sz w:val="24"/>
          <w:highlight w:val="none"/>
        </w:rPr>
      </w:pPr>
      <w:r>
        <w:rPr>
          <w:rFonts w:hint="eastAsia"/>
          <w:color w:val="auto"/>
          <w:sz w:val="24"/>
          <w:highlight w:val="none"/>
        </w:rPr>
      </w:r>
      <w:r/>
    </w:p>
    <w:p>
      <w:pPr>
        <w:pStyle w:val="981"/>
        <w:rPr>
          <w:rFonts w:hint="eastAsia"/>
          <w:color w:val="auto"/>
          <w:sz w:val="24"/>
          <w:highlight w:val="none"/>
        </w:rPr>
      </w:pPr>
      <w:r>
        <w:rPr>
          <w:rFonts w:hint="eastAsia"/>
          <w:color w:val="auto"/>
          <w:sz w:val="24"/>
          <w:highlight w:val="none"/>
        </w:rPr>
      </w:r>
      <w:r/>
    </w:p>
    <w:p>
      <w:pPr>
        <w:pStyle w:val="981"/>
        <w:rPr>
          <w:rFonts w:hint="eastAsia"/>
          <w:color w:val="auto"/>
          <w:sz w:val="24"/>
          <w:highlight w:val="none"/>
        </w:rPr>
      </w:pPr>
      <w:r>
        <w:rPr>
          <w:rFonts w:hint="eastAsia"/>
          <w:color w:val="auto"/>
          <w:sz w:val="24"/>
          <w:highlight w:val="none"/>
        </w:rPr>
      </w:r>
      <w:r/>
    </w:p>
    <w:p>
      <w:pPr>
        <w:pStyle w:val="981"/>
        <w:rPr>
          <w:rFonts w:hint="eastAsia"/>
          <w:color w:val="auto"/>
          <w:sz w:val="24"/>
          <w:highlight w:val="none"/>
        </w:rPr>
      </w:pPr>
      <w:r>
        <w:rPr>
          <w:rFonts w:hint="eastAsia"/>
          <w:color w:val="auto"/>
          <w:sz w:val="24"/>
          <w:highlight w:val="none"/>
        </w:rPr>
      </w:r>
      <w:r/>
    </w:p>
    <w:p>
      <w:pPr>
        <w:pStyle w:val="981"/>
        <w:rPr>
          <w:rFonts w:hint="eastAsia"/>
          <w:color w:val="auto"/>
          <w:sz w:val="24"/>
          <w:highlight w:val="none"/>
        </w:rPr>
      </w:pPr>
      <w:r>
        <w:rPr>
          <w:rFonts w:hint="eastAsia"/>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bookmarkEnd w:id="200"/>
      <w:r/>
      <w:bookmarkEnd w:id="201"/>
      <w:r/>
      <w:bookmarkEnd w:id="202"/>
      <w:r/>
      <w:r/>
    </w:p>
    <w:p>
      <w:pPr>
        <w:rPr>
          <w:rFonts w:hint="eastAsia" w:ascii="黑体" w:hAnsi="黑体" w:eastAsia="黑体"/>
          <w:i/>
          <w:color w:val="auto"/>
          <w:sz w:val="32"/>
          <w:szCs w:val="32"/>
          <w:highlight w:val="none"/>
          <w:u w:val="single"/>
        </w:rPr>
      </w:pPr>
      <w:r/>
      <w:bookmarkStart w:id="204" w:name="_Toc120614284"/>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hd w:val="nil" w:color="auto"/>
        <w:rPr>
          <w:rFonts w:hint="eastAsia" w:ascii="黑体" w:hAnsi="黑体" w:eastAsia="黑体"/>
          <w:color w:val="auto"/>
          <w:sz w:val="32"/>
          <w:szCs w:val="32"/>
          <w:highlight w:val="none"/>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jc w:val="left"/>
        <w:spacing w:line="360" w:lineRule="auto"/>
        <w:rPr>
          <w:rFonts w:hint="eastAsia" w:ascii="黑体" w:hAnsi="黑体" w:eastAsia="黑体"/>
          <w:bCs/>
          <w:i/>
          <w:color w:val="auto"/>
          <w:sz w:val="32"/>
          <w:szCs w:val="32"/>
          <w:highlight w:val="none"/>
          <w:u w:val="single"/>
        </w:rPr>
      </w:pPr>
      <w:r>
        <w:rPr>
          <w:rFonts w:hint="eastAsia" w:ascii="黑体" w:hAnsi="黑体" w:eastAsia="黑体"/>
          <w:i/>
          <w:iCs/>
          <w:color w:val="auto"/>
          <w:sz w:val="32"/>
          <w:szCs w:val="32"/>
          <w:highlight w:val="none"/>
          <w:u w:val="single"/>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南京市公共资源交易中心江宁分中心：</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(六)我公司（单位）已知晓：单位负责人为同一人或者存在直接控股、管理关系的不同供应商，不得参加同一合同项下的政府采购活动。</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18"/>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二、满足特定资格要求的证明文件</w:t>
      </w:r>
      <w:r/>
    </w:p>
    <w:p>
      <w:pPr>
        <w:pStyle w:val="990"/>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1020"/>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i/>
          <w:iCs/>
          <w:color w:val="auto"/>
          <w:sz w:val="32"/>
          <w:szCs w:val="32"/>
          <w:highlight w:val="none"/>
          <w:u w:val="single"/>
        </w:rPr>
      </w:pPr>
      <w:r>
        <w:rPr>
          <w:rFonts w:hint="eastAsia" w:ascii="黑体" w:hAnsi="黑体" w:eastAsia="黑体"/>
          <w:i/>
          <w:iCs/>
          <w:color w:val="auto"/>
          <w:sz w:val="32"/>
          <w:szCs w:val="32"/>
          <w:highlight w:val="none"/>
          <w:u w:val="single"/>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法人授权书</w:t>
      </w:r>
      <w:r/>
    </w:p>
    <w:p>
      <w:pPr>
        <w:pStyle w:val="990"/>
        <w:ind w:firstLine="480"/>
        <w:spacing w:line="420" w:lineRule="exact"/>
        <w:rPr>
          <w:color w:val="auto"/>
          <w:sz w:val="24"/>
          <w:szCs w:val="24"/>
          <w:highlight w:val="none"/>
        </w:rPr>
      </w:pPr>
      <w:r>
        <w:rPr>
          <w:color w:val="auto"/>
          <w:sz w:val="24"/>
          <w:szCs w:val="24"/>
          <w:highlight w:val="none"/>
        </w:rPr>
      </w:r>
      <w:r/>
    </w:p>
    <w:p>
      <w:pPr>
        <w:pStyle w:val="990"/>
        <w:ind w:firstLine="480"/>
        <w:spacing w:line="480" w:lineRule="exact"/>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90"/>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990"/>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990"/>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990"/>
        <w:ind w:firstLine="468"/>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90"/>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990"/>
        <w:ind w:firstLine="480"/>
        <w:spacing w:line="480" w:lineRule="exact"/>
        <w:rPr>
          <w:color w:val="auto"/>
          <w:sz w:val="24"/>
          <w:szCs w:val="24"/>
          <w:highlight w:val="none"/>
        </w:rPr>
      </w:pPr>
      <w:r>
        <w:rPr>
          <w:rFonts w:hint="eastAsia"/>
          <w:color w:val="auto"/>
          <w:sz w:val="24"/>
          <w:szCs w:val="24"/>
          <w:highlight w:val="none"/>
        </w:rPr>
        <w:t xml:space="preserve">日    期：</w:t>
      </w:r>
      <w:bookmarkStart w:id="205" w:name="_格式3__银行出具的资信证明"/>
      <w:r/>
      <w:bookmarkEnd w:id="205"/>
      <w:r/>
      <w:bookmarkStart w:id="206" w:name="_Hlt26955070"/>
      <w:r/>
      <w:bookmarkEnd w:id="206"/>
      <w:r/>
      <w:bookmarkStart w:id="207" w:name="_Hlt26671380"/>
      <w:r/>
      <w:bookmarkEnd w:id="207"/>
      <w:r/>
      <w:r/>
    </w:p>
    <w:p>
      <w:pPr>
        <w:pStyle w:val="915"/>
        <w:rPr>
          <w:i/>
          <w:color w:val="auto"/>
          <w:sz w:val="24"/>
          <w:szCs w:val="24"/>
          <w:highlight w:val="none"/>
          <w:u w:val="single"/>
        </w:rPr>
      </w:pPr>
      <w:r>
        <w:rPr>
          <w:i/>
          <w:color w:val="auto"/>
          <w:sz w:val="24"/>
          <w:szCs w:val="24"/>
          <w:highlight w:val="none"/>
          <w:u w:val="single"/>
        </w:rPr>
      </w:r>
      <w:r/>
    </w:p>
    <w:p>
      <w:pPr>
        <w:pStyle w:val="915"/>
        <w:rPr>
          <w:i/>
          <w:color w:val="auto"/>
          <w:sz w:val="24"/>
          <w:szCs w:val="24"/>
          <w:highlight w:val="none"/>
          <w:u w:val="single"/>
        </w:rPr>
      </w:pPr>
      <w:r>
        <w:rPr>
          <w:i/>
          <w:color w:val="auto"/>
          <w:sz w:val="24"/>
          <w:szCs w:val="24"/>
          <w:highlight w:val="none"/>
          <w:u w:val="single"/>
        </w:rPr>
      </w:r>
      <w:r/>
    </w:p>
    <w:p>
      <w:pPr>
        <w:pStyle w:val="915"/>
        <w:rPr>
          <w:i/>
          <w:color w:val="auto"/>
          <w:sz w:val="24"/>
          <w:szCs w:val="24"/>
          <w:highlight w:val="none"/>
          <w:u w:val="single"/>
        </w:rPr>
      </w:pPr>
      <w:r>
        <w:rPr>
          <w:i/>
          <w:color w:val="auto"/>
          <w:sz w:val="24"/>
          <w:szCs w:val="24"/>
          <w:highlight w:val="none"/>
          <w:u w:val="single"/>
        </w:rPr>
      </w:r>
      <w:r/>
    </w:p>
    <w:p>
      <w:pPr>
        <w:pStyle w:val="915"/>
        <w:ind w:firstLine="0"/>
        <w:rPr>
          <w:color w:val="auto"/>
          <w:highlight w:val="none"/>
        </w:rPr>
      </w:pPr>
      <w:r>
        <w:rPr>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投标函</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致：南京市公共资源交易中心江宁分中心</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w:t>
      </w:r>
      <w:r>
        <w:rPr>
          <w:rFonts w:hint="eastAsia" w:ascii="宋体" w:hAnsi="宋体"/>
          <w:color w:val="auto"/>
          <w:szCs w:val="21"/>
          <w:highlight w:val="none"/>
        </w:rPr>
        <w:t xml:space="preserve">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92"/>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92"/>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992"/>
        <w:spacing w:before="0" w:after="0" w:line="420" w:lineRule="exact"/>
        <w:rPr>
          <w:rFonts w:hint="eastAsia" w:ascii="宋体" w:hAnsi="宋体"/>
          <w:color w:val="auto"/>
          <w:highlight w:val="none"/>
        </w:rPr>
      </w:pPr>
      <w:r>
        <w:rPr>
          <w:rFonts w:hint="eastAsia" w:ascii="宋体" w:hAnsi="宋体" w:cs="宋体"/>
          <w:color w:val="auto"/>
          <w:highlight w:val="none"/>
        </w:rPr>
        <w:t xml:space="preserve">8</w:t>
      </w:r>
      <w:r>
        <w:rPr>
          <w:rFonts w:hint="eastAsia"/>
          <w:color w:val="auto"/>
          <w:highlight w:val="none"/>
        </w:rPr>
        <w:t xml:space="preserve">.我方为：</w:t>
      </w:r>
      <w:r>
        <w:rPr>
          <w:rFonts w:ascii="Wingdings" w:hAnsi="Wingdings" w:eastAsia="Wingdings" w:cs="Wingdings"/>
          <w:color w:val="auto"/>
          <w:highlight w:val="none"/>
        </w:rPr>
        <w:t xml:space="preserve">¨</w:t>
      </w:r>
      <w:r>
        <w:rPr>
          <w:rFonts w:hint="eastAsia"/>
          <w:color w:val="auto"/>
          <w:highlight w:val="none"/>
        </w:rPr>
        <w:t xml:space="preserve">民营企业 </w:t>
      </w:r>
      <w:r>
        <w:rPr>
          <w:rFonts w:ascii="Wingdings" w:hAnsi="Wingdings" w:eastAsia="Wingdings" w:cs="Wingdings"/>
          <w:color w:val="auto"/>
          <w:highlight w:val="none"/>
        </w:rPr>
        <w:t xml:space="preserve">¨</w:t>
      </w:r>
      <w:r>
        <w:rPr>
          <w:rFonts w:hint="eastAsia" w:ascii="宋体" w:hAnsi="宋体"/>
          <w:color w:val="auto"/>
          <w:highlight w:val="none"/>
        </w:rPr>
        <w:t xml:space="preserve">非民营企业 </w:t>
      </w:r>
      <w:r>
        <w:rPr>
          <w:rFonts w:ascii="Wingdings" w:hAnsi="Wingdings" w:eastAsia="Wingdings" w:cs="Wingdings"/>
          <w:color w:val="auto"/>
          <w:highlight w:val="none"/>
        </w:rPr>
        <w:t xml:space="preserve">¨</w:t>
      </w:r>
      <w:r>
        <w:rPr>
          <w:rFonts w:hint="eastAsia" w:ascii="宋体" w:hAnsi="宋体"/>
          <w:color w:val="auto"/>
          <w:highlight w:val="none"/>
        </w:rPr>
        <w:t xml:space="preserve">其他（在对应</w:t>
      </w:r>
      <w:r>
        <w:rPr>
          <w:rFonts w:ascii="Wingdings" w:hAnsi="Wingdings" w:eastAsia="Wingdings" w:cs="Wingdings"/>
          <w:color w:val="auto"/>
          <w:highlight w:val="none"/>
        </w:rPr>
        <w:t xml:space="preserve">¨</w:t>
      </w:r>
      <w:r>
        <w:rPr>
          <w:rFonts w:hint="eastAsia" w:ascii="宋体" w:hAnsi="宋体" w:cs="宋体"/>
          <w:color w:val="auto"/>
          <w:highlight w:val="none"/>
        </w:rPr>
        <w:t xml:space="preserve">内</w:t>
      </w:r>
      <w:r>
        <w:rPr>
          <w:rFonts w:hint="eastAsia" w:ascii="宋体" w:hAnsi="宋体"/>
          <w:color w:val="auto"/>
          <w:highlight w:val="none"/>
          <w:lang w:val="zh-CN"/>
        </w:rPr>
        <w:t xml:space="preserve">打</w:t>
      </w:r>
      <w:r>
        <w:rPr>
          <w:rFonts w:hint="eastAsia" w:ascii="宋体" w:hAnsi="宋体" w:cs="Verdana"/>
          <w:color w:val="auto"/>
          <w:highlight w:val="none"/>
          <w:lang w:val="zh-CN"/>
        </w:rPr>
        <w:t xml:space="preserve">“√”</w:t>
      </w:r>
      <w:r>
        <w:rPr>
          <w:rFonts w:hint="eastAsia" w:ascii="宋体" w:hAnsi="宋体"/>
          <w:color w:val="auto"/>
          <w:highlight w:val="none"/>
        </w:rPr>
        <w:t xml:space="preserve">）</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9.我方与本次投标有关信息</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9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9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9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9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99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9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shd w:val="nil" w:color="auto"/>
        <w:rPr>
          <w:rFonts w:hint="eastAsia" w:ascii="黑体" w:hAnsi="黑体" w:eastAsia="黑体"/>
          <w:color w:val="auto"/>
          <w:sz w:val="32"/>
          <w:szCs w:val="32"/>
          <w:highlight w:val="none"/>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jc w:val="left"/>
        <w:spacing w:line="360" w:lineRule="auto"/>
        <w:rPr>
          <w:rFonts w:hint="eastAsia" w:ascii="黑体" w:hAnsi="黑体" w:eastAsia="黑体"/>
          <w:bCs/>
          <w:i/>
          <w:color w:val="auto"/>
          <w:sz w:val="32"/>
          <w:szCs w:val="32"/>
          <w:highlight w:val="none"/>
          <w:u w:val="single"/>
        </w:rPr>
      </w:pPr>
      <w:r>
        <w:rPr>
          <w:rFonts w:hint="eastAsia" w:ascii="黑体" w:hAnsi="黑体" w:eastAsia="黑体"/>
          <w:i/>
          <w:iCs/>
          <w:color w:val="auto"/>
          <w:sz w:val="32"/>
          <w:szCs w:val="32"/>
          <w:highlight w:val="none"/>
          <w:u w:val="single"/>
        </w:rPr>
        <w:t xml:space="preserve">五、开标一览表</w:t>
      </w:r>
      <w:r/>
    </w:p>
    <w:p>
      <w:pPr>
        <w:jc w:val="center"/>
        <w:spacing w:line="336"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r>
      <w:r/>
    </w:p>
    <w:p>
      <w:pPr>
        <w:jc w:val="center"/>
        <w:spacing w:line="336"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开标一览表</w:t>
      </w:r>
      <w:r/>
    </w:p>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336" w:lineRule="auto"/>
        <w:rPr>
          <w:color w:val="auto"/>
          <w:sz w:val="24"/>
          <w:szCs w:val="24"/>
          <w:highlight w:val="none"/>
        </w:rPr>
      </w:pPr>
      <w:r>
        <w:rPr>
          <w:rFonts w:hint="eastAsia" w:ascii="宋体" w:hAnsi="宋体"/>
          <w:color w:val="auto"/>
          <w:sz w:val="24"/>
          <w:szCs w:val="24"/>
          <w:highlight w:val="none"/>
        </w:rPr>
        <w:t xml:space="preserve">项目名称：</w:t>
      </w:r>
      <w:r/>
    </w:p>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91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80"/>
        </w:trPr>
        <w:tc>
          <w:tcPr>
            <w:tcW w:w="9748" w:type="dxa"/>
            <w:vAlign w:val="center"/>
            <w:textDirection w:val="lrTb"/>
            <w:noWrap w:val="false"/>
          </w:tcPr>
          <w:p>
            <w:pPr>
              <w:pStyle w:val="992"/>
              <w:ind w:firstLine="0"/>
              <w:spacing w:before="0" w:after="0" w:line="336" w:lineRule="auto"/>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36"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643"/>
        <w:spacing w:line="480" w:lineRule="exact"/>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36"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i/>
          <w:iCs/>
          <w:color w:val="auto"/>
          <w:sz w:val="32"/>
          <w:szCs w:val="32"/>
          <w:highlight w:val="none"/>
          <w:u w:val="single"/>
        </w:rPr>
        <w:t xml:space="preserve">六、投标分项报价表</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投标分项报价表</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911"/>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605" w:type="dxa"/>
            <w:vAlign w:val="center"/>
            <w:textDirection w:val="lrTb"/>
            <w:noWrap w:val="false"/>
          </w:tcPr>
          <w:p>
            <w:pPr>
              <w:jc w:val="center"/>
              <w:spacing w:line="0" w:lineRule="atLeas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9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1515"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1845"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1605"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交付期（天）</w:t>
            </w:r>
            <w:r/>
          </w:p>
        </w:tc>
        <w:tc>
          <w:tcPr>
            <w:tcW w:w="9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单位</w:t>
            </w:r>
            <w:r/>
          </w:p>
        </w:tc>
        <w:tc>
          <w:tcPr>
            <w:tcW w:w="1515" w:type="dxa"/>
            <w:vAlign w:val="center"/>
            <w:textDirection w:val="lrTb"/>
            <w:noWrap w:val="false"/>
          </w:tcPr>
          <w:p>
            <w:pPr>
              <w:jc w:val="center"/>
              <w:spacing w:line="0" w:lineRule="atLeast"/>
              <w:rPr>
                <w:rFonts w:hint="default"/>
                <w:color w:val="auto"/>
                <w:highlight w:val="none"/>
                <w:lang w:val="en-US" w:eastAsia="zh-CN"/>
              </w:rPr>
            </w:pPr>
            <w:r>
              <w:rPr>
                <w:rFonts w:hint="eastAsia" w:ascii="宋体" w:hAnsi="宋体"/>
                <w:color w:val="auto"/>
                <w:sz w:val="24"/>
                <w:szCs w:val="24"/>
                <w:highlight w:val="none"/>
                <w:lang w:val="en-US" w:eastAsia="zh-CN"/>
              </w:rPr>
              <w:t xml:space="preserve">单价（元）</w:t>
            </w:r>
            <w:r/>
          </w:p>
        </w:tc>
        <w:tc>
          <w:tcPr>
            <w:tcW w:w="1845"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0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8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0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8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0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8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017"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gridSpan w:val="7"/>
            <w:tcW w:w="9543"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是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否 </w:t>
            </w:r>
            <w:r>
              <w:rPr>
                <w:rFonts w:hint="eastAsia" w:ascii="宋体" w:hAnsi="宋体"/>
                <w:b/>
                <w:bCs/>
                <w:color w:val="auto"/>
                <w:sz w:val="24"/>
                <w:szCs w:val="24"/>
                <w:highlight w:val="none"/>
              </w:rPr>
              <w:t xml:space="preserve">达到提供的全部产品成本之和的80%以上。</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941"/>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3.供应商所投产品须与“第四章-项目清单”中的产品一一对应，如有缺项、漏项或者超出单价上限，视为无效投标。</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4.行数不够，可自行添加。</w:t>
      </w:r>
      <w:r/>
    </w:p>
    <w:p>
      <w:pPr>
        <w:pStyle w:val="941"/>
        <w:ind w:firstLine="482"/>
        <w:jc w:val="both"/>
        <w:spacing w:before="0" w:beforeAutospacing="0" w:after="0" w:afterAutospacing="0" w:line="360" w:lineRule="auto"/>
        <w:rPr>
          <w:rFonts w:hint="eastAsia"/>
          <w:color w:val="auto"/>
          <w:highlight w:val="none"/>
        </w:rPr>
      </w:pPr>
      <w:r>
        <w:rPr>
          <w:rFonts w:hint="eastAsia"/>
          <w:b/>
          <w:bCs/>
          <w:color w:val="auto"/>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center"/>
        <w:spacing w:line="360" w:lineRule="auto"/>
        <w:rPr>
          <w:rFonts w:ascii="黑体" w:eastAsia="黑体"/>
          <w:color w:val="auto"/>
          <w:sz w:val="32"/>
          <w:szCs w:val="32"/>
          <w:highlight w:val="none"/>
        </w:rPr>
      </w:pPr>
      <w:r>
        <w:rPr>
          <w:rFonts w:asci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i/>
          <w:iCs/>
          <w:color w:val="auto"/>
          <w:sz w:val="32"/>
          <w:szCs w:val="32"/>
          <w:highlight w:val="none"/>
          <w:u w:val="single"/>
        </w:rPr>
        <w:t xml:space="preserve">七、</w:t>
      </w:r>
      <w:bookmarkEnd w:id="47"/>
      <w:r/>
      <w:bookmarkEnd w:id="48"/>
      <w:r/>
      <w:bookmarkEnd w:id="204"/>
      <w:r>
        <w:rPr>
          <w:rFonts w:hint="eastAsia" w:ascii="黑体" w:hAnsi="黑体" w:eastAsia="黑体"/>
          <w:i/>
          <w:iCs/>
          <w:color w:val="auto"/>
          <w:sz w:val="32"/>
          <w:szCs w:val="32"/>
          <w:highlight w:val="none"/>
          <w:u w:val="single"/>
        </w:rPr>
        <w:t xml:space="preserve">技术要求响应及偏离表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color w:val="auto"/>
                <w:highlight w:val="none"/>
              </w:rPr>
            </w:pPr>
            <w:r>
              <w:rPr>
                <w:color w:val="auto"/>
                <w:highlight w:val="none"/>
              </w:rPr>
            </w:r>
            <w:r/>
          </w:p>
          <w:p>
            <w:pPr>
              <w:pStyle w:val="912"/>
              <w:rPr>
                <w:rFonts w:hint="eastAsia"/>
                <w:color w:val="auto"/>
                <w:highlight w:val="none"/>
              </w:rPr>
            </w:pPr>
            <w:r>
              <w:rPr>
                <w:rFonts w:hint="eastAsia"/>
                <w:color w:val="auto"/>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41"/>
        <w:jc w:val="both"/>
        <w:spacing w:before="0" w:beforeAutospacing="0" w:after="0" w:afterAutospacing="0"/>
        <w:rPr>
          <w:rFonts w:hint="eastAsia"/>
          <w:color w:val="auto"/>
          <w:highlight w:val="none"/>
        </w:rPr>
      </w:pPr>
      <w:r>
        <w:rPr>
          <w:rFonts w:hint="eastAsia"/>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41"/>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941"/>
        <w:ind w:firstLine="482"/>
        <w:jc w:val="both"/>
        <w:spacing w:before="0" w:beforeAutospacing="0" w:after="0" w:afterAutospacing="0" w:line="360" w:lineRule="auto"/>
        <w:rPr>
          <w:rFonts w:hint="eastAsia"/>
          <w:color w:val="auto"/>
          <w:highlight w:val="none"/>
        </w:rPr>
      </w:pPr>
      <w:r>
        <w:rPr>
          <w:rFonts w:hint="eastAsia"/>
          <w:b/>
          <w:bCs/>
          <w:color w:val="auto"/>
          <w:highlight w:val="none"/>
        </w:rPr>
        <w:t xml:space="preserve">1.供应商应当对招标文件技术要求作出明确响应。</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941"/>
        <w:ind w:firstLine="482"/>
        <w:jc w:val="both"/>
        <w:spacing w:before="0" w:beforeAutospacing="0" w:after="0" w:afterAutospacing="0" w:line="360" w:lineRule="auto"/>
        <w:rPr>
          <w:rFonts w:hint="eastAsia"/>
          <w:color w:val="auto"/>
          <w:highlight w:val="none"/>
        </w:rPr>
      </w:pPr>
      <w:r>
        <w:rPr>
          <w:rFonts w:hint="eastAsia"/>
          <w:b/>
          <w:bCs/>
          <w:color w:val="auto"/>
          <w:highlight w:val="none"/>
        </w:rPr>
        <w:t xml:space="preserve">3.供应商未对实质性要求作出明确响应的，或未按采购文件实质性要求提供证明材料的，作无效投标处理。</w:t>
      </w:r>
      <w:r/>
    </w:p>
    <w:p>
      <w:pPr>
        <w:pStyle w:val="941"/>
        <w:ind w:firstLine="480"/>
        <w:jc w:val="left"/>
        <w:spacing w:before="0" w:beforeAutospacing="0" w:after="0" w:afterAutospacing="0" w:line="360" w:lineRule="auto"/>
        <w:rPr>
          <w:rFonts w:hint="eastAsia" w:ascii="黑体" w:hAnsi="黑体" w:eastAsia="黑体"/>
          <w:iCs/>
          <w:color w:val="auto"/>
          <w:sz w:val="32"/>
          <w:szCs w:val="32"/>
          <w:highlight w:val="none"/>
        </w:rPr>
      </w:pPr>
      <w:r>
        <w:rPr>
          <w:rFonts w:hint="eastAsia"/>
          <w:color w:val="auto"/>
          <w:highlight w:val="none"/>
        </w:rPr>
        <w:t xml:space="preserve">4.行数不够，可自行添加。</w:t>
      </w:r>
      <w:r>
        <w:rPr>
          <w:rFonts w:hint="eastAsia" w:ascii="黑体" w:hAnsi="黑体" w:eastAsia="黑体"/>
          <w:i/>
          <w:color w:val="auto"/>
          <w:sz w:val="32"/>
          <w:szCs w:val="32"/>
          <w:highlight w:val="none"/>
          <w:u w:val="single"/>
        </w:rPr>
        <w:br w:type="page" w:clear="all"/>
      </w:r>
      <w:r>
        <w:rPr>
          <w:rFonts w:hint="eastAsia" w:ascii="黑体" w:hAnsi="黑体" w:eastAsia="黑体"/>
          <w:i/>
          <w:color w:val="auto"/>
          <w:sz w:val="32"/>
          <w:szCs w:val="32"/>
          <w:highlight w:val="none"/>
          <w:u w:val="single"/>
        </w:rPr>
        <w:t xml:space="preserve">八、商务要求响应及偏离表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208" w:name="_Hlt26609391"/>
            <w:r/>
            <w:bookmarkEnd w:id="208"/>
            <w:r/>
            <w:bookmarkStart w:id="209" w:name="_Hlt24879081"/>
            <w:r/>
            <w:bookmarkEnd w:id="209"/>
            <w:r/>
            <w:bookmarkStart w:id="210" w:name="_Hlt26580838"/>
            <w:r/>
            <w:bookmarkEnd w:id="210"/>
            <w:r/>
            <w:bookmarkStart w:id="211" w:name="_Hlt26671343"/>
            <w:r/>
            <w:bookmarkEnd w:id="211"/>
            <w:r/>
            <w:bookmarkStart w:id="212" w:name="_Hlt26782999"/>
            <w:r/>
            <w:bookmarkEnd w:id="212"/>
            <w:r/>
            <w:bookmarkStart w:id="213" w:name="_Hlt26955064"/>
            <w:r/>
            <w:bookmarkEnd w:id="213"/>
            <w:r/>
            <w:bookmarkStart w:id="214" w:name="_Hlt26671372"/>
            <w:r/>
            <w:bookmarkEnd w:id="214"/>
            <w:r/>
            <w:bookmarkStart w:id="215" w:name="_Hlt26955056"/>
            <w:r/>
            <w:bookmarkEnd w:id="215"/>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color w:val="auto"/>
                <w:highlight w:val="none"/>
              </w:rPr>
            </w:pPr>
            <w:r>
              <w:rPr>
                <w:color w:val="auto"/>
                <w:highlight w:val="none"/>
              </w:rPr>
            </w:r>
            <w:r/>
          </w:p>
          <w:p>
            <w:pPr>
              <w:pStyle w:val="912"/>
              <w:rPr>
                <w:rFonts w:hint="eastAsia"/>
                <w:color w:val="auto"/>
                <w:highlight w:val="none"/>
              </w:rPr>
            </w:pPr>
            <w:r>
              <w:rPr>
                <w:rFonts w:hint="eastAsia"/>
                <w:color w:val="auto"/>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41"/>
        <w:jc w:val="both"/>
        <w:spacing w:before="0" w:beforeAutospacing="0" w:after="0" w:afterAutospacing="0"/>
        <w:rPr>
          <w:rFonts w:hint="eastAsia"/>
          <w:color w:val="auto"/>
          <w:highlight w:val="none"/>
        </w:rPr>
      </w:pPr>
      <w:r>
        <w:rPr>
          <w:rFonts w:hint="eastAsia"/>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941"/>
        <w:ind w:firstLine="482"/>
        <w:jc w:val="both"/>
        <w:spacing w:before="0" w:beforeAutospacing="0" w:after="0" w:afterAutospacing="0" w:line="360" w:lineRule="auto"/>
        <w:rPr>
          <w:rFonts w:hint="eastAsia"/>
          <w:color w:val="auto"/>
          <w:highlight w:val="none"/>
        </w:rPr>
      </w:pPr>
      <w:r>
        <w:rPr>
          <w:rFonts w:hint="eastAsia"/>
          <w:b/>
          <w:bCs/>
          <w:color w:val="auto"/>
          <w:highlight w:val="none"/>
        </w:rPr>
        <w:t xml:space="preserve">1.供应商须对招标文件商务要求中的实质性要求（斜体下划线内容或打“★”内容）做出明确响应，否则视为无效投标。</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80"/>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shd w:val="nil" w:color="auto"/>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九、中小企业声明函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12"/>
        <w:ind w:firstLine="0"/>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黑体" w:hAnsi="黑体" w:eastAsia="黑体"/>
          <w:b/>
          <w:color w:val="auto"/>
          <w:sz w:val="32"/>
          <w:szCs w:val="32"/>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内打“√”。3.投标人如不提供此声明函，不得参加专门面向中小企业采购项目或者不得享受小微企业价格扣除政策。</w:t>
      </w:r>
      <w:r>
        <w:rPr>
          <w:rFonts w:hint="eastAsia" w:ascii="宋体" w:hAnsi="宋体"/>
          <w:b/>
          <w:bCs/>
          <w:color w:val="auto"/>
          <w:sz w:val="24"/>
          <w:szCs w:val="24"/>
          <w:highlight w:val="none"/>
        </w:rPr>
        <w:t xml:space="preserve">项目清单中列示的所有</w:t>
      </w:r>
      <w:r>
        <w:rPr>
          <w:rFonts w:ascii="宋体" w:hAnsi="宋体"/>
          <w:b/>
          <w:bCs/>
          <w:color w:val="auto"/>
          <w:sz w:val="24"/>
          <w:szCs w:val="24"/>
          <w:highlight w:val="none"/>
        </w:rPr>
        <w:t xml:space="preserve">服务</w:t>
      </w:r>
      <w:r>
        <w:rPr>
          <w:rFonts w:hint="eastAsia" w:ascii="宋体" w:hAnsi="宋体"/>
          <w:b/>
          <w:bCs/>
          <w:color w:val="auto"/>
          <w:sz w:val="24"/>
          <w:szCs w:val="24"/>
          <w:highlight w:val="none"/>
        </w:rPr>
        <w:t xml:space="preserve">，投标人须在声明函中逐项列示并明确承接企业的类型，如有缺失将按“不提供声明函”处理。</w:t>
      </w:r>
      <w:r>
        <w:rPr>
          <w:rFonts w:hint="eastAsia" w:ascii="宋体" w:hAnsi="宋体"/>
          <w:color w:val="auto"/>
          <w:sz w:val="24"/>
          <w:szCs w:val="24"/>
          <w:highlight w:val="none"/>
        </w:rPr>
        <w:t xml:space="preserve">此声明函将随成交结果同时公告，接受社会监督。4.服务采购项目中，服务的承接商应当为中小企业（</w:t>
      </w:r>
      <w:r>
        <w:rPr>
          <w:rFonts w:hint="eastAsia" w:ascii="宋体" w:hAnsi="宋体"/>
          <w:b/>
          <w:bCs/>
          <w:color w:val="auto"/>
          <w:sz w:val="24"/>
          <w:szCs w:val="24"/>
          <w:highlight w:val="none"/>
        </w:rPr>
        <w:t xml:space="preserve">服务由中小企业承接，即提供服务的人员为中小企业依照《中华人民共和国劳动合同法》订立劳动合同的从业人员</w:t>
      </w:r>
      <w:r>
        <w:rPr>
          <w:rFonts w:hint="eastAsia" w:ascii="宋体" w:hAnsi="宋体"/>
          <w:color w:val="auto"/>
          <w:sz w:val="24"/>
          <w:szCs w:val="24"/>
          <w:highlight w:val="none"/>
        </w:rPr>
        <w:t xml:space="preserve">），不对其中涉及的货物的制造商、工程的承建商作出要求。</w:t>
      </w:r>
      <w:r/>
    </w:p>
    <w:p>
      <w:pPr>
        <w:jc w:val="left"/>
        <w:spacing w:line="360" w:lineRule="auto"/>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t xml:space="preserve">十、</w:t>
      </w:r>
      <w:r>
        <w:rPr>
          <w:rFonts w:hint="eastAsia" w:ascii="黑体" w:hAnsi="黑体" w:eastAsia="黑体"/>
          <w:color w:val="auto"/>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80"/>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十一、联合体协议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912"/>
        <w:ind w:firstLine="480"/>
        <w:rPr>
          <w:rFonts w:hint="eastAsia"/>
          <w:color w:val="auto"/>
          <w:sz w:val="24"/>
          <w:highlight w:val="none"/>
        </w:rPr>
      </w:pPr>
      <w:r>
        <w:rPr>
          <w:rFonts w:hint="eastAsia"/>
          <w:color w:val="auto"/>
          <w:sz w:val="24"/>
          <w:highlight w:val="none"/>
        </w:rPr>
      </w:r>
      <w:r/>
    </w:p>
    <w:p>
      <w:pPr>
        <w:rPr>
          <w:color w:val="auto"/>
          <w:highlight w:val="none"/>
        </w:rPr>
      </w:pPr>
      <w:r>
        <w:rPr>
          <w:color w:val="auto"/>
          <w:highlight w:val="none"/>
        </w:rPr>
      </w:r>
      <w:bookmarkEnd w:id="203"/>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980"/>
        <w:rPr>
          <w:rFonts w:ascii="宋体" w:hAnsi="宋体"/>
          <w:color w:val="auto"/>
          <w:sz w:val="24"/>
          <w:highlight w:val="none"/>
        </w:rPr>
      </w:pPr>
      <w:r>
        <w:rPr>
          <w:rFonts w:ascii="宋体" w:hAnsi="宋体"/>
          <w:color w:val="auto"/>
          <w:sz w:val="24"/>
          <w:highlight w:val="none"/>
        </w:rPr>
      </w:r>
      <w:r/>
    </w:p>
    <w:p>
      <w:pPr>
        <w:shd w:val="nil" w:color="auto"/>
        <w:rPr>
          <w:rFonts w:hint="eastAsia" w:ascii="宋体" w:hAnsi="宋体"/>
          <w:color w:val="auto"/>
          <w:sz w:val="24"/>
          <w:szCs w:val="24"/>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941"/>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41"/>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949"/>
          <w:rFonts w:hint="eastAsia"/>
          <w:i w:val="0"/>
          <w:color w:val="auto"/>
          <w:highlight w:val="none"/>
          <w:u w:val="single"/>
          <w:shd w:val="clear" w:color="auto" w:fill="ffffff"/>
        </w:rPr>
        <w:t xml:space="preserve">（产品名称1）</w:t>
      </w:r>
      <w:r>
        <w:rPr>
          <w:rStyle w:val="949"/>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949"/>
          <w:rFonts w:hint="eastAsia"/>
          <w:i w:val="0"/>
          <w:color w:val="auto"/>
          <w:highlight w:val="none"/>
          <w:u w:val="single"/>
          <w:shd w:val="clear" w:color="auto" w:fill="ffffff"/>
        </w:rPr>
        <w:t xml:space="preserve">（厂名）</w:t>
      </w:r>
      <w:r>
        <w:rPr>
          <w:rStyle w:val="949"/>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49"/>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949"/>
          <w:rFonts w:hint="eastAsia"/>
          <w:color w:val="auto"/>
          <w:highlight w:val="none"/>
          <w:u w:val="single"/>
          <w:shd w:val="clear" w:color="auto" w:fill="ffffff"/>
        </w:rPr>
        <w:t xml:space="preserve">（规定比例）</w:t>
      </w:r>
      <w:r>
        <w:rPr>
          <w:rStyle w:val="949"/>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4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49"/>
          <w:rFonts w:hint="eastAsia"/>
          <w:color w:val="auto"/>
          <w:highlight w:val="none"/>
          <w:u w:val="single"/>
          <w:shd w:val="clear" w:color="auto" w:fill="ffffff"/>
        </w:rPr>
        <w:t xml:space="preserve">（关键组件）</w:t>
      </w:r>
      <w:r>
        <w:rPr>
          <w:rStyle w:val="949"/>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4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49"/>
          <w:rFonts w:hint="eastAsia"/>
          <w:color w:val="auto"/>
          <w:highlight w:val="none"/>
          <w:u w:val="single"/>
          <w:shd w:val="clear" w:color="auto" w:fill="ffffff"/>
        </w:rPr>
        <w:t xml:space="preserve">（关键工序）</w:t>
      </w:r>
      <w:r>
        <w:rPr>
          <w:rStyle w:val="949"/>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Style w:val="949"/>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49"/>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49"/>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49"/>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4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49"/>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4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49"/>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941"/>
        <w:ind w:firstLine="420"/>
        <w:spacing w:before="24" w:beforeAutospacing="0" w:after="24" w:afterAutospacing="0" w:line="360" w:lineRule="auto"/>
        <w:shd w:val="clear" w:color="auto" w:fill="ffffff"/>
        <w:rPr>
          <w:rFonts w:hint="eastAsia"/>
          <w:color w:val="auto"/>
          <w:highlight w:val="none"/>
        </w:rPr>
      </w:pPr>
      <w:r/>
      <w:bookmarkStart w:id="216" w:name="OLE_LINK6"/>
      <w:r>
        <w:rPr>
          <w:rFonts w:hint="eastAsia"/>
          <w:color w:val="auto"/>
          <w:highlight w:val="none"/>
          <w:shd w:val="clear" w:color="auto" w:fill="ffffff"/>
        </w:rPr>
        <w:t xml:space="preserve">本公司（单位）</w:t>
      </w:r>
      <w:bookmarkEnd w:id="216"/>
      <w:r>
        <w:rPr>
          <w:rFonts w:hint="eastAsia"/>
          <w:color w:val="auto"/>
          <w:highlight w:val="none"/>
          <w:shd w:val="clear" w:color="auto" w:fill="ffffff"/>
        </w:rPr>
        <w:t xml:space="preserve">对上述声明内容的真实性负责。如有虚假，愿承担相应法律责任。</w:t>
      </w:r>
      <w:r/>
    </w:p>
    <w:p>
      <w:pPr>
        <w:pStyle w:val="941"/>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941"/>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941"/>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941"/>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941"/>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941"/>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w:t>
      </w:r>
      <w:r/>
    </w:p>
    <w:p>
      <w:pPr>
        <w:pStyle w:val="941"/>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w:t>
      </w:r>
      <w:r/>
    </w:p>
    <w:p>
      <w:pPr>
        <w:pStyle w:val="941"/>
        <w:ind w:firstLine="420"/>
        <w:spacing w:before="24" w:beforeAutospacing="0" w:after="24" w:afterAutospacing="0" w:line="360" w:lineRule="auto"/>
        <w:shd w:val="clear" w:color="auto" w:fill="ffffff"/>
        <w:rPr>
          <w:rFonts w:hint="eastAsia"/>
          <w:b/>
          <w:bCs/>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w:t>
      </w:r>
      <w:r/>
    </w:p>
    <w:p>
      <w:pPr>
        <w:ind w:firstLine="420"/>
        <w:jc w:val="lef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日  期：    </w:t>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2"/>
        <w:spacing w:line="480" w:lineRule="exact"/>
        <w:rPr>
          <w:rFonts w:hint="eastAsia" w:ascii="宋体" w:hAnsi="宋体" w:cs="仿宋"/>
          <w:color w:val="auto"/>
          <w:sz w:val="24"/>
          <w:szCs w:val="24"/>
          <w:highlight w:val="none"/>
        </w:rPr>
      </w:pPr>
      <w:r>
        <w:rPr>
          <w:rFonts w:hint="eastAsia" w:ascii="宋体" w:hAnsi="宋体" w:cs="仿宋"/>
          <w:b/>
          <w:bCs/>
          <w:color w:val="auto"/>
          <w:sz w:val="24"/>
          <w:szCs w:val="24"/>
          <w:highlight w:val="none"/>
        </w:rPr>
        <w:t xml:space="preserve">2.由授权代表负责质疑事宜的，《质疑函》附件中应提交由质疑供应商法定代表人或主要负责人签署的《授权委托书》。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47"/>
        <w:rFonts w:hint="eastAsia"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７５</w:t>
    </w:r>
    <w:r>
      <w:rPr>
        <w:rFonts w:ascii="宋体" w:hAnsi="宋体"/>
      </w:rPr>
      <w:fldChar w:fldCharType="end"/>
    </w:r>
    <w:r/>
  </w:p>
  <w:p>
    <w:pPr>
      <w:pStyle w:val="93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5">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6"/>
      <w:isLgl w:val="false"/>
      <w:suff w:val="nothing"/>
      <w:lvlText w:val=""/>
      <w:lvlJc w:val="left"/>
      <w:pPr>
        <w:ind w:left="0" w:firstLine="0"/>
      </w:pPr>
      <w:rPr>
        <w:rFonts w:hint="eastAsia"/>
      </w:rPr>
    </w:lvl>
    <w:lvl w:ilvl="6">
      <w:start w:val="1"/>
      <w:numFmt w:val="none"/>
      <w:pStyle w:val="907"/>
      <w:isLgl w:val="false"/>
      <w:suff w:val="nothing"/>
      <w:lvlText w:val=""/>
      <w:lvlJc w:val="left"/>
      <w:pPr>
        <w:ind w:left="0" w:firstLine="0"/>
      </w:pPr>
      <w:rPr>
        <w:rFonts w:hint="eastAsia"/>
      </w:rPr>
    </w:lvl>
    <w:lvl w:ilvl="7">
      <w:start w:val="1"/>
      <w:numFmt w:val="none"/>
      <w:pStyle w:val="908"/>
      <w:isLgl w:val="false"/>
      <w:suff w:val="nothing"/>
      <w:lvlText w:val=""/>
      <w:lvlJc w:val="left"/>
      <w:pPr>
        <w:ind w:left="0" w:firstLine="0"/>
      </w:pPr>
      <w:rPr>
        <w:rFonts w:hint="eastAsia"/>
      </w:rPr>
    </w:lvl>
    <w:lvl w:ilvl="8">
      <w:start w:val="1"/>
      <w:numFmt w:val="none"/>
      <w:pStyle w:val="909"/>
      <w:isLgl w:val="false"/>
      <w:suff w:val="nothing"/>
      <w:lvlText w:val=""/>
      <w:lvlJc w:val="left"/>
      <w:pPr>
        <w:ind w:left="0" w:firstLine="0"/>
      </w:pPr>
      <w:rPr>
        <w:rFonts w:hint="eastAsia"/>
      </w:rPr>
    </w:lvl>
  </w:abstractNum>
  <w:abstractNum w:abstractNumId="27">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6"/>
  </w:num>
  <w:num w:numId="2">
    <w:abstractNumId w:val="11"/>
  </w:num>
  <w:num w:numId="3">
    <w:abstractNumId w:val="24"/>
  </w:num>
  <w:num w:numId="4">
    <w:abstractNumId w:val="5"/>
  </w:num>
  <w:num w:numId="5">
    <w:abstractNumId w:val="29"/>
  </w:num>
  <w:num w:numId="6">
    <w:abstractNumId w:val="16"/>
  </w:num>
  <w:num w:numId="7">
    <w:abstractNumId w:val="14"/>
  </w:num>
  <w:num w:numId="8">
    <w:abstractNumId w:val="22"/>
  </w:num>
  <w:num w:numId="9">
    <w:abstractNumId w:val="13"/>
  </w:num>
  <w:num w:numId="10">
    <w:abstractNumId w:val="1"/>
  </w:num>
  <w:num w:numId="11">
    <w:abstractNumId w:val="21"/>
  </w:num>
  <w:num w:numId="12">
    <w:abstractNumId w:val="0"/>
  </w:num>
  <w:num w:numId="13">
    <w:abstractNumId w:val="23"/>
  </w:num>
  <w:num w:numId="14">
    <w:abstractNumId w:val="10"/>
  </w:num>
  <w:num w:numId="15">
    <w:abstractNumId w:val="30"/>
  </w:num>
  <w:num w:numId="16">
    <w:abstractNumId w:val="19"/>
  </w:num>
  <w:num w:numId="17">
    <w:abstractNumId w:val="28"/>
  </w:num>
  <w:num w:numId="18">
    <w:abstractNumId w:val="3"/>
  </w:num>
  <w:num w:numId="19">
    <w:abstractNumId w:val="27"/>
  </w:num>
  <w:num w:numId="20">
    <w:abstractNumId w:val="4"/>
  </w:num>
  <w:num w:numId="21">
    <w:abstractNumId w:val="25"/>
  </w:num>
  <w:num w:numId="22">
    <w:abstractNumId w:val="8"/>
  </w:num>
  <w:num w:numId="23">
    <w:abstractNumId w:val="15"/>
  </w:num>
  <w:num w:numId="24">
    <w:abstractNumId w:val="6"/>
  </w:num>
  <w:num w:numId="25">
    <w:abstractNumId w:val="20"/>
  </w:num>
  <w:num w:numId="26">
    <w:abstractNumId w:val="9"/>
  </w:num>
  <w:num w:numId="27">
    <w:abstractNumId w:val="2"/>
  </w:num>
  <w:num w:numId="28">
    <w:abstractNumId w:val="7"/>
  </w:num>
  <w:num w:numId="29">
    <w:abstractNumId w:val="12"/>
  </w:num>
  <w:num w:numId="30">
    <w:abstractNumId w:val="18"/>
  </w:num>
  <w:num w:numId="31">
    <w:abstractNumId w:val="17"/>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910"/>
    <w:link w:val="901"/>
    <w:uiPriority w:val="9"/>
    <w:rPr>
      <w:rFonts w:ascii="Arial" w:hAnsi="Arial" w:eastAsia="Arial" w:cs="Arial"/>
      <w:sz w:val="40"/>
      <w:szCs w:val="40"/>
    </w:rPr>
  </w:style>
  <w:style w:type="character" w:styleId="748">
    <w:name w:val="Heading 2 Char"/>
    <w:basedOn w:val="910"/>
    <w:link w:val="902"/>
    <w:uiPriority w:val="9"/>
    <w:rPr>
      <w:rFonts w:ascii="Arial" w:hAnsi="Arial" w:eastAsia="Arial" w:cs="Arial"/>
      <w:sz w:val="34"/>
    </w:rPr>
  </w:style>
  <w:style w:type="character" w:styleId="749">
    <w:name w:val="Heading 3 Char"/>
    <w:basedOn w:val="910"/>
    <w:link w:val="903"/>
    <w:uiPriority w:val="9"/>
    <w:rPr>
      <w:rFonts w:ascii="Arial" w:hAnsi="Arial" w:eastAsia="Arial" w:cs="Arial"/>
      <w:sz w:val="30"/>
      <w:szCs w:val="30"/>
    </w:rPr>
  </w:style>
  <w:style w:type="character" w:styleId="750">
    <w:name w:val="Heading 4 Char"/>
    <w:basedOn w:val="910"/>
    <w:link w:val="904"/>
    <w:uiPriority w:val="9"/>
    <w:rPr>
      <w:rFonts w:ascii="Arial" w:hAnsi="Arial" w:eastAsia="Arial" w:cs="Arial"/>
      <w:b/>
      <w:bCs/>
      <w:sz w:val="26"/>
      <w:szCs w:val="26"/>
    </w:rPr>
  </w:style>
  <w:style w:type="character" w:styleId="751">
    <w:name w:val="Heading 5 Char"/>
    <w:basedOn w:val="910"/>
    <w:link w:val="905"/>
    <w:uiPriority w:val="9"/>
    <w:rPr>
      <w:rFonts w:ascii="Arial" w:hAnsi="Arial" w:eastAsia="Arial" w:cs="Arial"/>
      <w:b/>
      <w:bCs/>
      <w:sz w:val="24"/>
      <w:szCs w:val="24"/>
    </w:rPr>
  </w:style>
  <w:style w:type="character" w:styleId="752">
    <w:name w:val="Heading 6 Char"/>
    <w:basedOn w:val="910"/>
    <w:link w:val="906"/>
    <w:uiPriority w:val="9"/>
    <w:rPr>
      <w:rFonts w:ascii="Arial" w:hAnsi="Arial" w:eastAsia="Arial" w:cs="Arial"/>
      <w:b/>
      <w:bCs/>
      <w:sz w:val="22"/>
      <w:szCs w:val="22"/>
    </w:rPr>
  </w:style>
  <w:style w:type="character" w:styleId="753">
    <w:name w:val="Heading 7 Char"/>
    <w:basedOn w:val="910"/>
    <w:link w:val="907"/>
    <w:uiPriority w:val="9"/>
    <w:rPr>
      <w:rFonts w:ascii="Arial" w:hAnsi="Arial" w:eastAsia="Arial" w:cs="Arial"/>
      <w:b/>
      <w:bCs/>
      <w:i/>
      <w:iCs/>
      <w:sz w:val="22"/>
      <w:szCs w:val="22"/>
    </w:rPr>
  </w:style>
  <w:style w:type="character" w:styleId="754">
    <w:name w:val="Heading 8 Char"/>
    <w:basedOn w:val="910"/>
    <w:link w:val="908"/>
    <w:uiPriority w:val="9"/>
    <w:rPr>
      <w:rFonts w:ascii="Arial" w:hAnsi="Arial" w:eastAsia="Arial" w:cs="Arial"/>
      <w:i/>
      <w:iCs/>
      <w:sz w:val="22"/>
      <w:szCs w:val="22"/>
    </w:rPr>
  </w:style>
  <w:style w:type="character" w:styleId="755">
    <w:name w:val="Heading 9 Char"/>
    <w:basedOn w:val="910"/>
    <w:link w:val="909"/>
    <w:uiPriority w:val="9"/>
    <w:rPr>
      <w:rFonts w:ascii="Arial" w:hAnsi="Arial" w:eastAsia="Arial" w:cs="Arial"/>
      <w:i/>
      <w:iCs/>
      <w:sz w:val="21"/>
      <w:szCs w:val="21"/>
    </w:rPr>
  </w:style>
  <w:style w:type="paragraph" w:styleId="756">
    <w:name w:val="Title"/>
    <w:basedOn w:val="900"/>
    <w:next w:val="900"/>
    <w:link w:val="757"/>
    <w:uiPriority w:val="10"/>
    <w:qFormat/>
    <w:pPr>
      <w:contextualSpacing/>
      <w:spacing w:before="300" w:after="200"/>
    </w:pPr>
    <w:rPr>
      <w:sz w:val="48"/>
      <w:szCs w:val="48"/>
    </w:rPr>
  </w:style>
  <w:style w:type="character" w:styleId="757">
    <w:name w:val="Title Char"/>
    <w:basedOn w:val="910"/>
    <w:link w:val="756"/>
    <w:uiPriority w:val="10"/>
    <w:rPr>
      <w:sz w:val="48"/>
      <w:szCs w:val="48"/>
    </w:rPr>
  </w:style>
  <w:style w:type="paragraph" w:styleId="758">
    <w:name w:val="Subtitle"/>
    <w:basedOn w:val="900"/>
    <w:next w:val="900"/>
    <w:link w:val="759"/>
    <w:uiPriority w:val="11"/>
    <w:qFormat/>
    <w:pPr>
      <w:spacing w:before="200" w:after="200"/>
    </w:pPr>
    <w:rPr>
      <w:sz w:val="24"/>
      <w:szCs w:val="24"/>
    </w:rPr>
  </w:style>
  <w:style w:type="character" w:styleId="759">
    <w:name w:val="Subtitle Char"/>
    <w:basedOn w:val="910"/>
    <w:link w:val="758"/>
    <w:uiPriority w:val="11"/>
    <w:rPr>
      <w:sz w:val="24"/>
      <w:szCs w:val="24"/>
    </w:rPr>
  </w:style>
  <w:style w:type="paragraph" w:styleId="760">
    <w:name w:val="Quote"/>
    <w:basedOn w:val="900"/>
    <w:next w:val="900"/>
    <w:link w:val="761"/>
    <w:uiPriority w:val="29"/>
    <w:qFormat/>
    <w:pPr>
      <w:ind w:left="720" w:right="720"/>
    </w:pPr>
    <w:rPr>
      <w:i/>
    </w:rPr>
  </w:style>
  <w:style w:type="character" w:styleId="761">
    <w:name w:val="Quote Char"/>
    <w:link w:val="760"/>
    <w:uiPriority w:val="29"/>
    <w:rPr>
      <w:i/>
    </w:rPr>
  </w:style>
  <w:style w:type="paragraph" w:styleId="762">
    <w:name w:val="Intense Quote"/>
    <w:basedOn w:val="900"/>
    <w:next w:val="900"/>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10"/>
    <w:link w:val="931"/>
    <w:uiPriority w:val="99"/>
  </w:style>
  <w:style w:type="character" w:styleId="765">
    <w:name w:val="Footer Char"/>
    <w:basedOn w:val="910"/>
    <w:link w:val="930"/>
    <w:uiPriority w:val="99"/>
  </w:style>
  <w:style w:type="paragraph" w:styleId="766">
    <w:name w:val="Caption"/>
    <w:basedOn w:val="900"/>
    <w:next w:val="900"/>
    <w:uiPriority w:val="35"/>
    <w:semiHidden/>
    <w:unhideWhenUsed/>
    <w:qFormat/>
    <w:pPr>
      <w:spacing w:line="276" w:lineRule="auto"/>
    </w:pPr>
    <w:rPr>
      <w:b/>
      <w:bCs/>
      <w:color w:val="4f81bd" w:themeColor="accent1"/>
      <w:sz w:val="18"/>
      <w:szCs w:val="18"/>
    </w:rPr>
  </w:style>
  <w:style w:type="character" w:styleId="767">
    <w:name w:val="Caption Char"/>
    <w:basedOn w:val="766"/>
    <w:link w:val="930"/>
    <w:uiPriority w:val="99"/>
  </w:style>
  <w:style w:type="table" w:styleId="768">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04">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05">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06">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07">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08">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09">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816">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39">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840">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841">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842">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843">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844">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46">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847">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848">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849">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850">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851">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60">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61">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62">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63">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64">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65">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67">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68">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69">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70">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71">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72">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74">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75">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76">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77">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78">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79">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81">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82">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83">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84">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85">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86">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0"/>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10"/>
    <w:uiPriority w:val="99"/>
    <w:unhideWhenUsed/>
    <w:rPr>
      <w:vertAlign w:val="superscript"/>
    </w:rPr>
  </w:style>
  <w:style w:type="paragraph" w:styleId="896">
    <w:name w:val="endnote text"/>
    <w:basedOn w:val="900"/>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0"/>
    <w:uiPriority w:val="99"/>
    <w:semiHidden/>
    <w:unhideWhenUsed/>
    <w:rPr>
      <w:vertAlign w:val="superscript"/>
    </w:rPr>
  </w:style>
  <w:style w:type="paragraph" w:styleId="899">
    <w:name w:val="TOC Heading"/>
    <w:uiPriority w:val="39"/>
    <w:unhideWhenUsed/>
  </w:style>
  <w:style w:type="paragraph" w:styleId="900" w:default="1">
    <w:name w:val="Normal"/>
    <w:next w:val="912"/>
    <w:uiPriority w:val="0"/>
    <w:qFormat/>
    <w:pPr>
      <w:jc w:val="both"/>
      <w:widowControl w:val="off"/>
    </w:pPr>
    <w:rPr>
      <w:rFonts w:ascii="Times New Roman" w:hAnsi="Times New Roman" w:eastAsia="宋体" w:cs="Times New Roman"/>
      <w:sz w:val="21"/>
      <w:szCs w:val="21"/>
      <w:lang w:val="en-US" w:eastAsia="zh-CN" w:bidi="ar-SA"/>
    </w:rPr>
  </w:style>
  <w:style w:type="paragraph" w:styleId="901">
    <w:name w:val="Heading 1"/>
    <w:basedOn w:val="900"/>
    <w:next w:val="900"/>
    <w:link w:val="954"/>
    <w:uiPriority w:val="0"/>
    <w:qFormat/>
    <w:pPr>
      <w:jc w:val="center"/>
      <w:keepNext/>
      <w:outlineLvl w:val="0"/>
    </w:pPr>
    <w:rPr>
      <w:rFonts w:ascii="楷体_GB2312" w:eastAsia="楷体_GB2312"/>
      <w:sz w:val="28"/>
      <w:szCs w:val="28"/>
    </w:rPr>
  </w:style>
  <w:style w:type="paragraph" w:styleId="902">
    <w:name w:val="Heading 2"/>
    <w:basedOn w:val="900"/>
    <w:next w:val="915"/>
    <w:link w:val="9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name w:val="Heading 3"/>
    <w:basedOn w:val="900"/>
    <w:next w:val="915"/>
    <w:link w:val="957"/>
    <w:uiPriority w:val="0"/>
    <w:qFormat/>
    <w:pPr>
      <w:keepLines/>
      <w:keepNext/>
      <w:spacing w:before="260" w:after="260" w:line="416" w:lineRule="auto"/>
      <w:outlineLvl w:val="2"/>
    </w:pPr>
    <w:rPr>
      <w:b/>
      <w:bCs/>
      <w:sz w:val="32"/>
      <w:szCs w:val="32"/>
    </w:rPr>
  </w:style>
  <w:style w:type="paragraph" w:styleId="904">
    <w:name w:val="Heading 4"/>
    <w:basedOn w:val="900"/>
    <w:next w:val="915"/>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905">
    <w:name w:val="Heading 5"/>
    <w:basedOn w:val="900"/>
    <w:next w:val="915"/>
    <w:link w:val="959"/>
    <w:uiPriority w:val="0"/>
    <w:qFormat/>
    <w:pPr>
      <w:keepNext/>
      <w:outlineLvl w:val="4"/>
    </w:pPr>
    <w:rPr>
      <w:rFonts w:ascii="宋体"/>
      <w:color w:val="000000"/>
      <w:sz w:val="28"/>
      <w:szCs w:val="28"/>
    </w:rPr>
  </w:style>
  <w:style w:type="paragraph" w:styleId="906">
    <w:name w:val="Heading 6"/>
    <w:basedOn w:val="900"/>
    <w:next w:val="900"/>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7">
    <w:name w:val="Heading 7"/>
    <w:basedOn w:val="900"/>
    <w:next w:val="900"/>
    <w:link w:val="961"/>
    <w:uiPriority w:val="0"/>
    <w:qFormat/>
    <w:pPr>
      <w:numPr>
        <w:ilvl w:val="6"/>
        <w:numId w:val="1"/>
      </w:numPr>
      <w:keepLines/>
      <w:keepNext/>
      <w:spacing w:before="240" w:after="64" w:line="320" w:lineRule="auto"/>
      <w:outlineLvl w:val="6"/>
    </w:pPr>
    <w:rPr>
      <w:b/>
      <w:bCs/>
      <w:sz w:val="24"/>
      <w:szCs w:val="24"/>
    </w:rPr>
  </w:style>
  <w:style w:type="paragraph" w:styleId="908">
    <w:name w:val="Heading 8"/>
    <w:basedOn w:val="900"/>
    <w:next w:val="900"/>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9">
    <w:name w:val="Heading 9"/>
    <w:basedOn w:val="900"/>
    <w:next w:val="900"/>
    <w:link w:val="963"/>
    <w:uiPriority w:val="0"/>
    <w:qFormat/>
    <w:pPr>
      <w:numPr>
        <w:ilvl w:val="8"/>
        <w:numId w:val="1"/>
      </w:numPr>
      <w:keepLines/>
      <w:keepNext/>
      <w:spacing w:before="240" w:after="64" w:line="320" w:lineRule="auto"/>
      <w:outlineLvl w:val="8"/>
    </w:pPr>
    <w:rPr>
      <w:rFonts w:ascii="Arial" w:hAnsi="Arial" w:eastAsia="黑体"/>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Body Text First Indent 2"/>
    <w:basedOn w:val="913"/>
    <w:next w:val="900"/>
    <w:link w:val="953"/>
    <w:uiPriority w:val="0"/>
    <w:qFormat/>
    <w:pPr>
      <w:ind w:firstLine="420"/>
      <w:spacing w:line="360" w:lineRule="auto"/>
    </w:pPr>
    <w:rPr>
      <w:rFonts w:ascii="宋体" w:hAnsi="宋体" w:eastAsia="宋体"/>
      <w:sz w:val="21"/>
      <w:szCs w:val="20"/>
    </w:rPr>
  </w:style>
  <w:style w:type="paragraph" w:styleId="913">
    <w:name w:val="Body Text Indent"/>
    <w:basedOn w:val="900"/>
    <w:next w:val="914"/>
    <w:link w:val="952"/>
    <w:uiPriority w:val="0"/>
    <w:qFormat/>
    <w:pPr>
      <w:ind w:firstLine="645"/>
    </w:pPr>
    <w:rPr>
      <w:rFonts w:ascii="楷体_GB2312" w:eastAsia="楷体_GB2312"/>
      <w:sz w:val="32"/>
      <w:szCs w:val="32"/>
    </w:rPr>
  </w:style>
  <w:style w:type="paragraph" w:styleId="914">
    <w:name w:val="envelope return"/>
    <w:basedOn w:val="900"/>
    <w:uiPriority w:val="0"/>
    <w:qFormat/>
    <w:rPr>
      <w:rFonts w:ascii="Arial" w:hAnsi="Arial" w:cs="宋体"/>
    </w:rPr>
  </w:style>
  <w:style w:type="paragraph" w:styleId="915">
    <w:name w:val="Normal Indent"/>
    <w:basedOn w:val="900"/>
    <w:link w:val="956"/>
    <w:uiPriority w:val="0"/>
    <w:qFormat/>
    <w:pPr>
      <w:ind w:firstLine="420"/>
    </w:pPr>
  </w:style>
  <w:style w:type="paragraph" w:styleId="916">
    <w:name w:val="List 3"/>
    <w:basedOn w:val="900"/>
    <w:uiPriority w:val="0"/>
    <w:qFormat/>
    <w:pPr>
      <w:ind w:left="100" w:hanging="200"/>
    </w:pPr>
  </w:style>
  <w:style w:type="paragraph" w:styleId="917">
    <w:name w:val="toc 7"/>
    <w:basedOn w:val="900"/>
    <w:next w:val="900"/>
    <w:uiPriority w:val="0"/>
    <w:semiHidden/>
    <w:qFormat/>
    <w:pPr>
      <w:ind w:left="1260"/>
      <w:jc w:val="left"/>
    </w:pPr>
  </w:style>
  <w:style w:type="paragraph" w:styleId="918">
    <w:name w:val="Document Map"/>
    <w:basedOn w:val="900"/>
    <w:link w:val="964"/>
    <w:uiPriority w:val="0"/>
    <w:semiHidden/>
    <w:qFormat/>
    <w:pPr>
      <w:shd w:val="clear" w:color="auto" w:fill="000080"/>
    </w:pPr>
  </w:style>
  <w:style w:type="paragraph" w:styleId="919">
    <w:name w:val="annotation text"/>
    <w:basedOn w:val="900"/>
    <w:link w:val="965"/>
    <w:uiPriority w:val="0"/>
    <w:semiHidden/>
    <w:qFormat/>
    <w:pPr>
      <w:jc w:val="left"/>
    </w:pPr>
  </w:style>
  <w:style w:type="paragraph" w:styleId="920">
    <w:name w:val="Body Text 3"/>
    <w:basedOn w:val="900"/>
    <w:link w:val="966"/>
    <w:uiPriority w:val="0"/>
    <w:qFormat/>
    <w:rPr>
      <w:rFonts w:ascii="仿宋_GB2312" w:hAnsi="Arial" w:eastAsia="仿宋_GB2312"/>
      <w:sz w:val="32"/>
      <w:szCs w:val="32"/>
    </w:rPr>
  </w:style>
  <w:style w:type="paragraph" w:styleId="921">
    <w:name w:val="Body Text"/>
    <w:basedOn w:val="900"/>
    <w:link w:val="967"/>
    <w:uiPriority w:val="0"/>
    <w:qFormat/>
    <w:rPr>
      <w:rFonts w:ascii="楷体_GB2312" w:hAnsi="Arial" w:eastAsia="楷体_GB2312"/>
      <w:sz w:val="28"/>
      <w:szCs w:val="28"/>
    </w:rPr>
  </w:style>
  <w:style w:type="paragraph" w:styleId="922">
    <w:name w:val="List 2"/>
    <w:basedOn w:val="900"/>
    <w:uiPriority w:val="0"/>
    <w:qFormat/>
    <w:pPr>
      <w:ind w:left="100" w:hanging="200"/>
    </w:pPr>
  </w:style>
  <w:style w:type="paragraph" w:styleId="923">
    <w:name w:val="toc 5"/>
    <w:basedOn w:val="900"/>
    <w:next w:val="900"/>
    <w:uiPriority w:val="0"/>
    <w:semiHidden/>
    <w:qFormat/>
    <w:pPr>
      <w:ind w:left="840"/>
      <w:jc w:val="left"/>
    </w:pPr>
  </w:style>
  <w:style w:type="paragraph" w:styleId="924">
    <w:name w:val="toc 3"/>
    <w:basedOn w:val="900"/>
    <w:next w:val="900"/>
    <w:uiPriority w:val="0"/>
    <w:semiHidden/>
    <w:qFormat/>
    <w:pPr>
      <w:ind w:left="420"/>
      <w:jc w:val="left"/>
    </w:pPr>
    <w:rPr>
      <w:i/>
      <w:iCs/>
      <w:szCs w:val="24"/>
    </w:rPr>
  </w:style>
  <w:style w:type="paragraph" w:styleId="925">
    <w:name w:val="Plain Text"/>
    <w:basedOn w:val="900"/>
    <w:link w:val="968"/>
    <w:uiPriority w:val="0"/>
    <w:qFormat/>
    <w:rPr>
      <w:rFonts w:ascii="宋体" w:hAnsi="Courier New" w:cs="Courier New"/>
    </w:rPr>
  </w:style>
  <w:style w:type="paragraph" w:styleId="926">
    <w:name w:val="toc 8"/>
    <w:basedOn w:val="900"/>
    <w:next w:val="900"/>
    <w:uiPriority w:val="0"/>
    <w:semiHidden/>
    <w:qFormat/>
    <w:pPr>
      <w:ind w:left="1470"/>
      <w:jc w:val="left"/>
    </w:pPr>
  </w:style>
  <w:style w:type="paragraph" w:styleId="927">
    <w:name w:val="Date"/>
    <w:basedOn w:val="900"/>
    <w:next w:val="900"/>
    <w:link w:val="969"/>
    <w:uiPriority w:val="0"/>
    <w:qFormat/>
    <w:rPr>
      <w:sz w:val="24"/>
      <w:szCs w:val="24"/>
    </w:rPr>
  </w:style>
  <w:style w:type="paragraph" w:styleId="928">
    <w:name w:val="Body Text Indent 2"/>
    <w:basedOn w:val="900"/>
    <w:link w:val="970"/>
    <w:uiPriority w:val="0"/>
    <w:qFormat/>
    <w:pPr>
      <w:ind w:left="630" w:firstLine="645"/>
    </w:pPr>
    <w:rPr>
      <w:rFonts w:ascii="Arial" w:hAnsi="Arial" w:eastAsia="仿宋_GB2312" w:cs="Arial"/>
      <w:sz w:val="32"/>
      <w:szCs w:val="32"/>
    </w:rPr>
  </w:style>
  <w:style w:type="paragraph" w:styleId="929">
    <w:name w:val="Balloon Text"/>
    <w:basedOn w:val="900"/>
    <w:link w:val="971"/>
    <w:uiPriority w:val="0"/>
    <w:semiHidden/>
    <w:qFormat/>
    <w:rPr>
      <w:sz w:val="18"/>
      <w:szCs w:val="18"/>
    </w:rPr>
  </w:style>
  <w:style w:type="paragraph" w:styleId="930">
    <w:name w:val="Footer"/>
    <w:basedOn w:val="900"/>
    <w:link w:val="972"/>
    <w:uiPriority w:val="0"/>
    <w:qFormat/>
    <w:pPr>
      <w:jc w:val="left"/>
      <w:tabs>
        <w:tab w:val="center" w:pos="4153" w:leader="none"/>
        <w:tab w:val="right" w:pos="8306" w:leader="none"/>
      </w:tabs>
    </w:pPr>
    <w:rPr>
      <w:sz w:val="18"/>
      <w:szCs w:val="18"/>
    </w:rPr>
  </w:style>
  <w:style w:type="paragraph" w:styleId="931">
    <w:name w:val="Header"/>
    <w:basedOn w:val="900"/>
    <w:link w:val="973"/>
    <w:uiPriority w:val="0"/>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00"/>
    <w:next w:val="900"/>
    <w:uiPriority w:val="0"/>
    <w:semiHidden/>
    <w:qFormat/>
    <w:pPr>
      <w:jc w:val="left"/>
      <w:spacing w:before="120" w:after="120" w:line="400" w:lineRule="exact"/>
      <w:tabs>
        <w:tab w:val="right" w:pos="8720" w:leader="dot"/>
      </w:tabs>
    </w:pPr>
    <w:rPr>
      <w:rFonts w:ascii="宋体" w:hAnsi="宋体"/>
      <w:caps/>
      <w:sz w:val="24"/>
      <w:szCs w:val="24"/>
    </w:rPr>
  </w:style>
  <w:style w:type="paragraph" w:styleId="933">
    <w:name w:val="toc 4"/>
    <w:basedOn w:val="900"/>
    <w:next w:val="900"/>
    <w:uiPriority w:val="0"/>
    <w:semiHidden/>
    <w:qFormat/>
    <w:pPr>
      <w:ind w:left="630"/>
      <w:jc w:val="left"/>
    </w:pPr>
  </w:style>
  <w:style w:type="paragraph" w:styleId="934">
    <w:name w:val="List"/>
    <w:basedOn w:val="900"/>
    <w:uiPriority w:val="0"/>
    <w:qFormat/>
    <w:pPr>
      <w:ind w:left="200" w:hanging="200"/>
    </w:pPr>
  </w:style>
  <w:style w:type="paragraph" w:styleId="935">
    <w:name w:val="toc 6"/>
    <w:basedOn w:val="900"/>
    <w:next w:val="900"/>
    <w:uiPriority w:val="0"/>
    <w:semiHidden/>
    <w:qFormat/>
    <w:pPr>
      <w:ind w:left="1050"/>
      <w:jc w:val="left"/>
    </w:pPr>
  </w:style>
  <w:style w:type="paragraph" w:styleId="936">
    <w:name w:val="Body Text Indent 3"/>
    <w:basedOn w:val="900"/>
    <w:link w:val="974"/>
    <w:uiPriority w:val="0"/>
    <w:qFormat/>
    <w:pPr>
      <w:ind w:left="645" w:firstLine="645"/>
    </w:pPr>
    <w:rPr>
      <w:rFonts w:ascii="Arial" w:hAnsi="Arial" w:eastAsia="仿宋_GB2312" w:cs="Arial"/>
      <w:color w:val="ffff00"/>
      <w:sz w:val="32"/>
      <w:szCs w:val="32"/>
    </w:rPr>
  </w:style>
  <w:style w:type="paragraph" w:styleId="937">
    <w:name w:val="table of figures"/>
    <w:basedOn w:val="900"/>
    <w:next w:val="900"/>
    <w:uiPriority w:val="0"/>
    <w:semiHidden/>
    <w:qFormat/>
    <w:pPr>
      <w:ind w:left="840" w:hanging="420"/>
    </w:pPr>
  </w:style>
  <w:style w:type="paragraph" w:styleId="938">
    <w:name w:val="toc 2"/>
    <w:basedOn w:val="900"/>
    <w:next w:val="900"/>
    <w:uiPriority w:val="0"/>
    <w:semiHidden/>
    <w:qFormat/>
    <w:pPr>
      <w:ind w:left="210"/>
      <w:jc w:val="left"/>
    </w:pPr>
    <w:rPr>
      <w:smallCaps/>
      <w:szCs w:val="24"/>
    </w:rPr>
  </w:style>
  <w:style w:type="paragraph" w:styleId="939">
    <w:name w:val="toc 9"/>
    <w:basedOn w:val="900"/>
    <w:next w:val="900"/>
    <w:uiPriority w:val="0"/>
    <w:semiHidden/>
    <w:qFormat/>
    <w:pPr>
      <w:ind w:left="1680"/>
      <w:jc w:val="left"/>
    </w:pPr>
  </w:style>
  <w:style w:type="paragraph" w:styleId="940">
    <w:name w:val="Body Text 2"/>
    <w:basedOn w:val="900"/>
    <w:link w:val="975"/>
    <w:uiPriority w:val="0"/>
    <w:qFormat/>
    <w:pPr>
      <w:jc w:val="center"/>
      <w:widowControl/>
    </w:pPr>
    <w:rPr>
      <w:rFonts w:ascii="楷体_GB2312" w:eastAsia="楷体_GB2312"/>
      <w:sz w:val="28"/>
      <w:szCs w:val="28"/>
    </w:rPr>
  </w:style>
  <w:style w:type="paragraph" w:styleId="941">
    <w:name w:val="Normal (Web)"/>
    <w:basedOn w:val="900"/>
    <w:uiPriority w:val="99"/>
    <w:qFormat/>
    <w:pPr>
      <w:jc w:val="left"/>
      <w:spacing w:before="100" w:beforeAutospacing="1" w:after="100" w:afterAutospacing="1"/>
      <w:widowControl/>
    </w:pPr>
    <w:rPr>
      <w:rFonts w:ascii="宋体" w:hAnsi="宋体" w:cs="宋体"/>
      <w:sz w:val="24"/>
      <w:szCs w:val="24"/>
    </w:rPr>
  </w:style>
  <w:style w:type="paragraph" w:styleId="942">
    <w:name w:val="index 1"/>
    <w:basedOn w:val="900"/>
    <w:next w:val="900"/>
    <w:uiPriority w:val="0"/>
    <w:semiHidden/>
    <w:qFormat/>
    <w:pPr>
      <w:spacing w:line="240" w:lineRule="atLeast"/>
    </w:pPr>
    <w:rPr>
      <w:b/>
      <w:bCs/>
    </w:rPr>
  </w:style>
  <w:style w:type="paragraph" w:styleId="943">
    <w:name w:val="annotation subject"/>
    <w:basedOn w:val="919"/>
    <w:next w:val="919"/>
    <w:link w:val="976"/>
    <w:uiPriority w:val="0"/>
    <w:semiHidden/>
    <w:qFormat/>
    <w:rPr>
      <w:b/>
      <w:bCs/>
    </w:rPr>
  </w:style>
  <w:style w:type="paragraph" w:styleId="944">
    <w:name w:val="Body Text First Indent"/>
    <w:basedOn w:val="900"/>
    <w:link w:val="977"/>
    <w:uiPriority w:val="0"/>
    <w:qFormat/>
    <w:pPr>
      <w:ind w:firstLine="200"/>
      <w:spacing w:line="360" w:lineRule="auto"/>
    </w:pPr>
    <w:rPr>
      <w:rFonts w:ascii="仿宋_GB2312" w:eastAsia="仿宋_GB2312"/>
      <w:sz w:val="30"/>
      <w:szCs w:val="30"/>
    </w:rPr>
  </w:style>
  <w:style w:type="table" w:styleId="945">
    <w:name w:val="Table Grid"/>
    <w:basedOn w:val="9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6">
    <w:name w:val="Strong"/>
    <w:uiPriority w:val="22"/>
    <w:qFormat/>
    <w:rPr>
      <w:b/>
      <w:bCs/>
    </w:rPr>
  </w:style>
  <w:style w:type="character" w:styleId="947">
    <w:name w:val="page number"/>
    <w:uiPriority w:val="0"/>
    <w:qFormat/>
  </w:style>
  <w:style w:type="character" w:styleId="948">
    <w:name w:val="FollowedHyperlink"/>
    <w:uiPriority w:val="0"/>
    <w:qFormat/>
    <w:rPr>
      <w:color w:val="800080"/>
      <w:u w:val="single"/>
    </w:rPr>
  </w:style>
  <w:style w:type="character" w:styleId="949">
    <w:name w:val="Emphasis"/>
    <w:uiPriority w:val="0"/>
    <w:qFormat/>
    <w:rPr>
      <w:i/>
    </w:rPr>
  </w:style>
  <w:style w:type="character" w:styleId="950">
    <w:name w:val="Hyperlink"/>
    <w:uiPriority w:val="0"/>
    <w:qFormat/>
    <w:rPr>
      <w:color w:val="0000ff"/>
      <w:u w:val="single"/>
    </w:rPr>
  </w:style>
  <w:style w:type="character" w:styleId="951">
    <w:name w:val="annotation reference"/>
    <w:uiPriority w:val="0"/>
    <w:semiHidden/>
    <w:qFormat/>
    <w:rPr>
      <w:sz w:val="21"/>
      <w:szCs w:val="21"/>
    </w:rPr>
  </w:style>
  <w:style w:type="character" w:styleId="952" w:customStyle="1">
    <w:name w:val="正文文本缩进 字符"/>
    <w:link w:val="913"/>
    <w:uiPriority w:val="0"/>
    <w:qFormat/>
    <w:rPr>
      <w:rFonts w:ascii="楷体_GB2312" w:hAnsi="Times New Roman" w:eastAsia="楷体_GB2312" w:cs="Times New Roman"/>
      <w:sz w:val="32"/>
      <w:szCs w:val="32"/>
    </w:rPr>
  </w:style>
  <w:style w:type="character" w:styleId="953" w:customStyle="1">
    <w:name w:val="正文文本首行缩进 2 字符"/>
    <w:link w:val="912"/>
    <w:uiPriority w:val="0"/>
    <w:qFormat/>
    <w:rPr>
      <w:rFonts w:ascii="宋体" w:hAnsi="宋体" w:eastAsia="宋体" w:cs="Times New Roman"/>
      <w:sz w:val="32"/>
      <w:szCs w:val="20"/>
    </w:rPr>
  </w:style>
  <w:style w:type="character" w:styleId="954" w:customStyle="1">
    <w:name w:val="标题 1 字符"/>
    <w:link w:val="901"/>
    <w:uiPriority w:val="0"/>
    <w:qFormat/>
    <w:rPr>
      <w:rFonts w:ascii="楷体_GB2312" w:hAnsi="Times New Roman" w:eastAsia="楷体_GB2312" w:cs="Times New Roman"/>
      <w:sz w:val="28"/>
      <w:szCs w:val="28"/>
    </w:rPr>
  </w:style>
  <w:style w:type="character" w:styleId="955" w:customStyle="1">
    <w:name w:val="标题 2 字符"/>
    <w:link w:val="902"/>
    <w:uiPriority w:val="0"/>
    <w:qFormat/>
    <w:rPr>
      <w:rFonts w:ascii="Arial" w:hAnsi="Arial" w:eastAsia="幼圆" w:cs="Arial"/>
      <w:b/>
      <w:bCs/>
      <w:sz w:val="44"/>
      <w:szCs w:val="44"/>
    </w:rPr>
  </w:style>
  <w:style w:type="character" w:styleId="956" w:customStyle="1">
    <w:name w:val="正文缩进 字符"/>
    <w:link w:val="915"/>
    <w:uiPriority w:val="0"/>
    <w:qFormat/>
    <w:rPr>
      <w:rFonts w:ascii="Times New Roman" w:hAnsi="Times New Roman" w:eastAsia="宋体" w:cs="Times New Roman"/>
      <w:szCs w:val="21"/>
    </w:rPr>
  </w:style>
  <w:style w:type="character" w:styleId="957" w:customStyle="1">
    <w:name w:val="标题 3 字符"/>
    <w:link w:val="903"/>
    <w:uiPriority w:val="0"/>
    <w:qFormat/>
    <w:rPr>
      <w:rFonts w:ascii="Times New Roman" w:hAnsi="Times New Roman" w:eastAsia="宋体" w:cs="Times New Roman"/>
      <w:b/>
      <w:bCs/>
      <w:sz w:val="32"/>
      <w:szCs w:val="32"/>
    </w:rPr>
  </w:style>
  <w:style w:type="character" w:styleId="958" w:customStyle="1">
    <w:name w:val="标题 4 字符"/>
    <w:link w:val="904"/>
    <w:uiPriority w:val="0"/>
    <w:qFormat/>
    <w:rPr>
      <w:rFonts w:ascii="Arial" w:hAnsi="Arial" w:eastAsia="黑体" w:cs="Arial"/>
      <w:b/>
      <w:bCs/>
      <w:sz w:val="28"/>
      <w:szCs w:val="28"/>
    </w:rPr>
  </w:style>
  <w:style w:type="character" w:styleId="959" w:customStyle="1">
    <w:name w:val="标题 5 字符"/>
    <w:link w:val="905"/>
    <w:uiPriority w:val="0"/>
    <w:qFormat/>
    <w:rPr>
      <w:rFonts w:ascii="宋体" w:hAnsi="Times New Roman" w:eastAsia="宋体" w:cs="Times New Roman"/>
      <w:color w:val="000000"/>
      <w:sz w:val="28"/>
      <w:szCs w:val="28"/>
    </w:rPr>
  </w:style>
  <w:style w:type="character" w:styleId="960" w:customStyle="1">
    <w:name w:val="标题 6 字符"/>
    <w:link w:val="906"/>
    <w:uiPriority w:val="0"/>
    <w:qFormat/>
    <w:rPr>
      <w:rFonts w:ascii="Arial" w:hAnsi="Arial" w:eastAsia="黑体"/>
      <w:b/>
      <w:bCs/>
      <w:sz w:val="24"/>
      <w:szCs w:val="24"/>
    </w:rPr>
  </w:style>
  <w:style w:type="character" w:styleId="961" w:customStyle="1">
    <w:name w:val="标题 7 字符"/>
    <w:link w:val="907"/>
    <w:uiPriority w:val="0"/>
    <w:qFormat/>
    <w:rPr>
      <w:b/>
      <w:bCs/>
      <w:sz w:val="24"/>
      <w:szCs w:val="24"/>
    </w:rPr>
  </w:style>
  <w:style w:type="character" w:styleId="962" w:customStyle="1">
    <w:name w:val="标题 8 字符"/>
    <w:link w:val="908"/>
    <w:uiPriority w:val="0"/>
    <w:qFormat/>
    <w:rPr>
      <w:rFonts w:ascii="Arial" w:hAnsi="Arial" w:eastAsia="黑体"/>
      <w:sz w:val="24"/>
      <w:szCs w:val="24"/>
    </w:rPr>
  </w:style>
  <w:style w:type="character" w:styleId="963" w:customStyle="1">
    <w:name w:val="标题 9 字符"/>
    <w:link w:val="909"/>
    <w:uiPriority w:val="0"/>
    <w:qFormat/>
    <w:rPr>
      <w:rFonts w:ascii="Arial" w:hAnsi="Arial" w:eastAsia="黑体"/>
      <w:sz w:val="21"/>
      <w:szCs w:val="21"/>
    </w:rPr>
  </w:style>
  <w:style w:type="character" w:styleId="964" w:customStyle="1">
    <w:name w:val="文档结构图 字符"/>
    <w:link w:val="918"/>
    <w:uiPriority w:val="0"/>
    <w:semiHidden/>
    <w:qFormat/>
    <w:rPr>
      <w:rFonts w:ascii="Times New Roman" w:hAnsi="Times New Roman" w:eastAsia="宋体" w:cs="Times New Roman"/>
      <w:szCs w:val="21"/>
      <w:shd w:val="clear" w:color="auto" w:fill="000080"/>
    </w:rPr>
  </w:style>
  <w:style w:type="character" w:styleId="965" w:customStyle="1">
    <w:name w:val="批注文字 字符"/>
    <w:link w:val="919"/>
    <w:uiPriority w:val="0"/>
    <w:semiHidden/>
    <w:qFormat/>
    <w:rPr>
      <w:rFonts w:ascii="Times New Roman" w:hAnsi="Times New Roman" w:eastAsia="宋体" w:cs="Times New Roman"/>
      <w:szCs w:val="21"/>
    </w:rPr>
  </w:style>
  <w:style w:type="character" w:styleId="966" w:customStyle="1">
    <w:name w:val="正文文本 3 字符"/>
    <w:link w:val="920"/>
    <w:uiPriority w:val="0"/>
    <w:qFormat/>
    <w:rPr>
      <w:rFonts w:ascii="仿宋_GB2312" w:hAnsi="Arial" w:eastAsia="仿宋_GB2312" w:cs="Times New Roman"/>
      <w:sz w:val="32"/>
      <w:szCs w:val="32"/>
    </w:rPr>
  </w:style>
  <w:style w:type="character" w:styleId="967" w:customStyle="1">
    <w:name w:val="正文文本 字符"/>
    <w:link w:val="921"/>
    <w:uiPriority w:val="0"/>
    <w:qFormat/>
    <w:rPr>
      <w:rFonts w:ascii="楷体_GB2312" w:hAnsi="Arial" w:eastAsia="楷体_GB2312" w:cs="Times New Roman"/>
      <w:sz w:val="28"/>
      <w:szCs w:val="28"/>
    </w:rPr>
  </w:style>
  <w:style w:type="character" w:styleId="968" w:customStyle="1">
    <w:name w:val="纯文本 字符"/>
    <w:link w:val="925"/>
    <w:uiPriority w:val="0"/>
    <w:qFormat/>
    <w:rPr>
      <w:rFonts w:ascii="宋体" w:hAnsi="Courier New" w:eastAsia="宋体" w:cs="Courier New"/>
      <w:szCs w:val="21"/>
    </w:rPr>
  </w:style>
  <w:style w:type="character" w:styleId="969" w:customStyle="1">
    <w:name w:val="日期 字符"/>
    <w:link w:val="927"/>
    <w:uiPriority w:val="0"/>
    <w:qFormat/>
    <w:rPr>
      <w:rFonts w:ascii="Times New Roman" w:hAnsi="Times New Roman" w:eastAsia="宋体" w:cs="Times New Roman"/>
      <w:sz w:val="24"/>
      <w:szCs w:val="24"/>
    </w:rPr>
  </w:style>
  <w:style w:type="character" w:styleId="970" w:customStyle="1">
    <w:name w:val="正文文本缩进 2 字符"/>
    <w:link w:val="928"/>
    <w:uiPriority w:val="0"/>
    <w:qFormat/>
    <w:rPr>
      <w:rFonts w:ascii="Arial" w:hAnsi="Arial" w:eastAsia="仿宋_GB2312" w:cs="Arial"/>
      <w:sz w:val="32"/>
      <w:szCs w:val="32"/>
    </w:rPr>
  </w:style>
  <w:style w:type="character" w:styleId="971" w:customStyle="1">
    <w:name w:val="批注框文本 字符"/>
    <w:link w:val="929"/>
    <w:uiPriority w:val="0"/>
    <w:semiHidden/>
    <w:qFormat/>
    <w:rPr>
      <w:rFonts w:ascii="Times New Roman" w:hAnsi="Times New Roman" w:eastAsia="宋体" w:cs="Times New Roman"/>
      <w:sz w:val="18"/>
      <w:szCs w:val="18"/>
    </w:rPr>
  </w:style>
  <w:style w:type="character" w:styleId="972" w:customStyle="1">
    <w:name w:val="页脚 字符"/>
    <w:link w:val="930"/>
    <w:uiPriority w:val="0"/>
    <w:qFormat/>
    <w:rPr>
      <w:rFonts w:ascii="Times New Roman" w:hAnsi="Times New Roman" w:eastAsia="宋体" w:cs="Times New Roman"/>
      <w:sz w:val="18"/>
      <w:szCs w:val="18"/>
    </w:rPr>
  </w:style>
  <w:style w:type="character" w:styleId="973" w:customStyle="1">
    <w:name w:val="页眉 字符"/>
    <w:link w:val="931"/>
    <w:uiPriority w:val="0"/>
    <w:qFormat/>
    <w:rPr>
      <w:rFonts w:ascii="Times New Roman" w:hAnsi="Times New Roman" w:eastAsia="宋体" w:cs="Times New Roman"/>
      <w:sz w:val="18"/>
      <w:szCs w:val="18"/>
    </w:rPr>
  </w:style>
  <w:style w:type="character" w:styleId="974" w:customStyle="1">
    <w:name w:val="正文文本缩进 3 字符"/>
    <w:link w:val="936"/>
    <w:uiPriority w:val="0"/>
    <w:qFormat/>
    <w:rPr>
      <w:rFonts w:ascii="Arial" w:hAnsi="Arial" w:eastAsia="仿宋_GB2312" w:cs="Arial"/>
      <w:color w:val="ffff00"/>
      <w:sz w:val="32"/>
      <w:szCs w:val="32"/>
    </w:rPr>
  </w:style>
  <w:style w:type="character" w:styleId="975" w:customStyle="1">
    <w:name w:val="正文文本 2 字符"/>
    <w:link w:val="940"/>
    <w:uiPriority w:val="0"/>
    <w:qFormat/>
    <w:rPr>
      <w:rFonts w:ascii="楷体_GB2312" w:hAnsi="Times New Roman" w:eastAsia="楷体_GB2312" w:cs="Times New Roman"/>
      <w:sz w:val="28"/>
      <w:szCs w:val="28"/>
    </w:rPr>
  </w:style>
  <w:style w:type="character" w:styleId="976" w:customStyle="1">
    <w:name w:val="批注主题 字符"/>
    <w:link w:val="943"/>
    <w:uiPriority w:val="0"/>
    <w:semiHidden/>
    <w:qFormat/>
    <w:rPr>
      <w:rFonts w:ascii="Times New Roman" w:hAnsi="Times New Roman" w:eastAsia="宋体" w:cs="Times New Roman"/>
      <w:b/>
      <w:bCs/>
      <w:szCs w:val="21"/>
    </w:rPr>
  </w:style>
  <w:style w:type="character" w:styleId="977" w:customStyle="1">
    <w:name w:val="正文文本首行缩进 字符"/>
    <w:link w:val="944"/>
    <w:uiPriority w:val="0"/>
    <w:qFormat/>
    <w:rPr>
      <w:rFonts w:ascii="仿宋_GB2312" w:hAnsi="Times New Roman" w:eastAsia="仿宋_GB2312" w:cs="Times New Roman"/>
      <w:sz w:val="30"/>
      <w:szCs w:val="30"/>
    </w:rPr>
  </w:style>
  <w:style w:type="paragraph" w:styleId="978" w:customStyle="1">
    <w:name w:val="正文首行缩进 21"/>
    <w:basedOn w:val="979"/>
    <w:uiPriority w:val="0"/>
    <w:qFormat/>
    <w:pPr>
      <w:ind w:left="0" w:firstLine="420"/>
      <w:spacing w:after="0" w:line="360" w:lineRule="auto"/>
    </w:pPr>
    <w:rPr>
      <w:rFonts w:ascii="宋体" w:hAnsi="宋体"/>
      <w:sz w:val="20"/>
      <w:szCs w:val="20"/>
      <w:lang w:eastAsia="en-US"/>
    </w:rPr>
  </w:style>
  <w:style w:type="paragraph" w:styleId="979" w:customStyle="1">
    <w:name w:val="正文文本缩进1"/>
    <w:basedOn w:val="900"/>
    <w:next w:val="978"/>
    <w:uiPriority w:val="0"/>
    <w:unhideWhenUsed/>
    <w:qFormat/>
    <w:pPr>
      <w:ind w:left="420"/>
      <w:spacing w:after="120"/>
    </w:pPr>
  </w:style>
  <w:style w:type="paragraph" w:styleId="980" w:customStyle="1">
    <w:name w:val="索引 41"/>
    <w:basedOn w:val="900"/>
    <w:next w:val="900"/>
    <w:uiPriority w:val="0"/>
    <w:semiHidden/>
    <w:qFormat/>
    <w:pPr>
      <w:ind w:left="1260"/>
    </w:pPr>
    <w:rPr>
      <w:rFonts w:ascii="Calibri" w:hAnsi="Calibri" w:eastAsia="Calibri" w:cs="宋体"/>
      <w:sz w:val="20"/>
      <w:lang w:val="zh-CN"/>
    </w:rPr>
  </w:style>
  <w:style w:type="paragraph" w:styleId="981" w:customStyle="1">
    <w:name w:val="正文文本12"/>
    <w:basedOn w:val="900"/>
    <w:uiPriority w:val="1"/>
    <w:qFormat/>
    <w:pPr>
      <w:ind w:left="120"/>
    </w:pPr>
    <w:rPr>
      <w:rFonts w:ascii="宋体" w:hAnsi="宋体" w:cs="宋体"/>
      <w:lang w:val="zh-CN" w:bidi="zh-CN"/>
    </w:rPr>
  </w:style>
  <w:style w:type="character" w:styleId="982" w:customStyle="1">
    <w:name w:val="font5 Char"/>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900"/>
    <w:link w:val="98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900"/>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900"/>
    <w:next w:val="921"/>
    <w:uiPriority w:val="0"/>
    <w:qFormat/>
    <w:pPr>
      <w:spacing w:after="120"/>
    </w:pPr>
    <w:rPr>
      <w:rFonts w:ascii="宋体" w:hAnsi="Arial"/>
      <w:bCs/>
      <w:iCs/>
      <w:szCs w:val="24"/>
    </w:rPr>
  </w:style>
  <w:style w:type="paragraph" w:styleId="988" w:customStyle="1">
    <w:name w:val="xl27"/>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9" w:customStyle="1">
    <w:name w:val="xl26"/>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0" w:customStyle="1">
    <w:name w:val="Char"/>
    <w:basedOn w:val="900"/>
    <w:uiPriority w:val="0"/>
    <w:qFormat/>
    <w:pPr>
      <w:ind w:firstLine="200"/>
      <w:tabs>
        <w:tab w:val="left" w:pos="360" w:leader="none"/>
      </w:tabs>
    </w:pPr>
    <w:rPr>
      <w:sz w:val="28"/>
      <w:szCs w:val="30"/>
    </w:rPr>
  </w:style>
  <w:style w:type="paragraph" w:styleId="991" w:customStyle="1">
    <w:name w:val="Char1"/>
    <w:basedOn w:val="918"/>
    <w:uiPriority w:val="0"/>
    <w:qFormat/>
    <w:rPr>
      <w:rFonts w:ascii="Tahoma" w:hAnsi="Tahoma"/>
      <w:sz w:val="24"/>
      <w:szCs w:val="24"/>
    </w:rPr>
  </w:style>
  <w:style w:type="paragraph" w:styleId="992" w:customStyle="1">
    <w:name w:val="普通正文"/>
    <w:basedOn w:val="900"/>
    <w:uiPriority w:val="0"/>
    <w:qFormat/>
    <w:pPr>
      <w:ind w:firstLine="480"/>
      <w:jc w:val="left"/>
      <w:spacing w:before="120" w:after="120" w:line="360" w:lineRule="auto"/>
    </w:pPr>
    <w:rPr>
      <w:rFonts w:ascii="Arial" w:hAnsi="Arial"/>
      <w:sz w:val="24"/>
      <w:szCs w:val="24"/>
    </w:rPr>
  </w:style>
  <w:style w:type="paragraph" w:styleId="993" w:customStyle="1">
    <w:name w:val="table_lines"/>
    <w:basedOn w:val="900"/>
    <w:uiPriority w:val="0"/>
    <w:qFormat/>
    <w:pPr>
      <w:jc w:val="left"/>
      <w:widowControl/>
    </w:pPr>
    <w:rPr>
      <w:sz w:val="20"/>
      <w:szCs w:val="20"/>
      <w:lang w:val="de-DE" w:eastAsia="de-DE"/>
    </w:rPr>
  </w:style>
  <w:style w:type="paragraph" w:styleId="99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5" w:customStyle="1">
    <w:name w:val="font7"/>
    <w:basedOn w:val="900"/>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18"/>
    <w:uiPriority w:val="0"/>
    <w:qFormat/>
    <w:pPr>
      <w:spacing w:line="360" w:lineRule="auto"/>
    </w:pPr>
    <w:rPr>
      <w:rFonts w:ascii="Tahoma" w:hAnsi="Tahoma"/>
      <w:sz w:val="24"/>
      <w:szCs w:val="24"/>
    </w:rPr>
  </w:style>
  <w:style w:type="paragraph" w:styleId="997">
    <w:name w:val="List Paragraph"/>
    <w:basedOn w:val="900"/>
    <w:uiPriority w:val="0"/>
    <w:qFormat/>
    <w:pPr>
      <w:contextualSpacing/>
      <w:ind w:left="720"/>
      <w:jc w:val="left"/>
      <w:widowControl/>
    </w:pPr>
    <w:rPr>
      <w:rFonts w:ascii="Calibri" w:hAnsi="Calibri"/>
      <w:sz w:val="24"/>
      <w:szCs w:val="24"/>
      <w:lang w:eastAsia="en-US" w:bidi="en-US"/>
    </w:rPr>
  </w:style>
  <w:style w:type="paragraph" w:styleId="998" w:customStyle="1">
    <w:name w:val="4"/>
    <w:basedOn w:val="900"/>
    <w:next w:val="936"/>
    <w:uiPriority w:val="0"/>
    <w:qFormat/>
    <w:pPr>
      <w:ind w:firstLine="420"/>
      <w:spacing w:line="360" w:lineRule="auto"/>
    </w:pPr>
    <w:rPr>
      <w:color w:val="ff0000"/>
      <w:sz w:val="24"/>
      <w:szCs w:val="24"/>
    </w:rPr>
  </w:style>
  <w:style w:type="paragraph" w:styleId="999" w:customStyle="1">
    <w:name w:val="普通 (Web)"/>
    <w:basedOn w:val="900"/>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900"/>
    <w:uiPriority w:val="0"/>
    <w:qFormat/>
    <w:pPr>
      <w:spacing w:line="360" w:lineRule="auto"/>
    </w:pPr>
    <w:rPr>
      <w:sz w:val="24"/>
      <w:szCs w:val="20"/>
    </w:rPr>
  </w:style>
  <w:style w:type="paragraph" w:styleId="1001" w:customStyle="1">
    <w:name w:val="样式1"/>
    <w:basedOn w:val="900"/>
    <w:uiPriority w:val="0"/>
    <w:qFormat/>
    <w:pPr>
      <w:numPr>
        <w:ilvl w:val="0"/>
        <w:numId w:val="3"/>
      </w:numPr>
    </w:pPr>
    <w:rPr>
      <w:rFonts w:ascii="宋体" w:hAnsi="宋体"/>
    </w:rPr>
  </w:style>
  <w:style w:type="paragraph" w:styleId="1002" w:customStyle="1">
    <w:name w:val="font6"/>
    <w:basedOn w:val="900"/>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9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900"/>
    <w:next w:val="9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900"/>
    <w:next w:val="900"/>
    <w:uiPriority w:val="0"/>
    <w:qFormat/>
    <w:pPr>
      <w:ind w:firstLine="624"/>
      <w:spacing w:line="590" w:lineRule="atLeast"/>
    </w:pPr>
    <w:rPr>
      <w:rFonts w:ascii="方正黑体_GBK" w:eastAsia="方正黑体_GBK"/>
      <w:sz w:val="32"/>
      <w:szCs w:val="32"/>
    </w:rPr>
  </w:style>
  <w:style w:type="paragraph" w:styleId="1006" w:customStyle="1">
    <w:name w:val="xl24"/>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7" w:customStyle="1">
    <w:name w:val="xl29"/>
    <w:basedOn w:val="90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8" w:customStyle="1">
    <w:name w:val="Char Char Char Char Char Char Char Char"/>
    <w:basedOn w:val="900"/>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90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0" w:customStyle="1">
    <w:name w:val="Char Char Char Char Char Char Char Char1"/>
    <w:basedOn w:val="900"/>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900"/>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1"/>
    <w:basedOn w:val="918"/>
    <w:uiPriority w:val="0"/>
    <w:qFormat/>
    <w:pPr>
      <w:spacing w:line="360" w:lineRule="auto"/>
    </w:pPr>
    <w:rPr>
      <w:rFonts w:ascii="Tahoma" w:hAnsi="Tahoma"/>
      <w:sz w:val="24"/>
      <w:szCs w:val="24"/>
    </w:rPr>
  </w:style>
  <w:style w:type="paragraph" w:styleId="1013" w:customStyle="1">
    <w:name w:val="table_1stline"/>
    <w:basedOn w:val="900"/>
    <w:uiPriority w:val="0"/>
    <w:qFormat/>
    <w:pPr>
      <w:jc w:val="left"/>
      <w:spacing w:before="120"/>
      <w:widowControl/>
    </w:pPr>
    <w:rPr>
      <w:bCs/>
      <w:sz w:val="20"/>
      <w:szCs w:val="20"/>
      <w:lang w:val="de-DE" w:eastAsia="de-DE"/>
    </w:rPr>
  </w:style>
  <w:style w:type="paragraph" w:styleId="1014" w:customStyle="1">
    <w:name w:val="font5"/>
    <w:basedOn w:val="900"/>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900"/>
    <w:next w:val="9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修订1"/>
    <w:uiPriority w:val="99"/>
    <w:semiHidden/>
    <w:qFormat/>
    <w:rPr>
      <w:rFonts w:ascii="Times New Roman" w:hAnsi="Times New Roman" w:eastAsia="宋体" w:cs="Times New Roman"/>
      <w:sz w:val="21"/>
      <w:szCs w:val="21"/>
      <w:lang w:val="en-US" w:eastAsia="zh-CN" w:bidi="ar-SA"/>
    </w:rPr>
  </w:style>
  <w:style w:type="paragraph" w:styleId="101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8" w:customStyle="1">
    <w:name w:val="正文文本 211"/>
    <w:basedOn w:val="900"/>
    <w:uiPriority w:val="99"/>
    <w:qFormat/>
    <w:pPr>
      <w:jc w:val="center"/>
    </w:pPr>
    <w:rPr>
      <w:b/>
      <w:bCs/>
      <w:sz w:val="20"/>
      <w:szCs w:val="20"/>
    </w:rPr>
  </w:style>
  <w:style w:type="table" w:styleId="1019" w:customStyle="1">
    <w:name w:val="Table Normal"/>
    <w:uiPriority w:val="0"/>
    <w:qFormat/>
    <w:tblPr>
      <w:tblCellMar>
        <w:left w:w="0" w:type="dxa"/>
        <w:top w:w="0" w:type="dxa"/>
        <w:right w:w="0" w:type="dxa"/>
        <w:bottom w:w="0" w:type="dxa"/>
      </w:tblCellMar>
    </w:tblPr>
  </w:style>
  <w:style w:type="paragraph" w:styleId="1020" w:customStyle="1">
    <w:name w:val="正文文本1"/>
    <w:basedOn w:val="900"/>
    <w:next w:val="900"/>
    <w:uiPriority w:val="0"/>
    <w:semiHidden/>
    <w:qFormat/>
    <w:rPr>
      <w:rFonts w:ascii="Arial" w:hAnsi="Arial" w:eastAsia="Arial" w:cs="Arial"/>
      <w:lang w:eastAsia="en-US"/>
    </w:rPr>
  </w:style>
  <w:style w:type="paragraph" w:styleId="1021" w:customStyle="1">
    <w:name w:val="纯文本1"/>
    <w:basedOn w:val="900"/>
    <w:uiPriority w:val="0"/>
    <w:qFormat/>
    <w:rPr>
      <w:rFonts w:ascii="宋体" w:hAnsi="Courier New" w:cs="Courier New"/>
    </w:rPr>
  </w:style>
  <w:style w:type="table" w:styleId="1022" w:customStyle="1">
    <w:name w:val="网格型1"/>
    <w:basedOn w:val="1023"/>
    <w:uiPriority w:val="0"/>
    <w:qFormat/>
    <w:pPr>
      <w:jc w:val="both"/>
      <w:widowControl w:val="off"/>
    </w:pPr>
    <w:tblPr/>
  </w:style>
  <w:style w:type="table" w:styleId="1023" w:customStyle="1">
    <w:name w:val="普通表格1"/>
    <w:uiPriority w:val="99"/>
    <w:unhideWhenUsed/>
    <w:qFormat/>
    <w:tblPr>
      <w:tblCellMar>
        <w:left w:w="0" w:type="dxa"/>
        <w:top w:w="0" w:type="dxa"/>
        <w:right w:w="0" w:type="dxa"/>
        <w:bottom w:w="0" w:type="dxa"/>
      </w:tblCellMar>
    </w:tblPr>
  </w:style>
  <w:style w:type="paragraph" w:styleId="1024" w:customStyle="1">
    <w:name w:val="正文内容"/>
    <w:basedOn w:val="900"/>
    <w:uiPriority w:val="0"/>
    <w:qFormat/>
    <w:pPr>
      <w:ind w:firstLine="562"/>
      <w:spacing w:line="360" w:lineRule="auto"/>
    </w:pPr>
    <w:rPr>
      <w:rFonts w:ascii="Calibri" w:hAnsi="Calibri"/>
      <w:sz w:val="28"/>
      <w:szCs w:val="24"/>
    </w:rPr>
  </w:style>
  <w:style w:type="paragraph" w:styleId="1025" w:customStyle="1">
    <w:name w:val="xl65"/>
    <w:basedOn w:val="90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b/>
      <w:bCs/>
      <w:sz w:val="24"/>
      <w:szCs w:val="24"/>
    </w:rPr>
  </w:style>
  <w:style w:type="character" w:styleId="1026" w:customStyle="1">
    <w:name w:val="未处理的提及1"/>
    <w:uiPriority w:val="99"/>
    <w:unhideWhenUsed/>
    <w:qFormat/>
    <w:rPr>
      <w:color w:val="605e5c"/>
      <w:shd w:val="clear" w:color="auto" w:fill="e1dfdd"/>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e430fd77-6bd2-4d4c-8365-f520991a52cf</errorID>
      <errorWord>-</errorWord>
      <group>L1_Format</group>
      <groupName>格式问题</groupName>
      <ability>L2_HalfPunc</ability>
      <abilityName>全半角检查</abilityName>
      <candidateList>
        <item>－</item>
      </candidateList>
      <explain>文本全半角错误。</explain>
      <paraID>5ECB077D</paraID>
      <start>135</start>
      <end>136</end>
      <status>ignored</status>
      <modifiedWord/>
      <trackRevisions>false</trackRevisions>
    </reviewItem>
    <reviewItem>
      <errorID>4ffb87f1-374a-4e78-bb27-5a08e45ef67d</errorID>
      <errorWord>答复的</errorWord>
      <group>L1_Word</group>
      <groupName>字词问题</groupName>
      <ability>L2_Typo</ability>
      <abilityName>字词错误</abilityName>
      <candidateList>
        <item>答复</item>
      </candidateList>
      <explain/>
      <paraID>5ECB0843</paraID>
      <start>45</start>
      <end>48</end>
      <status>ignored</status>
      <modifiedWord/>
      <trackRevisions>false</trackRevisions>
    </reviewItem>
    <reviewItem>
      <errorID>febce4af-9ade-43e6-8970-9dd0c0a511eb</errorID>
      <errorWord>）</errorWord>
      <group>L1_Punc</group>
      <groupName>标点问题</groupName>
      <ability>L2_Punc</ability>
      <abilityName>标点符号检查</abilityName>
      <candidateList/>
      <explain>同一形式括号套用。</explain>
      <paraID>5ECB084C</paraID>
      <start>81</start>
      <end>82</end>
      <status>ignored</status>
      <modifiedWord/>
      <trackRevisions>false</trackRevisions>
    </reviewItem>
    <reviewItem>
      <errorID>c7c2b8a6-38b9-49f5-b602-0e9d723b747f</errorID>
      <errorWord>）</errorWord>
      <group>L1_Punc</group>
      <groupName>标点问题</groupName>
      <ability>L2_Punc</ability>
      <abilityName>标点符号检查</abilityName>
      <candidateList/>
      <explain>同一形式括号套用。</explain>
      <paraID>5ECB084C</paraID>
      <start>113</start>
      <end>114</end>
      <status>ignored</status>
      <modifiedWord/>
      <trackRevisions>false</trackRevisions>
    </reviewItem>
    <reviewItem>
      <errorID>71be5467-02d8-42dd-91a8-cdcae9b3681e</errorID>
      <errorWord>）</errorWord>
      <group>L1_Punc</group>
      <groupName>标点问题</groupName>
      <ability>L2_Punc</ability>
      <abilityName>标点符号检查</abilityName>
      <candidateList/>
      <explain>同一形式括号套用。</explain>
      <paraID>5ECB084C</paraID>
      <start>133</start>
      <end>134</end>
      <status>ignored</status>
      <modifiedWord/>
      <trackRevisions>false</trackRevisions>
    </reviewItem>
    <reviewItem>
      <errorID>a8421b7c-5fa2-4110-9f68-c91b8af69676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5ECB0A7E</paraID>
      <start>0</start>
      <end>2</end>
      <status>ignored</status>
      <modifiedWord/>
      <trackRevisions>false</trackRevisions>
    </reviewItem>
    <reviewItem>
      <errorID>19704233-a5a8-445e-9133-6a31902697b6</errorID>
      <errorWord>WiFi</errorWord>
      <group>L1_Punc</group>
      <groupName>标点问题</groupName>
      <ability>L2_Punc</ability>
      <abilityName>标点符号检查</abilityName>
      <candidateList>
        <item>Wi-Fi</item>
      </candidateList>
      <explain/>
      <paraID>5ECB0A7E</paraID>
      <start>11</start>
      <end>15</end>
      <status>ignored</status>
      <modifiedWord/>
      <trackRevisions>false</trackRevisions>
    </reviewItem>
    <reviewItem>
      <errorID>d0fb5a83-51ea-4ecb-bc9a-93ca089b7f4c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5ECB0A7F</paraID>
      <start>0</start>
      <end>2</end>
      <status>ignored</status>
      <modifiedWord/>
      <trackRevisions>false</trackRevisions>
    </reviewItem>
    <reviewItem>
      <errorID>96f6302f-3b7f-4d51-825a-2f6d598a5e75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5ECB0A80</paraID>
      <start>0</start>
      <end>2</end>
      <status>ignored</status>
      <modifiedWord/>
      <trackRevisions>false</trackRevisions>
    </reviewItem>
    <reviewItem>
      <errorID>68874684-243c-4059-a866-7d97ca59db70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5ECB0A81</paraID>
      <start>0</start>
      <end>2</end>
      <status>ignored</status>
      <modifiedWord/>
      <trackRevisions>false</trackRevisions>
    </reviewItem>
    <reviewItem>
      <errorID>38f9dcd8-3d7d-4c51-a109-6e86935f8924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5ECB0A82</paraID>
      <start>0</start>
      <end>2</end>
      <status>ignored</status>
      <modifiedWord/>
      <trackRevisions>false</trackRevisions>
    </reviewItem>
    <reviewItem>
      <errorID>306f8e1c-fb45-494c-bcd2-9dcd75e77e84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5ECB0A83</paraID>
      <start>0</start>
      <end>2</end>
      <status>ignored</status>
      <modifiedWord/>
      <trackRevisions>false</trackRevisions>
    </reviewItem>
    <reviewItem>
      <errorID>da61b2d2-68f5-4ec4-9d7e-fc542120be7a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5ECB0A85</paraID>
      <start>0</start>
      <end>2</end>
      <status>ignored</status>
      <modifiedWord/>
      <trackRevisions>false</trackRevisions>
    </reviewItem>
    <reviewItem>
      <errorID>b073c89e-52c0-4a8b-b52c-9d4443b7d0d8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5ECB0A8A</paraID>
      <start>0</start>
      <end>2</end>
      <status>ignored</status>
      <modifiedWord/>
      <trackRevisions>false</trackRevisions>
    </reviewItem>
    <reviewItem>
      <errorID>dc05159f-1511-44f4-b310-2bc8c2782d53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5ECB0A8B</paraID>
      <start>0</start>
      <end>2</end>
      <status>ignored</status>
      <modifiedWord/>
      <trackRevisions>false</trackRevisions>
    </reviewItem>
    <reviewItem>
      <errorID>5f9eff78-ee0f-4f46-beda-af8ff8f5d8de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5ECB0A8C</paraID>
      <start>0</start>
      <end>2</end>
      <status>ignored</status>
      <modifiedWord/>
      <trackRevisions>false</trackRevisions>
    </reviewItem>
    <reviewItem>
      <errorID>795ef928-881a-49be-867d-da4d335a1bae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5ECB0A8D</paraID>
      <start>0</start>
      <end>2</end>
      <status>ignored</status>
      <modifiedWord/>
      <trackRevisions>false</trackRevisions>
    </reviewItem>
    <reviewItem>
      <errorID>8fd8847c-03fd-4ba2-82b2-dbf76bcc8a8a</errorID>
      <errorWord>3、</errorWord>
      <group>L1_Format</group>
      <groupName>格式问题</groupName>
      <ability>L2_Ordinal</ability>
      <abilityName>序号格式</abilityName>
      <candidateList>
        <item>3.</item>
      </candidateList>
      <explain>当前序号格式不规范，建议修改为规范格式[3.]。</explain>
      <paraID>5ECB0A99</paraID>
      <start>0</start>
      <end>2</end>
      <status>ignored</status>
      <modifiedWord/>
      <trackRevisions>false</trackRevisions>
    </reviewItem>
    <reviewItem>
      <errorID>c4f655c0-123b-4c90-82d3-ff716ae2d179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5ECB0A9A</paraID>
      <start>0</start>
      <end>2</end>
      <status>ignored</status>
      <modifiedWord/>
      <trackRevisions>false</trackRevisions>
    </reviewItem>
    <reviewItem>
      <errorID>23061972-010f-4bc6-b4e6-adee1b6d4551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5ECB0A9B</paraID>
      <start>0</start>
      <end>2</end>
      <status>ignored</status>
      <modifiedWord/>
      <trackRevisions>false</trackRevisions>
    </reviewItem>
    <reviewItem>
      <errorID>6dd0302d-6f25-491c-b155-00deed85a951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5ECB0A9C</paraID>
      <start>0</start>
      <end>2</end>
      <status>ignored</status>
      <modifiedWord/>
      <trackRevisions>false</trackRevisions>
    </reviewItem>
    <reviewItem>
      <errorID>90e98563-89f2-41ad-908f-ab889fab9b76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5ECB0A9D</paraID>
      <start>0</start>
      <end>2</end>
      <status>ignored</status>
      <modifiedWord/>
      <trackRevisions>false</trackRevisions>
    </reviewItem>
    <reviewItem>
      <errorID>34a9d430-ddf8-44cb-bdbe-cc4911cbff27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5ECB0AA2</paraID>
      <start>0</start>
      <end>2</end>
      <status>ignored</status>
      <modifiedWord/>
      <trackRevisions>false</trackRevisions>
    </reviewItem>
    <reviewItem>
      <errorID>4b45e454-112e-4148-8a8a-b27a57d47648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5ECB0AA3</paraID>
      <start>0</start>
      <end>2</end>
      <status>ignored</status>
      <modifiedWord/>
      <trackRevisions>false</trackRevisions>
    </reviewItem>
    <reviewItem>
      <errorID>b94214d3-0d74-4bce-9aac-09ff337da84b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5ECB0AA4</paraID>
      <start>0</start>
      <end>2</end>
      <status>ignored</status>
      <modifiedWord/>
      <trackRevisions>false</trackRevisions>
    </reviewItem>
    <reviewItem>
      <errorID>5c1d8674-4ec1-4e71-b207-a6828de638d2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5ECB0AA5</paraID>
      <start>0</start>
      <end>2</end>
      <status>ignored</status>
      <modifiedWord/>
      <trackRevisions>false</trackRevisions>
    </reviewItem>
    <reviewItem>
      <errorID>79423726-1498-417d-a310-2da6c0768d62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5ECB0AA6</paraID>
      <start>0</start>
      <end>2</end>
      <status>ignored</status>
      <modifiedWord/>
      <trackRevisions>false</trackRevisions>
    </reviewItem>
    <reviewItem>
      <errorID>d20de425-2f12-411e-87c2-942d9f1b1bf3</errorID>
      <errorWord>6、</errorWord>
      <group>L1_Format</group>
      <groupName>格式问题</groupName>
      <ability>L2_Ordinal</ability>
      <abilityName>序号格式</abilityName>
      <candidateList>
        <item>6.</item>
      </candidateList>
      <explain>当前序号格式不规范，建议修改为规范格式[6.]。</explain>
      <paraID>5ECB0AA7</paraID>
      <start>0</start>
      <end>2</end>
      <status>ignored</status>
      <modifiedWord/>
      <trackRevisions>false</trackRevisions>
    </reviewItem>
    <reviewItem>
      <errorID>b6adc37e-fd18-4798-8901-98edf83c214e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5ECB0AA8</paraID>
      <start>0</start>
      <end>2</end>
      <status>ignored</status>
      <modifiedWord/>
      <trackRevisions>false</trackRevisions>
    </reviewItem>
    <reviewItem>
      <errorID>b5a9702a-55d4-4896-a7b7-8186f65a3861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5ECB0AB2</paraID>
      <start>0</start>
      <end>2</end>
      <status>ignored</status>
      <modifiedWord/>
      <trackRevisions>false</trackRevisions>
    </reviewItem>
    <reviewItem>
      <errorID>a0f4de6d-5eec-4616-9474-112d3d43dd2e</errorID>
      <errorWord>2、</errorWord>
      <group>L1_Format</group>
      <groupName>格式问题</groupName>
      <ability>L2_Ordinal</ability>
      <abilityName>序号格式</abilityName>
      <candidateList>
        <item>2.</item>
      </candidateList>
      <explain>当前序号格式不规范，建议修改为规范格式[2.]。</explain>
      <paraID>5ECB0AB3</paraID>
      <start>0</start>
      <end>2</end>
      <status>ignored</status>
      <modifiedWord/>
      <trackRevisions>false</trackRevisions>
    </reviewItem>
    <reviewItem>
      <errorID>9231ea24-b945-4bdd-bc1e-5c9c96e389a5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5ECB0AB4</paraID>
      <start>0</start>
      <end>2</end>
      <status>ignored</status>
      <modifiedWord/>
      <trackRevisions>false</trackRevisions>
    </reviewItem>
    <reviewItem>
      <errorID>5f21f2af-2514-4dde-ad8e-2dd003dbf549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5ECB0AB5</paraID>
      <start>0</start>
      <end>2</end>
      <status>ignored</status>
      <modifiedWord/>
      <trackRevisions>false</trackRevisions>
    </reviewItem>
    <reviewItem>
      <errorID>5ec1c9de-0e36-4a1b-9766-22f92cc5c7f9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5ECB0AB6</paraID>
      <start>0</start>
      <end>2</end>
      <status>ignored</status>
      <modifiedWord/>
      <trackRevisions>false</trackRevisions>
    </reviewItem>
    <reviewItem>
      <errorID>fd5965e4-c6a1-4d8a-82a1-ece8fa138597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5ECB0AB7</paraID>
      <start>0</start>
      <end>2</end>
      <status>ignored</status>
      <modifiedWord/>
      <trackRevisions>false</trackRevisions>
    </reviewItem>
    <reviewItem>
      <errorID>d9b7066a-f9b3-4d24-b5e6-44dfc32bd9ae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5ECB0ABC</paraID>
      <start>0</start>
      <end>2</end>
      <status>ignored</status>
      <modifiedWord/>
      <trackRevisions>false</trackRevisions>
    </reviewItem>
    <reviewItem>
      <errorID>3929fb38-bdf7-4df0-9b13-8958b5829d46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5ECB0ABC</paraID>
      <start>14</start>
      <end>15</end>
      <status>ignored</status>
      <modifiedWord/>
      <trackRevisions>false</trackRevisions>
    </reviewItem>
    <reviewItem>
      <errorID>414f6765-fb04-475e-9754-96ae3f9088b9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5ECB0ABD</paraID>
      <start>0</start>
      <end>2</end>
      <status>ignored</status>
      <modifiedWord/>
      <trackRevisions>false</trackRevisions>
    </reviewItem>
    <reviewItem>
      <errorID>d0ba82cc-b672-4a47-8dbd-70a4cce7784e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5ECB0ABE</paraID>
      <start>0</start>
      <end>2</end>
      <status>ignored</status>
      <modifiedWord/>
      <trackRevisions>false</trackRevisions>
    </reviewItem>
    <reviewItem>
      <errorID>0969b417-fcf8-44a5-b9c7-f7d19468ea17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5ECB0ABF</paraID>
      <start>0</start>
      <end>2</end>
      <status>ignored</status>
      <modifiedWord/>
      <trackRevisions>false</trackRevisions>
    </reviewItem>
    <reviewItem>
      <errorID>cf334cbf-8865-403a-9f62-92ce3cb2a03e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5ECB0AC0</paraID>
      <start>0</start>
      <end>2</end>
      <status>ignored</status>
      <modifiedWord/>
      <trackRevisions>false</trackRevisions>
    </reviewItem>
    <reviewItem>
      <errorID>434e29fe-64ef-452c-a313-ed4c4cd6ac2f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5ECB0ACA</paraID>
      <start>0</start>
      <end>2</end>
      <status>ignored</status>
      <modifiedWord/>
      <trackRevisions>false</trackRevisions>
    </reviewItem>
    <reviewItem>
      <errorID>e1d7c283-6c9c-41ef-a37b-68c4d2e146cd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5ECB0AD1</paraID>
      <start>0</start>
      <end>2</end>
      <status>ignored</status>
      <modifiedWord/>
      <trackRevisions>false</trackRevisions>
    </reviewItem>
    <reviewItem>
      <errorID>638bfabc-bca2-4bb7-9720-7e318a83abf4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5ECB0AD8</paraID>
      <start>0</start>
      <end>2</end>
      <status>ignored</status>
      <modifiedWord/>
      <trackRevisions>false</trackRevisions>
    </reviewItem>
    <reviewItem>
      <errorID>ac24782a-ff45-4162-95b4-4a642f2f4f33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5ECB0ADF</paraID>
      <start>0</start>
      <end>2</end>
      <status>ignored</status>
      <modifiedWord/>
      <trackRevisions>false</trackRevisions>
    </reviewItem>
    <reviewItem>
      <errorID>6cfae9e3-6ce9-4381-a3bf-f77aa33c4846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5ECB0AE2</paraID>
      <start>0</start>
      <end>2</end>
      <status>ignored</status>
      <modifiedWord/>
      <trackRevisions>false</trackRevisions>
    </reviewItem>
    <reviewItem>
      <errorID>43321512-fa37-4f3e-9a95-e6202e3bd75d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5ECB0AE7</paraID>
      <start>0</start>
      <end>2</end>
      <status>ignored</status>
      <modifiedWord/>
      <trackRevisions>false</trackRevisions>
    </reviewItem>
    <reviewItem>
      <errorID>2b2264c9-b3bd-4127-bf7b-c9cd16add934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5ECB0AE8</paraID>
      <start>0</start>
      <end>2</end>
      <status>ignored</status>
      <modifiedWord/>
      <trackRevisions>false</trackRevisions>
    </reviewItem>
    <reviewItem>
      <errorID>dbb62abd-896a-4f71-97f3-41cbddb832f6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5ECB0AEC</paraID>
      <start>0</start>
      <end>2</end>
      <status>ignored</status>
      <modifiedWord/>
      <trackRevisions>false</trackRevisions>
    </reviewItem>
    <reviewItem>
      <errorID>f5da65ea-f860-432e-a200-9c40e5c197dd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5ECB0AED</paraID>
      <start>0</start>
      <end>2</end>
      <status>ignored</status>
      <modifiedWord/>
      <trackRevisions>false</trackRevisions>
    </reviewItem>
    <reviewItem>
      <errorID>7c00a71f-9c8f-4b8f-9449-4880cf1c6a78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5ECB0AEE</paraID>
      <start>0</start>
      <end>3</end>
      <status>ignored</status>
      <modifiedWord/>
      <trackRevisions>false</trackRevisions>
    </reviewItem>
    <reviewItem>
      <errorID>e4ce4dd8-0a1a-4925-970b-53134c4dde5e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5ECB0AF3</paraID>
      <start>0</start>
      <end>2</end>
      <status>ignored</status>
      <modifiedWord/>
      <trackRevisions>false</trackRevisions>
    </reviewItem>
    <reviewItem>
      <errorID>d7b7109a-c96a-42e5-a974-8fa350d795b8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5ECB0AFD</paraID>
      <start>0</start>
      <end>2</end>
      <status>ignored</status>
      <modifiedWord/>
      <trackRevisions>false</trackRevisions>
    </reviewItem>
    <reviewItem>
      <errorID>26e2cc1a-f093-4fd9-a2c6-7055623f0f41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5ECB0AFE</paraID>
      <start>8</start>
      <end>9</end>
      <status>ignored</status>
      <modifiedWord/>
      <trackRevisions>false</trackRevisions>
    </reviewItem>
    <reviewItem>
      <errorID>c3036a3f-778c-434f-a22d-a69c08810f07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5ECB0B05</paraID>
      <start>0</start>
      <end>2</end>
      <status>ignored</status>
      <modifiedWord/>
      <trackRevisions>false</trackRevisions>
    </reviewItem>
    <reviewItem>
      <errorID>8a549853-084e-4cd5-b161-6e9630644329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5ECB0B06</paraID>
      <start>9</start>
      <end>10</end>
      <status>ignored</status>
      <modifiedWord/>
      <trackRevisions>false</trackRevisions>
    </reviewItem>
    <reviewItem>
      <errorID>cf0d793b-7e69-4ca5-b34d-5834de887477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5ECB0B0D</paraID>
      <start>0</start>
      <end>2</end>
      <status>ignored</status>
      <modifiedWord/>
      <trackRevisions>false</trackRevisions>
    </reviewItem>
    <reviewItem>
      <errorID>d9d170fe-49f9-4734-b730-076a7e57d65a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5ECB0B0E</paraID>
      <start>9</start>
      <end>10</end>
      <status>ignored</status>
      <modifiedWord/>
      <trackRevisions>false</trackRevisions>
    </reviewItem>
    <reviewItem>
      <errorID>e6aeee1b-1d8f-44b9-964e-52b5b0836155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5ECB0B13</paraID>
      <start>0</start>
      <end>2</end>
      <status>ignored</status>
      <modifiedWord/>
      <trackRevisions>false</trackRevisions>
    </reviewItem>
    <reviewItem>
      <errorID>918c4843-2441-4ca6-9645-873a2894a14e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5ECB0B16</paraID>
      <start>0</start>
      <end>2</end>
      <status>ignored</status>
      <modifiedWord/>
      <trackRevisions>false</trackRevisions>
    </reviewItem>
    <reviewItem>
      <errorID>7f9bb1b2-3303-4561-bdca-1ea8e87c9d92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5ECB0B1B</paraID>
      <start>0</start>
      <end>2</end>
      <status>ignored</status>
      <modifiedWord/>
      <trackRevisions>false</trackRevisions>
    </reviewItem>
    <reviewItem>
      <errorID>1d83bea4-ad39-4e48-8bac-c5a4c7b147a8</errorID>
      <errorWord>适</errorWord>
      <group>L1_Word</group>
      <groupName>字词问题</groupName>
      <ability>L2_Typo</ability>
      <abilityName>字词错误</abilityName>
      <candidateList>
        <item>适应</item>
      </candidateList>
      <explain/>
      <paraID>5ECB0B1D</paraID>
      <start>33</start>
      <end>34</end>
      <status>ignored</status>
      <modifiedWord/>
      <trackRevisions>false</trackRevisions>
    </reviewItem>
    <reviewItem>
      <errorID>6afd7449-a871-48c1-a495-76c44b3f073a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5ECB0B1F</paraID>
      <start>0</start>
      <end>2</end>
      <status>ignored</status>
      <modifiedWord/>
      <trackRevisions>false</trackRevisions>
    </reviewItem>
    <reviewItem>
      <errorID>29615d7c-f92b-4704-8cc7-9b2ad8f1fdc7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5ECB0B2F</paraID>
      <start>0</start>
      <end>2</end>
      <status>ignored</status>
      <modifiedWord/>
      <trackRevisions>false</trackRevisions>
    </reviewItem>
    <reviewItem>
      <errorID>4dc952d0-c1f0-42bf-a617-eec54b2aef60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5ECB0B35</paraID>
      <start>0</start>
      <end>2</end>
      <status>ignored</status>
      <modifiedWord/>
      <trackRevisions>false</trackRevisions>
    </reviewItem>
    <reviewItem>
      <errorID>a36b268c-6c7a-4ef3-9839-9735d92b95c7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5ECB0B3B</paraID>
      <start>0</start>
      <end>3</end>
      <status>ignored</status>
      <modifiedWord/>
      <trackRevisions>false</trackRevisions>
    </reviewItem>
    <reviewItem>
      <errorID>199e2188-3823-42bc-84fc-7e7915b3c12b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5ECB0B3C</paraID>
      <start>0</start>
      <end>3</end>
      <status>ignored</status>
      <modifiedWord/>
      <trackRevisions>false</trackRevisions>
    </reviewItem>
    <reviewItem>
      <errorID>71a32e16-93e5-44d6-8c16-82b9205cb03b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5ECB0B3D</paraID>
      <start>0</start>
      <end>3</end>
      <status>ignored</status>
      <modifiedWord/>
      <trackRevisions>false</trackRevisions>
    </reviewItem>
    <reviewItem>
      <errorID>1b3eea0a-bfda-4255-8703-6280f6aeb1d8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5ECB0B42</paraID>
      <start>0</start>
      <end>2</end>
      <status>ignored</status>
      <modifiedWord/>
      <trackRevisions>false</trackRevisions>
    </reviewItem>
    <reviewItem>
      <errorID>7e4575c5-1d90-4877-81c8-d3c82e5f69b9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5ECB0B4C</paraID>
      <start>0</start>
      <end>2</end>
      <status>ignored</status>
      <modifiedWord/>
      <trackRevisions>false</trackRevisions>
    </reviewItem>
    <reviewItem>
      <errorID>6b88f677-b234-4644-9d51-b0c337efa295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5ECB0B4D</paraID>
      <start>0</start>
      <end>2</end>
      <status>ignored</status>
      <modifiedWord/>
      <trackRevisions>false</trackRevisions>
    </reviewItem>
    <reviewItem>
      <errorID>4d3e5506-ccbe-456c-8ba4-d335e7dcf9e2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5ECB0B4E</paraID>
      <start>0</start>
      <end>2</end>
      <status>ignored</status>
      <modifiedWord/>
      <trackRevisions>false</trackRevisions>
    </reviewItem>
    <reviewItem>
      <errorID>bb148d1c-0a2a-43fa-8112-f544617516c4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5ECB0B4F</paraID>
      <start>0</start>
      <end>2</end>
      <status>ignored</status>
      <modifiedWord/>
      <trackRevisions>false</trackRevisions>
    </reviewItem>
    <reviewItem>
      <errorID>8e492835-9199-4122-afc5-1eabb40b06b0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5ECB0B50</paraID>
      <start>0</start>
      <end>2</end>
      <status>ignored</status>
      <modifiedWord/>
      <trackRevisions>false</trackRevisions>
    </reviewItem>
    <reviewItem>
      <errorID>16197fb3-4d10-49ad-9cc1-573944479497</errorID>
      <errorWord>6、</errorWord>
      <group>L1_Format</group>
      <groupName>格式问题</groupName>
      <ability>L2_Ordinal</ability>
      <abilityName>序号格式</abilityName>
      <candidateList>
        <item>6.</item>
      </candidateList>
      <explain>当前序号格式不规范，建议修改为规范格式[6.]。</explain>
      <paraID>5ECB0B51</paraID>
      <start>0</start>
      <end>2</end>
      <status>ignored</status>
      <modifiedWord/>
      <trackRevisions>false</trackRevisions>
    </reviewItem>
    <reviewItem>
      <errorID>45f0374e-812c-4dbc-baf6-94aba3c05608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5ECB0B52</paraID>
      <start>0</start>
      <end>2</end>
      <status>ignored</status>
      <modifiedWord/>
      <trackRevisions>false</trackRevisions>
    </reviewItem>
    <reviewItem>
      <errorID>68d5f324-3a42-4cc8-b61f-0e2b9ae5bc5f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5ECB0B53</paraID>
      <start>0</start>
      <end>2</end>
      <status>ignored</status>
      <modifiedWord/>
      <trackRevisions>false</trackRevisions>
    </reviewItem>
    <reviewItem>
      <errorID>b23301d1-dd36-4573-9d26-dfd803374ea1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5ECB0B54</paraID>
      <start>0</start>
      <end>2</end>
      <status>ignored</status>
      <modifiedWord/>
      <trackRevisions>false</trackRevisions>
    </reviewItem>
    <reviewItem>
      <errorID>dfb0c6c5-5a41-4efd-b28c-874309b2ad51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5ECB0B55</paraID>
      <start>0</start>
      <end>3</end>
      <status>ignored</status>
      <modifiedWord/>
      <trackRevisions>false</trackRevisions>
    </reviewItem>
    <reviewItem>
      <errorID>3f27c558-61e3-4ca9-bee3-6fe43392e475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5ECB0B5A</paraID>
      <start>0</start>
      <end>2</end>
      <status>ignored</status>
      <modifiedWord/>
      <trackRevisions>false</trackRevisions>
    </reviewItem>
    <reviewItem>
      <errorID>7c689d36-c66d-412a-9f9c-0c50b73f94dd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5ECB0B5B</paraID>
      <start>0</start>
      <end>2</end>
      <status>ignored</status>
      <modifiedWord/>
      <trackRevisions>false</trackRevisions>
    </reviewItem>
    <reviewItem>
      <errorID>6c53aa1d-8cae-4d9a-9cf4-fbbe4e6f7e36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5ECB0B5C</paraID>
      <start>0</start>
      <end>2</end>
      <status>ignored</status>
      <modifiedWord/>
      <trackRevisions>false</trackRevisions>
    </reviewItem>
    <reviewItem>
      <errorID>182b58a5-583b-47e9-b265-245eb624f4a8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5ECB0B5D</paraID>
      <start>0</start>
      <end>2</end>
      <status>ignored</status>
      <modifiedWord/>
      <trackRevisions>false</trackRevisions>
    </reviewItem>
    <reviewItem>
      <errorID>23154c86-e7d0-441e-9e51-51fe3f0bce4e</errorID>
      <errorWord>5、</errorWord>
      <group>L1_Format</group>
      <groupName>格式问题</groupName>
      <ability>L2_Ordinal</ability>
      <abilityName>序号格式</abilityName>
      <candidateList>
        <item>5.</item>
      </candidateList>
      <explain>当前序号格式不规范，建议修改为规范格式[5.]。</explain>
      <paraID>5ECB0B5E</paraID>
      <start>0</start>
      <end>2</end>
      <status>ignored</status>
      <modifiedWord/>
      <trackRevisions>false</trackRevisions>
    </reviewItem>
    <reviewItem>
      <errorID>2748fa6b-5e85-4f3d-8df4-162bafdee2ac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5ECB0B5F</paraID>
      <start>0</start>
      <end>2</end>
      <status>ignored</status>
      <modifiedWord/>
      <trackRevisions>false</trackRevisions>
    </reviewItem>
    <reviewItem>
      <errorID>1f0f69f0-b0ca-4bd1-a31c-7b1f1850f52f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5ECB0B60</paraID>
      <start>0</start>
      <end>2</end>
      <status>ignored</status>
      <modifiedWord/>
      <trackRevisions>false</trackRevisions>
    </reviewItem>
    <reviewItem>
      <errorID>04a1e43a-65f7-4a8f-8ff8-1e118e336bb5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5ECB0B6A</paraID>
      <start>0</start>
      <end>2</end>
      <status>ignored</status>
      <modifiedWord/>
      <trackRevisions>false</trackRevisions>
    </reviewItem>
    <reviewItem>
      <errorID>b71de06c-2bab-44ca-b03e-5a999875788b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5ECB0B6B</paraID>
      <start>0</start>
      <end>2</end>
      <status>ignored</status>
      <modifiedWord/>
      <trackRevisions>false</trackRevisions>
    </reviewItem>
    <reviewItem>
      <errorID>8058f2f4-fd6d-4b0e-995b-80879ee245a5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5ECB0B6C</paraID>
      <start>0</start>
      <end>2</end>
      <status>ignored</status>
      <modifiedWord/>
      <trackRevisions>false</trackRevisions>
    </reviewItem>
    <reviewItem>
      <errorID>81a63968-9e8d-48dd-b8ea-f16711f0c9a9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5ECB0B6D</paraID>
      <start>0</start>
      <end>2</end>
      <status>ignored</status>
      <modifiedWord/>
      <trackRevisions>false</trackRevisions>
    </reviewItem>
    <reviewItem>
      <errorID>a8df7531-43c9-4816-b5f5-47063413679b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5ECB0B6E</paraID>
      <start>0</start>
      <end>2</end>
      <status>ignored</status>
      <modifiedWord/>
      <trackRevisions>false</trackRevisions>
    </reviewItem>
    <reviewItem>
      <errorID>7e1902fb-984b-495e-ab67-141904c841bb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5ECB0B6F</paraID>
      <start>0</start>
      <end>2</end>
      <status>ignored</status>
      <modifiedWord/>
      <trackRevisions>false</trackRevisions>
    </reviewItem>
    <reviewItem>
      <errorID>f7d31a16-0f1f-45f7-ba92-de2570782301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5ECB0B70</paraID>
      <start>0</start>
      <end>2</end>
      <status>ignored</status>
      <modifiedWord/>
      <trackRevisions>false</trackRevisions>
    </reviewItem>
    <reviewItem>
      <errorID>a6d20e8a-dd25-4466-b67f-ea5de442c067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5ECB0B71</paraID>
      <start>0</start>
      <end>2</end>
      <status>ignored</status>
      <modifiedWord/>
      <trackRevisions>false</trackRevisions>
    </reviewItem>
    <reviewItem>
      <errorID>6a6da65f-01db-4110-8c6e-975c1b857f31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5ECB0B72</paraID>
      <start>0</start>
      <end>2</end>
      <status>ignored</status>
      <modifiedWord/>
      <trackRevisions>false</trackRevisions>
    </reviewItem>
    <reviewItem>
      <errorID>d65297bf-2915-4619-8031-bd7a623571ee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5ECB0B73</paraID>
      <start>0</start>
      <end>3</end>
      <status>ignored</status>
      <modifiedWord/>
      <trackRevisions>false</trackRevisions>
    </reviewItem>
    <reviewItem>
      <errorID>5cea0dde-82ae-4e75-8363-4179f122b631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5ECB0B74</paraID>
      <start>0</start>
      <end>3</end>
      <status>ignored</status>
      <modifiedWord/>
      <trackRevisions>false</trackRevisions>
    </reviewItem>
    <reviewItem>
      <errorID>c3e74948-8afb-4d3f-a407-ce302dcb2819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5ECB0B75</paraID>
      <start>0</start>
      <end>3</end>
      <status>ignored</status>
      <modifiedWord/>
      <trackRevisions>false</trackRevisions>
    </reviewItem>
    <reviewItem>
      <errorID>fc6348d5-59c1-446c-8830-b25edddf8918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5ECB0B76</paraID>
      <start>0</start>
      <end>3</end>
      <status>ignored</status>
      <modifiedWord/>
      <trackRevisions>false</trackRevisions>
    </reviewItem>
    <reviewItem>
      <errorID>88e00061-5c31-44b3-87b5-6469f2301357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5ECB0B77</paraID>
      <start>0</start>
      <end>3</end>
      <status>ignored</status>
      <modifiedWord/>
      <trackRevisions>false</trackRevisions>
    </reviewItem>
    <reviewItem>
      <errorID>a3f9d047-698b-475d-8cec-9c43c317741a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5ECB0B78</paraID>
      <start>0</start>
      <end>3</end>
      <status>ignored</status>
      <modifiedWord/>
      <trackRevisions>false</trackRevisions>
    </reviewItem>
    <reviewItem>
      <errorID>76ec5f6e-a13c-4f17-a9ae-ed662a95cd82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5ECB0B7A</paraID>
      <start>0</start>
      <end>3</end>
      <status>ignored</status>
      <modifiedWord/>
      <trackRevisions>false</trackRevisions>
    </reviewItem>
    <reviewItem>
      <errorID>f638b394-7f3c-4b88-a63f-443864f6174b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5ECB0B7B</paraID>
      <start>0</start>
      <end>3</end>
      <status>ignored</status>
      <modifiedWord/>
      <trackRevisions>false</trackRevisions>
    </reviewItem>
    <reviewItem>
      <errorID>8ed17ffe-94ad-4469-b431-140db2289a60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5ECB0B7C</paraID>
      <start>0</start>
      <end>3</end>
      <status>ignored</status>
      <modifiedWord/>
      <trackRevisions>false</trackRevisions>
    </reviewItem>
    <reviewItem>
      <errorID>c5841c7b-0d34-4dcb-8429-7e88a533f391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5ECB0B7D</paraID>
      <start>0</start>
      <end>3</end>
      <status>ignored</status>
      <modifiedWord/>
      <trackRevisions>false</trackRevisions>
    </reviewItem>
    <reviewItem>
      <errorID>4617b118-aa2a-404d-93e4-4a6b3af4c92e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5ECB0B7E</paraID>
      <start>0</start>
      <end>3</end>
      <status>ignored</status>
      <modifiedWord/>
      <trackRevisions>false</trackRevisions>
    </reviewItem>
    <reviewItem>
      <errorID>0c4ff6c8-6f0e-4930-9c0d-6d3a77805289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5ECB0B83</paraID>
      <start>0</start>
      <end>2</end>
      <status>ignored</status>
      <modifiedWord/>
      <trackRevisions>false</trackRevisions>
    </reviewItem>
    <reviewItem>
      <errorID>43f84c63-f010-422d-ab8d-a7748ad3aa71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5ECB0B83</paraID>
      <start>8</start>
      <end>9</end>
      <status>ignored</status>
      <modifiedWord/>
      <trackRevisions>false</trackRevisions>
    </reviewItem>
    <reviewItem>
      <errorID>7ab56381-782e-4700-822a-8068f845d2db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5ECB0B84</paraID>
      <start>0</start>
      <end>2</end>
      <status>ignored</status>
      <modifiedWord/>
      <trackRevisions>false</trackRevisions>
    </reviewItem>
    <reviewItem>
      <errorID>35589767-e067-4659-b9c2-bdef79390870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5ECB0B85</paraID>
      <start>0</start>
      <end>2</end>
      <status>ignored</status>
      <modifiedWord/>
      <trackRevisions>false</trackRevisions>
    </reviewItem>
    <reviewItem>
      <errorID>a755beec-7bd8-4ffb-a988-e410f00f700d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5ECB0B86</paraID>
      <start>0</start>
      <end>2</end>
      <status>ignored</status>
      <modifiedWord/>
      <trackRevisions>false</trackRevisions>
    </reviewItem>
    <reviewItem>
      <errorID>82961575-b836-4729-b1cc-380595fb0e99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5ECB0B87</paraID>
      <start>0</start>
      <end>2</end>
      <status>ignored</status>
      <modifiedWord/>
      <trackRevisions>false</trackRevisions>
    </reviewItem>
    <reviewItem>
      <errorID>0c352b70-0c84-4f53-a9fc-197a1181be80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5ECB0B88</paraID>
      <start>0</start>
      <end>2</end>
      <status>ignored</status>
      <modifiedWord/>
      <trackRevisions>false</trackRevisions>
    </reviewItem>
    <reviewItem>
      <errorID>045de1a0-1f74-42cf-ab66-f2a87def5399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5ECB0B92</paraID>
      <start>0</start>
      <end>2</end>
      <status>ignored</status>
      <modifiedWord/>
      <trackRevisions>false</trackRevisions>
    </reviewItem>
    <reviewItem>
      <errorID>48606e50-bcfb-42b1-8e68-62bff5c26582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5ECB0BA6</paraID>
      <start>0</start>
      <end>2</end>
      <status>ignored</status>
      <modifiedWord/>
      <trackRevisions>false</trackRevisions>
    </reviewItem>
    <reviewItem>
      <errorID>039e2486-4c41-4ee1-839d-a413cf801398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5ECB0BAD</paraID>
      <start>26</start>
      <end>27</end>
      <status>ignored</status>
      <modifiedWord/>
      <trackRevisions>false</trackRevisions>
    </reviewItem>
    <reviewItem>
      <errorID>043f331e-2922-41ef-b810-56fce99ab36b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5ECB0BAE</paraID>
      <start>0</start>
      <end>2</end>
      <status>ignored</status>
      <modifiedWord/>
      <trackRevisions>false</trackRevisions>
    </reviewItem>
    <reviewItem>
      <errorID>54bd4e00-dfd7-4117-91e5-1a0859ea9d74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5ECB0BAF</paraID>
      <start>0</start>
      <end>2</end>
      <status>ignored</status>
      <modifiedWord/>
      <trackRevisions>false</trackRevisions>
    </reviewItem>
    <reviewItem>
      <errorID>276c85c5-c4d0-4f4a-a361-169097df085b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5ECB0BB0</paraID>
      <start>0</start>
      <end>2</end>
      <status>ignored</status>
      <modifiedWord/>
      <trackRevisions>false</trackRevisions>
    </reviewItem>
    <reviewItem>
      <errorID>354bc6ab-36e6-480d-86f3-9a025c1a55d5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5ECB0BB1</paraID>
      <start>0</start>
      <end>2</end>
      <status>ignored</status>
      <modifiedWord/>
      <trackRevisions>false</trackRevisions>
    </reviewItem>
    <reviewItem>
      <errorID>62445487-753c-467c-8c5e-8d8987190201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5ECB0BB6</paraID>
      <start>0</start>
      <end>2</end>
      <status>ignored</status>
      <modifiedWord/>
      <trackRevisions>false</trackRevisions>
    </reviewItem>
    <reviewItem>
      <errorID>78e256ab-ac48-4c4e-bfdf-d6bfc32a3886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5ECB0BBD</paraID>
      <start>0</start>
      <end>2</end>
      <status>ignored</status>
      <modifiedWord/>
      <trackRevisions>false</trackRevisions>
    </reviewItem>
    <reviewItem>
      <errorID>2693451c-b0c5-485d-9528-68cc54924c08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5ECB0BC7</paraID>
      <start>0</start>
      <end>2</end>
      <status>ignored</status>
      <modifiedWord/>
      <trackRevisions>false</trackRevisions>
    </reviewItem>
    <reviewItem>
      <errorID>7af11b59-5673-4a13-8064-2c2758b98d56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5ECB0BC8</paraID>
      <start>0</start>
      <end>2</end>
      <status>ignored</status>
      <modifiedWord/>
      <trackRevisions>false</trackRevisions>
    </reviewItem>
    <reviewItem>
      <errorID>28e51e7a-e7e1-4ab2-861e-7187ec527cbf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5ECB0BC9</paraID>
      <start>0</start>
      <end>2</end>
      <status>ignored</status>
      <modifiedWord/>
      <trackRevisions>false</trackRevisions>
    </reviewItem>
    <reviewItem>
      <errorID>49ff7673-4019-4d8f-a3a4-4917bdb0c419</errorID>
      <errorWord>4、</errorWord>
      <group>L1_Format</group>
      <groupName>格式问题</groupName>
      <ability>L2_Ordinal</ability>
      <abilityName>序号格式</abilityName>
      <candidateList>
        <item>4.</item>
      </candidateList>
      <explain>当前序号格式不规范，建议修改为规范格式[4.]。</explain>
      <paraID>5ECB0BCA</paraID>
      <start>0</start>
      <end>2</end>
      <status>ignored</status>
      <modifiedWord/>
      <trackRevisions>false</trackRevisions>
    </reviewItem>
    <reviewItem>
      <errorID>4dbc824c-44fa-45f2-b542-9e3c85d0c8d8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5ECB0BCB</paraID>
      <start>0</start>
      <end>2</end>
      <status>ignored</status>
      <modifiedWord/>
      <trackRevisions>false</trackRevisions>
    </reviewItem>
    <reviewItem>
      <errorID>7a2b9357-6577-4687-925b-715956a4e4d0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5ECB0BCC</paraID>
      <start>0</start>
      <end>2</end>
      <status>ignored</status>
      <modifiedWord/>
      <trackRevisions>false</trackRevisions>
    </reviewItem>
    <reviewItem>
      <errorID>a2e41d86-b8ce-49cd-9dd3-3140db573b5a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5ECB0BCD</paraID>
      <start>0</start>
      <end>2</end>
      <status>ignored</status>
      <modifiedWord/>
      <trackRevisions>false</trackRevisions>
    </reviewItem>
    <reviewItem>
      <errorID>249c889d-db62-4887-827e-6f3e7d78edaa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5ECB0BCE</paraID>
      <start>0</start>
      <end>2</end>
      <status>ignored</status>
      <modifiedWord/>
      <trackRevisions>false</trackRevisions>
    </reviewItem>
    <reviewItem>
      <errorID>a450997d-d31c-4a2d-943a-dcb727971b87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5ECB0BCF</paraID>
      <start>0</start>
      <end>2</end>
      <status>ignored</status>
      <modifiedWord/>
      <trackRevisions>false</trackRevisions>
    </reviewItem>
    <reviewItem>
      <errorID>be522358-c858-483b-a440-1f5f82d13372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5ECB0BD0</paraID>
      <start>0</start>
      <end>3</end>
      <status>ignored</status>
      <modifiedWord/>
      <trackRevisions>false</trackRevisions>
    </reviewItem>
    <reviewItem>
      <errorID>a5c4ff4b-5942-4f45-be2b-180f9d170681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5ECB0BD5</paraID>
      <start>0</start>
      <end>2</end>
      <status>ignored</status>
      <modifiedWord/>
      <trackRevisions>false</trackRevisions>
    </reviewItem>
    <reviewItem>
      <errorID>def02501-fe75-42c9-89e3-80c6719bc0d5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5ECB0BDF</paraID>
      <start>0</start>
      <end>2</end>
      <status>ignored</status>
      <modifiedWord/>
      <trackRevisions>false</trackRevisions>
    </reviewItem>
    <reviewItem>
      <errorID>96d6bd90-908f-4218-b29f-68499275d6e6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5ECB0BF3</paraID>
      <start>0</start>
      <end>2</end>
      <status>ignored</status>
      <modifiedWord/>
      <trackRevisions>false</trackRevisions>
    </reviewItem>
    <reviewItem>
      <errorID>e8dfe907-6463-4e9d-9207-ab747c842366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5ECB0BFA</paraID>
      <start>26</start>
      <end>27</end>
      <status>ignored</status>
      <modifiedWord/>
      <trackRevisions>false</trackRevisions>
    </reviewItem>
    <reviewItem>
      <errorID>1b5ef801-a6dd-4249-93eb-b936d12d1256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5ECB0BFB</paraID>
      <start>0</start>
      <end>2</end>
      <status>ignored</status>
      <modifiedWord/>
      <trackRevisions>false</trackRevisions>
    </reviewItem>
    <reviewItem>
      <errorID>1952e07f-5265-4cbf-b144-fa63a883d58d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5ECB0BFC</paraID>
      <start>0</start>
      <end>2</end>
      <status>ignored</status>
      <modifiedWord/>
      <trackRevisions>false</trackRevisions>
    </reviewItem>
    <reviewItem>
      <errorID>da66dd81-7b18-4f17-9a62-2995d4495e05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5ECB0BFD</paraID>
      <start>0</start>
      <end>2</end>
      <status>ignored</status>
      <modifiedWord/>
      <trackRevisions>false</trackRevisions>
    </reviewItem>
    <reviewItem>
      <errorID>159e7fe0-2dee-4799-821d-1f750ba02333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5ECB0BFE</paraID>
      <start>0</start>
      <end>2</end>
      <status>ignored</status>
      <modifiedWord/>
      <trackRevisions>false</trackRevisions>
    </reviewItem>
    <reviewItem>
      <errorID>b951b88e-76bb-4f13-81d0-14b5e1349d32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5ECB0C03</paraID>
      <start>0</start>
      <end>2</end>
      <status>ignored</status>
      <modifiedWord/>
      <trackRevisions>false</trackRevisions>
    </reviewItem>
    <reviewItem>
      <errorID>e8c18e7b-c2dd-493c-b4ce-d5ff5d921f78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5ECB0C0A</paraID>
      <start>0</start>
      <end>2</end>
      <status>ignored</status>
      <modifiedWord/>
      <trackRevisions>false</trackRevisions>
    </reviewItem>
    <reviewItem>
      <errorID>fdcc1af2-d4ed-4026-bc76-225587ba6438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5ECB0C14</paraID>
      <start>0</start>
      <end>2</end>
      <status>ignored</status>
      <modifiedWord/>
      <trackRevisions>false</trackRevisions>
    </reviewItem>
    <reviewItem>
      <errorID>3987ed98-f49e-4274-9bf5-559a8999d948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5ECB0C1C</paraID>
      <start>17</start>
      <end>18</end>
      <status>ignored</status>
      <modifiedWord/>
      <trackRevisions>false</trackRevisions>
    </reviewItem>
    <reviewItem>
      <errorID>fb8eadfb-9542-4ca3-808b-5ab69178c721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5ECB0C28</paraID>
      <start>0</start>
      <end>2</end>
      <status>ignored</status>
      <modifiedWord/>
      <trackRevisions>false</trackRevisions>
    </reviewItem>
    <reviewItem>
      <errorID>91ed3d33-c8b1-4bf6-882d-14ec763e1ba3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5ECB0C2C</paraID>
      <start>0</start>
      <end>2</end>
      <status>ignored</status>
      <modifiedWord/>
      <trackRevisions>false</trackRevisions>
    </reviewItem>
    <reviewItem>
      <errorID>3b185792-2281-4a2d-bda7-0d335413d053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5ECB0C2D</paraID>
      <start>0</start>
      <end>2</end>
      <status>ignored</status>
      <modifiedWord/>
      <trackRevisions>false</trackRevisions>
    </reviewItem>
    <reviewItem>
      <errorID>08257b2b-86b1-4115-902c-5679a1104ad2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5ECB0C2E</paraID>
      <start>0</start>
      <end>2</end>
      <status>ignored</status>
      <modifiedWord/>
      <trackRevisions>false</trackRevisions>
    </reviewItem>
    <reviewItem>
      <errorID>380db5ae-49d3-4b95-83a6-15669d86ab2d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5ECB0C33</paraID>
      <start>0</start>
      <end>2</end>
      <status>ignored</status>
      <modifiedWord/>
      <trackRevisions>false</trackRevisions>
    </reviewItem>
    <reviewItem>
      <errorID>da61c234-c9f6-42aa-ab24-4b328a17a817</errorID>
      <errorWord>噪音</errorWord>
      <group>L1_Word</group>
      <groupName>字词问题</groupName>
      <ability>L2_Alias</ability>
      <abilityName>也作/曾用词</abilityName>
      <candidateList>
        <item>噪声</item>
      </candidateList>
      <explain>词汇[噪音]为不规范表述或旧称，其规范书面表述为[噪声]。</explain>
      <paraID>5ECB0C3C</paraID>
      <start>3</start>
      <end>5</end>
      <status>ignored</status>
      <modifiedWord/>
      <trackRevisions>false</trackRevisions>
    </reviewItem>
    <reviewItem>
      <errorID>97357c86-dd3b-402b-9a13-fe22f51c5101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5ECB0C46</paraID>
      <start>0</start>
      <end>2</end>
      <status>ignored</status>
      <modifiedWord/>
      <trackRevisions>false</trackRevisions>
    </reviewItem>
    <reviewItem>
      <errorID>3ab290be-1cc4-457c-87a4-73b33f3a8050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5ECB0C54</paraID>
      <start>0</start>
      <end>2</end>
      <status>ignored</status>
      <modifiedWord/>
      <trackRevisions>false</trackRevisions>
    </reviewItem>
    <reviewItem>
      <errorID>07e7e3f6-070f-40bc-899b-71c23501c30c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5ECB0C59</paraID>
      <start>0</start>
      <end>2</end>
      <status>ignored</status>
      <modifiedWord/>
      <trackRevisions>false</trackRevisions>
    </reviewItem>
    <reviewItem>
      <errorID>a1be2220-40d3-425a-8af9-6b557989b9e6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5ECB0C5E</paraID>
      <start>0</start>
      <end>2</end>
      <status>ignored</status>
      <modifiedWord/>
      <trackRevisions>false</trackRevisions>
    </reviewItem>
    <reviewItem>
      <errorID>82386aa1-4ed4-45c8-b801-80b3cc489456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5ECB0C62</paraID>
      <start>0</start>
      <end>2</end>
      <status>ignored</status>
      <modifiedWord/>
      <trackRevisions>false</trackRevisions>
    </reviewItem>
    <reviewItem>
      <errorID>e3c36e8f-6cc9-47ce-8153-9459227e75dc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5ECB0C74</paraID>
      <start>0</start>
      <end>2</end>
      <status>ignored</status>
      <modifiedWord/>
      <trackRevisions>false</trackRevisions>
    </reviewItem>
    <reviewItem>
      <errorID>be233903-8024-457d-82d6-c58f3bbb24b8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5ECB0C78</paraID>
      <start>0</start>
      <end>2</end>
      <status>ignored</status>
      <modifiedWord/>
      <trackRevisions>false</trackRevisions>
    </reviewItem>
    <reviewItem>
      <errorID>b697e092-5fe8-469e-87e4-05ebedbe2d10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5ECB0C7A</paraID>
      <start>0</start>
      <end>2</end>
      <status>ignored</status>
      <modifiedWord/>
      <trackRevisions>false</trackRevisions>
    </reviewItem>
    <reviewItem>
      <errorID>a43956ca-0af6-403e-a57f-92139a2ff99f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5ECB0C7B</paraID>
      <start>0</start>
      <end>2</end>
      <status>ignored</status>
      <modifiedWord/>
      <trackRevisions>false</trackRevisions>
    </reviewItem>
    <reviewItem>
      <errorID>ec3ca05b-fb06-4fc4-bab7-8ec85f0cc6b7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5ECB0C80</paraID>
      <start>1</start>
      <end>3</end>
      <status>ignored</status>
      <modifiedWord/>
      <trackRevisions>false</trackRevisions>
    </reviewItem>
    <reviewItem>
      <errorID>3701c4e5-6bfa-4e52-982c-b15eeef63413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5ECB0C8A</paraID>
      <start>0</start>
      <end>2</end>
      <status>ignored</status>
      <modifiedWord/>
      <trackRevisions>false</trackRevisions>
    </reviewItem>
    <reviewItem>
      <errorID>deb6e0c9-64d4-452a-8721-d04303e4afe1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5ECB0C8E</paraID>
      <start>0</start>
      <end>2</end>
      <status>ignored</status>
      <modifiedWord/>
      <trackRevisions>false</trackRevisions>
    </reviewItem>
    <reviewItem>
      <errorID>e2aa908e-1f83-4656-a5e1-c73bc73f98e4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5ECB0C8F</paraID>
      <start>0</start>
      <end>2</end>
      <status>ignored</status>
      <modifiedWord/>
      <trackRevisions>false</trackRevisions>
    </reviewItem>
    <reviewItem>
      <errorID>5812ff63-d547-4bf9-b605-38f675d272df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5ECB0C90</paraID>
      <start>0</start>
      <end>2</end>
      <status>ignored</status>
      <modifiedWord/>
      <trackRevisions>false</trackRevisions>
    </reviewItem>
    <reviewItem>
      <errorID>29f893b7-ff6d-4c50-9063-6a28f5317a8b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5ECB0C95</paraID>
      <start>0</start>
      <end>2</end>
      <status>ignored</status>
      <modifiedWord/>
      <trackRevisions>false</trackRevisions>
    </reviewItem>
    <reviewItem>
      <errorID>dd7dc9e6-28e3-4a7a-8671-417593a3024a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5ECB0C98</paraID>
      <start>27</start>
      <end>28</end>
      <status>ignored</status>
      <modifiedWord/>
      <trackRevisions>false</trackRevisions>
    </reviewItem>
    <reviewItem>
      <errorID>c68bbfed-298d-4f58-b1d9-aa1460350ed5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5ECB0C9C</paraID>
      <start>0</start>
      <end>2</end>
      <status>ignored</status>
      <modifiedWord/>
      <trackRevisions>false</trackRevisions>
    </reviewItem>
    <reviewItem>
      <errorID>ee53d987-2a03-423b-b05f-c90d38c8b167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5ECB0CA6</paraID>
      <start>0</start>
      <end>2</end>
      <status>ignored</status>
      <modifiedWord/>
      <trackRevisions>false</trackRevisions>
    </reviewItem>
    <reviewItem>
      <errorID>95c3007e-4a8c-4a4d-a62a-92c9a22bc7b2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5ECB0CB4</paraID>
      <start>0</start>
      <end>2</end>
      <status>ignored</status>
      <modifiedWord/>
      <trackRevisions>false</trackRevisions>
    </reviewItem>
    <reviewItem>
      <errorID>a5c98c0e-0be8-4ddd-8242-7b4eaf37f0f2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5ECB0CC0</paraID>
      <start>0</start>
      <end>2</end>
      <status>ignored</status>
      <modifiedWord/>
      <trackRevisions>false</trackRevisions>
    </reviewItem>
    <reviewItem>
      <errorID>05f258aa-94d3-4da9-bd6e-a11022592621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5ECB0CCE</paraID>
      <start>0</start>
      <end>2</end>
      <status>ignored</status>
      <modifiedWord/>
      <trackRevisions>false</trackRevisions>
    </reviewItem>
    <reviewItem>
      <errorID>aaabb7d3-7d6a-4247-9ff0-01738c346bb0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5ECB0CD3</paraID>
      <start>0</start>
      <end>2</end>
      <status>ignored</status>
      <modifiedWord/>
      <trackRevisions>false</trackRevisions>
    </reviewItem>
    <reviewItem>
      <errorID>205ae07d-f4c4-4d82-90f4-65e8009f3728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5ECB0CD8</paraID>
      <start>0</start>
      <end>2</end>
      <status>ignored</status>
      <modifiedWord/>
      <trackRevisions>false</trackRevisions>
    </reviewItem>
    <reviewItem>
      <errorID>b64fc433-4568-420c-ad94-573b202db8fb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5ECB0CDC</paraID>
      <start>0</start>
      <end>2</end>
      <status>ignored</status>
      <modifiedWord/>
      <trackRevisions>false</trackRevisions>
    </reviewItem>
    <reviewItem>
      <errorID>c7e9451c-3dd6-4fbc-9e4f-2f4a2d28927e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5ECB0CEE</paraID>
      <start>0</start>
      <end>2</end>
      <status>ignored</status>
      <modifiedWord/>
      <trackRevisions>false</trackRevisions>
    </reviewItem>
    <reviewItem>
      <errorID>d0f0f2ab-ee6a-457f-b183-c67497b7ba1b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5ECB0CF2</paraID>
      <start>0</start>
      <end>2</end>
      <status>ignored</status>
      <modifiedWord/>
      <trackRevisions>false</trackRevisions>
    </reviewItem>
    <reviewItem>
      <errorID>9f4707ba-0cbc-4324-af14-5ab733ea7155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5ECB0CF4</paraID>
      <start>0</start>
      <end>3</end>
      <status>ignored</status>
      <modifiedWord/>
      <trackRevisions>false</trackRevisions>
    </reviewItem>
    <reviewItem>
      <errorID>381f4868-f55f-4fde-802e-a1d5a6527205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5ECB0CF5</paraID>
      <start>0</start>
      <end>3</end>
      <status>ignored</status>
      <modifiedWord/>
      <trackRevisions>false</trackRevisions>
    </reviewItem>
    <reviewItem>
      <errorID>2c06c4e2-fc70-49c7-89f5-94c2ca5a32f5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5ECB0CFA</paraID>
      <start>0</start>
      <end>2</end>
      <status>ignored</status>
      <modifiedWord/>
      <trackRevisions>false</trackRevisions>
    </reviewItem>
    <reviewItem>
      <errorID>645630da-0956-4881-87f6-3c508dfbcb12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5ECB0D04</paraID>
      <start>0</start>
      <end>2</end>
      <status>ignored</status>
      <modifiedWord/>
      <trackRevisions>false</trackRevisions>
    </reviewItem>
    <reviewItem>
      <errorID>ffabaa17-98bc-4a50-98e0-6565af8adad6</errorID>
      <errorWord>污水厂</errorWord>
      <group>L1_Word</group>
      <groupName>字词问题</groupName>
      <ability>L2_Typo</ability>
      <abilityName>字词错误</abilityName>
      <candidateList>
        <item>污水处理厂</item>
      </candidateList>
      <explain/>
      <paraID>5ECB0D06</paraID>
      <start>42</start>
      <end>45</end>
      <status>ignored</status>
      <modifiedWord/>
      <trackRevisions>false</trackRevisions>
    </reviewItem>
    <reviewItem>
      <errorID>9b881b90-5563-499f-b7e5-c92fca5bc42f</errorID>
      <errorWord>污水厂</errorWord>
      <group>L1_Word</group>
      <groupName>字词问题</groupName>
      <ability>L2_Typo</ability>
      <abilityName>字词错误</abilityName>
      <candidateList>
        <item>污水处理厂</item>
      </candidateList>
      <explain/>
      <paraID>5ECB0D0F</paraID>
      <start>0</start>
      <end>3</end>
      <status>ignored</status>
      <modifiedWord/>
      <trackRevisions>false</trackRevisions>
    </reviewItem>
    <reviewItem>
      <errorID>df9adbf2-290f-47eb-aca7-8e1d98279862</errorID>
      <errorWord>-</errorWord>
      <group>L1_Format</group>
      <groupName>格式问题</groupName>
      <ability>L2_HalfPunc</ability>
      <abilityName>全半角检查</abilityName>
      <candidateList>
        <item>－</item>
      </candidateList>
      <explain>文本全半角错误。</explain>
      <paraID>5ECB0D1E</paraID>
      <start>22</start>
      <end>23</end>
      <status>ignored</status>
      <modifiedWord/>
      <trackRevisions>false</trackRevisions>
    </reviewItem>
    <reviewItem>
      <errorID>8c2bc52b-77b3-4f7a-8d3f-aeae1f82e83c</errorID>
      <errorWord>-</errorWord>
      <group>L1_Format</group>
      <groupName>格式问题</groupName>
      <ability>L2_HalfPunc</ability>
      <abilityName>全半角检查</abilityName>
      <candidateList>
        <item>－</item>
      </candidateList>
      <explain>文本全半角错误。</explain>
      <paraID>5ECB0D1E</paraID>
      <start>25</start>
      <end>26</end>
      <status>ignored</status>
      <modifiedWord/>
      <trackRevisions>false</trackRevisions>
    </reviewItem>
    <reviewItem>
      <errorID>e03d9020-d9db-4deb-84f8-20a5fe47d66b</errorID>
      <errorWord>-</errorWord>
      <group>L1_Format</group>
      <groupName>格式问题</groupName>
      <ability>L2_HalfPunc</ability>
      <abilityName>全半角检查</abilityName>
      <candidateList>
        <item>－</item>
      </candidateList>
      <explain>文本全半角错误。</explain>
      <paraID>5ECB0D1E</paraID>
      <start>28</start>
      <end>29</end>
      <status>ignored</status>
      <modifiedWord/>
      <trackRevisions>false</trackRevisions>
    </reviewItem>
    <reviewItem>
      <errorID>653c4a5d-2dc3-4f1f-b35c-283df3cb408c</errorID>
      <errorWord>污水厂</errorWord>
      <group>L1_Word</group>
      <groupName>字词问题</groupName>
      <ability>L2_Typo</ability>
      <abilityName>字词错误</abilityName>
      <candidateList>
        <item>污水处理厂</item>
      </candidateList>
      <explain/>
      <paraID>5ECB0D1E</paraID>
      <start>29</start>
      <end>32</end>
      <status>ignored</status>
      <modifiedWord/>
      <trackRevisions>false</trackRevisions>
    </reviewItem>
    <reviewItem>
      <errorID>e96769f1-f20d-4dcc-979d-14fa7f36f7f4</errorID>
      <errorWord>污水厂</errorWord>
      <group>L1_Word</group>
      <groupName>字词问题</groupName>
      <ability>L2_Typo</ability>
      <abilityName>字词错误</abilityName>
      <candidateList>
        <item>污水处理厂</item>
      </candidateList>
      <explain/>
      <paraID>5ECB0D1F</paraID>
      <start>13</start>
      <end>16</end>
      <status>ignored</status>
      <modifiedWord/>
      <trackRevisions>false</trackRevisions>
    </reviewItem>
    <reviewItem>
      <errorID>954ee01e-0852-4809-ac7c-5c0096d8bb03</errorID>
      <errorWord>-</errorWord>
      <group>L1_Format</group>
      <groupName>格式问题</groupName>
      <ability>L2_HalfPunc</ability>
      <abilityName>全半角检查</abilityName>
      <candidateList>
        <item>－</item>
      </candidateList>
      <explain>文本全半角错误。</explain>
      <paraID>5ECB0D1F</paraID>
      <start>16</start>
      <end>17</end>
      <status>ignored</status>
      <modifiedWord/>
      <trackRevisions>false</trackRevisions>
    </reviewItem>
    <reviewItem>
      <errorID>8a503554-5234-4256-8cc3-f2968b440189</errorID>
      <errorWord>-</errorWord>
      <group>L1_Format</group>
      <groupName>格式问题</groupName>
      <ability>L2_HalfPunc</ability>
      <abilityName>全半角检查</abilityName>
      <candidateList>
        <item>－</item>
      </candidateList>
      <explain>文本全半角错误。</explain>
      <paraID>5ECB0D1F</paraID>
      <start>18</start>
      <end>19</end>
      <status>ignored</status>
      <modifiedWord/>
      <trackRevisions>false</trackRevisions>
    </reviewItem>
    <reviewItem>
      <errorID>539da763-3f25-4168-84f3-04558e1ad820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5ECB0D20</paraID>
      <start>0</start>
      <end>2</end>
      <status>ignored</status>
      <modifiedWord/>
      <trackRevisions>false</trackRevisions>
    </reviewItem>
    <reviewItem>
      <errorID>11750302-100f-4ba7-854d-2686af93486e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5ECB0D2E</paraID>
      <start>0</start>
      <end>2</end>
      <status>ignored</status>
      <modifiedWord/>
      <trackRevisions>false</trackRevisions>
    </reviewItem>
    <reviewItem>
      <errorID>40e08eb3-f6a3-4680-8130-4b84f39e4640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5ECB0D3E</paraID>
      <start>0</start>
      <end>2</end>
      <status>ignored</status>
      <modifiedWord/>
      <trackRevisions>false</trackRevisions>
    </reviewItem>
    <reviewItem>
      <errorID>e00a2e68-113d-4226-9a24-d0f5e05cf9a0</errorID>
      <errorWord>总览</errorWord>
      <group>L1_Word</group>
      <groupName>字词问题</groupName>
      <ability>L2_Typo</ability>
      <abilityName>字词错误</abilityName>
      <candidateList>
        <item>总量</item>
      </candidateList>
      <explain/>
      <paraID>5ECB0D41</paraID>
      <start>4</start>
      <end>6</end>
      <status>ignored</status>
      <modifiedWord/>
      <trackRevisions>false</trackRevisions>
    </reviewItem>
    <reviewItem>
      <errorID>3566a8c2-7562-4d0c-bc9c-5da15467c3a3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5ECB0D4F</paraID>
      <start>0</start>
      <end>2</end>
      <status>ignored</status>
      <modifiedWord/>
      <trackRevisions>false</trackRevisions>
    </reviewItem>
    <reviewItem>
      <errorID>f3d4dde2-9bd0-4f27-beb1-afcf2d765aad</errorID>
      <errorWord>污水厂</errorWord>
      <group>L1_Word</group>
      <groupName>字词问题</groupName>
      <ability>L2_Typo</ability>
      <abilityName>字词错误</abilityName>
      <candidateList>
        <item>污水处理厂</item>
      </candidateList>
      <explain/>
      <paraID>5ECB0D4F</paraID>
      <start>2</start>
      <end>5</end>
      <status>ignored</status>
      <modifiedWord/>
      <trackRevisions>false</trackRevisions>
    </reviewItem>
    <reviewItem>
      <errorID>27450548-9622-4253-ac00-67b058c8507f</errorID>
      <errorWord>污水厂</errorWord>
      <group>L1_Word</group>
      <groupName>字词问题</groupName>
      <ability>L2_Typo</ability>
      <abilityName>字词错误</abilityName>
      <candidateList>
        <item>污水处理厂</item>
      </candidateList>
      <explain/>
      <paraID>5ECB0D50</paraID>
      <start>3</start>
      <end>6</end>
      <status>ignored</status>
      <modifiedWord/>
      <trackRevisions>false</trackRevisions>
    </reviewItem>
    <reviewItem>
      <errorID>e614fa8e-b557-42ac-b9be-4f45f6177961</errorID>
      <errorWord>污水厂</errorWord>
      <group>L1_Word</group>
      <groupName>字词问题</groupName>
      <ability>L2_Typo</ability>
      <abilityName>字词错误</abilityName>
      <candidateList>
        <item>污水处理厂</item>
      </candidateList>
      <explain/>
      <paraID>5ECB0D51</paraID>
      <start>11</start>
      <end>14</end>
      <status>ignored</status>
      <modifiedWord/>
      <trackRevisions>false</trackRevisions>
    </reviewItem>
    <reviewItem>
      <errorID>b545203c-093b-4a03-bed2-03c56e39015b</errorID>
      <errorWord>污水厂</errorWord>
      <group>L1_Word</group>
      <groupName>字词问题</groupName>
      <ability>L2_Typo</ability>
      <abilityName>字词错误</abilityName>
      <candidateList>
        <item>污水处理厂</item>
      </candidateList>
      <explain/>
      <paraID>5ECB0D51</paraID>
      <start>30</start>
      <end>33</end>
      <status>ignored</status>
      <modifiedWord/>
      <trackRevisions>false</trackRevisions>
    </reviewItem>
    <reviewItem>
      <errorID>bfaedd9f-ec04-4d55-865d-80552e807541</errorID>
      <errorWord>污水厂</errorWord>
      <group>L1_Word</group>
      <groupName>字词问题</groupName>
      <ability>L2_Typo</ability>
      <abilityName>字词错误</abilityName>
      <candidateList>
        <item>污水处理厂</item>
      </candidateList>
      <explain/>
      <paraID>5ECB0D52</paraID>
      <start>11</start>
      <end>14</end>
      <status>ignored</status>
      <modifiedWord/>
      <trackRevisions>false</trackRevisions>
    </reviewItem>
    <reviewItem>
      <errorID>3cb2d353-a6ee-424a-839f-09504b39f297</errorID>
      <errorWord>污水厂</errorWord>
      <group>L1_Word</group>
      <groupName>字词问题</groupName>
      <ability>L2_Typo</ability>
      <abilityName>字词错误</abilityName>
      <candidateList>
        <item>污水处理厂</item>
      </candidateList>
      <explain/>
      <paraID>5ECB0D53</paraID>
      <start>6</start>
      <end>9</end>
      <status>ignored</status>
      <modifiedWord/>
      <trackRevisions>false</trackRevisions>
    </reviewItem>
    <reviewItem>
      <errorID>5b657d79-fc73-46d0-8bcd-ca6a03357e1b</errorID>
      <errorWord>污水厂</errorWord>
      <group>L1_Word</group>
      <groupName>字词问题</groupName>
      <ability>L2_Typo</ability>
      <abilityName>字词错误</abilityName>
      <candidateList>
        <item>污水处理厂</item>
      </candidateList>
      <explain/>
      <paraID>5ECB0D5A</paraID>
      <start>14</start>
      <end>17</end>
      <status>ignored</status>
      <modifiedWord/>
      <trackRevisions>false</trackRevisions>
    </reviewItem>
    <reviewItem>
      <errorID>d1ffa698-a433-4ccb-9d1b-99686ff04ddd</errorID>
      <errorWord>污水厂</errorWord>
      <group>L1_Word</group>
      <groupName>字词问题</groupName>
      <ability>L2_Typo</ability>
      <abilityName>字词错误</abilityName>
      <candidateList>
        <item>污水处理厂</item>
      </candidateList>
      <explain/>
      <paraID>5ECB0D5B</paraID>
      <start>2</start>
      <end>5</end>
      <status>ignored</status>
      <modifiedWord/>
      <trackRevisions>false</trackRevisions>
    </reviewItem>
    <reviewItem>
      <errorID>d9b99960-5492-49e8-bfa1-0adf5db43e7c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5ECB0D6A</paraID>
      <start>0</start>
      <end>2</end>
      <status>ignored</status>
      <modifiedWord/>
      <trackRevisions>false</trackRevisions>
    </reviewItem>
    <reviewItem>
      <errorID>506a7594-70a3-417a-8e2d-320fbc1302d7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5ECB0D72</paraID>
      <start>0</start>
      <end>2</end>
      <status>ignored</status>
      <modifiedWord/>
      <trackRevisions>false</trackRevisions>
    </reviewItem>
    <reviewItem>
      <errorID>8af3642e-28c7-4f7d-be46-ef8966e89399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5ECB0D77</paraID>
      <start>0</start>
      <end>2</end>
      <status>ignored</status>
      <modifiedWord/>
      <trackRevisions>false</trackRevisions>
    </reviewItem>
    <reviewItem>
      <errorID>1f92a444-2969-4ec0-9387-b0d270f2d489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5ECB0D7B</paraID>
      <start>0</start>
      <end>2</end>
      <status>ignored</status>
      <modifiedWord/>
      <trackRevisions>false</trackRevisions>
    </reviewItem>
    <reviewItem>
      <errorID>4642732b-5c0b-4fc3-b7be-e61ca13f902c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5ECB0D7E</paraID>
      <start>0</start>
      <end>2</end>
      <status>ignored</status>
      <modifiedWord/>
      <trackRevisions>false</trackRevisions>
    </reviewItem>
    <reviewItem>
      <errorID>b91e4a92-52d0-4660-bb6b-ac381d621062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5ECB0D83</paraID>
      <start>0</start>
      <end>2</end>
      <status>ignored</status>
      <modifiedWord/>
      <trackRevisions>false</trackRevisions>
    </reviewItem>
    <reviewItem>
      <errorID>ef87d5df-ade2-4cff-bcc6-25d623b0b88d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5ECB0D93</paraID>
      <start>0</start>
      <end>2</end>
      <status>ignored</status>
      <modifiedWord/>
      <trackRevisions>false</trackRevisions>
    </reviewItem>
    <reviewItem>
      <errorID>156cf194-84ed-4775-b3e6-bb8d29f738ec</errorID>
      <errorWord>1万-12万</errorWord>
      <group>L1_Knowledge</group>
      <groupName>知识性问题</groupName>
      <ability>L2_Knowledge</ability>
      <abilityName>其他知识</abilityName>
      <candidateList>
        <item>1万—12万</item>
      </candidateList>
      <explain>1. “1万-12万”中的单位“万”仅出现在后一个数字上，容易引起歧义；根据《现代汉语标点符号数字用法规范手册》，数字表示范围两边需要使用统一的格式。2.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5ECB0DED</paraID>
      <start>138</start>
      <end>144</end>
      <status>ignored</status>
      <modifiedWord/>
      <trackRevisions>false</trackRevisions>
    </reviewItem>
    <reviewItem>
      <errorID>ef39183c-3c57-4300-a32e-122bb7bd01b2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5ECB0E04</paraID>
      <start>0</start>
      <end>2</end>
      <status>modified</status>
      <modifiedWord>1.</modifiedWord>
      <trackRevisions>false</trackRevisions>
    </reviewItem>
    <reviewItem>
      <errorID>2367197b-2213-4690-abea-3827c9e9696c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5ECB0E07</paraID>
      <start>0</start>
      <end>2</end>
      <status>modified</status>
      <modifiedWord>2.</modifiedWord>
      <trackRevisions>false</trackRevisions>
    </reviewItem>
    <reviewItem>
      <errorID>8d24b627-a66e-4763-8a8e-fdbb05fef391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5ECB0E30</paraID>
      <start>0</start>
      <end>2</end>
      <status>ignored</status>
      <modifiedWord/>
      <trackRevisions>false</trackRevisions>
    </reviewItem>
    <reviewItem>
      <errorID>0fa1a7d0-71e8-4585-81bd-3a24c4418c4d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5ECB0E31</paraID>
      <start>0</start>
      <end>2</end>
      <status>ignored</status>
      <modifiedWord/>
      <trackRevisions>false</trackRevisions>
    </reviewItem>
    <reviewItem>
      <errorID>c0007808-80a4-4951-af64-7155dc754969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5ECB0E32</paraID>
      <start>0</start>
      <end>2</end>
      <status>ignored</status>
      <modifiedWord/>
      <trackRevisions>false</trackRevisions>
    </reviewItem>
    <reviewItem>
      <errorID>8663e8c6-ea2b-4084-9f8c-dcb807fcfed7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5ECB0E33</paraID>
      <start>0</start>
      <end>2</end>
      <status>ignored</status>
      <modifiedWord/>
      <trackRevisions>false</trackRevisions>
    </reviewItem>
    <reviewItem>
      <errorID>c2b970b4-6df9-4a8f-8c1b-93bb2ce61a65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5ECB0E34</paraID>
      <start>0</start>
      <end>2</end>
      <status>ignored</status>
      <modifiedWord/>
      <trackRevisions>false</trackRevisions>
    </reviewItem>
    <reviewItem>
      <errorID>fdf84021-c5ed-4352-8771-d95d502368ff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5ECB0E42</paraID>
      <start>0</start>
      <end>2</end>
      <status>ignored</status>
      <modifiedWord/>
      <trackRevisions>false</trackRevisions>
    </reviewItem>
    <reviewItem>
      <errorID>834675df-cacf-47c5-8361-6a1e71ded812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5ECB0E5B</paraID>
      <start>0</start>
      <end>2</end>
      <status>ignored</status>
      <modifiedWord/>
      <trackRevisions>false</trackRevisions>
    </reviewItem>
    <reviewItem>
      <errorID>f580904e-2ac9-4242-9206-10cfd379921e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5ECB0E76</paraID>
      <start>0</start>
      <end>2</end>
      <status>ignored</status>
      <modifiedWord/>
      <trackRevisions>false</trackRevisions>
    </reviewItem>
    <reviewItem>
      <errorID>ee07c49f-39b1-4726-afba-58f61a150065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5ECB0E81</paraID>
      <start>0</start>
      <end>2</end>
      <status>ignored</status>
      <modifiedWord/>
      <trackRevisions>false</trackRevisions>
    </reviewItem>
    <reviewItem>
      <errorID>7578017c-9223-40b9-9ca4-6dcc5f3516e7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5ECB0E9F</paraID>
      <start>0</start>
      <end>2</end>
      <status>ignored</status>
      <modifiedWord/>
      <trackRevisions>false</trackRevisions>
    </reviewItem>
    <reviewItem>
      <errorID>6ab1f878-f181-4efa-b46d-465eb1185c12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5ECB0EA3</paraID>
      <start>0</start>
      <end>2</end>
      <status>ignored</status>
      <modifiedWord/>
      <trackRevisions>false</trackRevisions>
    </reviewItem>
    <reviewItem>
      <errorID>f534c090-b11e-4b41-b2d0-6e29211e9855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5ECB0EA5</paraID>
      <start>0</start>
      <end>2</end>
      <status>ignored</status>
      <modifiedWord/>
      <trackRevisions>false</trackRevisions>
    </reviewItem>
    <reviewItem>
      <errorID>12d3ee8f-42e7-4bcb-b3a2-ab5713de50e1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5ECB0EA9</paraID>
      <start>0</start>
      <end>2</end>
      <status>ignored</status>
      <modifiedWord/>
      <trackRevisions>false</trackRevisions>
    </reviewItem>
    <reviewItem>
      <errorID>fa91926e-787b-4583-b090-948a57219b64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5ECB0EAB</paraID>
      <start>0</start>
      <end>2</end>
      <status>ignored</status>
      <modifiedWord/>
      <trackRevisions>false</trackRevisions>
    </reviewItem>
    <reviewItem>
      <errorID>2c57d418-6e09-4d38-a8b0-f9b5ca0e676e</errorID>
      <errorWord>污水厂</errorWord>
      <group>L1_Word</group>
      <groupName>字词问题</groupName>
      <ability>L2_Typo</ability>
      <abilityName>字词错误</abilityName>
      <candidateList>
        <item>污水处理厂</item>
      </candidateList>
      <explain/>
      <paraID>5ECB0EAD</paraID>
      <start>9</start>
      <end>12</end>
      <status>ignored</status>
      <modifiedWord/>
      <trackRevisions>false</trackRevisions>
    </reviewItem>
    <reviewItem>
      <errorID>38037a16-fde6-466f-9e6d-9ab2c76ef77f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5ECB0EB8</paraID>
      <start>0</start>
      <end>2</end>
      <status>ignored</status>
      <modifiedWord/>
      <trackRevisions>false</trackRevisions>
    </reviewItem>
    <reviewItem>
      <errorID>e2361e44-9bfc-48a6-8a86-16b15f5f7044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5ECB0ECA</paraID>
      <start>0</start>
      <end>2</end>
      <status>ignored</status>
      <modifiedWord/>
      <trackRevisions>false</trackRevisions>
    </reviewItem>
    <reviewItem>
      <errorID>6d533a2c-0312-4ff8-b740-e0cfd36fe98f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5ECB0ECE</paraID>
      <start>0</start>
      <end>2</end>
      <status>ignored</status>
      <modifiedWord/>
      <trackRevisions>false</trackRevisions>
    </reviewItem>
    <reviewItem>
      <errorID>4b9ba9ed-f66d-48af-9fc6-52e108e296f2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5ECB0EE6</paraID>
      <start>0</start>
      <end>2</end>
      <status>ignored</status>
      <modifiedWord/>
      <trackRevisions>false</trackRevisions>
    </reviewItem>
    <reviewItem>
      <errorID>4beec7c8-dc6f-4b8c-b385-a849a74c30c1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5ECB0EEB</paraID>
      <start>0</start>
      <end>3</end>
      <status>ignored</status>
      <modifiedWord/>
      <trackRevisions>false</trackRevisions>
    </reviewItem>
    <reviewItem>
      <errorID>e110c2d4-1e88-4541-8691-03f06c18dcd9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5ECB0EF0</paraID>
      <start>0</start>
      <end>3</end>
      <status>ignored</status>
      <modifiedWord/>
      <trackRevisions>false</trackRevisions>
    </reviewItem>
    <reviewItem>
      <errorID>dd3e939a-3506-4e23-9224-588ce5fb90c6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5ECB0EF2</paraID>
      <start>0</start>
      <end>3</end>
      <status>ignored</status>
      <modifiedWord/>
      <trackRevisions>false</trackRevisions>
    </reviewItem>
    <reviewItem>
      <errorID>983c4762-b73c-4400-bf9f-3c62e094fa24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5ECB0F02</paraID>
      <start>0</start>
      <end>2</end>
      <status>ignored</status>
      <modifiedWord/>
      <trackRevisions>false</trackRevisions>
    </reviewItem>
    <reviewItem>
      <errorID>131410d4-550f-40d8-b877-0f374f966435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5ECB0F04</paraID>
      <start>0</start>
      <end>2</end>
      <status>ignored</status>
      <modifiedWord/>
      <trackRevisions>false</trackRevisions>
    </reviewItem>
    <reviewItem>
      <errorID>b4fa5a1b-1968-4105-936c-504d5607b426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5ECB0F06</paraID>
      <start>0</start>
      <end>2</end>
      <status>ignored</status>
      <modifiedWord/>
      <trackRevisions>false</trackRevisions>
    </reviewItem>
    <reviewItem>
      <errorID>61f1dce6-c14c-4a09-9b07-a53234121443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5ECB0F08</paraID>
      <start>0</start>
      <end>2</end>
      <status>ignored</status>
      <modifiedWord/>
      <trackRevisions>false</trackRevisions>
    </reviewItem>
    <reviewItem>
      <errorID>d15d482e-c626-4243-a073-3ef9f7aa40cc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5ECB0F0A</paraID>
      <start>0</start>
      <end>2</end>
      <status>ignored</status>
      <modifiedWord/>
      <trackRevisions>false</trackRevisions>
    </reviewItem>
    <reviewItem>
      <errorID>1190a45e-a9cb-4600-aad4-20390a69fe51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5ECB0F0C</paraID>
      <start>0</start>
      <end>2</end>
      <status>ignored</status>
      <modifiedWord/>
      <trackRevisions>false</trackRevisions>
    </reviewItem>
    <reviewItem>
      <errorID>adf30908-6bdb-448f-8ff9-93ed5c8dffd8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5ECB0F0E</paraID>
      <start>0</start>
      <end>2</end>
      <status>ignored</status>
      <modifiedWord/>
      <trackRevisions>false</trackRevisions>
    </reviewItem>
    <reviewItem>
      <errorID>c1a87ea3-4477-4d47-b696-ddd976ae5c82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5ECB0F10</paraID>
      <start>0</start>
      <end>2</end>
      <status>ignored</status>
      <modifiedWord/>
      <trackRevisions>false</trackRevisions>
    </reviewItem>
    <reviewItem>
      <errorID>7958a105-31b7-4ce0-94dd-42032f367e7a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5ECB0F12</paraID>
      <start>0</start>
      <end>2</end>
      <status>ignored</status>
      <modifiedWord/>
      <trackRevisions>false</trackRevisions>
    </reviewItem>
    <reviewItem>
      <errorID>25e85b61-2e6e-4bad-8b85-f4e93707aa60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5ECB0F14</paraID>
      <start>0</start>
      <end>3</end>
      <status>ignored</status>
      <modifiedWord/>
      <trackRevisions>false</trackRevisions>
    </reviewItem>
    <reviewItem>
      <errorID>c2771188-2f7b-467a-8f2e-83b9d96e807d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5ECB0F23</paraID>
      <start>0</start>
      <end>2</end>
      <status>ignored</status>
      <modifiedWord/>
      <trackRevisions>false</trackRevisions>
    </reviewItem>
    <reviewItem>
      <errorID>c59aec6f-83d0-4867-b784-efa3ce57cb14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5ECB0F34</paraID>
      <start>0</start>
      <end>2</end>
      <status>ignored</status>
      <modifiedWord/>
      <trackRevisions>false</trackRevisions>
    </reviewItem>
    <reviewItem>
      <errorID>7e96f294-5a86-4e5c-b0ea-e4f96c764bde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5ECB0F46</paraID>
      <start>0</start>
      <end>2</end>
      <status>ignored</status>
      <modifiedWord/>
      <trackRevisions>false</trackRevisions>
    </reviewItem>
    <reviewItem>
      <errorID>d42ec04f-2945-4c13-b277-f8854cb6e699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5ECB0F47</paraID>
      <start>0</start>
      <end>2</end>
      <status>ignored</status>
      <modifiedWord/>
      <trackRevisions>false</trackRevisions>
    </reviewItem>
    <reviewItem>
      <errorID>64fa7a33-0886-4a60-a2fe-9609dfe0912d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5ECB0F63</paraID>
      <start>0</start>
      <end>2</end>
      <status>ignored</status>
      <modifiedWord/>
      <trackRevisions>false</trackRevisions>
    </reviewItem>
    <reviewItem>
      <errorID>962d5765-12ff-45d1-9ce4-577e03716279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5ECB0F68</paraID>
      <start>0</start>
      <end>2</end>
      <status>ignored</status>
      <modifiedWord/>
      <trackRevisions>false</trackRevisions>
    </reviewItem>
    <reviewItem>
      <errorID>bf39f325-f004-47c9-8822-1e2f81d33e5c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5ECB0F6D</paraID>
      <start>0</start>
      <end>2</end>
      <status>ignored</status>
      <modifiedWord/>
      <trackRevisions>false</trackRevisions>
    </reviewItem>
    <reviewItem>
      <errorID>301704c0-1d19-4ac2-b7ba-9f5abe788c57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5ECB0F70</paraID>
      <start>0</start>
      <end>2</end>
      <status>ignored</status>
      <modifiedWord/>
      <trackRevisions>false</trackRevisions>
    </reviewItem>
    <reviewItem>
      <errorID>7f4989ec-98b6-4f69-acf2-ad2eb64f3bc3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5ECB0F73</paraID>
      <start>0</start>
      <end>2</end>
      <status>ignored</status>
      <modifiedWord/>
      <trackRevisions>false</trackRevisions>
    </reviewItem>
    <reviewItem>
      <errorID>2b0bedd8-14f6-4eff-8634-b76dc77b05df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5ECB0F77</paraID>
      <start>0</start>
      <end>2</end>
      <status>ignored</status>
      <modifiedWord/>
      <trackRevisions>false</trackRevisions>
    </reviewItem>
    <reviewItem>
      <errorID>3954ce72-e672-4137-8579-b82e15e38f8d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5ECB0F7A</paraID>
      <start>0</start>
      <end>2</end>
      <status>ignored</status>
      <modifiedWord/>
      <trackRevisions>false</trackRevisions>
    </reviewItem>
    <reviewItem>
      <errorID>638ab278-885f-43fb-8b8c-58fec99e341e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5ECB0F7D</paraID>
      <start>0</start>
      <end>2</end>
      <status>ignored</status>
      <modifiedWord/>
      <trackRevisions>false</trackRevisions>
    </reviewItem>
    <reviewItem>
      <errorID>a9959057-dd02-4fd4-8c86-8a5e2b1a1256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5ECB0F83</paraID>
      <start>0</start>
      <end>2</end>
      <status>ignored</status>
      <modifiedWord/>
      <trackRevisions>false</trackRevisions>
    </reviewItem>
    <reviewItem>
      <errorID>708d78e4-c448-4b76-9555-6f84c6e1fac0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5ECB0F87</paraID>
      <start>0</start>
      <end>3</end>
      <status>ignored</status>
      <modifiedWord/>
      <trackRevisions>false</trackRevisions>
    </reviewItem>
    <reviewItem>
      <errorID>06f0b37e-6e34-4d52-b1e8-f41bc73f5bff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5ECB0F98</paraID>
      <start>0</start>
      <end>2</end>
      <status>ignored</status>
      <modifiedWord/>
      <trackRevisions>false</trackRevisions>
    </reviewItem>
    <reviewItem>
      <errorID>80d1372e-194c-4b54-b708-96c278a9ed4b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5ECB0F9A</paraID>
      <start>0</start>
      <end>2</end>
      <status>ignored</status>
      <modifiedWord/>
      <trackRevisions>false</trackRevisions>
    </reviewItem>
    <reviewItem>
      <errorID>10175a6e-c2d9-4c22-8d8b-8c28125ded81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5ECB0F9F</paraID>
      <start>0</start>
      <end>2</end>
      <status>ignored</status>
      <modifiedWord/>
      <trackRevisions>false</trackRevisions>
    </reviewItem>
    <reviewItem>
      <errorID>6f8e537e-307a-4574-b54e-4fd2d077ded7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5ECB0FA4</paraID>
      <start>0</start>
      <end>2</end>
      <status>ignored</status>
      <modifiedWord/>
      <trackRevisions>false</trackRevisions>
    </reviewItem>
    <reviewItem>
      <errorID>d06a9524-6f65-403e-9099-5d82bd8c2439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5ECB0FA7</paraID>
      <start>0</start>
      <end>2</end>
      <status>ignored</status>
      <modifiedWord/>
      <trackRevisions>false</trackRevisions>
    </reviewItem>
    <reviewItem>
      <errorID>3ebdd461-1af2-43c7-9de2-ed6c4ff6ca93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5ECB0FAA</paraID>
      <start>0</start>
      <end>2</end>
      <status>ignored</status>
      <modifiedWord/>
      <trackRevisions>false</trackRevisions>
    </reviewItem>
    <reviewItem>
      <errorID>14131785-2ee4-4e76-b6d9-44d672870ad7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5ECB0FBB</paraID>
      <start>0</start>
      <end>2</end>
      <status>ignored</status>
      <modifiedWord/>
      <trackRevisions>false</trackRevisions>
    </reviewItem>
    <reviewItem>
      <errorID>192ff3ad-6246-486b-8020-66b8e6cc4359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5ECB0FBC</paraID>
      <start>0</start>
      <end>2</end>
      <status>ignored</status>
      <modifiedWord/>
      <trackRevisions>false</trackRevisions>
    </reviewItem>
    <reviewItem>
      <errorID>0f3e3d63-b367-46bf-91c6-a7d2cf3a1c59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5ECB0FBD</paraID>
      <start>0</start>
      <end>2</end>
      <status>ignored</status>
      <modifiedWord/>
      <trackRevisions>false</trackRevisions>
    </reviewItem>
    <reviewItem>
      <errorID>5059fe38-d310-4a46-b0cf-b1bb70102162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5ECB0FBE</paraID>
      <start>0</start>
      <end>2</end>
      <status>ignored</status>
      <modifiedWord/>
      <trackRevisions>false</trackRevisions>
    </reviewItem>
    <reviewItem>
      <errorID>59066baa-ed5b-43a2-81e2-79163e607edb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5ECB0FBF</paraID>
      <start>0</start>
      <end>2</end>
      <status>ignored</status>
      <modifiedWord/>
      <trackRevisions>false</trackRevisions>
    </reviewItem>
    <reviewItem>
      <errorID>3d48049a-435a-4a3c-b97f-f15aee893759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5ECB0FC0</paraID>
      <start>0</start>
      <end>2</end>
      <status>ignored</status>
      <modifiedWord/>
      <trackRevisions>false</trackRevisions>
    </reviewItem>
    <reviewItem>
      <errorID>acae5c66-c056-459b-bb46-304764ea82ad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5ECB0FC1</paraID>
      <start>0</start>
      <end>2</end>
      <status>ignored</status>
      <modifiedWord/>
      <trackRevisions>false</trackRevisions>
    </reviewItem>
    <reviewItem>
      <errorID>e1014415-8f8a-4ae9-b7a2-c6ba65ef7437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5ECB1007</paraID>
      <start>0</start>
      <end>2</end>
      <status>ignored</status>
      <modifiedWord/>
      <trackRevisions>false</trackRevisions>
    </reviewItem>
    <reviewItem>
      <errorID>00789dcd-f689-433b-8abc-a83dbe40f48b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5ECB100A</paraID>
      <start>0</start>
      <end>2</end>
      <status>ignored</status>
      <modifiedWord/>
      <trackRevisions>false</trackRevisions>
    </reviewItem>
    <reviewItem>
      <errorID>50de6c35-16fc-4077-b825-93d8a29fcc5d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5ECB100C</paraID>
      <start>0</start>
      <end>2</end>
      <status>ignored</status>
      <modifiedWord/>
      <trackRevisions>false</trackRevisions>
    </reviewItem>
    <reviewItem>
      <errorID>fca20f6c-a90e-40f4-ab91-48cc00905a6d</errorID>
      <errorWord>提出疑议</errorWord>
      <group>L1_Word</group>
      <groupName>字词问题</groupName>
      <ability>L2_Typo</ability>
      <abilityName>字词错误</abilityName>
      <candidateList>
        <item>提出异议</item>
      </candidateList>
      <explain/>
      <paraID>5ECB1027</paraID>
      <start>25</start>
      <end>29</end>
      <status>ignored</status>
      <modifiedWord/>
      <trackRevisions>false</trackRevisions>
    </reviewItem>
    <reviewItem>
      <errorID>692af741-8b72-4474-b860-31ede1b4f47c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5ECB1029</paraID>
      <start>25</start>
      <end>26</end>
      <status>ignored</status>
      <modifiedWord/>
      <trackRevisions>false</trackRevisions>
    </reviewItem>
    <reviewItem>
      <errorID>b3e34120-8d12-474d-8103-8d873bc97cb1</errorID>
      <errorWord>超出</errorWord>
      <group>L1_Word</group>
      <groupName>字词问题</groupName>
      <ability>L2_Typo</ability>
      <abilityName>字词错误</abilityName>
      <candidateList>
        <item>超过</item>
      </candidateList>
      <explain/>
      <paraID>5ECB102A</paraID>
      <start>62</start>
      <end>64</end>
      <status>ignored</status>
      <modifiedWord/>
      <trackRevisions>false</trackRevisions>
    </reviewItem>
    <reviewItem>
      <errorID>d38968d0-8902-4990-b7c4-9f65e178f799</errorID>
      <errorWord>超出</errorWord>
      <group>L1_Word</group>
      <groupName>字词问题</groupName>
      <ability>L2_Typo</ability>
      <abilityName>字词错误</abilityName>
      <candidateList>
        <item>超过</item>
      </candidateList>
      <explain/>
      <paraID>5ECB102A</paraID>
      <start>93</start>
      <end>95</end>
      <status>ignored</status>
      <modifiedWord/>
      <trackRevisions>false</trackRevisions>
    </reviewItem>
    <reviewItem>
      <errorID>2773cb0b-f794-4a66-be2a-6ada5843f6f0</errorID>
      <errorWord>须</errorWord>
      <group>L1_Word</group>
      <groupName>字词问题</groupName>
      <ability>L2_Typo</ability>
      <abilityName>字词错误</abilityName>
      <candidateList>
        <item>需</item>
      </candidateList>
      <explain>存在发音相同字词的误用。</explain>
      <paraID>5ECB1034</paraID>
      <start>10</start>
      <end>11</end>
      <status>ignored</status>
      <modifiedWord/>
      <trackRevisions>false</trackRevisions>
    </reviewItem>
    <reviewItem>
      <errorID>9fee7198-83c0-477d-90c3-71783d11586a</errorID>
      <errorWord>泄漏</errorWord>
      <group>L1_Word</group>
      <groupName>字词问题</groupName>
      <ability>L2_Typo</ability>
      <abilityName>字词错误</abilityName>
      <candidateList>
        <item>泄露</item>
      </candidateList>
      <explain/>
      <paraID>5ECB103B</paraID>
      <start>39</start>
      <end>41</end>
      <status>ignored</status>
      <modifiedWord/>
      <trackRevisions>false</trackRevisions>
    </reviewItem>
    <reviewItem>
      <errorID>9b15cecc-bc4a-45b3-a6e3-0bbd12eda5c5</errorID>
      <errorWord>-</errorWord>
      <group>L1_Format</group>
      <groupName>格式问题</groupName>
      <ability>L2_HalfPunc</ability>
      <abilityName>全半角检查</abilityName>
      <candidateList>
        <item>－</item>
      </candidateList>
      <explain>文本全半角错误。</explain>
      <paraID>5ECB11B7</paraID>
      <start>23</start>
      <end>24</end>
      <status>ignored</status>
      <modifiedWord/>
      <trackRevisions>false</trackRevisions>
    </reviewItem>
    <reviewItem>
      <errorID>74cc3408-942b-4c96-a892-d155849ab686</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  B5CBF1</paraID>
      <start>55</start>
      <end>57</end>
      <status>ignored</status>
      <modifiedWord/>
      <trackRevisions>false</trackRevisions>
    </reviewItem>
    <reviewItem>
      <errorID>67f1be3e-fd62-4078-af71-7f31d7486240</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5ECB1267</paraID>
      <start>9</start>
      <end>11</end>
      <status>ignored</status>
      <modifiedWord/>
      <trackRevisions>false</trackRevisions>
    </reviewItem>
  </reviewItems>
  <config/>
</contractReview>
</file>

<file path=customXml/itemProps1.xml><?xml version="1.0" encoding="utf-8"?>
<ds:datastoreItem xmlns:ds="http://schemas.openxmlformats.org/officeDocument/2006/customXml" ds:itemID="{D0C14CCA-75A0-4383-9DC2-0D8B693240E1}"/>
</file>

<file path=customXml/itemProps2.xml><?xml version="1.0" encoding="utf-8"?>
<ds:datastoreItem xmlns:ds="http://schemas.openxmlformats.org/officeDocument/2006/customXml" ds:itemID="{5887F0CE-0F05-4FB3-8C34-71BE3DED8D0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易俊贤</cp:lastModifiedBy>
  <cp:revision>13</cp:revision>
  <dcterms:created xsi:type="dcterms:W3CDTF">2026-05-29T01:40:00Z</dcterms:created>
  <dcterms:modified xsi:type="dcterms:W3CDTF">2026-06-29T01:39:21Z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C094BDCA1E2545F8A267475643BE100D_13</vt:lpwstr>
  </property>
  <property fmtid="{D5CDD505-2E9C-101B-9397-08002B2CF9AE}" pid="4" name="KSOTemplateDocerSaveRecord">
    <vt:lpwstr>eyJoZGlkIjoiYTAwZWE3MjIxMGYwZmM3YTgwNmViYTgwMzVjYTAwNDEiLCJ1c2VySWQiOiI5NjczNTI1MDQifQ==</vt:lpwstr>
  </property>
</Properties>
</file>