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16"/>
        </w:rPr>
      </w:pPr>
    </w:p>
    <w:p>
      <w:pPr>
        <w:spacing w:before="11" w:line="242" w:lineRule="auto"/>
        <w:ind w:left="2912" w:right="2910" w:firstLine="0"/>
        <w:jc w:val="left"/>
        <w:rPr>
          <w:rFonts w:hint="eastAsia" w:ascii="黑体" w:eastAsia="黑体"/>
          <w:sz w:val="64"/>
        </w:rPr>
      </w:pPr>
      <w:r>
        <w:rPr>
          <w:rFonts w:hint="eastAsia" w:ascii="黑体" w:eastAsia="黑体"/>
          <w:sz w:val="64"/>
        </w:rPr>
        <w:t>南京市政府采购竞争性磋商文件</w:t>
      </w:r>
    </w:p>
    <w:p>
      <w:pPr>
        <w:pStyle w:val="4"/>
        <w:ind w:left="0"/>
        <w:rPr>
          <w:rFonts w:ascii="黑体"/>
          <w:sz w:val="64"/>
        </w:rPr>
      </w:pPr>
    </w:p>
    <w:p>
      <w:pPr>
        <w:pStyle w:val="4"/>
        <w:spacing w:before="6"/>
        <w:ind w:left="0"/>
        <w:rPr>
          <w:rFonts w:ascii="黑体"/>
          <w:sz w:val="65"/>
        </w:rPr>
      </w:pPr>
    </w:p>
    <w:p>
      <w:pPr>
        <w:spacing w:before="1"/>
        <w:ind w:left="594" w:right="0" w:firstLine="0"/>
        <w:jc w:val="left"/>
        <w:rPr>
          <w:rFonts w:hint="default" w:ascii="黑体" w:eastAsia="黑体"/>
          <w:sz w:val="36"/>
          <w:lang w:val="en-US" w:eastAsia="zh-CN"/>
        </w:rPr>
      </w:pPr>
      <w:r>
        <w:rPr>
          <w:rFonts w:hint="eastAsia" w:ascii="黑体" w:eastAsia="黑体"/>
          <w:sz w:val="36"/>
        </w:rPr>
        <w:t>项目编号：</w:t>
      </w:r>
      <w:r>
        <w:rPr>
          <w:rFonts w:hint="eastAsia" w:ascii="黑体" w:eastAsia="黑体"/>
          <w:sz w:val="36"/>
          <w:lang w:val="en-US" w:eastAsia="zh-CN"/>
        </w:rPr>
        <w:t>STZ2019123</w:t>
      </w:r>
    </w:p>
    <w:p>
      <w:pPr>
        <w:spacing w:before="121" w:line="304" w:lineRule="auto"/>
        <w:ind w:left="2394" w:right="593" w:hanging="1800"/>
        <w:jc w:val="left"/>
        <w:rPr>
          <w:rFonts w:hint="eastAsia" w:ascii="黑体" w:eastAsia="黑体"/>
          <w:sz w:val="36"/>
          <w:lang w:eastAsia="zh-CN"/>
        </w:rPr>
      </w:pPr>
      <w:r>
        <w:rPr>
          <w:rFonts w:hint="eastAsia" w:ascii="黑体" w:eastAsia="黑体"/>
          <w:spacing w:val="-13"/>
          <w:sz w:val="36"/>
        </w:rPr>
        <w:t>项目名称：</w:t>
      </w:r>
      <w:r>
        <w:rPr>
          <w:rFonts w:hint="eastAsia" w:ascii="黑体" w:eastAsia="黑体"/>
          <w:spacing w:val="-13"/>
          <w:sz w:val="36"/>
          <w:lang w:eastAsia="zh-CN"/>
        </w:rPr>
        <w:t>颜鲁公祠西厢房修缮工程项目</w:t>
      </w:r>
    </w:p>
    <w:p>
      <w:pPr>
        <w:keepNext w:val="0"/>
        <w:keepLines w:val="0"/>
        <w:pageBreakBefore w:val="0"/>
        <w:widowControl w:val="0"/>
        <w:kinsoku/>
        <w:wordWrap/>
        <w:overflowPunct/>
        <w:topLinePunct w:val="0"/>
        <w:autoSpaceDE w:val="0"/>
        <w:autoSpaceDN w:val="0"/>
        <w:bidi w:val="0"/>
        <w:adjustRightInd/>
        <w:snapToGrid/>
        <w:spacing w:before="0" w:line="365" w:lineRule="auto"/>
        <w:ind w:left="595" w:right="1701" w:firstLine="0"/>
        <w:jc w:val="left"/>
        <w:textAlignment w:val="auto"/>
        <w:rPr>
          <w:rFonts w:hint="eastAsia" w:ascii="黑体" w:eastAsia="黑体"/>
          <w:sz w:val="36"/>
          <w:lang w:eastAsia="zh-CN"/>
        </w:rPr>
      </w:pPr>
      <w:bookmarkStart w:id="0" w:name="采购单位：中共南京市委宣传部"/>
      <w:bookmarkEnd w:id="0"/>
      <w:r>
        <w:rPr>
          <w:rFonts w:hint="eastAsia" w:ascii="黑体" w:eastAsia="黑体"/>
          <w:sz w:val="36"/>
        </w:rPr>
        <w:t>采购单位：</w:t>
      </w:r>
      <w:r>
        <w:rPr>
          <w:rFonts w:hint="eastAsia" w:ascii="黑体" w:eastAsia="黑体"/>
          <w:sz w:val="36"/>
          <w:lang w:eastAsia="zh-CN"/>
        </w:rPr>
        <w:t>南京市鼓楼区文化和旅游局</w:t>
      </w:r>
    </w:p>
    <w:p>
      <w:pPr>
        <w:keepNext w:val="0"/>
        <w:keepLines w:val="0"/>
        <w:pageBreakBefore w:val="0"/>
        <w:widowControl w:val="0"/>
        <w:kinsoku/>
        <w:wordWrap/>
        <w:overflowPunct/>
        <w:topLinePunct w:val="0"/>
        <w:autoSpaceDE w:val="0"/>
        <w:autoSpaceDN w:val="0"/>
        <w:bidi w:val="0"/>
        <w:adjustRightInd/>
        <w:snapToGrid/>
        <w:spacing w:before="0" w:line="365" w:lineRule="auto"/>
        <w:ind w:left="595" w:right="1701" w:firstLine="0"/>
        <w:jc w:val="left"/>
        <w:textAlignment w:val="auto"/>
        <w:rPr>
          <w:rFonts w:hint="eastAsia" w:ascii="黑体" w:eastAsia="黑体"/>
          <w:sz w:val="36"/>
        </w:rPr>
      </w:pPr>
      <w:r>
        <w:rPr>
          <w:rFonts w:hint="eastAsia" w:ascii="黑体" w:eastAsia="黑体"/>
          <w:sz w:val="36"/>
        </w:rPr>
        <w:t>采购类别：</w:t>
      </w:r>
      <w:r>
        <w:rPr>
          <w:rFonts w:hint="eastAsia" w:ascii="黑体" w:eastAsia="黑体"/>
          <w:sz w:val="36"/>
          <w:lang w:eastAsia="zh-CN"/>
        </w:rPr>
        <w:t>工程</w:t>
      </w:r>
      <w:r>
        <w:rPr>
          <w:rFonts w:hint="eastAsia" w:ascii="黑体" w:eastAsia="黑体"/>
          <w:sz w:val="36"/>
        </w:rPr>
        <w:t>类</w:t>
      </w:r>
    </w:p>
    <w:p>
      <w:pPr>
        <w:pStyle w:val="4"/>
        <w:ind w:left="0"/>
        <w:rPr>
          <w:rFonts w:ascii="黑体"/>
          <w:sz w:val="20"/>
        </w:rPr>
      </w:pPr>
    </w:p>
    <w:p>
      <w:pPr>
        <w:pStyle w:val="4"/>
        <w:ind w:left="0"/>
        <w:rPr>
          <w:rFonts w:ascii="黑体"/>
          <w:sz w:val="20"/>
        </w:rPr>
      </w:pPr>
    </w:p>
    <w:p>
      <w:pPr>
        <w:pStyle w:val="4"/>
        <w:spacing w:before="6"/>
        <w:ind w:left="0"/>
        <w:rPr>
          <w:rFonts w:ascii="黑体"/>
          <w:sz w:val="22"/>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pStyle w:val="4"/>
        <w:ind w:left="0"/>
        <w:rPr>
          <w:rFonts w:ascii="黑体"/>
          <w:sz w:val="20"/>
        </w:rPr>
      </w:pPr>
    </w:p>
    <w:p>
      <w:pPr>
        <w:keepNext w:val="0"/>
        <w:keepLines w:val="0"/>
        <w:pageBreakBefore w:val="0"/>
        <w:widowControl w:val="0"/>
        <w:kinsoku/>
        <w:wordWrap/>
        <w:overflowPunct/>
        <w:topLinePunct w:val="0"/>
        <w:autoSpaceDE w:val="0"/>
        <w:autoSpaceDN w:val="0"/>
        <w:bidi w:val="0"/>
        <w:adjustRightInd/>
        <w:snapToGrid/>
        <w:spacing w:before="49" w:line="365" w:lineRule="auto"/>
        <w:ind w:right="567"/>
        <w:jc w:val="center"/>
        <w:textAlignment w:val="auto"/>
        <w:rPr>
          <w:rFonts w:hint="eastAsia" w:ascii="黑体" w:hAnsi="黑体" w:eastAsia="黑体"/>
          <w:sz w:val="32"/>
          <w:szCs w:val="32"/>
          <w:lang w:eastAsia="zh-CN"/>
        </w:rPr>
      </w:pPr>
      <w:bookmarkStart w:id="1" w:name="江苏驰驿招标代理有限公司"/>
      <w:bookmarkEnd w:id="1"/>
      <w:r>
        <w:rPr>
          <w:rFonts w:hint="eastAsia" w:ascii="黑体" w:hAnsi="黑体" w:eastAsia="黑体"/>
          <w:sz w:val="36"/>
          <w:lang w:val="en-US" w:eastAsia="zh-CN"/>
        </w:rPr>
        <w:t>代理单位：</w:t>
      </w:r>
      <w:r>
        <w:rPr>
          <w:rFonts w:hint="eastAsia" w:ascii="黑体" w:hAnsi="黑体" w:eastAsia="黑体"/>
          <w:sz w:val="32"/>
          <w:szCs w:val="32"/>
          <w:lang w:eastAsia="zh-CN"/>
        </w:rPr>
        <w:t>江苏骏通建设项目管理咨询有限公司</w:t>
      </w:r>
    </w:p>
    <w:p>
      <w:pPr>
        <w:keepNext w:val="0"/>
        <w:keepLines w:val="0"/>
        <w:pageBreakBefore w:val="0"/>
        <w:widowControl w:val="0"/>
        <w:kinsoku/>
        <w:wordWrap/>
        <w:overflowPunct/>
        <w:topLinePunct w:val="0"/>
        <w:autoSpaceDE w:val="0"/>
        <w:autoSpaceDN w:val="0"/>
        <w:bidi w:val="0"/>
        <w:adjustRightInd/>
        <w:snapToGrid/>
        <w:spacing w:before="49" w:line="365" w:lineRule="auto"/>
        <w:ind w:right="567"/>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二○一九年十一月</w:t>
      </w:r>
    </w:p>
    <w:p>
      <w:pPr>
        <w:keepNext w:val="0"/>
        <w:keepLines w:val="0"/>
        <w:pageBreakBefore w:val="0"/>
        <w:widowControl w:val="0"/>
        <w:kinsoku/>
        <w:wordWrap/>
        <w:overflowPunct/>
        <w:topLinePunct w:val="0"/>
        <w:autoSpaceDE w:val="0"/>
        <w:autoSpaceDN w:val="0"/>
        <w:bidi w:val="0"/>
        <w:adjustRightInd/>
        <w:snapToGrid/>
        <w:spacing w:after="0" w:line="364" w:lineRule="auto"/>
        <w:jc w:val="center"/>
        <w:textAlignment w:val="auto"/>
        <w:rPr>
          <w:rFonts w:hint="eastAsia" w:ascii="黑体" w:hAnsi="黑体" w:eastAsia="黑体"/>
          <w:sz w:val="36"/>
        </w:rPr>
        <w:sectPr>
          <w:type w:val="continuous"/>
          <w:pgSz w:w="11910" w:h="16840"/>
          <w:pgMar w:top="1580" w:right="800" w:bottom="280" w:left="800" w:header="720" w:footer="720" w:gutter="0"/>
          <w:pgBorders>
            <w:top w:val="none" w:sz="0" w:space="0"/>
            <w:left w:val="none" w:sz="0" w:space="0"/>
            <w:bottom w:val="none" w:sz="0" w:space="0"/>
            <w:right w:val="none" w:sz="0" w:space="0"/>
          </w:pgBorders>
        </w:sectPr>
      </w:pPr>
    </w:p>
    <w:p>
      <w:pPr>
        <w:pStyle w:val="4"/>
        <w:spacing w:before="7"/>
        <w:ind w:left="0"/>
        <w:rPr>
          <w:rFonts w:ascii="黑体"/>
          <w:sz w:val="22"/>
        </w:rPr>
      </w:pPr>
    </w:p>
    <w:p>
      <w:pPr>
        <w:tabs>
          <w:tab w:val="left" w:pos="640"/>
        </w:tabs>
        <w:spacing w:before="54"/>
        <w:ind w:left="0" w:right="0" w:firstLine="0"/>
        <w:jc w:val="center"/>
        <w:rPr>
          <w:rFonts w:hint="eastAsia"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sdt>
      <w:sdtPr>
        <w:id w:val="0"/>
        <w:docPartObj>
          <w:docPartGallery w:val="Table of Contents"/>
          <w:docPartUnique/>
        </w:docPartObj>
      </w:sdtPr>
      <w:sdtContent>
        <w:p>
          <w:pPr>
            <w:pStyle w:val="7"/>
            <w:tabs>
              <w:tab w:val="left" w:pos="1580"/>
              <w:tab w:val="right" w:leader="middleDot" w:pos="9675"/>
            </w:tabs>
            <w:spacing w:before="282"/>
          </w:pPr>
          <w:r>
            <w:fldChar w:fldCharType="begin"/>
          </w:r>
          <w:r>
            <w:instrText xml:space="preserve"> HYPERLINK \l "_TOC_250003" </w:instrText>
          </w:r>
          <w:r>
            <w:fldChar w:fldCharType="separate"/>
          </w:r>
          <w:r>
            <w:t>第一章</w:t>
          </w:r>
          <w:r>
            <w:tab/>
          </w:r>
          <w:r>
            <w:t>竞争性磋商采购公告</w:t>
          </w:r>
          <w:r>
            <w:tab/>
          </w:r>
          <w:r>
            <w:t>1</w:t>
          </w:r>
          <w:r>
            <w:fldChar w:fldCharType="end"/>
          </w:r>
        </w:p>
        <w:p>
          <w:pPr>
            <w:pStyle w:val="7"/>
            <w:tabs>
              <w:tab w:val="left" w:pos="1580"/>
              <w:tab w:val="right" w:leader="middleDot" w:pos="9675"/>
            </w:tabs>
          </w:pPr>
          <w:r>
            <w:fldChar w:fldCharType="begin"/>
          </w:r>
          <w:r>
            <w:instrText xml:space="preserve"> HYPERLINK \l "_TOC_250002" </w:instrText>
          </w:r>
          <w:r>
            <w:fldChar w:fldCharType="separate"/>
          </w:r>
          <w:r>
            <w:t>第二章</w:t>
          </w:r>
          <w:r>
            <w:tab/>
          </w:r>
          <w:r>
            <w:t>竞争性磋商须知</w:t>
          </w:r>
          <w:r>
            <w:tab/>
          </w:r>
          <w:r>
            <w:t>6</w:t>
          </w:r>
          <w:r>
            <w:fldChar w:fldCharType="end"/>
          </w:r>
        </w:p>
        <w:p>
          <w:pPr>
            <w:pStyle w:val="7"/>
            <w:tabs>
              <w:tab w:val="left" w:pos="1580"/>
              <w:tab w:val="right" w:leader="middleDot" w:pos="9675"/>
            </w:tabs>
          </w:pPr>
          <w:r>
            <w:t>第三章</w:t>
          </w:r>
          <w:r>
            <w:tab/>
          </w:r>
          <w:r>
            <w:t>成交标准</w:t>
          </w:r>
          <w:r>
            <w:tab/>
          </w:r>
          <w:r>
            <w:t>15</w:t>
          </w:r>
        </w:p>
        <w:p>
          <w:pPr>
            <w:pStyle w:val="7"/>
            <w:tabs>
              <w:tab w:val="left" w:pos="1580"/>
              <w:tab w:val="right" w:leader="middleDot" w:pos="9675"/>
            </w:tabs>
            <w:spacing w:before="869"/>
          </w:pPr>
          <w:r>
            <w:fldChar w:fldCharType="begin"/>
          </w:r>
          <w:r>
            <w:instrText xml:space="preserve"> HYPERLINK \l "_TOC_250001" </w:instrText>
          </w:r>
          <w:r>
            <w:fldChar w:fldCharType="separate"/>
          </w:r>
          <w:r>
            <w:t>第四章</w:t>
          </w:r>
          <w:r>
            <w:tab/>
          </w:r>
          <w:r>
            <w:t>磋商项目需求</w:t>
          </w:r>
          <w:r>
            <w:tab/>
          </w:r>
          <w:r>
            <w:t>18</w:t>
          </w:r>
          <w:r>
            <w:fldChar w:fldCharType="end"/>
          </w:r>
        </w:p>
        <w:p>
          <w:pPr>
            <w:pStyle w:val="7"/>
            <w:tabs>
              <w:tab w:val="left" w:pos="1580"/>
              <w:tab w:val="right" w:leader="middleDot" w:pos="9675"/>
            </w:tabs>
          </w:pPr>
          <w:r>
            <w:fldChar w:fldCharType="begin"/>
          </w:r>
          <w:r>
            <w:instrText xml:space="preserve"> HYPERLINK \l "_TOC_250000" </w:instrText>
          </w:r>
          <w:r>
            <w:fldChar w:fldCharType="separate"/>
          </w:r>
          <w:r>
            <w:t>第五章</w:t>
          </w:r>
          <w:r>
            <w:tab/>
          </w:r>
          <w:r>
            <w:t>合同草案条款及格式</w:t>
          </w:r>
          <w:r>
            <w:tab/>
          </w:r>
          <w:r>
            <w:t>33</w:t>
          </w:r>
          <w:r>
            <w:fldChar w:fldCharType="end"/>
          </w:r>
        </w:p>
        <w:p>
          <w:pPr>
            <w:pStyle w:val="7"/>
            <w:tabs>
              <w:tab w:val="left" w:pos="1580"/>
              <w:tab w:val="right" w:leader="middleDot" w:pos="9675"/>
            </w:tabs>
            <w:spacing w:before="864"/>
          </w:pPr>
          <w:r>
            <w:fldChar w:fldCharType="begin"/>
          </w:r>
          <w:r>
            <w:instrText xml:space="preserve"> HYPERLINK \l "_bookmark0" </w:instrText>
          </w:r>
          <w:r>
            <w:fldChar w:fldCharType="separate"/>
          </w:r>
          <w:r>
            <w:t>第六章</w:t>
          </w:r>
          <w:r>
            <w:tab/>
          </w:r>
          <w:r>
            <w:t>响应文件格式</w:t>
          </w:r>
          <w:r>
            <w:tab/>
          </w:r>
          <w:r>
            <w:t>3</w:t>
          </w:r>
          <w:r>
            <w:fldChar w:fldCharType="end"/>
          </w:r>
          <w:r>
            <w:t>6</w:t>
          </w:r>
        </w:p>
      </w:sdtContent>
    </w:sdt>
    <w:p>
      <w:pPr>
        <w:spacing w:after="0"/>
        <w:sectPr>
          <w:headerReference r:id="rId3" w:type="default"/>
          <w:footerReference r:id="rId4" w:type="default"/>
          <w:pgSz w:w="11910" w:h="16840"/>
          <w:pgMar w:top="1340" w:right="800" w:bottom="900" w:left="800" w:header="880" w:footer="720" w:gutter="0"/>
          <w:pgBorders>
            <w:top w:val="none" w:sz="0" w:space="0"/>
            <w:left w:val="none" w:sz="0" w:space="0"/>
            <w:bottom w:val="none" w:sz="0" w:space="0"/>
            <w:right w:val="none" w:sz="0" w:space="0"/>
          </w:pgBorders>
        </w:sectPr>
      </w:pPr>
    </w:p>
    <w:p>
      <w:pPr>
        <w:pStyle w:val="2"/>
        <w:tabs>
          <w:tab w:val="left" w:pos="1279"/>
        </w:tabs>
      </w:pPr>
      <w:bookmarkStart w:id="2" w:name="_TOC_250003"/>
      <w:bookmarkEnd w:id="2"/>
      <w:r>
        <w:t>第一章</w:t>
      </w:r>
      <w:r>
        <w:tab/>
      </w:r>
      <w:r>
        <w:t>竞争性磋商采购公告</w:t>
      </w:r>
    </w:p>
    <w:p>
      <w:pPr>
        <w:spacing w:before="210" w:line="364" w:lineRule="auto"/>
        <w:ind w:left="618" w:right="546" w:firstLine="561"/>
        <w:jc w:val="left"/>
        <w:rPr>
          <w:sz w:val="24"/>
        </w:rPr>
      </w:pPr>
      <w:bookmarkStart w:id="3" w:name="    江苏驰驿招标代理有限公司（以下简称“采购代理机构”）受中共南京市委宣传部"/>
      <w:bookmarkEnd w:id="3"/>
      <w:r>
        <w:rPr>
          <w:rFonts w:hint="eastAsia"/>
          <w:b/>
          <w:sz w:val="24"/>
          <w:u w:val="single"/>
          <w:lang w:eastAsia="zh-CN"/>
        </w:rPr>
        <w:t>江苏骏通建设项目管理咨询有限公司</w:t>
      </w:r>
      <w:r>
        <w:rPr>
          <w:sz w:val="24"/>
        </w:rPr>
        <w:t>（以下简称“采购代理机构”）受</w:t>
      </w:r>
      <w:r>
        <w:rPr>
          <w:rFonts w:hint="eastAsia"/>
          <w:b/>
          <w:sz w:val="24"/>
          <w:u w:val="single"/>
          <w:lang w:eastAsia="zh-CN"/>
        </w:rPr>
        <w:t>南京市鼓楼区文化和旅游局</w:t>
      </w:r>
      <w:r>
        <w:rPr>
          <w:sz w:val="24"/>
        </w:rPr>
        <w:t>（委托单位名称，以下简称“采购人”）委托，就</w:t>
      </w:r>
      <w:r>
        <w:rPr>
          <w:rFonts w:hint="eastAsia"/>
          <w:b/>
          <w:sz w:val="24"/>
          <w:u w:val="single"/>
          <w:lang w:eastAsia="zh-CN"/>
        </w:rPr>
        <w:t>颜鲁公祠西厢房修缮工程项目</w:t>
      </w:r>
      <w:r>
        <w:rPr>
          <w:sz w:val="24"/>
        </w:rPr>
        <w:t>（磋商项目名称）进行竞争性磋商，兹邀请符合资格条件的供应商提交响应文件和磋商。</w:t>
      </w:r>
    </w:p>
    <w:p>
      <w:pPr>
        <w:spacing w:before="0"/>
        <w:ind w:left="858" w:right="0" w:firstLine="0"/>
        <w:jc w:val="left"/>
        <w:rPr>
          <w:rFonts w:hint="default" w:eastAsia="宋体"/>
          <w:sz w:val="24"/>
          <w:lang w:val="en-US" w:eastAsia="zh-CN"/>
        </w:rPr>
      </w:pPr>
      <w:r>
        <w:rPr>
          <w:b/>
          <w:sz w:val="24"/>
        </w:rPr>
        <w:t>1、项目编号：</w:t>
      </w:r>
      <w:r>
        <w:rPr>
          <w:rFonts w:hint="eastAsia"/>
          <w:b/>
          <w:sz w:val="24"/>
          <w:lang w:val="en-US" w:eastAsia="zh-CN"/>
        </w:rPr>
        <w:t>STZ2019123</w:t>
      </w:r>
    </w:p>
    <w:p>
      <w:pPr>
        <w:pStyle w:val="4"/>
        <w:spacing w:before="158" w:line="364" w:lineRule="auto"/>
        <w:ind w:right="497" w:firstLine="240"/>
        <w:rPr>
          <w:rFonts w:hint="default" w:eastAsia="宋体"/>
          <w:lang w:val="en-US" w:eastAsia="zh-CN"/>
        </w:rPr>
      </w:pPr>
      <w:r>
        <w:rPr>
          <w:b/>
        </w:rPr>
        <w:t>2</w:t>
      </w:r>
      <w:r>
        <w:rPr>
          <w:b/>
          <w:spacing w:val="-9"/>
        </w:rPr>
        <w:t>、项目内容简述：</w:t>
      </w:r>
      <w:r>
        <w:rPr>
          <w:rFonts w:ascii="宋体" w:hAnsi="宋体"/>
          <w:snapToGrid w:val="0"/>
          <w:color w:val="000000"/>
          <w:sz w:val="24"/>
          <w:u w:val="none"/>
        </w:rPr>
        <w:t>包括</w:t>
      </w:r>
      <w:r>
        <w:rPr>
          <w:rFonts w:hint="eastAsia" w:ascii="宋体" w:hAnsi="宋体"/>
          <w:snapToGrid w:val="0"/>
          <w:color w:val="000000"/>
          <w:sz w:val="24"/>
          <w:u w:val="none"/>
          <w:lang w:eastAsia="zh-CN"/>
        </w:rPr>
        <w:t>屋顶瓦片替换</w:t>
      </w:r>
      <w:r>
        <w:rPr>
          <w:rFonts w:ascii="宋体" w:hAnsi="宋体"/>
          <w:snapToGrid w:val="0"/>
          <w:color w:val="000000"/>
          <w:sz w:val="24"/>
          <w:u w:val="none"/>
        </w:rPr>
        <w:t>、</w:t>
      </w:r>
      <w:r>
        <w:rPr>
          <w:rFonts w:hint="eastAsia" w:ascii="宋体" w:hAnsi="宋体"/>
          <w:snapToGrid w:val="0"/>
          <w:color w:val="000000"/>
          <w:sz w:val="24"/>
          <w:u w:val="none"/>
          <w:lang w:eastAsia="zh-CN"/>
        </w:rPr>
        <w:t>门窗维修更换</w:t>
      </w:r>
      <w:r>
        <w:rPr>
          <w:rFonts w:ascii="宋体" w:hAnsi="宋体"/>
          <w:snapToGrid w:val="0"/>
          <w:color w:val="000000"/>
          <w:sz w:val="24"/>
          <w:u w:val="none"/>
        </w:rPr>
        <w:t>、</w:t>
      </w:r>
      <w:r>
        <w:rPr>
          <w:rFonts w:hint="eastAsia" w:ascii="宋体" w:hAnsi="宋体"/>
          <w:snapToGrid w:val="0"/>
          <w:color w:val="000000"/>
          <w:sz w:val="24"/>
          <w:u w:val="none"/>
        </w:rPr>
        <w:t>椽头油漆</w:t>
      </w:r>
      <w:r>
        <w:rPr>
          <w:rFonts w:ascii="宋体" w:hAnsi="宋体"/>
          <w:snapToGrid w:val="0"/>
          <w:color w:val="000000"/>
          <w:sz w:val="24"/>
          <w:u w:val="none"/>
        </w:rPr>
        <w:t>、</w:t>
      </w:r>
      <w:r>
        <w:rPr>
          <w:rFonts w:hint="eastAsia" w:ascii="宋体" w:hAnsi="宋体"/>
          <w:snapToGrid w:val="0"/>
          <w:color w:val="000000"/>
          <w:sz w:val="24"/>
          <w:u w:val="none"/>
        </w:rPr>
        <w:t>墙面仿古抹灰</w:t>
      </w:r>
      <w:r>
        <w:rPr>
          <w:rFonts w:ascii="宋体" w:hAnsi="宋体"/>
          <w:snapToGrid w:val="0"/>
          <w:color w:val="000000"/>
          <w:sz w:val="24"/>
          <w:u w:val="none"/>
        </w:rPr>
        <w:t>、</w:t>
      </w:r>
      <w:r>
        <w:rPr>
          <w:rFonts w:hint="eastAsia" w:ascii="宋体" w:hAnsi="宋体"/>
          <w:snapToGrid w:val="0"/>
          <w:color w:val="000000"/>
          <w:sz w:val="24"/>
          <w:u w:val="none"/>
        </w:rPr>
        <w:t>石板地面</w:t>
      </w:r>
      <w:r>
        <w:rPr>
          <w:rFonts w:hint="eastAsia" w:ascii="宋体" w:hAnsi="宋体"/>
          <w:snapToGrid w:val="0"/>
          <w:color w:val="000000"/>
          <w:sz w:val="24"/>
          <w:u w:val="none"/>
          <w:lang w:eastAsia="zh-CN"/>
        </w:rPr>
        <w:t>修缮更换</w:t>
      </w:r>
      <w:r>
        <w:rPr>
          <w:rFonts w:ascii="宋体" w:hAnsi="宋体"/>
          <w:snapToGrid w:val="0"/>
          <w:color w:val="000000"/>
          <w:sz w:val="24"/>
          <w:u w:val="none"/>
        </w:rPr>
        <w:t>、电路整改、</w:t>
      </w:r>
      <w:r>
        <w:rPr>
          <w:rFonts w:hint="eastAsia" w:ascii="宋体" w:hAnsi="宋体"/>
          <w:snapToGrid w:val="0"/>
          <w:color w:val="000000"/>
          <w:sz w:val="24"/>
          <w:u w:val="none"/>
        </w:rPr>
        <w:t>避雷网</w:t>
      </w:r>
      <w:r>
        <w:rPr>
          <w:rFonts w:hint="eastAsia" w:ascii="宋体" w:hAnsi="宋体"/>
          <w:snapToGrid w:val="0"/>
          <w:color w:val="000000"/>
          <w:sz w:val="24"/>
          <w:u w:val="none"/>
          <w:lang w:eastAsia="zh-CN"/>
        </w:rPr>
        <w:t>敷设</w:t>
      </w:r>
      <w:r>
        <w:rPr>
          <w:rFonts w:ascii="宋体" w:hAnsi="宋体"/>
          <w:snapToGrid w:val="0"/>
          <w:color w:val="000000"/>
          <w:sz w:val="24"/>
          <w:u w:val="none"/>
        </w:rPr>
        <w:t>等。</w:t>
      </w:r>
      <w:r>
        <w:rPr>
          <w:rFonts w:hint="eastAsia" w:ascii="宋体" w:hAnsi="宋体"/>
          <w:snapToGrid w:val="0"/>
          <w:color w:val="000000"/>
          <w:sz w:val="24"/>
          <w:u w:val="none"/>
          <w:lang w:eastAsia="zh-CN"/>
        </w:rPr>
        <w:t>工期：</w:t>
      </w:r>
      <w:r>
        <w:rPr>
          <w:rFonts w:hint="eastAsia" w:ascii="宋体" w:hAnsi="宋体"/>
          <w:snapToGrid w:val="0"/>
          <w:color w:val="000000"/>
          <w:sz w:val="24"/>
          <w:u w:val="none"/>
          <w:lang w:val="en-US" w:eastAsia="zh-CN"/>
        </w:rPr>
        <w:t>30天。</w:t>
      </w:r>
    </w:p>
    <w:p>
      <w:pPr>
        <w:spacing w:before="0" w:line="364" w:lineRule="auto"/>
        <w:ind w:right="663" w:firstLine="964" w:firstLineChars="400"/>
        <w:jc w:val="left"/>
        <w:rPr>
          <w:sz w:val="24"/>
        </w:rPr>
      </w:pPr>
      <w:r>
        <w:rPr>
          <w:b/>
          <w:sz w:val="24"/>
        </w:rPr>
        <w:t>项目预算及最高限价：</w:t>
      </w:r>
      <w:r>
        <w:rPr>
          <w:rFonts w:hint="eastAsia" w:ascii="宋体" w:hAnsi="宋体"/>
          <w:snapToGrid w:val="0"/>
          <w:color w:val="auto"/>
          <w:sz w:val="24"/>
          <w:u w:val="none"/>
          <w:lang w:eastAsia="zh-CN"/>
        </w:rPr>
        <w:t>366726.04</w:t>
      </w:r>
      <w:r>
        <w:rPr>
          <w:rFonts w:hint="eastAsia" w:ascii="宋体" w:hAnsi="宋体"/>
          <w:snapToGrid w:val="0"/>
          <w:color w:val="auto"/>
          <w:sz w:val="24"/>
          <w:u w:val="none"/>
        </w:rPr>
        <w:t>元</w:t>
      </w:r>
      <w:r>
        <w:rPr>
          <w:b/>
          <w:sz w:val="24"/>
        </w:rPr>
        <w:t>，</w:t>
      </w:r>
      <w:r>
        <w:rPr>
          <w:sz w:val="24"/>
        </w:rPr>
        <w:t>最终报价超过此预算的按无效响应文件处理。</w:t>
      </w:r>
    </w:p>
    <w:p>
      <w:pPr>
        <w:spacing w:before="0" w:line="364" w:lineRule="auto"/>
        <w:ind w:right="663" w:firstLine="723" w:firstLineChars="300"/>
        <w:jc w:val="left"/>
        <w:rPr>
          <w:b/>
          <w:sz w:val="24"/>
        </w:rPr>
      </w:pPr>
      <w:r>
        <w:rPr>
          <w:b/>
          <w:sz w:val="24"/>
        </w:rPr>
        <w:t>3、供应商应具备下列资格条件,并提供证明材料(包括但不限于):</w:t>
      </w:r>
    </w:p>
    <w:p>
      <w:pPr>
        <w:pStyle w:val="3"/>
        <w:numPr>
          <w:ilvl w:val="1"/>
          <w:numId w:val="1"/>
        </w:numPr>
        <w:tabs>
          <w:tab w:val="left" w:pos="1222"/>
        </w:tabs>
        <w:spacing w:before="0" w:after="0" w:line="306" w:lineRule="exact"/>
        <w:ind w:left="1221" w:right="0" w:hanging="364"/>
        <w:jc w:val="left"/>
      </w:pPr>
      <w:r>
        <w:t>供应商的基本条件:</w:t>
      </w:r>
    </w:p>
    <w:p>
      <w:pPr>
        <w:pStyle w:val="12"/>
        <w:numPr>
          <w:ilvl w:val="0"/>
          <w:numId w:val="2"/>
        </w:numPr>
        <w:tabs>
          <w:tab w:val="left" w:pos="1464"/>
        </w:tabs>
        <w:spacing w:before="158" w:after="0" w:line="362" w:lineRule="auto"/>
        <w:ind w:left="618" w:right="616" w:firstLine="240"/>
        <w:jc w:val="left"/>
        <w:rPr>
          <w:sz w:val="24"/>
        </w:rPr>
      </w:pPr>
      <w:r>
        <w:rPr>
          <w:sz w:val="24"/>
        </w:rPr>
        <w:t>具有独立承担民事责任的能力（提供法人或者其他组织的营业执照，自然人的身份证明）；</w:t>
      </w:r>
    </w:p>
    <w:p>
      <w:pPr>
        <w:pStyle w:val="12"/>
        <w:numPr>
          <w:ilvl w:val="0"/>
          <w:numId w:val="2"/>
        </w:numPr>
        <w:tabs>
          <w:tab w:val="left" w:pos="1464"/>
        </w:tabs>
        <w:spacing w:before="5" w:after="0" w:line="362" w:lineRule="auto"/>
        <w:ind w:left="618" w:right="616" w:firstLine="240"/>
        <w:jc w:val="left"/>
        <w:rPr>
          <w:sz w:val="24"/>
        </w:rPr>
      </w:pPr>
      <w:r>
        <w:rPr>
          <w:sz w:val="24"/>
        </w:rPr>
        <w:t>具有良好的商业信誉和健全的财务会计制度（提供参加本次磋商活动前的会计报表,成立不满一个月不需提供）；</w:t>
      </w:r>
    </w:p>
    <w:p>
      <w:pPr>
        <w:pStyle w:val="12"/>
        <w:numPr>
          <w:ilvl w:val="0"/>
          <w:numId w:val="2"/>
        </w:numPr>
        <w:tabs>
          <w:tab w:val="left" w:pos="1464"/>
        </w:tabs>
        <w:spacing w:before="5" w:after="0" w:line="362" w:lineRule="auto"/>
        <w:ind w:left="618" w:right="616" w:firstLine="240"/>
        <w:jc w:val="left"/>
        <w:rPr>
          <w:sz w:val="24"/>
        </w:rPr>
      </w:pPr>
      <w:r>
        <w:rPr>
          <w:sz w:val="24"/>
        </w:rPr>
        <w:t>具有履行合同所必需的设备和专业技术能力（根据项目需求提供履行合同所必需的设备和专业技术能力的证明材料或相关加盖公章的承诺函）；</w:t>
      </w:r>
    </w:p>
    <w:p>
      <w:pPr>
        <w:pStyle w:val="12"/>
        <w:numPr>
          <w:ilvl w:val="0"/>
          <w:numId w:val="2"/>
        </w:numPr>
        <w:tabs>
          <w:tab w:val="left" w:pos="1464"/>
        </w:tabs>
        <w:spacing w:before="5" w:after="0" w:line="364" w:lineRule="auto"/>
        <w:ind w:left="618" w:right="616" w:firstLine="240"/>
        <w:jc w:val="left"/>
        <w:rPr>
          <w:sz w:val="24"/>
        </w:rPr>
      </w:pPr>
      <w:r>
        <w:rPr>
          <w:sz w:val="24"/>
        </w:rPr>
        <w:t>有依法缴纳税收和社会保障资金的良好记录（提供参加本次磋商活动前六个月内（至少一个月）依法缴纳税收和社会保障资金的相关材料）；</w:t>
      </w:r>
    </w:p>
    <w:p>
      <w:pPr>
        <w:pStyle w:val="12"/>
        <w:numPr>
          <w:ilvl w:val="0"/>
          <w:numId w:val="2"/>
        </w:numPr>
        <w:tabs>
          <w:tab w:val="left" w:pos="1464"/>
        </w:tabs>
        <w:spacing w:before="0" w:after="0" w:line="362" w:lineRule="auto"/>
        <w:ind w:left="618" w:right="616" w:firstLine="240"/>
        <w:jc w:val="left"/>
        <w:rPr>
          <w:sz w:val="24"/>
        </w:rPr>
      </w:pPr>
      <w:r>
        <w:rPr>
          <w:sz w:val="24"/>
        </w:rPr>
        <w:t>参加磋商活动前三年内，在经营活动中没有重大违法记录（提供参加本次磋商活动前3年内在经营活动中没有重大违法记录的书面声明）。</w:t>
      </w:r>
    </w:p>
    <w:p>
      <w:pPr>
        <w:pStyle w:val="3"/>
        <w:numPr>
          <w:ilvl w:val="1"/>
          <w:numId w:val="1"/>
        </w:numPr>
        <w:tabs>
          <w:tab w:val="left" w:pos="1281"/>
        </w:tabs>
        <w:spacing w:before="4" w:after="0" w:line="240" w:lineRule="auto"/>
        <w:ind w:left="1280" w:right="0" w:hanging="423"/>
        <w:jc w:val="left"/>
      </w:pPr>
      <w:r>
        <w:t>采购人根据磋商项目的特殊要求规定的特定条件：</w:t>
      </w:r>
    </w:p>
    <w:p>
      <w:pPr>
        <w:spacing w:before="159" w:line="364" w:lineRule="auto"/>
        <w:ind w:right="616" w:firstLine="720" w:firstLineChars="30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供应商必须</w:t>
      </w:r>
      <w:r>
        <w:rPr>
          <w:rFonts w:ascii="宋体" w:hAnsi="宋体" w:eastAsia="宋体" w:cs="宋体"/>
          <w:sz w:val="24"/>
          <w:szCs w:val="22"/>
          <w:lang w:val="zh-CN" w:eastAsia="zh-CN" w:bidi="zh-CN"/>
        </w:rPr>
        <w:fldChar w:fldCharType="begin"/>
      </w:r>
      <w:r>
        <w:rPr>
          <w:rFonts w:ascii="宋体" w:hAnsi="宋体" w:eastAsia="宋体" w:cs="宋体"/>
          <w:sz w:val="24"/>
          <w:szCs w:val="22"/>
          <w:lang w:val="zh-CN" w:eastAsia="zh-CN" w:bidi="zh-CN"/>
        </w:rPr>
        <w:instrText xml:space="preserve">AUTOTEXT 23 \* MERGEFORMAT</w:instrText>
      </w:r>
      <w:r>
        <w:rPr>
          <w:rFonts w:ascii="宋体" w:hAnsi="宋体" w:eastAsia="宋体" w:cs="宋体"/>
          <w:sz w:val="24"/>
          <w:szCs w:val="22"/>
          <w:lang w:val="zh-CN" w:eastAsia="zh-CN" w:bidi="zh-CN"/>
        </w:rPr>
        <w:fldChar w:fldCharType="separate"/>
      </w:r>
      <w:r>
        <w:rPr>
          <w:rFonts w:hint="eastAsia" w:ascii="宋体" w:hAnsi="宋体" w:eastAsia="宋体" w:cs="宋体"/>
          <w:sz w:val="24"/>
          <w:szCs w:val="22"/>
          <w:lang w:val="zh-CN" w:eastAsia="zh-CN" w:bidi="zh-CN"/>
        </w:rPr>
        <w:t xml:space="preserve">专业承包文物保护工程施工三级(含)以上 </w:t>
      </w:r>
      <w:r>
        <w:rPr>
          <w:rFonts w:ascii="宋体" w:hAnsi="宋体" w:eastAsia="宋体" w:cs="宋体"/>
          <w:sz w:val="24"/>
          <w:szCs w:val="22"/>
          <w:lang w:val="zh-CN" w:eastAsia="zh-CN" w:bidi="zh-CN"/>
        </w:rPr>
        <w:fldChar w:fldCharType="end"/>
      </w:r>
      <w:r>
        <w:rPr>
          <w:rFonts w:ascii="宋体" w:hAnsi="宋体" w:eastAsia="宋体" w:cs="宋体"/>
          <w:sz w:val="24"/>
          <w:szCs w:val="22"/>
          <w:lang w:val="zh-CN" w:eastAsia="zh-CN" w:bidi="zh-CN"/>
        </w:rPr>
        <w:t>（提供复印件加盖公章）。</w:t>
      </w:r>
    </w:p>
    <w:p>
      <w:pPr>
        <w:keepNext w:val="0"/>
        <w:keepLines w:val="0"/>
        <w:pageBreakBefore w:val="0"/>
        <w:widowControl w:val="0"/>
        <w:kinsoku/>
        <w:wordWrap/>
        <w:overflowPunct/>
        <w:topLinePunct w:val="0"/>
        <w:autoSpaceDE w:val="0"/>
        <w:autoSpaceDN w:val="0"/>
        <w:bidi w:val="0"/>
        <w:adjustRightInd w:val="0"/>
        <w:snapToGrid w:val="0"/>
        <w:ind w:left="330" w:leftChars="150"/>
        <w:jc w:val="left"/>
        <w:textAlignment w:val="auto"/>
        <w:rPr>
          <w:rFonts w:hint="eastAsia" w:ascii="宋体" w:hAnsi="宋体" w:eastAsia="宋体" w:cs="宋体"/>
          <w:sz w:val="24"/>
          <w:szCs w:val="22"/>
          <w:lang w:val="zh-CN" w:eastAsia="zh-CN" w:bidi="zh-CN"/>
        </w:rPr>
      </w:pPr>
      <w:r>
        <w:rPr>
          <w:rFonts w:hint="eastAsia" w:ascii="宋体" w:hAnsi="宋体"/>
          <w:snapToGrid w:val="0"/>
          <w:color w:val="000000"/>
          <w:sz w:val="24"/>
          <w:lang w:val="en-US" w:eastAsia="zh-CN"/>
        </w:rPr>
        <w:t xml:space="preserve">   </w:t>
      </w:r>
      <w:r>
        <w:rPr>
          <w:rFonts w:hint="eastAsia" w:ascii="宋体" w:hAnsi="宋体" w:eastAsia="宋体" w:cs="宋体"/>
          <w:sz w:val="24"/>
          <w:szCs w:val="22"/>
          <w:lang w:val="zh-CN" w:eastAsia="zh-CN" w:bidi="zh-CN"/>
        </w:rPr>
        <w:t>项目经理资质要求：</w:t>
      </w:r>
      <w:r>
        <w:rPr>
          <w:rFonts w:ascii="宋体" w:hAnsi="宋体" w:eastAsia="宋体" w:cs="宋体"/>
          <w:sz w:val="24"/>
          <w:szCs w:val="22"/>
          <w:lang w:val="zh-CN" w:eastAsia="zh-CN" w:bidi="zh-CN"/>
        </w:rPr>
        <w:fldChar w:fldCharType="begin"/>
      </w:r>
      <w:r>
        <w:rPr>
          <w:rFonts w:ascii="宋体" w:hAnsi="宋体" w:eastAsia="宋体" w:cs="宋体"/>
          <w:sz w:val="24"/>
          <w:szCs w:val="22"/>
          <w:lang w:val="zh-CN" w:eastAsia="zh-CN" w:bidi="zh-CN"/>
        </w:rPr>
        <w:instrText xml:space="preserve">AUTOTEXT 24 \* MERGEFORMAT</w:instrText>
      </w:r>
      <w:r>
        <w:rPr>
          <w:rFonts w:ascii="宋体" w:hAnsi="宋体" w:eastAsia="宋体" w:cs="宋体"/>
          <w:sz w:val="24"/>
          <w:szCs w:val="22"/>
          <w:lang w:val="zh-CN" w:eastAsia="zh-CN" w:bidi="zh-CN"/>
        </w:rPr>
        <w:fldChar w:fldCharType="separate"/>
      </w:r>
      <w:r>
        <w:rPr>
          <w:rFonts w:hint="eastAsia" w:ascii="宋体" w:hAnsi="宋体" w:eastAsia="宋体" w:cs="宋体"/>
          <w:sz w:val="24"/>
          <w:szCs w:val="22"/>
          <w:lang w:val="zh-CN" w:eastAsia="zh-CN" w:bidi="zh-CN"/>
        </w:rPr>
        <w:t xml:space="preserve">注册建造师证建筑工程二级(含)以上并具有有效的安全生产考核B类证；   </w:t>
      </w:r>
    </w:p>
    <w:p>
      <w:pPr>
        <w:keepNext w:val="0"/>
        <w:keepLines w:val="0"/>
        <w:pageBreakBefore w:val="0"/>
        <w:widowControl w:val="0"/>
        <w:kinsoku/>
        <w:wordWrap/>
        <w:overflowPunct/>
        <w:topLinePunct w:val="0"/>
        <w:autoSpaceDE w:val="0"/>
        <w:autoSpaceDN w:val="0"/>
        <w:bidi w:val="0"/>
        <w:spacing w:before="159" w:line="364" w:lineRule="auto"/>
        <w:ind w:left="330" w:leftChars="150" w:right="616" w:firstLine="420"/>
        <w:jc w:val="left"/>
        <w:textAlignment w:val="auto"/>
      </w:pPr>
      <w:r>
        <w:rPr>
          <w:rFonts w:ascii="宋体" w:hAnsi="宋体" w:eastAsia="宋体" w:cs="宋体"/>
          <w:sz w:val="24"/>
          <w:szCs w:val="22"/>
          <w:lang w:val="zh-CN" w:eastAsia="zh-CN" w:bidi="zh-CN"/>
        </w:rPr>
        <w:fldChar w:fldCharType="end"/>
      </w:r>
      <w:r>
        <w:t>拒绝下述供应商参加本次磋商活动：</w:t>
      </w:r>
    </w:p>
    <w:p>
      <w:pPr>
        <w:pStyle w:val="12"/>
        <w:numPr>
          <w:ilvl w:val="0"/>
          <w:numId w:val="3"/>
        </w:numPr>
        <w:tabs>
          <w:tab w:val="left" w:pos="1464"/>
        </w:tabs>
        <w:spacing w:before="161" w:after="0" w:line="362" w:lineRule="auto"/>
        <w:ind w:left="618" w:right="616" w:firstLine="240"/>
        <w:jc w:val="left"/>
        <w:rPr>
          <w:sz w:val="24"/>
        </w:rPr>
      </w:pPr>
      <w:r>
        <w:rPr>
          <w:sz w:val="24"/>
        </w:rPr>
        <w:t>供应商单位负责人为同一人或者存在直接控股、管理关系的不同供应商，不得参加本项目的磋商活动；</w:t>
      </w:r>
    </w:p>
    <w:p>
      <w:pPr>
        <w:spacing w:after="0" w:line="362" w:lineRule="auto"/>
        <w:jc w:val="left"/>
        <w:rPr>
          <w:sz w:val="24"/>
        </w:rPr>
        <w:sectPr>
          <w:footerReference r:id="rId5" w:type="default"/>
          <w:pgSz w:w="11910" w:h="16840"/>
          <w:pgMar w:top="1340" w:right="800" w:bottom="920" w:left="800" w:header="880" w:footer="726" w:gutter="0"/>
          <w:pgBorders>
            <w:top w:val="none" w:sz="0" w:space="0"/>
            <w:left w:val="none" w:sz="0" w:space="0"/>
            <w:bottom w:val="none" w:sz="0" w:space="0"/>
            <w:right w:val="none" w:sz="0" w:space="0"/>
          </w:pgBorders>
          <w:pgNumType w:fmt="decimal" w:start="1"/>
        </w:sectPr>
      </w:pPr>
    </w:p>
    <w:p>
      <w:pPr>
        <w:pStyle w:val="12"/>
        <w:numPr>
          <w:ilvl w:val="0"/>
          <w:numId w:val="3"/>
        </w:numPr>
        <w:tabs>
          <w:tab w:val="left" w:pos="1464"/>
        </w:tabs>
        <w:spacing w:before="61" w:after="0" w:line="362" w:lineRule="auto"/>
        <w:ind w:left="618" w:right="616" w:firstLine="240"/>
        <w:jc w:val="left"/>
        <w:rPr>
          <w:sz w:val="24"/>
        </w:rPr>
      </w:pPr>
      <w:r>
        <w:rPr>
          <w:sz w:val="24"/>
        </w:rPr>
        <w:t>凡为磋商项目提供整体设计、规范编制或者项目管理、监理、检测等服务的供应商，不得再参加本项目的磋商活动；</w:t>
      </w:r>
    </w:p>
    <w:p>
      <w:pPr>
        <w:pStyle w:val="12"/>
        <w:numPr>
          <w:ilvl w:val="0"/>
          <w:numId w:val="3"/>
        </w:numPr>
        <w:tabs>
          <w:tab w:val="left" w:pos="1460"/>
        </w:tabs>
        <w:spacing w:before="4" w:after="0" w:line="364" w:lineRule="auto"/>
        <w:ind w:left="618" w:right="335" w:firstLine="240"/>
        <w:jc w:val="left"/>
        <w:rPr>
          <w:sz w:val="24"/>
        </w:rPr>
      </w:pPr>
      <w:r>
        <w:rPr>
          <w:spacing w:val="-2"/>
          <w:sz w:val="24"/>
        </w:rPr>
        <w:t>拒绝列入失信被执行人、重大税收违法案件当事人名单、政府采购严重违法失信行为记录名单、《南京市政府采购供应商信用管理工作暂行办法》宁财规[2018]10</w:t>
      </w:r>
      <w:r>
        <w:rPr>
          <w:spacing w:val="-17"/>
          <w:sz w:val="24"/>
        </w:rPr>
        <w:t xml:space="preserve"> 号第</w:t>
      </w:r>
      <w:r>
        <w:rPr>
          <w:spacing w:val="-5"/>
          <w:sz w:val="24"/>
        </w:rPr>
        <w:t>十一条、十二条所列严重失信行为情形的供应商参加本项目的采购活动。采购人或采购代理机构将在投标截止时间前一日通过“信用中国”网站</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16"/>
          <w:sz w:val="24"/>
        </w:rPr>
        <w:t>、</w:t>
      </w:r>
      <w:r>
        <w:rPr>
          <w:spacing w:val="-6"/>
          <w:sz w:val="24"/>
        </w:rPr>
        <w:t>“信用南京”网站</w:t>
      </w:r>
      <w:r>
        <w:rPr>
          <w:sz w:val="24"/>
        </w:rPr>
        <w:t>（</w:t>
      </w:r>
      <w:r>
        <w:fldChar w:fldCharType="begin"/>
      </w:r>
      <w:r>
        <w:instrText xml:space="preserve"> HYPERLINK "http://www.njcredit.gov.cn/" \h </w:instrText>
      </w:r>
      <w:r>
        <w:fldChar w:fldCharType="separate"/>
      </w:r>
      <w:r>
        <w:rPr>
          <w:sz w:val="24"/>
        </w:rPr>
        <w:t>www.njcredit.gov.cn</w:t>
      </w:r>
      <w:r>
        <w:rPr>
          <w:sz w:val="24"/>
        </w:rPr>
        <w:fldChar w:fldCharType="end"/>
      </w:r>
      <w:r>
        <w:rPr>
          <w:sz w:val="24"/>
        </w:rPr>
        <w:t>）</w:t>
      </w:r>
      <w:r>
        <w:rPr>
          <w:spacing w:val="-9"/>
          <w:sz w:val="24"/>
        </w:rPr>
        <w:t>、“中国政府采购网”网站</w:t>
      </w:r>
      <w:r>
        <w:rPr>
          <w:sz w:val="24"/>
        </w:rPr>
        <w:t>（</w:t>
      </w:r>
      <w:r>
        <w:fldChar w:fldCharType="begin"/>
      </w:r>
      <w:r>
        <w:instrText xml:space="preserve"> HYPERLINK "http://www.ccgp.gov/" \h </w:instrText>
      </w:r>
      <w:r>
        <w:fldChar w:fldCharType="separate"/>
      </w:r>
      <w:r>
        <w:rPr>
          <w:sz w:val="24"/>
        </w:rPr>
        <w:t>www.ccgp.gov.</w:t>
      </w:r>
      <w:r>
        <w:rPr>
          <w:sz w:val="24"/>
        </w:rPr>
        <w:fldChar w:fldCharType="end"/>
      </w:r>
      <w:r>
        <w:rPr>
          <w:sz w:val="24"/>
        </w:rPr>
        <w:t xml:space="preserve"> cn）</w:t>
      </w:r>
      <w:r>
        <w:rPr>
          <w:spacing w:val="-3"/>
          <w:sz w:val="24"/>
        </w:rPr>
        <w:t>、“南京市政府采购网”网站</w:t>
      </w:r>
      <w:r>
        <w:rPr>
          <w:sz w:val="24"/>
        </w:rPr>
        <w:t>（</w:t>
      </w:r>
      <w:r>
        <w:fldChar w:fldCharType="begin"/>
      </w:r>
      <w:r>
        <w:instrText xml:space="preserve"> HYPERLINK "http://www.njgp.gov.cn/" \h </w:instrText>
      </w:r>
      <w:r>
        <w:fldChar w:fldCharType="separate"/>
      </w:r>
      <w:r>
        <w:rPr>
          <w:sz w:val="24"/>
        </w:rPr>
        <w:t>www.njgp.gov.cn</w:t>
      </w:r>
      <w:r>
        <w:rPr>
          <w:sz w:val="24"/>
        </w:rPr>
        <w:fldChar w:fldCharType="end"/>
      </w:r>
      <w:r>
        <w:rPr>
          <w:sz w:val="24"/>
        </w:rPr>
        <w:t>）等渠道查询供应商信用记录并保存，如供应商组成联合体且联合体成员存在不良信用记录的，视同联合体存在不良信用记录。</w:t>
      </w:r>
    </w:p>
    <w:p>
      <w:pPr>
        <w:pStyle w:val="3"/>
        <w:spacing w:line="303" w:lineRule="exact"/>
      </w:pPr>
      <w:r>
        <w:t>4、欢迎各潜在供应商前来报名：</w:t>
      </w:r>
    </w:p>
    <w:p>
      <w:pPr>
        <w:pStyle w:val="3"/>
        <w:numPr>
          <w:ilvl w:val="1"/>
          <w:numId w:val="4"/>
        </w:numPr>
        <w:tabs>
          <w:tab w:val="left" w:pos="1281"/>
        </w:tabs>
        <w:spacing w:before="161" w:after="0" w:line="362" w:lineRule="auto"/>
        <w:ind w:left="618" w:right="425" w:firstLine="240"/>
        <w:jc w:val="left"/>
      </w:pPr>
      <w:r>
        <w:rPr>
          <w:spacing w:val="-5"/>
        </w:rPr>
        <w:t>请供应商提供以下要求的证明文件的复印件，且须加盖供应商公章后方为有效，审核通过后获取磋商文件：</w:t>
      </w:r>
    </w:p>
    <w:p>
      <w:pPr>
        <w:pStyle w:val="12"/>
        <w:numPr>
          <w:ilvl w:val="0"/>
          <w:numId w:val="5"/>
        </w:numPr>
        <w:tabs>
          <w:tab w:val="left" w:pos="1464"/>
        </w:tabs>
        <w:spacing w:before="5" w:after="0" w:line="364" w:lineRule="auto"/>
        <w:ind w:left="618" w:right="616" w:firstLine="240"/>
        <w:jc w:val="left"/>
        <w:rPr>
          <w:sz w:val="24"/>
        </w:rPr>
      </w:pPr>
      <w:r>
        <w:rPr>
          <w:sz w:val="24"/>
        </w:rPr>
        <w:t>报名供应商的企业法人营业执照副本复印件、税务登记证副本复印件、组织机构代码证复印件或三证合一的营业执照副本复印件；</w:t>
      </w:r>
    </w:p>
    <w:p>
      <w:pPr>
        <w:pStyle w:val="12"/>
        <w:numPr>
          <w:ilvl w:val="0"/>
          <w:numId w:val="5"/>
        </w:numPr>
        <w:tabs>
          <w:tab w:val="left" w:pos="1460"/>
        </w:tabs>
        <w:spacing w:before="0" w:after="0" w:line="306" w:lineRule="exact"/>
        <w:ind w:left="1459" w:right="0" w:hanging="602"/>
        <w:jc w:val="left"/>
        <w:rPr>
          <w:sz w:val="24"/>
        </w:rPr>
      </w:pPr>
      <w:r>
        <w:rPr>
          <w:sz w:val="24"/>
        </w:rPr>
        <w:t>报名供应商法定代表人授权委托书原件和委托代理人的身份证原件及复印件。</w:t>
      </w:r>
    </w:p>
    <w:p>
      <w:pPr>
        <w:pStyle w:val="3"/>
        <w:numPr>
          <w:ilvl w:val="1"/>
          <w:numId w:val="4"/>
        </w:numPr>
        <w:tabs>
          <w:tab w:val="left" w:pos="1281"/>
        </w:tabs>
        <w:spacing w:before="160" w:after="0" w:line="240" w:lineRule="auto"/>
        <w:ind w:left="1280" w:right="0" w:hanging="423"/>
        <w:jc w:val="left"/>
      </w:pPr>
      <w:r>
        <w:t>磋商文件获取信息：</w:t>
      </w:r>
    </w:p>
    <w:p>
      <w:pPr>
        <w:pStyle w:val="12"/>
        <w:numPr>
          <w:ilvl w:val="0"/>
          <w:numId w:val="6"/>
        </w:numPr>
        <w:tabs>
          <w:tab w:val="left" w:pos="1460"/>
        </w:tabs>
        <w:spacing w:before="159" w:after="0" w:line="240" w:lineRule="auto"/>
        <w:ind w:left="1459" w:right="0" w:hanging="602"/>
        <w:jc w:val="left"/>
        <w:rPr>
          <w:sz w:val="24"/>
        </w:rPr>
      </w:pPr>
      <w:r>
        <w:rPr>
          <w:spacing w:val="-5"/>
          <w:sz w:val="24"/>
        </w:rPr>
        <w:t xml:space="preserve">磋商文件出售方式：人民币 </w:t>
      </w:r>
      <w:r>
        <w:rPr>
          <w:sz w:val="24"/>
        </w:rPr>
        <w:t>500</w:t>
      </w:r>
      <w:r>
        <w:rPr>
          <w:spacing w:val="-30"/>
          <w:sz w:val="24"/>
        </w:rPr>
        <w:t xml:space="preserve"> 元</w:t>
      </w:r>
      <w:r>
        <w:rPr>
          <w:sz w:val="24"/>
        </w:rPr>
        <w:t>/套，售后不退；</w:t>
      </w:r>
    </w:p>
    <w:p>
      <w:pPr>
        <w:pStyle w:val="3"/>
        <w:numPr>
          <w:ilvl w:val="0"/>
          <w:numId w:val="6"/>
        </w:numPr>
        <w:tabs>
          <w:tab w:val="left" w:pos="1460"/>
        </w:tabs>
        <w:spacing w:before="158" w:after="0" w:line="364" w:lineRule="auto"/>
        <w:ind w:left="618" w:right="497" w:firstLine="240"/>
        <w:jc w:val="left"/>
      </w:pPr>
      <w:r>
        <w:rPr>
          <w:b w:val="0"/>
          <w:spacing w:val="-14"/>
        </w:rPr>
        <w:t>磋商文件出售日期：</w:t>
      </w:r>
      <w:r>
        <w:rPr>
          <w:color w:val="auto"/>
          <w:spacing w:val="-6"/>
          <w:u w:val="single"/>
        </w:rPr>
        <w:t xml:space="preserve">采购公告发布之日起至 </w:t>
      </w:r>
      <w:r>
        <w:rPr>
          <w:color w:val="auto"/>
          <w:u w:val="single"/>
        </w:rPr>
        <w:t>2019</w:t>
      </w:r>
      <w:r>
        <w:rPr>
          <w:color w:val="auto"/>
          <w:spacing w:val="-43"/>
          <w:u w:val="single"/>
        </w:rPr>
        <w:t xml:space="preserve"> 年 </w:t>
      </w:r>
      <w:r>
        <w:rPr>
          <w:rFonts w:hint="eastAsia"/>
          <w:color w:val="auto"/>
          <w:u w:val="single"/>
          <w:lang w:val="en-US" w:eastAsia="zh-CN"/>
        </w:rPr>
        <w:t>12</w:t>
      </w:r>
      <w:r>
        <w:rPr>
          <w:color w:val="auto"/>
          <w:spacing w:val="-42"/>
          <w:u w:val="single"/>
        </w:rPr>
        <w:t>月</w:t>
      </w:r>
      <w:r>
        <w:rPr>
          <w:rFonts w:hint="eastAsia"/>
          <w:color w:val="auto"/>
          <w:spacing w:val="-42"/>
          <w:u w:val="single"/>
          <w:lang w:val="en-US" w:eastAsia="zh-CN"/>
        </w:rPr>
        <w:t xml:space="preserve"> 4</w:t>
      </w:r>
      <w:r>
        <w:rPr>
          <w:color w:val="auto"/>
          <w:spacing w:val="-28"/>
          <w:u w:val="single"/>
        </w:rPr>
        <w:t>日为止，每天</w:t>
      </w:r>
      <w:r>
        <w:rPr>
          <w:color w:val="auto"/>
          <w:spacing w:val="-2"/>
          <w:w w:val="99"/>
          <w:u w:val="single"/>
        </w:rPr>
        <w:t>8</w:t>
      </w:r>
      <w:r>
        <w:rPr>
          <w:color w:val="auto"/>
          <w:spacing w:val="-122"/>
          <w:w w:val="99"/>
          <w:u w:val="single"/>
        </w:rPr>
        <w:t>：</w:t>
      </w:r>
      <w:r>
        <w:rPr>
          <w:color w:val="auto"/>
          <w:spacing w:val="0"/>
          <w:w w:val="99"/>
          <w:u w:val="single"/>
        </w:rPr>
        <w:t>3</w:t>
      </w:r>
      <w:r>
        <w:rPr>
          <w:color w:val="auto"/>
          <w:spacing w:val="-2"/>
          <w:w w:val="99"/>
          <w:u w:val="single"/>
        </w:rPr>
        <w:t>0</w:t>
      </w:r>
      <w:r>
        <w:rPr>
          <w:color w:val="auto"/>
          <w:w w:val="99"/>
          <w:u w:val="single"/>
        </w:rPr>
        <w:t>-</w:t>
      </w:r>
      <w:r>
        <w:rPr>
          <w:color w:val="auto"/>
          <w:spacing w:val="-2"/>
          <w:w w:val="99"/>
          <w:u w:val="single"/>
        </w:rPr>
        <w:t>1</w:t>
      </w:r>
      <w:r>
        <w:rPr>
          <w:color w:val="auto"/>
          <w:spacing w:val="0"/>
          <w:w w:val="99"/>
          <w:u w:val="single"/>
        </w:rPr>
        <w:t>2</w:t>
      </w:r>
      <w:r>
        <w:rPr>
          <w:color w:val="auto"/>
          <w:spacing w:val="-2"/>
          <w:w w:val="99"/>
          <w:u w:val="single"/>
        </w:rPr>
        <w:t>：</w:t>
      </w:r>
      <w:r>
        <w:rPr>
          <w:color w:val="auto"/>
          <w:w w:val="99"/>
        </w:rPr>
        <w:t xml:space="preserve"> </w:t>
      </w:r>
      <w:r>
        <w:rPr>
          <w:color w:val="auto"/>
          <w:spacing w:val="2"/>
          <w:w w:val="99"/>
          <w:u w:val="single"/>
        </w:rPr>
        <w:t>0</w:t>
      </w:r>
      <w:r>
        <w:rPr>
          <w:color w:val="auto"/>
          <w:spacing w:val="-3"/>
          <w:w w:val="99"/>
          <w:u w:val="single"/>
        </w:rPr>
        <w:t>0</w:t>
      </w:r>
      <w:r>
        <w:rPr>
          <w:color w:val="auto"/>
          <w:spacing w:val="2"/>
          <w:w w:val="99"/>
          <w:u w:val="single"/>
        </w:rPr>
        <w:t>，1</w:t>
      </w:r>
      <w:r>
        <w:rPr>
          <w:color w:val="auto"/>
          <w:spacing w:val="-3"/>
          <w:w w:val="99"/>
          <w:u w:val="single"/>
        </w:rPr>
        <w:t>3</w:t>
      </w:r>
      <w:r>
        <w:rPr>
          <w:color w:val="auto"/>
          <w:spacing w:val="2"/>
          <w:w w:val="99"/>
          <w:u w:val="single"/>
        </w:rPr>
        <w:t>：</w:t>
      </w:r>
      <w:r>
        <w:rPr>
          <w:color w:val="auto"/>
          <w:w w:val="99"/>
          <w:u w:val="single"/>
        </w:rPr>
        <w:t>3</w:t>
      </w:r>
      <w:r>
        <w:rPr>
          <w:color w:val="auto"/>
          <w:spacing w:val="2"/>
          <w:w w:val="99"/>
          <w:u w:val="single"/>
        </w:rPr>
        <w:t>0</w:t>
      </w:r>
      <w:r>
        <w:rPr>
          <w:color w:val="auto"/>
          <w:w w:val="99"/>
          <w:u w:val="single"/>
        </w:rPr>
        <w:t>-</w:t>
      </w:r>
      <w:r>
        <w:rPr>
          <w:color w:val="auto"/>
          <w:spacing w:val="2"/>
          <w:w w:val="99"/>
          <w:u w:val="single"/>
        </w:rPr>
        <w:t>1</w:t>
      </w:r>
      <w:r>
        <w:rPr>
          <w:color w:val="auto"/>
          <w:w w:val="99"/>
          <w:u w:val="single"/>
        </w:rPr>
        <w:t>7：</w:t>
      </w:r>
      <w:r>
        <w:rPr>
          <w:color w:val="auto"/>
          <w:spacing w:val="2"/>
          <w:w w:val="99"/>
          <w:u w:val="single"/>
        </w:rPr>
        <w:t>3</w:t>
      </w:r>
      <w:r>
        <w:rPr>
          <w:color w:val="auto"/>
          <w:w w:val="99"/>
          <w:u w:val="single"/>
        </w:rPr>
        <w:t>0（北京时间，节假日除外</w:t>
      </w:r>
      <w:r>
        <w:rPr>
          <w:color w:val="auto"/>
          <w:spacing w:val="2"/>
          <w:w w:val="99"/>
          <w:u w:val="single"/>
        </w:rPr>
        <w:t>）</w:t>
      </w:r>
      <w:r>
        <w:rPr>
          <w:color w:val="auto"/>
          <w:w w:val="99"/>
        </w:rPr>
        <w:t>；</w:t>
      </w:r>
    </w:p>
    <w:p>
      <w:pPr>
        <w:pStyle w:val="3"/>
        <w:numPr>
          <w:ilvl w:val="0"/>
          <w:numId w:val="6"/>
        </w:numPr>
        <w:tabs>
          <w:tab w:val="left" w:pos="1460"/>
        </w:tabs>
        <w:spacing w:before="1" w:after="0" w:line="362" w:lineRule="auto"/>
        <w:ind w:left="618" w:right="664" w:firstLine="240"/>
        <w:jc w:val="left"/>
      </w:pPr>
      <w:r>
        <w:rPr>
          <w:b w:val="0"/>
        </w:rPr>
        <w:t>磋商文件出售地址：</w:t>
      </w:r>
      <w:r>
        <w:rPr>
          <w:rFonts w:hint="eastAsia"/>
          <w:spacing w:val="-7"/>
          <w:u w:val="single"/>
          <w:lang w:eastAsia="zh-CN"/>
        </w:rPr>
        <w:t>南京市鼓楼区中山北路346号老学堂创意园58号楼9楼</w:t>
      </w:r>
      <w:r>
        <w:rPr>
          <w:spacing w:val="-2"/>
        </w:rPr>
        <w:t>，领取本次磋商文件</w:t>
      </w:r>
      <w:r>
        <w:t>后才可参加此次磋商活动。</w:t>
      </w:r>
    </w:p>
    <w:p>
      <w:pPr>
        <w:pStyle w:val="4"/>
        <w:spacing w:before="5" w:line="364" w:lineRule="auto"/>
        <w:ind w:right="606" w:firstLine="240"/>
        <w:jc w:val="both"/>
      </w:pPr>
      <w:r>
        <w:rPr>
          <w:b/>
        </w:rPr>
        <w:t>5、集中现场考察或答疑：</w:t>
      </w:r>
      <w:r>
        <w:t>采购人不组织，供应商可自行联系采购人。未考察现场或</w:t>
      </w:r>
      <w:r>
        <w:rPr>
          <w:spacing w:val="-4"/>
        </w:rPr>
        <w:t>考察工作不详细的供应商成交后，不得以不完全了解现场情况为理由而向采购人提出任何索赔或其他要求，对此采购人不承担任何责任并将不作任何答复。</w:t>
      </w:r>
    </w:p>
    <w:p>
      <w:pPr>
        <w:pStyle w:val="3"/>
        <w:spacing w:line="305" w:lineRule="exact"/>
        <w:rPr>
          <w:b w:val="0"/>
        </w:rPr>
      </w:pPr>
      <w:r>
        <w:t>6、是否接受联合体：</w:t>
      </w:r>
      <w:r>
        <w:rPr>
          <w:b w:val="0"/>
        </w:rPr>
        <w:t>否。</w:t>
      </w:r>
    </w:p>
    <w:p>
      <w:pPr>
        <w:pStyle w:val="3"/>
        <w:spacing w:before="160"/>
      </w:pPr>
      <w:r>
        <w:t>7、磋商保证金数额及交纳办法：</w:t>
      </w:r>
    </w:p>
    <w:p>
      <w:pPr>
        <w:pStyle w:val="4"/>
        <w:spacing w:before="158"/>
        <w:ind w:left="858"/>
      </w:pPr>
      <w:r>
        <w:t>作为响应文件的一部分，供应商应提供金额为人民币</w:t>
      </w:r>
      <w:r>
        <w:rPr>
          <w:rFonts w:hint="eastAsia"/>
          <w:b/>
          <w:u w:val="single"/>
          <w:lang w:eastAsia="zh-CN"/>
        </w:rPr>
        <w:t>陆仟元</w:t>
      </w:r>
      <w:r>
        <w:rPr>
          <w:b/>
          <w:u w:val="single"/>
        </w:rPr>
        <w:t>整</w:t>
      </w:r>
      <w:r>
        <w:t>的磋商保证金；</w:t>
      </w:r>
    </w:p>
    <w:p>
      <w:pPr>
        <w:spacing w:before="161" w:line="362" w:lineRule="auto"/>
        <w:ind w:left="618" w:right="539" w:firstLine="240"/>
        <w:jc w:val="left"/>
        <w:rPr>
          <w:sz w:val="24"/>
        </w:rPr>
      </w:pPr>
      <w:r>
        <w:rPr>
          <w:sz w:val="24"/>
        </w:rPr>
        <w:t>交纳办法：磋商保证金可采取下列形式之一种：</w:t>
      </w:r>
      <w:r>
        <w:rPr>
          <w:b/>
          <w:sz w:val="24"/>
        </w:rPr>
        <w:t>银行转账、电汇、金融机构或担保机构出具的保函</w:t>
      </w:r>
      <w:r>
        <w:rPr>
          <w:sz w:val="24"/>
        </w:rPr>
        <w:t>；</w:t>
      </w:r>
    </w:p>
    <w:p>
      <w:pPr>
        <w:spacing w:after="0" w:line="362"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158" w:line="364" w:lineRule="auto"/>
        <w:ind w:right="617" w:firstLine="240"/>
        <w:jc w:val="both"/>
        <w:rPr>
          <w:spacing w:val="-4"/>
        </w:rPr>
      </w:pPr>
      <w:r>
        <w:rPr>
          <w:spacing w:val="-4"/>
        </w:rPr>
        <w:t>磋商保证金收款单位、开户银行及帐号：</w:t>
      </w:r>
    </w:p>
    <w:p>
      <w:pPr>
        <w:pStyle w:val="4"/>
        <w:spacing w:before="158" w:line="364" w:lineRule="auto"/>
        <w:ind w:right="617" w:firstLine="240"/>
        <w:jc w:val="both"/>
        <w:rPr>
          <w:rFonts w:hint="eastAsia"/>
          <w:spacing w:val="-4"/>
          <w:lang w:eastAsia="zh-CN"/>
        </w:rPr>
      </w:pPr>
      <w:r>
        <w:rPr>
          <w:spacing w:val="-4"/>
        </w:rPr>
        <w:t xml:space="preserve"> 收款单位：</w:t>
      </w:r>
      <w:r>
        <w:rPr>
          <w:rFonts w:hint="eastAsia"/>
          <w:spacing w:val="-4"/>
          <w:lang w:eastAsia="zh-CN"/>
        </w:rPr>
        <w:t>江苏骏通建设项目管理咨询有限公司</w:t>
      </w:r>
    </w:p>
    <w:p>
      <w:pPr>
        <w:pStyle w:val="4"/>
        <w:spacing w:before="158" w:line="364" w:lineRule="auto"/>
        <w:ind w:right="617" w:firstLine="240"/>
        <w:jc w:val="both"/>
        <w:rPr>
          <w:rFonts w:hint="eastAsia" w:eastAsia="宋体"/>
          <w:spacing w:val="-4"/>
          <w:lang w:eastAsia="zh-CN"/>
        </w:rPr>
      </w:pPr>
      <w:r>
        <w:rPr>
          <w:spacing w:val="-4"/>
        </w:rPr>
        <w:t xml:space="preserve"> 开 户 行：</w:t>
      </w:r>
      <w:r>
        <w:rPr>
          <w:rFonts w:hint="eastAsia"/>
          <w:spacing w:val="-4"/>
          <w:lang w:eastAsia="zh-CN"/>
        </w:rPr>
        <w:t>光大银行南京分行山西路支行</w:t>
      </w:r>
    </w:p>
    <w:p>
      <w:pPr>
        <w:pStyle w:val="4"/>
        <w:spacing w:before="158" w:line="364" w:lineRule="auto"/>
        <w:ind w:right="617" w:firstLine="240"/>
        <w:jc w:val="both"/>
        <w:rPr>
          <w:rFonts w:hint="default" w:eastAsia="宋体"/>
          <w:spacing w:val="-4"/>
          <w:lang w:val="en-US" w:eastAsia="zh-CN"/>
        </w:rPr>
      </w:pPr>
      <w:r>
        <w:rPr>
          <w:spacing w:val="-4"/>
        </w:rPr>
        <w:t>帐</w:t>
      </w:r>
      <w:r>
        <w:rPr>
          <w:spacing w:val="-4"/>
        </w:rPr>
        <w:tab/>
      </w:r>
      <w:r>
        <w:rPr>
          <w:spacing w:val="-4"/>
        </w:rPr>
        <w:t>号：</w:t>
      </w:r>
      <w:r>
        <w:rPr>
          <w:rFonts w:hint="eastAsia"/>
          <w:spacing w:val="-4"/>
          <w:lang w:val="en-US" w:eastAsia="zh-CN"/>
        </w:rPr>
        <w:t>7658 0188 0000 6783 5</w:t>
      </w:r>
    </w:p>
    <w:p>
      <w:pPr>
        <w:pStyle w:val="4"/>
        <w:spacing w:before="158" w:line="364" w:lineRule="auto"/>
        <w:ind w:right="617" w:firstLine="240"/>
        <w:jc w:val="both"/>
      </w:pPr>
      <w:r>
        <w:rPr>
          <w:spacing w:val="-5"/>
        </w:rPr>
        <w:t>交纳时间：提交响应文件截止时间前</w:t>
      </w:r>
      <w:r>
        <w:t>（</w:t>
      </w:r>
      <w:r>
        <w:rPr>
          <w:spacing w:val="-3"/>
        </w:rPr>
        <w:t>如采取电汇形式交纳磋商保证金的，各供应商</w:t>
      </w:r>
      <w:r>
        <w:rPr>
          <w:spacing w:val="-4"/>
        </w:rPr>
        <w:t>应根据企业自身开户行及磋商保证金到账延时性，视情况及时交纳磋商保证金，如因磋商保证金到账时效问题导致响应文件被拒绝接收的，对此采购代理机构不承担任何责任</w:t>
      </w:r>
      <w:r>
        <w:t>并将不作任何答复）；</w:t>
      </w:r>
    </w:p>
    <w:p>
      <w:pPr>
        <w:spacing w:before="0" w:line="364" w:lineRule="auto"/>
        <w:ind w:left="618" w:right="512" w:firstLine="240"/>
        <w:jc w:val="left"/>
        <w:rPr>
          <w:sz w:val="24"/>
        </w:rPr>
      </w:pPr>
      <w:r>
        <w:rPr>
          <w:spacing w:val="-2"/>
          <w:sz w:val="24"/>
        </w:rPr>
        <w:t>磋商保证金如是以电汇的形式交纳的，请在汇款附言中</w:t>
      </w:r>
      <w:r>
        <w:rPr>
          <w:b/>
          <w:spacing w:val="-7"/>
          <w:sz w:val="24"/>
        </w:rPr>
        <w:t>注明“采购编号”或“磋商保证金”</w:t>
      </w:r>
      <w:r>
        <w:rPr>
          <w:spacing w:val="-7"/>
          <w:sz w:val="24"/>
        </w:rPr>
        <w:t>字样；并将电汇凭证</w:t>
      </w:r>
      <w:r>
        <w:rPr>
          <w:b/>
          <w:spacing w:val="-7"/>
          <w:sz w:val="24"/>
        </w:rPr>
        <w:t>复印件用封套单独加以密封，在封套上注明“磋商保证金” 字样</w:t>
      </w:r>
      <w:r>
        <w:rPr>
          <w:spacing w:val="-7"/>
          <w:sz w:val="24"/>
        </w:rPr>
        <w:t>；未按上述要求交纳磋商保证金的，响应文件将被拒绝接收。</w:t>
      </w:r>
    </w:p>
    <w:p>
      <w:pPr>
        <w:pStyle w:val="4"/>
        <w:spacing w:line="364" w:lineRule="auto"/>
        <w:ind w:right="565" w:firstLine="240"/>
        <w:jc w:val="both"/>
      </w:pPr>
      <w:r>
        <w:rPr>
          <w:b/>
        </w:rPr>
        <w:t>8、响应文件份数：</w:t>
      </w:r>
      <w:r>
        <w:t>纸质版响应文件一式叁份（壹份正本、贰份副本），电子版响应</w:t>
      </w:r>
      <w:r>
        <w:rPr>
          <w:spacing w:val="-3"/>
        </w:rPr>
        <w:t>文件壹份</w:t>
      </w:r>
      <w:r>
        <w:t>（一般应为PDF</w:t>
      </w:r>
      <w:r>
        <w:rPr>
          <w:spacing w:val="-4"/>
        </w:rPr>
        <w:t>格式、</w:t>
      </w:r>
      <w:r>
        <w:t>U</w:t>
      </w:r>
      <w:r>
        <w:rPr>
          <w:spacing w:val="-2"/>
        </w:rPr>
        <w:t>盘或光盘形式、随纸质正本文件一并提交</w:t>
      </w:r>
      <w:r>
        <w:rPr>
          <w:spacing w:val="-10"/>
        </w:rPr>
        <w:t>）</w:t>
      </w:r>
      <w:r>
        <w:rPr>
          <w:spacing w:val="-3"/>
        </w:rPr>
        <w:t>。当纸质正</w:t>
      </w:r>
      <w:r>
        <w:rPr>
          <w:spacing w:val="-8"/>
        </w:rPr>
        <w:t>本文件与副本、电子版文件不一致时，以纸质正本文件为准。电子版文件用于存档，供</w:t>
      </w:r>
      <w:r>
        <w:rPr>
          <w:spacing w:val="-9"/>
        </w:rPr>
        <w:t xml:space="preserve">应商须承担前述不一致造成的不利后果。每份纸质文件须清楚标明“正本”或“副本” </w:t>
      </w:r>
      <w:r>
        <w:t>字样。</w:t>
      </w:r>
    </w:p>
    <w:p>
      <w:pPr>
        <w:pStyle w:val="3"/>
        <w:spacing w:line="306" w:lineRule="exact"/>
        <w:jc w:val="both"/>
        <w:rPr>
          <w:color w:val="auto"/>
        </w:rPr>
      </w:pPr>
      <w:r>
        <w:t>9、提交响应文件开始时间：</w:t>
      </w:r>
      <w:r>
        <w:rPr>
          <w:color w:val="auto"/>
          <w:u w:val="single"/>
        </w:rPr>
        <w:t>2019</w:t>
      </w:r>
      <w:r>
        <w:rPr>
          <w:color w:val="auto"/>
          <w:spacing w:val="-42"/>
          <w:u w:val="single"/>
        </w:rPr>
        <w:t xml:space="preserve"> 年 </w:t>
      </w:r>
      <w:r>
        <w:rPr>
          <w:rFonts w:hint="eastAsia"/>
          <w:color w:val="auto"/>
          <w:u w:val="single"/>
          <w:lang w:val="en-US" w:eastAsia="zh-CN"/>
        </w:rPr>
        <w:t>12</w:t>
      </w:r>
      <w:r>
        <w:rPr>
          <w:color w:val="auto"/>
          <w:spacing w:val="-42"/>
          <w:u w:val="single"/>
        </w:rPr>
        <w:t xml:space="preserve">月 </w:t>
      </w:r>
      <w:r>
        <w:rPr>
          <w:rFonts w:hint="eastAsia"/>
          <w:color w:val="auto"/>
          <w:u w:val="single"/>
          <w:lang w:val="en-US" w:eastAsia="zh-CN"/>
        </w:rPr>
        <w:t>6</w:t>
      </w:r>
      <w:r>
        <w:rPr>
          <w:color w:val="auto"/>
          <w:spacing w:val="-42"/>
          <w:u w:val="single"/>
        </w:rPr>
        <w:t xml:space="preserve">日 </w:t>
      </w:r>
      <w:r>
        <w:rPr>
          <w:rFonts w:hint="eastAsia"/>
          <w:color w:val="auto"/>
          <w:u w:val="single"/>
          <w:lang w:val="en-US" w:eastAsia="zh-CN"/>
        </w:rPr>
        <w:t>9</w:t>
      </w:r>
      <w:r>
        <w:rPr>
          <w:color w:val="auto"/>
          <w:spacing w:val="-41"/>
          <w:u w:val="single"/>
        </w:rPr>
        <w:t xml:space="preserve"> 时 </w:t>
      </w:r>
      <w:r>
        <w:rPr>
          <w:rFonts w:hint="eastAsia"/>
          <w:color w:val="auto"/>
          <w:u w:val="single"/>
          <w:lang w:val="en-US" w:eastAsia="zh-CN"/>
        </w:rPr>
        <w:t>3</w:t>
      </w:r>
      <w:r>
        <w:rPr>
          <w:color w:val="auto"/>
          <w:u w:val="single"/>
        </w:rPr>
        <w:t>0</w:t>
      </w:r>
      <w:r>
        <w:rPr>
          <w:color w:val="auto"/>
          <w:spacing w:val="-21"/>
          <w:u w:val="single"/>
        </w:rPr>
        <w:t xml:space="preserve"> 分；</w:t>
      </w:r>
    </w:p>
    <w:p>
      <w:pPr>
        <w:pStyle w:val="3"/>
        <w:spacing w:before="155"/>
        <w:ind w:left="1220"/>
        <w:rPr>
          <w:color w:val="auto"/>
        </w:rPr>
      </w:pPr>
      <w:r>
        <w:rPr>
          <w:color w:val="auto"/>
        </w:rPr>
        <w:t>提交响应文件截止时间：</w:t>
      </w:r>
      <w:r>
        <w:rPr>
          <w:color w:val="auto"/>
          <w:u w:val="single"/>
        </w:rPr>
        <w:t>2019</w:t>
      </w:r>
      <w:r>
        <w:rPr>
          <w:color w:val="auto"/>
          <w:spacing w:val="-42"/>
          <w:u w:val="single"/>
        </w:rPr>
        <w:t xml:space="preserve"> 年 </w:t>
      </w:r>
      <w:r>
        <w:rPr>
          <w:rFonts w:hint="eastAsia"/>
          <w:color w:val="auto"/>
          <w:u w:val="single"/>
          <w:lang w:val="en-US" w:eastAsia="zh-CN"/>
        </w:rPr>
        <w:t>12</w:t>
      </w:r>
      <w:r>
        <w:rPr>
          <w:color w:val="auto"/>
          <w:spacing w:val="-42"/>
          <w:u w:val="single"/>
        </w:rPr>
        <w:t xml:space="preserve"> 月 </w:t>
      </w:r>
      <w:r>
        <w:rPr>
          <w:rFonts w:hint="eastAsia"/>
          <w:color w:val="auto"/>
          <w:u w:val="single"/>
          <w:lang w:val="en-US" w:eastAsia="zh-CN"/>
        </w:rPr>
        <w:t>6</w:t>
      </w:r>
      <w:r>
        <w:rPr>
          <w:color w:val="auto"/>
          <w:spacing w:val="-42"/>
          <w:u w:val="single"/>
        </w:rPr>
        <w:t xml:space="preserve"> 日 </w:t>
      </w:r>
      <w:r>
        <w:rPr>
          <w:rFonts w:hint="eastAsia"/>
          <w:color w:val="auto"/>
          <w:u w:val="single"/>
          <w:lang w:val="en-US" w:eastAsia="zh-CN"/>
        </w:rPr>
        <w:t>10</w:t>
      </w:r>
      <w:r>
        <w:rPr>
          <w:color w:val="auto"/>
          <w:spacing w:val="-42"/>
          <w:u w:val="single"/>
        </w:rPr>
        <w:t xml:space="preserve"> 时 </w:t>
      </w:r>
      <w:r>
        <w:rPr>
          <w:color w:val="auto"/>
          <w:u w:val="single"/>
        </w:rPr>
        <w:t>00</w:t>
      </w:r>
      <w:r>
        <w:rPr>
          <w:color w:val="auto"/>
          <w:spacing w:val="-22"/>
          <w:u w:val="single"/>
        </w:rPr>
        <w:t xml:space="preserve"> 分。</w:t>
      </w:r>
    </w:p>
    <w:p>
      <w:pPr>
        <w:pStyle w:val="4"/>
        <w:spacing w:before="160" w:line="364" w:lineRule="auto"/>
        <w:ind w:right="548"/>
      </w:pPr>
      <w:r>
        <w:t>10、提交响应文件地点（不接受传真、邮寄）：</w:t>
      </w:r>
      <w:r>
        <w:rPr>
          <w:rFonts w:hint="eastAsia"/>
          <w:color w:val="000000"/>
          <w:u w:val="single"/>
          <w:shd w:val="clear" w:color="auto" w:fill="FFFFFF"/>
          <w:lang w:eastAsia="zh-CN"/>
        </w:rPr>
        <w:t>南京市鼓楼区中山北路</w:t>
      </w:r>
      <w:r>
        <w:rPr>
          <w:rFonts w:hint="eastAsia"/>
          <w:color w:val="000000"/>
          <w:u w:val="single"/>
          <w:shd w:val="clear" w:color="auto" w:fill="FFFFFF"/>
          <w:lang w:val="en-US" w:eastAsia="zh-CN"/>
        </w:rPr>
        <w:t>346号老学堂创意园58号楼9楼</w:t>
      </w:r>
      <w:r>
        <w:rPr>
          <w:b/>
        </w:rPr>
        <w:t>。</w:t>
      </w:r>
      <w:r>
        <w:t>提交响应文件截止时间过后，采购代理机构将组织专家与供应商进行磋商，请供应商法定代表人或其授权委托代表出席。</w:t>
      </w:r>
    </w:p>
    <w:p>
      <w:pPr>
        <w:spacing w:before="0" w:line="364" w:lineRule="auto"/>
        <w:ind w:left="858" w:right="7278" w:firstLine="0"/>
        <w:jc w:val="left"/>
        <w:rPr>
          <w:rFonts w:hint="eastAsia" w:eastAsia="宋体"/>
          <w:sz w:val="24"/>
          <w:lang w:eastAsia="zh-CN"/>
        </w:rPr>
      </w:pPr>
      <w:r>
        <w:rPr>
          <w:b/>
          <w:sz w:val="24"/>
        </w:rPr>
        <w:t>11、采购人联系方式</w:t>
      </w:r>
      <w:r>
        <w:rPr>
          <w:sz w:val="24"/>
        </w:rPr>
        <w:t>联系人：</w:t>
      </w:r>
      <w:r>
        <w:rPr>
          <w:rFonts w:hint="eastAsia"/>
          <w:sz w:val="24"/>
          <w:lang w:eastAsia="zh-CN"/>
        </w:rPr>
        <w:t>陈主任</w:t>
      </w:r>
    </w:p>
    <w:p>
      <w:pPr>
        <w:pStyle w:val="4"/>
        <w:spacing w:line="306" w:lineRule="exact"/>
        <w:ind w:left="858"/>
      </w:pPr>
      <w:r>
        <w:t xml:space="preserve">联系电话： </w:t>
      </w:r>
      <w:r>
        <w:rPr>
          <w:rFonts w:hint="eastAsia"/>
          <w:color w:val="000000"/>
          <w:shd w:val="clear" w:color="auto" w:fill="FFFFFF"/>
          <w:lang w:val="en-US" w:eastAsia="zh-CN"/>
        </w:rPr>
        <w:t>13770752607</w:t>
      </w:r>
      <w:r>
        <w:rPr>
          <w:rFonts w:hint="eastAsia"/>
          <w:color w:val="000000"/>
        </w:rPr>
        <w:t xml:space="preserve"> </w:t>
      </w:r>
    </w:p>
    <w:p>
      <w:pPr>
        <w:keepNext w:val="0"/>
        <w:keepLines w:val="0"/>
        <w:pageBreakBefore w:val="0"/>
        <w:widowControl w:val="0"/>
        <w:kinsoku/>
        <w:wordWrap/>
        <w:overflowPunct/>
        <w:topLinePunct w:val="0"/>
        <w:autoSpaceDE w:val="0"/>
        <w:autoSpaceDN w:val="0"/>
        <w:bidi w:val="0"/>
        <w:adjustRightInd/>
        <w:snapToGrid/>
        <w:spacing w:before="160" w:line="363" w:lineRule="auto"/>
        <w:ind w:left="856" w:right="0" w:firstLine="0"/>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zh-CN" w:eastAsia="zh-CN" w:bidi="zh-CN"/>
        </w:rPr>
        <w:t>办公地址：南京市鼓楼区中山北路</w:t>
      </w:r>
      <w:r>
        <w:rPr>
          <w:rFonts w:hint="eastAsia" w:ascii="宋体" w:hAnsi="宋体" w:eastAsia="宋体" w:cs="宋体"/>
          <w:sz w:val="24"/>
          <w:szCs w:val="24"/>
          <w:lang w:val="en-US" w:eastAsia="zh-CN" w:bidi="zh-CN"/>
        </w:rPr>
        <w:t>540号</w:t>
      </w:r>
    </w:p>
    <w:p>
      <w:pPr>
        <w:keepNext w:val="0"/>
        <w:keepLines w:val="0"/>
        <w:pageBreakBefore w:val="0"/>
        <w:widowControl w:val="0"/>
        <w:kinsoku/>
        <w:wordWrap/>
        <w:overflowPunct/>
        <w:topLinePunct w:val="0"/>
        <w:autoSpaceDE w:val="0"/>
        <w:autoSpaceDN w:val="0"/>
        <w:bidi w:val="0"/>
        <w:adjustRightInd/>
        <w:snapToGrid/>
        <w:spacing w:before="160" w:line="363" w:lineRule="auto"/>
        <w:ind w:left="856" w:right="0" w:firstLine="0"/>
        <w:jc w:val="left"/>
        <w:textAlignment w:val="auto"/>
        <w:rPr>
          <w:b/>
          <w:sz w:val="24"/>
        </w:rPr>
      </w:pPr>
      <w:r>
        <w:rPr>
          <w:b/>
          <w:sz w:val="24"/>
        </w:rPr>
        <w:t>12、采购代理机构联系方式</w:t>
      </w:r>
    </w:p>
    <w:p>
      <w:pPr>
        <w:pStyle w:val="4"/>
        <w:spacing w:before="5"/>
        <w:ind w:left="858"/>
      </w:pPr>
      <w:r>
        <w:t>联系人：</w:t>
      </w:r>
      <w:r>
        <w:rPr>
          <w:rFonts w:hint="eastAsia"/>
          <w:lang w:eastAsia="zh-CN"/>
        </w:rPr>
        <w:t>李</w:t>
      </w:r>
      <w:r>
        <w:t>工</w:t>
      </w:r>
    </w:p>
    <w:p>
      <w:pPr>
        <w:pStyle w:val="4"/>
        <w:tabs>
          <w:tab w:val="left" w:pos="1578"/>
        </w:tabs>
        <w:spacing w:before="158" w:line="364" w:lineRule="auto"/>
        <w:ind w:left="858" w:right="5125"/>
        <w:rPr>
          <w:rFonts w:hint="eastAsia"/>
          <w:lang w:val="en-US" w:eastAsia="zh-CN"/>
        </w:rPr>
      </w:pPr>
      <w:r>
        <w:rPr>
          <w:spacing w:val="-1"/>
        </w:rPr>
        <w:t>联系</w:t>
      </w:r>
      <w:r>
        <w:t>电话：025-</w:t>
      </w:r>
      <w:r>
        <w:rPr>
          <w:rFonts w:hint="eastAsia"/>
          <w:lang w:val="en-US" w:eastAsia="zh-CN"/>
        </w:rPr>
        <w:t>83266652</w:t>
      </w:r>
    </w:p>
    <w:p>
      <w:pPr>
        <w:pStyle w:val="4"/>
        <w:tabs>
          <w:tab w:val="left" w:pos="1578"/>
        </w:tabs>
        <w:spacing w:line="306" w:lineRule="exact"/>
        <w:ind w:left="858"/>
      </w:pPr>
      <w:r>
        <w:t>地</w:t>
      </w:r>
      <w:r>
        <w:tab/>
      </w:r>
      <w:r>
        <w:t>址：</w:t>
      </w:r>
      <w:r>
        <w:rPr>
          <w:rFonts w:hint="eastAsia"/>
          <w:color w:val="000000"/>
          <w:u w:val="none"/>
          <w:shd w:val="clear" w:color="auto" w:fill="FFFFFF"/>
          <w:lang w:eastAsia="zh-CN"/>
        </w:rPr>
        <w:t>南京市鼓楼区中山北路</w:t>
      </w:r>
      <w:r>
        <w:rPr>
          <w:rFonts w:hint="eastAsia"/>
          <w:color w:val="000000"/>
          <w:u w:val="none"/>
          <w:shd w:val="clear" w:color="auto" w:fill="FFFFFF"/>
          <w:lang w:val="en-US" w:eastAsia="zh-CN"/>
        </w:rPr>
        <w:t>346号老学堂创意园58号楼9楼</w:t>
      </w:r>
    </w:p>
    <w:p>
      <w:pPr>
        <w:spacing w:after="0" w:line="306" w:lineRule="exact"/>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pPr>
      <w:r>
        <w:t>13、本项目需要落实的政府采购政策</w:t>
      </w:r>
    </w:p>
    <w:p>
      <w:pPr>
        <w:pStyle w:val="12"/>
        <w:numPr>
          <w:ilvl w:val="1"/>
          <w:numId w:val="7"/>
        </w:numPr>
        <w:tabs>
          <w:tab w:val="left" w:pos="1399"/>
        </w:tabs>
        <w:spacing w:before="158" w:after="0" w:line="240" w:lineRule="auto"/>
        <w:ind w:left="1398" w:right="0" w:hanging="541"/>
        <w:jc w:val="both"/>
        <w:rPr>
          <w:sz w:val="24"/>
        </w:rPr>
      </w:pPr>
      <w:r>
        <w:rPr>
          <w:spacing w:val="-3"/>
          <w:sz w:val="24"/>
        </w:rPr>
        <w:t xml:space="preserve">供应商认定为小型和微型企业，投标价给予 </w:t>
      </w:r>
      <w:r>
        <w:rPr>
          <w:sz w:val="24"/>
        </w:rPr>
        <w:t>6%的扣除。</w:t>
      </w:r>
    </w:p>
    <w:p>
      <w:pPr>
        <w:pStyle w:val="12"/>
        <w:numPr>
          <w:ilvl w:val="1"/>
          <w:numId w:val="7"/>
        </w:numPr>
        <w:tabs>
          <w:tab w:val="left" w:pos="1413"/>
        </w:tabs>
        <w:spacing w:before="160" w:after="0" w:line="364" w:lineRule="auto"/>
        <w:ind w:left="618" w:right="457" w:firstLine="240"/>
        <w:jc w:val="both"/>
        <w:rPr>
          <w:sz w:val="24"/>
        </w:rPr>
      </w:pPr>
      <w:r>
        <w:rPr>
          <w:spacing w:val="14"/>
          <w:sz w:val="24"/>
        </w:rPr>
        <w:t>根据财政部、司法部关于政府采购支持监狱企业发展有关问题的通知</w:t>
      </w:r>
      <w:r>
        <w:rPr>
          <w:spacing w:val="16"/>
          <w:sz w:val="24"/>
        </w:rPr>
        <w:t>（</w:t>
      </w:r>
      <w:r>
        <w:rPr>
          <w:spacing w:val="8"/>
          <w:sz w:val="24"/>
        </w:rPr>
        <w:t>财库[2014]68</w:t>
      </w:r>
      <w:r>
        <w:rPr>
          <w:spacing w:val="-14"/>
          <w:sz w:val="24"/>
        </w:rPr>
        <w:t xml:space="preserve"> 号</w:t>
      </w:r>
      <w:r>
        <w:rPr>
          <w:sz w:val="24"/>
        </w:rPr>
        <w:t>），监狱企业视同小型、微型企业，享受小型、微型企业评审中价格扣除的政府采购政策。</w:t>
      </w:r>
    </w:p>
    <w:p>
      <w:pPr>
        <w:pStyle w:val="3"/>
        <w:spacing w:line="307" w:lineRule="exact"/>
      </w:pPr>
      <w:r>
        <w:t>14、供应商诚信档案注册登记管理：</w:t>
      </w:r>
    </w:p>
    <w:p>
      <w:pPr>
        <w:pStyle w:val="12"/>
        <w:numPr>
          <w:ilvl w:val="1"/>
          <w:numId w:val="8"/>
        </w:numPr>
        <w:tabs>
          <w:tab w:val="left" w:pos="1399"/>
        </w:tabs>
        <w:spacing w:before="158" w:after="0" w:line="364" w:lineRule="auto"/>
        <w:ind w:left="618" w:right="455" w:firstLine="240"/>
        <w:jc w:val="left"/>
        <w:rPr>
          <w:sz w:val="24"/>
        </w:rPr>
      </w:pPr>
      <w:r>
        <w:rPr>
          <w:spacing w:val="-3"/>
          <w:sz w:val="24"/>
        </w:rPr>
        <w:t>根据《南京市政府采购供应商信用管理工作暂行办法》（</w:t>
      </w:r>
      <w:r>
        <w:rPr>
          <w:sz w:val="24"/>
        </w:rPr>
        <w:t>宁财规[2018]10</w:t>
      </w:r>
      <w:r>
        <w:rPr>
          <w:spacing w:val="-30"/>
          <w:sz w:val="24"/>
        </w:rPr>
        <w:t xml:space="preserve"> 号</w:t>
      </w:r>
      <w:r>
        <w:rPr>
          <w:sz w:val="24"/>
        </w:rPr>
        <w:t>）</w:t>
      </w:r>
      <w:r>
        <w:rPr>
          <w:spacing w:val="-16"/>
          <w:sz w:val="24"/>
        </w:rPr>
        <w:t>有</w:t>
      </w:r>
      <w:r>
        <w:rPr>
          <w:sz w:val="24"/>
        </w:rPr>
        <w:t>关规定， 凡在南京地区参加政府采购活动的供应商， 应当事先登陆“ 信用南京”</w:t>
      </w:r>
    </w:p>
    <w:p>
      <w:pPr>
        <w:pStyle w:val="4"/>
        <w:spacing w:line="364" w:lineRule="auto"/>
        <w:ind w:right="457"/>
        <w:jc w:val="both"/>
      </w:pPr>
      <w:r>
        <w:t>（</w:t>
      </w:r>
      <w:r>
        <w:fldChar w:fldCharType="begin"/>
      </w:r>
      <w:r>
        <w:instrText xml:space="preserve"> HYPERLINK "http://www.njcredit.gov.cn/" \h </w:instrText>
      </w:r>
      <w:r>
        <w:fldChar w:fldCharType="separate"/>
      </w:r>
      <w:r>
        <w:t>www.njcredit.gov.cn</w:t>
      </w:r>
      <w:r>
        <w:fldChar w:fldCharType="end"/>
      </w:r>
      <w:r>
        <w:t>）或“南京市政府采购网”（</w:t>
      </w:r>
      <w:r>
        <w:fldChar w:fldCharType="begin"/>
      </w:r>
      <w:r>
        <w:instrText xml:space="preserve"> HYPERLINK "http://www.njgp.gov.cn/" \h </w:instrText>
      </w:r>
      <w:r>
        <w:fldChar w:fldCharType="separate"/>
      </w:r>
      <w:r>
        <w:t>www.njgp.gov.cn</w:t>
      </w:r>
      <w:r>
        <w:fldChar w:fldCharType="end"/>
      </w:r>
      <w:r>
        <w:t>）主页“政府采购供应商诚信档案”栏目进行注册登记。由于特殊原因未及时注册的供应商可先行获取采购文件，但必须在投标截止时间前 2 天内办理登记注册手续。</w:t>
      </w:r>
    </w:p>
    <w:p>
      <w:pPr>
        <w:pStyle w:val="12"/>
        <w:numPr>
          <w:ilvl w:val="1"/>
          <w:numId w:val="8"/>
        </w:numPr>
        <w:tabs>
          <w:tab w:val="left" w:pos="1399"/>
        </w:tabs>
        <w:spacing w:before="0" w:after="0" w:line="307" w:lineRule="exact"/>
        <w:ind w:left="1398" w:right="0" w:hanging="541"/>
        <w:jc w:val="left"/>
        <w:rPr>
          <w:sz w:val="24"/>
        </w:rPr>
      </w:pPr>
      <w:r>
        <w:rPr>
          <w:sz w:val="24"/>
        </w:rPr>
        <w:t>供应商申请网上注册的，应当按以下程序进行：</w:t>
      </w:r>
    </w:p>
    <w:p>
      <w:pPr>
        <w:pStyle w:val="12"/>
        <w:numPr>
          <w:ilvl w:val="0"/>
          <w:numId w:val="9"/>
        </w:numPr>
        <w:tabs>
          <w:tab w:val="left" w:pos="1460"/>
        </w:tabs>
        <w:spacing w:before="157" w:after="0" w:line="364" w:lineRule="auto"/>
        <w:ind w:left="618" w:right="455" w:firstLine="240"/>
        <w:jc w:val="left"/>
        <w:rPr>
          <w:sz w:val="24"/>
        </w:rPr>
      </w:pPr>
      <w:r>
        <w:rPr>
          <w:spacing w:val="-4"/>
          <w:sz w:val="24"/>
        </w:rPr>
        <w:t>登陆“信用南京”或“南京市政府采购网”网站，点击“政府采购供应商诚信档</w:t>
      </w:r>
      <w:r>
        <w:rPr>
          <w:sz w:val="24"/>
        </w:rPr>
        <w:t>案”图标，在弹出的用户登录界面，点击“新用户注册”；</w:t>
      </w:r>
    </w:p>
    <w:p>
      <w:pPr>
        <w:pStyle w:val="12"/>
        <w:numPr>
          <w:ilvl w:val="0"/>
          <w:numId w:val="9"/>
        </w:numPr>
        <w:tabs>
          <w:tab w:val="left" w:pos="1460"/>
        </w:tabs>
        <w:spacing w:before="1" w:after="0" w:line="364" w:lineRule="auto"/>
        <w:ind w:left="618" w:right="455" w:firstLine="240"/>
        <w:jc w:val="both"/>
        <w:rPr>
          <w:sz w:val="24"/>
        </w:rPr>
      </w:pPr>
      <w:r>
        <w:rPr>
          <w:spacing w:val="-4"/>
          <w:sz w:val="24"/>
        </w:rPr>
        <w:t>在“新用户注册”界面，供应商自行设置用户名、登录密码，如实填写“南京市</w:t>
      </w:r>
      <w:r>
        <w:rPr>
          <w:sz w:val="24"/>
        </w:rPr>
        <w:t>政府采购供应商诚信档案注册登记表”，根据网站注册要求如实上传相关资料，并进行信用承诺确认后，提交注册申请；</w:t>
      </w:r>
    </w:p>
    <w:p>
      <w:pPr>
        <w:pStyle w:val="12"/>
        <w:numPr>
          <w:ilvl w:val="0"/>
          <w:numId w:val="9"/>
        </w:numPr>
        <w:tabs>
          <w:tab w:val="left" w:pos="1460"/>
        </w:tabs>
        <w:spacing w:before="0" w:after="0" w:line="304" w:lineRule="exact"/>
        <w:ind w:left="1459" w:right="0" w:hanging="602"/>
        <w:jc w:val="left"/>
        <w:rPr>
          <w:sz w:val="24"/>
        </w:rPr>
      </w:pPr>
      <w:r>
        <w:rPr>
          <w:sz w:val="24"/>
        </w:rPr>
        <w:t>系统审核后，供应商即可登录系统进行相关功能操作。</w:t>
      </w:r>
    </w:p>
    <w:p>
      <w:pPr>
        <w:pStyle w:val="3"/>
        <w:numPr>
          <w:ilvl w:val="1"/>
          <w:numId w:val="8"/>
        </w:numPr>
        <w:tabs>
          <w:tab w:val="left" w:pos="1404"/>
        </w:tabs>
        <w:spacing w:before="158" w:after="0" w:line="364" w:lineRule="auto"/>
        <w:ind w:left="618" w:right="421" w:firstLine="240"/>
        <w:jc w:val="both"/>
      </w:pPr>
      <w:r>
        <w:t>供应商参加本项目政府采购活动时，无论是新用户注册或已注册成功的，均应在采购文件发布之日起至投标截止时间前，登录“信用南京”或“南京市政府采购网”在线打印其“南京市政府采购供应商信用记录表”，经法定代表人签名盖章后作为响应文件的有效组成部分。“南京市政府采购供应商信用记录表”是其参加本次政府采购活动的必备材料。</w:t>
      </w:r>
    </w:p>
    <w:p>
      <w:pPr>
        <w:pStyle w:val="3"/>
        <w:numPr>
          <w:ilvl w:val="1"/>
          <w:numId w:val="8"/>
        </w:numPr>
        <w:tabs>
          <w:tab w:val="left" w:pos="1346"/>
        </w:tabs>
        <w:spacing w:before="0" w:after="0" w:line="364" w:lineRule="auto"/>
        <w:ind w:left="618" w:right="421" w:firstLine="240"/>
        <w:jc w:val="both"/>
        <w:rPr>
          <w:sz w:val="22"/>
        </w:rPr>
      </w:pPr>
      <w:r>
        <w:t>“南京市政府采购供应商信用记录表”一式两份，一份装订在响应文件中，一份用封套单独加以密封，并在封套上注明“信用记录表”字样，随磋商保证金汇款凭证、响应文件一并递交。未按上述要求提供信用记录表的，响应文件将被拒绝接收。</w:t>
      </w:r>
    </w:p>
    <w:p>
      <w:pPr>
        <w:pStyle w:val="12"/>
        <w:numPr>
          <w:ilvl w:val="1"/>
          <w:numId w:val="8"/>
        </w:numPr>
        <w:tabs>
          <w:tab w:val="left" w:pos="1399"/>
        </w:tabs>
        <w:spacing w:before="0" w:after="0" w:line="362" w:lineRule="auto"/>
        <w:ind w:left="618" w:right="460" w:firstLine="240"/>
        <w:jc w:val="both"/>
        <w:rPr>
          <w:sz w:val="24"/>
        </w:rPr>
      </w:pPr>
      <w:r>
        <w:rPr>
          <w:sz w:val="24"/>
        </w:rPr>
        <w:t>南京市政府采购供应商诚信档案管理系统客服电话：025-52718366</w:t>
      </w:r>
      <w:r>
        <w:rPr>
          <w:spacing w:val="-2"/>
          <w:sz w:val="24"/>
        </w:rPr>
        <w:t>；供应商可就</w:t>
      </w:r>
      <w:r>
        <w:rPr>
          <w:sz w:val="24"/>
        </w:rPr>
        <w:t>用户注册与打印“南京市政府采购供应商信用记录表”等事宜进行咨询。</w:t>
      </w:r>
    </w:p>
    <w:p>
      <w:pPr>
        <w:pStyle w:val="3"/>
        <w:spacing w:before="3"/>
      </w:pPr>
      <w:r>
        <w:t>15、公告媒体</w:t>
      </w:r>
    </w:p>
    <w:p>
      <w:pPr>
        <w:pStyle w:val="12"/>
        <w:numPr>
          <w:ilvl w:val="1"/>
          <w:numId w:val="10"/>
        </w:numPr>
        <w:tabs>
          <w:tab w:val="left" w:pos="1399"/>
        </w:tabs>
        <w:spacing w:before="158" w:after="0" w:line="240" w:lineRule="auto"/>
        <w:ind w:left="1398" w:right="0" w:hanging="541"/>
        <w:jc w:val="both"/>
        <w:rPr>
          <w:sz w:val="24"/>
        </w:rPr>
      </w:pPr>
      <w:r>
        <w:rPr>
          <w:sz w:val="24"/>
        </w:rPr>
        <w:t>本采购公告在南京市</w:t>
      </w:r>
      <w:r>
        <w:fldChar w:fldCharType="begin"/>
      </w:r>
      <w:r>
        <w:instrText xml:space="preserve"> HYPERLINK "http://www.njgp.gov.cn/" \h </w:instrText>
      </w:r>
      <w:r>
        <w:fldChar w:fldCharType="separate"/>
      </w:r>
      <w:r>
        <w:rPr>
          <w:sz w:val="24"/>
        </w:rPr>
        <w:t>政府采购网（http://www.njgp.gov.cn/</w:t>
      </w:r>
      <w:r>
        <w:rPr>
          <w:sz w:val="24"/>
        </w:rPr>
        <w:fldChar w:fldCharType="end"/>
      </w:r>
      <w:r>
        <w:rPr>
          <w:sz w:val="24"/>
        </w:rPr>
        <w:t>）公示发布，敬请</w:t>
      </w:r>
    </w:p>
    <w:p>
      <w:pPr>
        <w:spacing w:after="0" w:line="240" w:lineRule="auto"/>
        <w:jc w:val="both"/>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pPr>
      <w:r>
        <w:t>各供应商关注；</w:t>
      </w:r>
    </w:p>
    <w:p>
      <w:pPr>
        <w:pStyle w:val="12"/>
        <w:numPr>
          <w:ilvl w:val="1"/>
          <w:numId w:val="10"/>
        </w:numPr>
        <w:tabs>
          <w:tab w:val="left" w:pos="1408"/>
        </w:tabs>
        <w:spacing w:before="158" w:after="0" w:line="240" w:lineRule="auto"/>
        <w:ind w:left="1408" w:right="0" w:hanging="550"/>
        <w:jc w:val="left"/>
        <w:rPr>
          <w:sz w:val="24"/>
        </w:rPr>
      </w:pPr>
      <w:r>
        <w:rPr>
          <w:spacing w:val="8"/>
          <w:sz w:val="24"/>
        </w:rPr>
        <w:t>若有关本次采购存在变动或修改，敬请各供应商及时关注南京市政府采购网</w:t>
      </w:r>
    </w:p>
    <w:p>
      <w:pPr>
        <w:pStyle w:val="4"/>
        <w:spacing w:before="160"/>
      </w:pPr>
      <w:r>
        <w:fldChar w:fldCharType="begin"/>
      </w:r>
      <w:r>
        <w:instrText xml:space="preserve"> HYPERLINK "http://www.njgp.gov.cn/" \h </w:instrText>
      </w:r>
      <w:r>
        <w:fldChar w:fldCharType="separate"/>
      </w:r>
      <w:r>
        <w:t>（http://www.njgp.gov.cn/</w:t>
      </w:r>
      <w:r>
        <w:fldChar w:fldCharType="end"/>
      </w:r>
      <w:r>
        <w:t>）发布的关于本项目的信息更正公告。</w:t>
      </w:r>
    </w:p>
    <w:p>
      <w:pPr>
        <w:pStyle w:val="4"/>
        <w:spacing w:before="161" w:line="362" w:lineRule="auto"/>
        <w:ind w:right="565" w:firstLine="240"/>
      </w:pPr>
      <w:r>
        <w:t>请各供应商领取本次采购文件后，认真阅读各项内容，进行必要的磋商准备，按采购文件的要求详细填写和编制响应文件，并按以上确定的时间、地点准时提交响应文件。</w:t>
      </w:r>
    </w:p>
    <w:p>
      <w:pPr>
        <w:pStyle w:val="4"/>
        <w:keepNext w:val="0"/>
        <w:keepLines w:val="0"/>
        <w:pageBreakBefore w:val="0"/>
        <w:widowControl w:val="0"/>
        <w:kinsoku/>
        <w:wordWrap/>
        <w:overflowPunct/>
        <w:topLinePunct w:val="0"/>
        <w:autoSpaceDE w:val="0"/>
        <w:autoSpaceDN w:val="0"/>
        <w:bidi w:val="0"/>
        <w:adjustRightInd/>
        <w:snapToGrid/>
        <w:spacing w:before="5" w:line="363" w:lineRule="auto"/>
        <w:ind w:left="5545" w:right="0" w:hanging="454"/>
        <w:textAlignment w:val="auto"/>
        <w:rPr>
          <w:rFonts w:hint="eastAsia"/>
          <w:lang w:eastAsia="zh-CN"/>
        </w:rPr>
      </w:pPr>
      <w:r>
        <w:rPr>
          <w:rFonts w:hint="eastAsia"/>
          <w:lang w:eastAsia="zh-CN"/>
        </w:rPr>
        <w:t>江苏骏通建设项目管理咨询有限公司</w:t>
      </w:r>
    </w:p>
    <w:p>
      <w:pPr>
        <w:pStyle w:val="4"/>
        <w:keepNext w:val="0"/>
        <w:keepLines w:val="0"/>
        <w:pageBreakBefore w:val="0"/>
        <w:widowControl w:val="0"/>
        <w:kinsoku/>
        <w:wordWrap/>
        <w:overflowPunct/>
        <w:topLinePunct w:val="0"/>
        <w:autoSpaceDE w:val="0"/>
        <w:autoSpaceDN w:val="0"/>
        <w:bidi w:val="0"/>
        <w:adjustRightInd/>
        <w:snapToGrid/>
        <w:spacing w:before="5" w:line="363" w:lineRule="auto"/>
        <w:ind w:left="5348" w:leftChars="2431" w:right="0" w:firstLine="705" w:firstLineChars="294"/>
        <w:textAlignment w:val="auto"/>
      </w:pPr>
      <w:r>
        <w:t xml:space="preserve">2019 年 </w:t>
      </w:r>
      <w:r>
        <w:rPr>
          <w:rFonts w:hint="eastAsia"/>
          <w:lang w:val="en-US" w:eastAsia="zh-CN"/>
        </w:rPr>
        <w:t>11</w:t>
      </w:r>
      <w:r>
        <w:t xml:space="preserve">月 </w:t>
      </w:r>
      <w:r>
        <w:rPr>
          <w:rFonts w:hint="eastAsia"/>
          <w:lang w:val="en-US" w:eastAsia="zh-CN"/>
        </w:rPr>
        <w:t>26</w:t>
      </w:r>
      <w:r>
        <w:t xml:space="preserve"> 日</w:t>
      </w:r>
    </w:p>
    <w:p>
      <w:pPr>
        <w:spacing w:after="0" w:line="362" w:lineRule="auto"/>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2"/>
        <w:tabs>
          <w:tab w:val="left" w:pos="1279"/>
        </w:tabs>
      </w:pPr>
      <w:bookmarkStart w:id="4" w:name="_TOC_250002"/>
      <w:bookmarkEnd w:id="4"/>
      <w:r>
        <w:t>第二章</w:t>
      </w:r>
      <w:r>
        <w:tab/>
      </w:r>
      <w:r>
        <w:t>竞争性磋商须知</w:t>
      </w:r>
    </w:p>
    <w:p>
      <w:pPr>
        <w:spacing w:before="209"/>
        <w:ind w:left="7" w:right="0" w:firstLine="0"/>
        <w:jc w:val="center"/>
        <w:rPr>
          <w:b/>
          <w:sz w:val="21"/>
        </w:rPr>
      </w:pPr>
      <w:r>
        <w:rPr>
          <w:b/>
          <w:sz w:val="21"/>
        </w:rPr>
        <w:t>竞争性磋商须知前附表</w:t>
      </w:r>
    </w:p>
    <w:p>
      <w:pPr>
        <w:pStyle w:val="4"/>
        <w:spacing w:before="12"/>
        <w:ind w:left="0"/>
        <w:rPr>
          <w:b/>
          <w:sz w:val="10"/>
        </w:rPr>
      </w:pPr>
    </w:p>
    <w:tbl>
      <w:tblPr>
        <w:tblStyle w:val="9"/>
        <w:tblW w:w="9943"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169"/>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20" w:type="dxa"/>
          </w:tcPr>
          <w:p>
            <w:pPr>
              <w:pStyle w:val="13"/>
              <w:spacing w:before="1"/>
              <w:ind w:left="128" w:right="120"/>
              <w:jc w:val="center"/>
              <w:rPr>
                <w:b/>
                <w:sz w:val="21"/>
              </w:rPr>
            </w:pPr>
            <w:r>
              <w:rPr>
                <w:b/>
                <w:sz w:val="21"/>
              </w:rPr>
              <w:t>序号</w:t>
            </w:r>
          </w:p>
        </w:tc>
        <w:tc>
          <w:tcPr>
            <w:tcW w:w="2169" w:type="dxa"/>
          </w:tcPr>
          <w:p>
            <w:pPr>
              <w:pStyle w:val="13"/>
              <w:tabs>
                <w:tab w:val="left" w:pos="431"/>
              </w:tabs>
              <w:spacing w:before="1"/>
              <w:ind w:left="9"/>
              <w:jc w:val="center"/>
              <w:rPr>
                <w:b/>
                <w:sz w:val="21"/>
              </w:rPr>
            </w:pPr>
            <w:r>
              <w:rPr>
                <w:b/>
                <w:sz w:val="21"/>
              </w:rPr>
              <w:t>名</w:t>
            </w:r>
            <w:r>
              <w:rPr>
                <w:b/>
                <w:sz w:val="21"/>
              </w:rPr>
              <w:tab/>
            </w:r>
            <w:r>
              <w:rPr>
                <w:b/>
                <w:sz w:val="21"/>
              </w:rPr>
              <w:t>称</w:t>
            </w:r>
          </w:p>
        </w:tc>
        <w:tc>
          <w:tcPr>
            <w:tcW w:w="7054" w:type="dxa"/>
          </w:tcPr>
          <w:p>
            <w:pPr>
              <w:pStyle w:val="13"/>
              <w:tabs>
                <w:tab w:val="left" w:pos="429"/>
              </w:tabs>
              <w:spacing w:before="1"/>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20" w:type="dxa"/>
          </w:tcPr>
          <w:p>
            <w:pPr>
              <w:pStyle w:val="13"/>
              <w:rPr>
                <w:b/>
                <w:sz w:val="20"/>
              </w:rPr>
            </w:pPr>
          </w:p>
          <w:p>
            <w:pPr>
              <w:pStyle w:val="13"/>
              <w:spacing w:before="151"/>
              <w:ind w:left="9"/>
              <w:jc w:val="center"/>
              <w:rPr>
                <w:sz w:val="21"/>
              </w:rPr>
            </w:pPr>
            <w:r>
              <w:rPr>
                <w:w w:val="99"/>
                <w:sz w:val="21"/>
              </w:rPr>
              <w:t>1</w:t>
            </w:r>
          </w:p>
        </w:tc>
        <w:tc>
          <w:tcPr>
            <w:tcW w:w="2169" w:type="dxa"/>
          </w:tcPr>
          <w:p>
            <w:pPr>
              <w:pStyle w:val="13"/>
              <w:rPr>
                <w:b/>
                <w:sz w:val="20"/>
              </w:rPr>
            </w:pPr>
          </w:p>
          <w:p>
            <w:pPr>
              <w:pStyle w:val="13"/>
              <w:spacing w:before="151"/>
              <w:ind w:left="6"/>
              <w:jc w:val="center"/>
              <w:rPr>
                <w:sz w:val="21"/>
              </w:rPr>
            </w:pPr>
            <w:r>
              <w:rPr>
                <w:sz w:val="21"/>
              </w:rPr>
              <w:t>采购人</w:t>
            </w:r>
          </w:p>
        </w:tc>
        <w:tc>
          <w:tcPr>
            <w:tcW w:w="7054" w:type="dxa"/>
          </w:tcPr>
          <w:p>
            <w:pPr>
              <w:spacing w:line="220" w:lineRule="atLeast"/>
              <w:rPr>
                <w:rFonts w:hint="default" w:ascii="宋体" w:hAnsi="宋体" w:eastAsia="宋体" w:cs="宋体"/>
                <w:sz w:val="21"/>
                <w:szCs w:val="22"/>
                <w:lang w:val="en-US" w:eastAsia="zh-CN" w:bidi="zh-CN"/>
              </w:rPr>
            </w:pPr>
            <w:r>
              <w:rPr>
                <w:rFonts w:hint="eastAsia" w:ascii="宋体" w:hAnsi="宋体" w:eastAsia="宋体" w:cs="宋体"/>
                <w:sz w:val="21"/>
                <w:szCs w:val="22"/>
                <w:lang w:val="zh-CN" w:eastAsia="zh-CN" w:bidi="zh-CN"/>
              </w:rPr>
              <w:t>名称</w:t>
            </w:r>
            <w:r>
              <w:rPr>
                <w:rFonts w:hint="eastAsia" w:cs="宋体"/>
                <w:sz w:val="21"/>
                <w:szCs w:val="22"/>
                <w:lang w:val="zh-CN" w:eastAsia="zh-CN" w:bidi="zh-CN"/>
              </w:rPr>
              <w:t>：南京市鼓楼区文化和旅游局</w:t>
            </w:r>
          </w:p>
          <w:p>
            <w:pPr>
              <w:pStyle w:val="13"/>
              <w:spacing w:line="364" w:lineRule="auto"/>
              <w:ind w:right="4417"/>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联系人：陈主任</w:t>
            </w:r>
          </w:p>
          <w:p>
            <w:pPr>
              <w:pStyle w:val="13"/>
              <w:rPr>
                <w:sz w:val="21"/>
              </w:rPr>
            </w:pPr>
            <w:r>
              <w:rPr>
                <w:sz w:val="21"/>
              </w:rPr>
              <w:t xml:space="preserve">联系电话： </w:t>
            </w:r>
            <w:r>
              <w:rPr>
                <w:rFonts w:hint="eastAsia"/>
                <w:color w:val="000000"/>
                <w:shd w:val="clear" w:color="auto" w:fill="FFFFFF"/>
                <w:lang w:val="en-US" w:eastAsia="zh-CN"/>
              </w:rPr>
              <w:t>13770752607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20" w:type="dxa"/>
          </w:tcPr>
          <w:p>
            <w:pPr>
              <w:pStyle w:val="13"/>
              <w:rPr>
                <w:b/>
                <w:sz w:val="20"/>
              </w:rPr>
            </w:pPr>
          </w:p>
          <w:p>
            <w:pPr>
              <w:pStyle w:val="13"/>
              <w:spacing w:before="10"/>
              <w:rPr>
                <w:b/>
                <w:sz w:val="27"/>
              </w:rPr>
            </w:pPr>
          </w:p>
          <w:p>
            <w:pPr>
              <w:pStyle w:val="13"/>
              <w:ind w:left="9"/>
              <w:jc w:val="center"/>
              <w:rPr>
                <w:sz w:val="21"/>
              </w:rPr>
            </w:pPr>
            <w:r>
              <w:rPr>
                <w:w w:val="99"/>
                <w:sz w:val="21"/>
              </w:rPr>
              <w:t>2</w:t>
            </w:r>
          </w:p>
        </w:tc>
        <w:tc>
          <w:tcPr>
            <w:tcW w:w="2169" w:type="dxa"/>
          </w:tcPr>
          <w:p>
            <w:pPr>
              <w:pStyle w:val="13"/>
              <w:rPr>
                <w:b/>
                <w:sz w:val="20"/>
              </w:rPr>
            </w:pPr>
          </w:p>
          <w:p>
            <w:pPr>
              <w:pStyle w:val="13"/>
              <w:spacing w:before="10"/>
              <w:rPr>
                <w:b/>
                <w:sz w:val="27"/>
              </w:rPr>
            </w:pPr>
          </w:p>
          <w:p>
            <w:pPr>
              <w:pStyle w:val="13"/>
              <w:ind w:left="6"/>
              <w:jc w:val="center"/>
              <w:rPr>
                <w:sz w:val="21"/>
              </w:rPr>
            </w:pPr>
            <w:r>
              <w:rPr>
                <w:sz w:val="21"/>
              </w:rPr>
              <w:t>采购代理机构</w:t>
            </w:r>
          </w:p>
        </w:tc>
        <w:tc>
          <w:tcPr>
            <w:tcW w:w="7054" w:type="dxa"/>
          </w:tcPr>
          <w:p>
            <w:pPr>
              <w:spacing w:line="220" w:lineRule="atLeast"/>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名称：江苏骏通建设项目管理咨询有限公司</w:t>
            </w:r>
          </w:p>
          <w:p>
            <w:pPr>
              <w:spacing w:line="220" w:lineRule="atLeast"/>
              <w:rPr>
                <w:rFonts w:hint="default" w:ascii="宋体" w:hAnsi="宋体" w:eastAsia="宋体" w:cs="宋体"/>
                <w:sz w:val="21"/>
                <w:szCs w:val="22"/>
                <w:lang w:val="en-US" w:eastAsia="zh-CN" w:bidi="zh-CN"/>
              </w:rPr>
            </w:pPr>
            <w:r>
              <w:rPr>
                <w:rFonts w:hint="eastAsia" w:ascii="宋体" w:hAnsi="宋体" w:eastAsia="宋体" w:cs="宋体"/>
                <w:sz w:val="21"/>
                <w:szCs w:val="22"/>
                <w:lang w:val="zh-CN" w:eastAsia="zh-CN" w:bidi="zh-CN"/>
              </w:rPr>
              <w:t>地址：南京市鼓楼区中山北路</w:t>
            </w:r>
            <w:r>
              <w:rPr>
                <w:rFonts w:hint="eastAsia" w:ascii="宋体" w:hAnsi="宋体" w:eastAsia="宋体" w:cs="宋体"/>
                <w:sz w:val="21"/>
                <w:szCs w:val="22"/>
                <w:lang w:val="en-US" w:eastAsia="zh-CN" w:bidi="zh-CN"/>
              </w:rPr>
              <w:t>346号老学堂创意园58号楼9楼</w:t>
            </w:r>
          </w:p>
          <w:p>
            <w:pPr>
              <w:pStyle w:val="13"/>
              <w:spacing w:line="364" w:lineRule="auto"/>
              <w:ind w:left="106" w:right="3786"/>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联系人：</w:t>
            </w:r>
            <w:r>
              <w:rPr>
                <w:rFonts w:hint="eastAsia" w:cs="宋体"/>
                <w:sz w:val="21"/>
                <w:szCs w:val="22"/>
                <w:lang w:val="zh-CN" w:eastAsia="zh-CN" w:bidi="zh-CN"/>
              </w:rPr>
              <w:t>洪工，</w:t>
            </w:r>
            <w:r>
              <w:rPr>
                <w:rFonts w:hint="eastAsia" w:ascii="宋体" w:hAnsi="宋体" w:eastAsia="宋体" w:cs="宋体"/>
                <w:sz w:val="21"/>
                <w:szCs w:val="22"/>
                <w:lang w:val="zh-CN" w:eastAsia="zh-CN" w:bidi="zh-CN"/>
              </w:rPr>
              <w:t>李工</w:t>
            </w:r>
          </w:p>
          <w:p>
            <w:pPr>
              <w:pStyle w:val="13"/>
              <w:spacing w:line="269" w:lineRule="exact"/>
              <w:ind w:left="106"/>
              <w:rPr>
                <w:rFonts w:hint="default" w:eastAsia="宋体"/>
                <w:sz w:val="21"/>
                <w:lang w:val="en-US" w:eastAsia="zh-CN"/>
              </w:rPr>
            </w:pPr>
            <w:r>
              <w:rPr>
                <w:sz w:val="21"/>
              </w:rPr>
              <w:t>电话：025-</w:t>
            </w:r>
            <w:r>
              <w:rPr>
                <w:rFonts w:hint="eastAsia"/>
                <w:sz w:val="21"/>
                <w:lang w:val="en-US" w:eastAsia="zh-CN"/>
              </w:rPr>
              <w:t>83266652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20" w:type="dxa"/>
          </w:tcPr>
          <w:p>
            <w:pPr>
              <w:pStyle w:val="13"/>
              <w:ind w:left="9"/>
              <w:jc w:val="center"/>
              <w:rPr>
                <w:sz w:val="21"/>
              </w:rPr>
            </w:pPr>
            <w:r>
              <w:rPr>
                <w:w w:val="99"/>
                <w:sz w:val="21"/>
              </w:rPr>
              <w:t>3</w:t>
            </w:r>
          </w:p>
        </w:tc>
        <w:tc>
          <w:tcPr>
            <w:tcW w:w="2169" w:type="dxa"/>
          </w:tcPr>
          <w:p>
            <w:pPr>
              <w:pStyle w:val="13"/>
              <w:ind w:left="6"/>
              <w:jc w:val="center"/>
              <w:rPr>
                <w:sz w:val="21"/>
              </w:rPr>
            </w:pPr>
            <w:r>
              <w:rPr>
                <w:sz w:val="21"/>
              </w:rPr>
              <w:t>磋商项目名称</w:t>
            </w:r>
          </w:p>
        </w:tc>
        <w:tc>
          <w:tcPr>
            <w:tcW w:w="7054" w:type="dxa"/>
          </w:tcPr>
          <w:p>
            <w:pPr>
              <w:pStyle w:val="13"/>
              <w:ind w:left="106"/>
              <w:rPr>
                <w:rFonts w:hint="eastAsia" w:eastAsia="宋体"/>
                <w:sz w:val="21"/>
                <w:lang w:eastAsia="zh-CN"/>
              </w:rPr>
            </w:pPr>
            <w:r>
              <w:rPr>
                <w:rFonts w:hint="eastAsia"/>
                <w:sz w:val="21"/>
                <w:lang w:eastAsia="zh-CN"/>
              </w:rPr>
              <w:t>颜鲁公祠西厢房修缮工程项目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20" w:type="dxa"/>
          </w:tcPr>
          <w:p>
            <w:pPr>
              <w:pStyle w:val="13"/>
              <w:spacing w:line="268" w:lineRule="exact"/>
              <w:ind w:left="9"/>
              <w:jc w:val="center"/>
              <w:rPr>
                <w:sz w:val="21"/>
              </w:rPr>
            </w:pPr>
            <w:r>
              <w:rPr>
                <w:w w:val="99"/>
                <w:sz w:val="21"/>
              </w:rPr>
              <w:t>4</w:t>
            </w:r>
          </w:p>
        </w:tc>
        <w:tc>
          <w:tcPr>
            <w:tcW w:w="2169" w:type="dxa"/>
          </w:tcPr>
          <w:p>
            <w:pPr>
              <w:pStyle w:val="13"/>
              <w:spacing w:line="268" w:lineRule="exact"/>
              <w:ind w:left="9"/>
              <w:jc w:val="center"/>
              <w:rPr>
                <w:sz w:val="21"/>
              </w:rPr>
            </w:pPr>
            <w:r>
              <w:rPr>
                <w:sz w:val="21"/>
              </w:rPr>
              <w:t>标段划分与实施地点</w:t>
            </w:r>
          </w:p>
        </w:tc>
        <w:tc>
          <w:tcPr>
            <w:tcW w:w="7054" w:type="dxa"/>
          </w:tcPr>
          <w:p>
            <w:pPr>
              <w:pStyle w:val="13"/>
              <w:spacing w:line="268" w:lineRule="exact"/>
              <w:ind w:left="106"/>
              <w:rPr>
                <w:sz w:val="21"/>
              </w:rPr>
            </w:pPr>
            <w:r>
              <w:rPr>
                <w:sz w:val="21"/>
              </w:rPr>
              <w:t>一个标段，南京市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720"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7"/>
              </w:rPr>
            </w:pPr>
          </w:p>
          <w:p>
            <w:pPr>
              <w:pStyle w:val="13"/>
              <w:ind w:left="9"/>
              <w:jc w:val="center"/>
              <w:rPr>
                <w:sz w:val="21"/>
              </w:rPr>
            </w:pPr>
            <w:r>
              <w:rPr>
                <w:w w:val="99"/>
                <w:sz w:val="21"/>
              </w:rPr>
              <w:t>5</w:t>
            </w:r>
          </w:p>
        </w:tc>
        <w:tc>
          <w:tcPr>
            <w:tcW w:w="2169" w:type="dxa"/>
          </w:tcPr>
          <w:p>
            <w:pPr>
              <w:pStyle w:val="13"/>
              <w:rPr>
                <w:b/>
                <w:sz w:val="20"/>
              </w:rPr>
            </w:pPr>
          </w:p>
          <w:p>
            <w:pPr>
              <w:pStyle w:val="13"/>
              <w:rPr>
                <w:b/>
                <w:sz w:val="20"/>
              </w:rPr>
            </w:pPr>
          </w:p>
          <w:p>
            <w:pPr>
              <w:pStyle w:val="13"/>
              <w:rPr>
                <w:b/>
                <w:sz w:val="20"/>
              </w:rPr>
            </w:pPr>
          </w:p>
          <w:p>
            <w:pPr>
              <w:pStyle w:val="13"/>
              <w:rPr>
                <w:b/>
                <w:sz w:val="20"/>
              </w:rPr>
            </w:pPr>
          </w:p>
          <w:p>
            <w:pPr>
              <w:pStyle w:val="13"/>
              <w:rPr>
                <w:b/>
                <w:sz w:val="20"/>
              </w:rPr>
            </w:pPr>
          </w:p>
          <w:p>
            <w:pPr>
              <w:pStyle w:val="13"/>
              <w:spacing w:before="6"/>
              <w:rPr>
                <w:b/>
                <w:sz w:val="27"/>
              </w:rPr>
            </w:pPr>
          </w:p>
          <w:p>
            <w:pPr>
              <w:pStyle w:val="13"/>
              <w:ind w:left="9"/>
              <w:jc w:val="center"/>
              <w:rPr>
                <w:sz w:val="21"/>
              </w:rPr>
            </w:pPr>
            <w:r>
              <w:rPr>
                <w:sz w:val="21"/>
              </w:rPr>
              <w:t>供应商企业信用信息</w:t>
            </w:r>
          </w:p>
        </w:tc>
        <w:tc>
          <w:tcPr>
            <w:tcW w:w="7054" w:type="dxa"/>
          </w:tcPr>
          <w:p>
            <w:pPr>
              <w:pStyle w:val="13"/>
              <w:numPr>
                <w:ilvl w:val="0"/>
                <w:numId w:val="11"/>
              </w:numPr>
              <w:tabs>
                <w:tab w:val="left" w:pos="634"/>
              </w:tabs>
              <w:spacing w:before="1" w:after="0" w:line="240" w:lineRule="auto"/>
              <w:ind w:left="633" w:right="0" w:hanging="528"/>
              <w:jc w:val="left"/>
              <w:rPr>
                <w:sz w:val="21"/>
              </w:rPr>
            </w:pPr>
            <w:r>
              <w:rPr>
                <w:sz w:val="21"/>
              </w:rPr>
              <w:t>查询人：采购代理机构或采购人</w:t>
            </w:r>
          </w:p>
          <w:p>
            <w:pPr>
              <w:pStyle w:val="13"/>
              <w:numPr>
                <w:ilvl w:val="0"/>
                <w:numId w:val="11"/>
              </w:numPr>
              <w:tabs>
                <w:tab w:val="left" w:pos="635"/>
              </w:tabs>
              <w:spacing w:before="139" w:after="0" w:line="364" w:lineRule="auto"/>
              <w:ind w:left="106" w:right="97" w:firstLine="0"/>
              <w:jc w:val="left"/>
              <w:rPr>
                <w:sz w:val="21"/>
              </w:rPr>
            </w:pPr>
            <w:r>
              <w:rPr>
                <w:sz w:val="21"/>
              </w:rPr>
              <w:t>查询渠道：“信用中国”（</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）、“中国政府采购网”（</w:t>
            </w:r>
            <w:r>
              <w:fldChar w:fldCharType="begin"/>
            </w:r>
            <w:r>
              <w:instrText xml:space="preserve"> HYPERLINK "http://www.ccgp.gov.cn/" \h </w:instrText>
            </w:r>
            <w:r>
              <w:fldChar w:fldCharType="separate"/>
            </w:r>
            <w:r>
              <w:rPr>
                <w:sz w:val="21"/>
              </w:rPr>
              <w:t>www.ccgp.gov.cn</w:t>
            </w:r>
            <w:r>
              <w:rPr>
                <w:sz w:val="21"/>
              </w:rPr>
              <w:fldChar w:fldCharType="end"/>
            </w:r>
            <w:r>
              <w:rPr>
                <w:sz w:val="21"/>
              </w:rPr>
              <w:t>）；</w:t>
            </w:r>
          </w:p>
          <w:p>
            <w:pPr>
              <w:pStyle w:val="13"/>
              <w:numPr>
                <w:ilvl w:val="0"/>
                <w:numId w:val="11"/>
              </w:numPr>
              <w:tabs>
                <w:tab w:val="left" w:pos="634"/>
              </w:tabs>
              <w:spacing w:before="0" w:after="0" w:line="267" w:lineRule="exact"/>
              <w:ind w:left="633" w:right="0" w:hanging="528"/>
              <w:jc w:val="left"/>
              <w:rPr>
                <w:sz w:val="21"/>
              </w:rPr>
            </w:pPr>
            <w:r>
              <w:rPr>
                <w:sz w:val="21"/>
              </w:rPr>
              <w:t>查询截止时间：提交响应文件截止时间前一日；</w:t>
            </w:r>
          </w:p>
          <w:p>
            <w:pPr>
              <w:pStyle w:val="13"/>
              <w:numPr>
                <w:ilvl w:val="0"/>
                <w:numId w:val="11"/>
              </w:numPr>
              <w:tabs>
                <w:tab w:val="left" w:pos="635"/>
              </w:tabs>
              <w:spacing w:before="141" w:after="0" w:line="364" w:lineRule="auto"/>
              <w:ind w:left="106" w:right="97" w:firstLine="0"/>
              <w:jc w:val="left"/>
              <w:rPr>
                <w:sz w:val="21"/>
              </w:rPr>
            </w:pPr>
            <w:r>
              <w:rPr>
                <w:sz w:val="21"/>
              </w:rPr>
              <w:t>查询记录留存方式：由采购代理机构负责将供应商各网站信用记录截图打印保存，并作为本项目档案资料留存；</w:t>
            </w:r>
          </w:p>
          <w:p>
            <w:pPr>
              <w:pStyle w:val="13"/>
              <w:numPr>
                <w:ilvl w:val="0"/>
                <w:numId w:val="11"/>
              </w:numPr>
              <w:tabs>
                <w:tab w:val="left" w:pos="634"/>
              </w:tabs>
              <w:spacing w:before="0" w:after="0" w:line="364" w:lineRule="auto"/>
              <w:ind w:left="106" w:right="-15" w:firstLine="0"/>
              <w:jc w:val="left"/>
              <w:rPr>
                <w:sz w:val="21"/>
              </w:rPr>
            </w:pPr>
            <w:r>
              <w:rPr>
                <w:spacing w:val="-7"/>
                <w:sz w:val="21"/>
              </w:rPr>
              <w:t>查询结果处理：对列入失信被执行人、重大税收违法案件当事人名单</w:t>
            </w:r>
            <w:r>
              <w:rPr>
                <w:spacing w:val="1"/>
                <w:sz w:val="21"/>
              </w:rPr>
              <w:t>、政府采购严重违法失信行为记录名单及其他失信记录的供应商进行书面</w:t>
            </w:r>
            <w:r>
              <w:rPr>
                <w:sz w:val="21"/>
              </w:rPr>
              <w:t>或</w:t>
            </w:r>
          </w:p>
          <w:p>
            <w:pPr>
              <w:pStyle w:val="13"/>
              <w:ind w:left="106"/>
              <w:rPr>
                <w:sz w:val="21"/>
              </w:rPr>
            </w:pPr>
            <w:r>
              <w:rPr>
                <w:sz w:val="21"/>
              </w:rPr>
              <w:t>电子邮箱形式或开标现场通知，并要求拒绝参加本次磋商活动。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20" w:type="dxa"/>
          </w:tcPr>
          <w:p>
            <w:pPr>
              <w:pStyle w:val="13"/>
              <w:spacing w:before="12"/>
              <w:rPr>
                <w:b/>
                <w:sz w:val="15"/>
              </w:rPr>
            </w:pPr>
          </w:p>
          <w:p>
            <w:pPr>
              <w:pStyle w:val="13"/>
              <w:ind w:left="9"/>
              <w:jc w:val="center"/>
              <w:rPr>
                <w:sz w:val="21"/>
              </w:rPr>
            </w:pPr>
            <w:r>
              <w:rPr>
                <w:w w:val="99"/>
                <w:sz w:val="21"/>
              </w:rPr>
              <w:t>6</w:t>
            </w:r>
          </w:p>
        </w:tc>
        <w:tc>
          <w:tcPr>
            <w:tcW w:w="2169" w:type="dxa"/>
          </w:tcPr>
          <w:p>
            <w:pPr>
              <w:pStyle w:val="13"/>
              <w:spacing w:before="12"/>
              <w:rPr>
                <w:b/>
                <w:sz w:val="15"/>
              </w:rPr>
            </w:pPr>
          </w:p>
          <w:p>
            <w:pPr>
              <w:pStyle w:val="13"/>
              <w:ind w:left="4"/>
              <w:jc w:val="center"/>
              <w:rPr>
                <w:sz w:val="21"/>
              </w:rPr>
            </w:pPr>
            <w:r>
              <w:rPr>
                <w:sz w:val="21"/>
              </w:rPr>
              <w:t>响应文件拒收情形</w:t>
            </w:r>
          </w:p>
        </w:tc>
        <w:tc>
          <w:tcPr>
            <w:tcW w:w="7054" w:type="dxa"/>
          </w:tcPr>
          <w:p>
            <w:pPr>
              <w:pStyle w:val="13"/>
              <w:numPr>
                <w:ilvl w:val="0"/>
                <w:numId w:val="12"/>
              </w:numPr>
              <w:tabs>
                <w:tab w:val="left" w:pos="634"/>
              </w:tabs>
              <w:spacing w:before="0" w:after="0" w:line="240" w:lineRule="auto"/>
              <w:ind w:left="633" w:right="0" w:hanging="528"/>
              <w:jc w:val="left"/>
              <w:rPr>
                <w:sz w:val="21"/>
              </w:rPr>
            </w:pPr>
            <w:r>
              <w:rPr>
                <w:sz w:val="21"/>
              </w:rPr>
              <w:t>未按竞争性磋商邀请规定的数额和办法交纳磋商保证金的；</w:t>
            </w:r>
          </w:p>
          <w:p>
            <w:pPr>
              <w:pStyle w:val="13"/>
              <w:numPr>
                <w:ilvl w:val="0"/>
                <w:numId w:val="12"/>
              </w:numPr>
              <w:tabs>
                <w:tab w:val="left" w:pos="634"/>
              </w:tabs>
              <w:spacing w:before="139" w:after="0" w:line="240" w:lineRule="auto"/>
              <w:ind w:left="633" w:right="0" w:hanging="528"/>
              <w:jc w:val="left"/>
              <w:rPr>
                <w:sz w:val="21"/>
              </w:rPr>
            </w:pPr>
            <w:r>
              <w:rPr>
                <w:sz w:val="21"/>
              </w:rPr>
              <w:t>在磋商文件要求提交响应文件的截止时间之后送达的。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720" w:type="dxa"/>
          </w:tcPr>
          <w:p>
            <w:pPr>
              <w:pStyle w:val="13"/>
              <w:rPr>
                <w:b/>
                <w:sz w:val="20"/>
              </w:rPr>
            </w:pPr>
          </w:p>
          <w:p>
            <w:pPr>
              <w:pStyle w:val="13"/>
              <w:rPr>
                <w:b/>
                <w:sz w:val="20"/>
              </w:rPr>
            </w:pPr>
          </w:p>
          <w:p>
            <w:pPr>
              <w:pStyle w:val="13"/>
              <w:rPr>
                <w:b/>
                <w:sz w:val="20"/>
              </w:rPr>
            </w:pPr>
          </w:p>
          <w:p>
            <w:pPr>
              <w:pStyle w:val="13"/>
              <w:rPr>
                <w:b/>
                <w:sz w:val="20"/>
              </w:rPr>
            </w:pPr>
          </w:p>
          <w:p>
            <w:pPr>
              <w:pStyle w:val="13"/>
              <w:spacing w:before="8"/>
              <w:rPr>
                <w:b/>
                <w:sz w:val="15"/>
              </w:rPr>
            </w:pPr>
          </w:p>
          <w:p>
            <w:pPr>
              <w:pStyle w:val="13"/>
              <w:ind w:left="9"/>
              <w:jc w:val="center"/>
              <w:rPr>
                <w:sz w:val="21"/>
              </w:rPr>
            </w:pPr>
            <w:r>
              <w:rPr>
                <w:w w:val="99"/>
                <w:sz w:val="21"/>
              </w:rPr>
              <w:t>7</w:t>
            </w:r>
          </w:p>
        </w:tc>
        <w:tc>
          <w:tcPr>
            <w:tcW w:w="2169" w:type="dxa"/>
          </w:tcPr>
          <w:p>
            <w:pPr>
              <w:pStyle w:val="13"/>
              <w:rPr>
                <w:b/>
                <w:sz w:val="20"/>
              </w:rPr>
            </w:pPr>
          </w:p>
          <w:p>
            <w:pPr>
              <w:pStyle w:val="13"/>
              <w:rPr>
                <w:b/>
                <w:sz w:val="20"/>
              </w:rPr>
            </w:pPr>
          </w:p>
          <w:p>
            <w:pPr>
              <w:pStyle w:val="13"/>
              <w:rPr>
                <w:b/>
                <w:sz w:val="20"/>
              </w:rPr>
            </w:pPr>
          </w:p>
          <w:p>
            <w:pPr>
              <w:pStyle w:val="13"/>
              <w:rPr>
                <w:b/>
                <w:sz w:val="20"/>
              </w:rPr>
            </w:pPr>
          </w:p>
          <w:p>
            <w:pPr>
              <w:pStyle w:val="13"/>
              <w:spacing w:before="8"/>
              <w:rPr>
                <w:b/>
                <w:sz w:val="15"/>
              </w:rPr>
            </w:pPr>
          </w:p>
          <w:p>
            <w:pPr>
              <w:pStyle w:val="13"/>
              <w:ind w:left="4"/>
              <w:jc w:val="center"/>
              <w:rPr>
                <w:sz w:val="21"/>
              </w:rPr>
            </w:pPr>
            <w:r>
              <w:rPr>
                <w:sz w:val="21"/>
              </w:rPr>
              <w:t>无效响应文件情形</w:t>
            </w:r>
          </w:p>
        </w:tc>
        <w:tc>
          <w:tcPr>
            <w:tcW w:w="7054" w:type="dxa"/>
          </w:tcPr>
          <w:p>
            <w:pPr>
              <w:pStyle w:val="13"/>
              <w:numPr>
                <w:ilvl w:val="0"/>
                <w:numId w:val="13"/>
              </w:numPr>
              <w:tabs>
                <w:tab w:val="left" w:pos="634"/>
              </w:tabs>
              <w:spacing w:before="0" w:after="0" w:line="268" w:lineRule="exact"/>
              <w:ind w:left="633" w:right="0" w:hanging="528"/>
              <w:jc w:val="left"/>
              <w:rPr>
                <w:sz w:val="21"/>
              </w:rPr>
            </w:pPr>
            <w:r>
              <w:rPr>
                <w:spacing w:val="-18"/>
                <w:sz w:val="21"/>
              </w:rPr>
              <w:t xml:space="preserve">本章 </w:t>
            </w:r>
            <w:r>
              <w:rPr>
                <w:sz w:val="21"/>
              </w:rPr>
              <w:t>7.2、7.3</w:t>
            </w:r>
            <w:r>
              <w:rPr>
                <w:spacing w:val="-8"/>
                <w:sz w:val="21"/>
              </w:rPr>
              <w:t xml:space="preserve"> 加※项要求提供的证明材料缺失或无效的；</w:t>
            </w:r>
          </w:p>
          <w:p>
            <w:pPr>
              <w:pStyle w:val="13"/>
              <w:numPr>
                <w:ilvl w:val="0"/>
                <w:numId w:val="13"/>
              </w:numPr>
              <w:tabs>
                <w:tab w:val="left" w:pos="634"/>
              </w:tabs>
              <w:spacing w:before="139" w:after="0" w:line="240" w:lineRule="auto"/>
              <w:ind w:left="633" w:right="0" w:hanging="528"/>
              <w:jc w:val="left"/>
              <w:rPr>
                <w:sz w:val="21"/>
              </w:rPr>
            </w:pPr>
            <w:r>
              <w:rPr>
                <w:sz w:val="21"/>
              </w:rPr>
              <w:t>响应文件中未响应磋商项目需求中规定的实质性要求的；</w:t>
            </w:r>
          </w:p>
          <w:p>
            <w:pPr>
              <w:pStyle w:val="13"/>
              <w:numPr>
                <w:ilvl w:val="0"/>
                <w:numId w:val="13"/>
              </w:numPr>
              <w:tabs>
                <w:tab w:val="left" w:pos="634"/>
              </w:tabs>
              <w:spacing w:before="141" w:after="0" w:line="240" w:lineRule="auto"/>
              <w:ind w:left="633" w:right="0" w:hanging="528"/>
              <w:jc w:val="left"/>
              <w:rPr>
                <w:sz w:val="21"/>
              </w:rPr>
            </w:pPr>
            <w:r>
              <w:rPr>
                <w:sz w:val="21"/>
              </w:rPr>
              <w:t>最终报价超过磋商文件中规定的项目预算或者最高限价的；</w:t>
            </w:r>
          </w:p>
          <w:p>
            <w:pPr>
              <w:pStyle w:val="13"/>
              <w:numPr>
                <w:ilvl w:val="0"/>
                <w:numId w:val="13"/>
              </w:numPr>
              <w:tabs>
                <w:tab w:val="left" w:pos="634"/>
              </w:tabs>
              <w:spacing w:before="139" w:after="0" w:line="364" w:lineRule="auto"/>
              <w:ind w:left="106" w:right="6" w:firstLine="0"/>
              <w:jc w:val="left"/>
              <w:rPr>
                <w:sz w:val="21"/>
              </w:rPr>
            </w:pPr>
            <w:r>
              <w:rPr>
                <w:spacing w:val="-7"/>
                <w:sz w:val="21"/>
              </w:rPr>
              <w:t>报价低于完成本服务项目发生的所有含税费用、支付给员工的工资</w:t>
            </w:r>
            <w:r>
              <w:rPr>
                <w:sz w:val="21"/>
              </w:rPr>
              <w:t>（不</w:t>
            </w:r>
            <w:r>
              <w:rPr>
                <w:w w:val="95"/>
                <w:sz w:val="21"/>
              </w:rPr>
              <w:t xml:space="preserve">得低于供应商所在地最低工资标准）和国家强制缴纳的各种社会保障资金、  </w:t>
            </w:r>
            <w:r>
              <w:rPr>
                <w:sz w:val="21"/>
              </w:rPr>
              <w:t>公积金，以及供应商认为需要的其他费用等；</w:t>
            </w:r>
          </w:p>
          <w:p>
            <w:pPr>
              <w:pStyle w:val="13"/>
              <w:numPr>
                <w:ilvl w:val="0"/>
                <w:numId w:val="13"/>
              </w:numPr>
              <w:tabs>
                <w:tab w:val="left" w:pos="634"/>
              </w:tabs>
              <w:spacing w:before="0" w:after="0" w:line="269" w:lineRule="exact"/>
              <w:ind w:left="633" w:right="0" w:hanging="528"/>
              <w:jc w:val="left"/>
              <w:rPr>
                <w:sz w:val="21"/>
              </w:rPr>
            </w:pPr>
            <w:r>
              <w:rPr>
                <w:sz w:val="21"/>
              </w:rPr>
              <w:t>不符合法律、法规和磋商文件规定的其他实质性要求的。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720" w:type="dxa"/>
          </w:tcPr>
          <w:p>
            <w:pPr>
              <w:pStyle w:val="13"/>
              <w:rPr>
                <w:b/>
                <w:sz w:val="20"/>
              </w:rPr>
            </w:pPr>
          </w:p>
          <w:p>
            <w:pPr>
              <w:pStyle w:val="13"/>
              <w:spacing w:before="152"/>
              <w:ind w:left="9"/>
              <w:jc w:val="center"/>
              <w:rPr>
                <w:sz w:val="21"/>
              </w:rPr>
            </w:pPr>
            <w:r>
              <w:rPr>
                <w:w w:val="99"/>
                <w:sz w:val="21"/>
              </w:rPr>
              <w:t>8</w:t>
            </w:r>
          </w:p>
        </w:tc>
        <w:tc>
          <w:tcPr>
            <w:tcW w:w="2169" w:type="dxa"/>
          </w:tcPr>
          <w:p>
            <w:pPr>
              <w:pStyle w:val="13"/>
              <w:rPr>
                <w:b/>
                <w:sz w:val="20"/>
              </w:rPr>
            </w:pPr>
          </w:p>
          <w:p>
            <w:pPr>
              <w:pStyle w:val="13"/>
              <w:spacing w:before="152"/>
              <w:ind w:left="4"/>
              <w:jc w:val="center"/>
              <w:rPr>
                <w:sz w:val="21"/>
              </w:rPr>
            </w:pPr>
            <w:r>
              <w:rPr>
                <w:sz w:val="21"/>
              </w:rPr>
              <w:t>盖章要求</w:t>
            </w:r>
          </w:p>
        </w:tc>
        <w:tc>
          <w:tcPr>
            <w:tcW w:w="7054" w:type="dxa"/>
          </w:tcPr>
          <w:p>
            <w:pPr>
              <w:pStyle w:val="13"/>
              <w:spacing w:line="364" w:lineRule="auto"/>
              <w:ind w:left="106" w:right="6"/>
              <w:rPr>
                <w:sz w:val="21"/>
              </w:rPr>
            </w:pPr>
            <w:r>
              <w:rPr>
                <w:sz w:val="21"/>
              </w:rPr>
              <w:t>供应商响应文件中加盖的公章仅能使用与供应商名称一致的标准公章，不得</w:t>
            </w:r>
            <w:r>
              <w:rPr>
                <w:w w:val="95"/>
                <w:sz w:val="21"/>
              </w:rPr>
              <w:t>使用其他形式（如带有“专用章”、“合同章”、“财务章”、“业务章”</w:t>
            </w:r>
          </w:p>
          <w:p>
            <w:pPr>
              <w:pStyle w:val="13"/>
              <w:spacing w:before="1"/>
              <w:ind w:left="106"/>
              <w:rPr>
                <w:sz w:val="21"/>
              </w:rPr>
            </w:pPr>
            <w:r>
              <w:rPr>
                <w:sz w:val="21"/>
              </w:rPr>
              <w:t>等字样）的印章；否则，按无效响应文件处理。</w:t>
            </w:r>
          </w:p>
        </w:tc>
      </w:tr>
    </w:tbl>
    <w:p>
      <w:pPr>
        <w:spacing w:after="0"/>
        <w:rPr>
          <w:sz w:val="21"/>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tabs>
          <w:tab w:val="left" w:pos="1820"/>
        </w:tabs>
        <w:spacing w:before="61" w:line="362" w:lineRule="auto"/>
        <w:ind w:right="8120" w:hanging="240"/>
      </w:pPr>
      <w:r>
        <w:t>一、总</w:t>
      </w:r>
      <w:r>
        <w:tab/>
      </w:r>
      <w:r>
        <w:t>则</w:t>
      </w:r>
      <w:bookmarkStart w:id="5" w:name="1、适用法律"/>
      <w:bookmarkEnd w:id="5"/>
      <w:r>
        <w:t xml:space="preserve"> 1、适用法</w:t>
      </w:r>
      <w:r>
        <w:rPr>
          <w:spacing w:val="-16"/>
        </w:rPr>
        <w:t>律</w:t>
      </w:r>
    </w:p>
    <w:p>
      <w:pPr>
        <w:pStyle w:val="4"/>
        <w:spacing w:before="4"/>
        <w:ind w:left="858"/>
      </w:pPr>
      <w:bookmarkStart w:id="6" w:name="1.1中华人民共和国、江苏省及南京市等有关法律、规章和规定等。"/>
      <w:bookmarkEnd w:id="6"/>
      <w:r>
        <w:t>1.1中华人民共和国、江苏省及南京市等有关法律、规章和规定等。</w:t>
      </w:r>
    </w:p>
    <w:p>
      <w:pPr>
        <w:pStyle w:val="3"/>
        <w:spacing w:before="161"/>
      </w:pPr>
      <w:bookmarkStart w:id="7" w:name="2、定义"/>
      <w:bookmarkEnd w:id="7"/>
      <w:r>
        <w:t>2、定义</w:t>
      </w:r>
    </w:p>
    <w:p>
      <w:pPr>
        <w:pStyle w:val="12"/>
        <w:numPr>
          <w:ilvl w:val="1"/>
          <w:numId w:val="14"/>
        </w:numPr>
        <w:tabs>
          <w:tab w:val="left" w:pos="1221"/>
        </w:tabs>
        <w:spacing w:before="158" w:after="0" w:line="364" w:lineRule="auto"/>
        <w:ind w:left="618" w:right="616" w:firstLine="240"/>
        <w:jc w:val="left"/>
        <w:rPr>
          <w:sz w:val="24"/>
        </w:rPr>
      </w:pPr>
      <w:r>
        <w:rPr>
          <w:sz w:val="24"/>
        </w:rPr>
        <w:t>“供应商”是指参加磋商竞争，并符合磋商文件规定资格条件的法人、其他组织或者自然人。</w:t>
      </w:r>
    </w:p>
    <w:p>
      <w:pPr>
        <w:pStyle w:val="12"/>
        <w:numPr>
          <w:ilvl w:val="1"/>
          <w:numId w:val="14"/>
        </w:numPr>
        <w:tabs>
          <w:tab w:val="left" w:pos="1220"/>
        </w:tabs>
        <w:spacing w:before="0" w:after="0" w:line="306" w:lineRule="exact"/>
        <w:ind w:left="1219" w:right="0" w:hanging="362"/>
        <w:jc w:val="left"/>
        <w:rPr>
          <w:sz w:val="24"/>
        </w:rPr>
      </w:pPr>
      <w:r>
        <w:rPr>
          <w:sz w:val="24"/>
        </w:rPr>
        <w:t>“服务”指本磋商文件中所述服务。</w:t>
      </w:r>
    </w:p>
    <w:p>
      <w:pPr>
        <w:pStyle w:val="12"/>
        <w:numPr>
          <w:ilvl w:val="1"/>
          <w:numId w:val="14"/>
        </w:numPr>
        <w:tabs>
          <w:tab w:val="left" w:pos="1220"/>
        </w:tabs>
        <w:spacing w:before="161" w:after="0" w:line="240" w:lineRule="auto"/>
        <w:ind w:left="1219" w:right="0" w:hanging="362"/>
        <w:jc w:val="left"/>
        <w:rPr>
          <w:sz w:val="24"/>
        </w:rPr>
      </w:pPr>
      <w:r>
        <w:rPr>
          <w:sz w:val="24"/>
        </w:rPr>
        <w:t>“用户或使用单位”是指本项目采购人。</w:t>
      </w:r>
    </w:p>
    <w:p>
      <w:pPr>
        <w:pStyle w:val="3"/>
        <w:spacing w:before="158"/>
      </w:pPr>
      <w:r>
        <w:t>3、政策功能</w:t>
      </w:r>
    </w:p>
    <w:p>
      <w:pPr>
        <w:pStyle w:val="4"/>
        <w:spacing w:before="160" w:line="364" w:lineRule="auto"/>
        <w:ind w:right="617" w:firstLine="240"/>
        <w:jc w:val="both"/>
      </w:pPr>
      <w:r>
        <w:t>3.1</w:t>
      </w:r>
      <w:r>
        <w:rPr>
          <w:spacing w:val="-8"/>
        </w:rPr>
        <w:t xml:space="preserve"> 采购人或采购代理机构将在“信用中国</w:t>
      </w:r>
      <w:r>
        <w:fldChar w:fldCharType="begin"/>
      </w:r>
      <w:r>
        <w:instrText xml:space="preserve"> HYPERLINK "http://www.creditchina.gov.cn/" \h </w:instrText>
      </w:r>
      <w:r>
        <w:fldChar w:fldCharType="separate"/>
      </w:r>
      <w:r>
        <w:t>”（www.creditchina.gov.cn</w:t>
      </w:r>
      <w:r>
        <w:fldChar w:fldCharType="end"/>
      </w:r>
      <w:r>
        <w:t>）</w:t>
      </w:r>
      <w:r>
        <w:rPr>
          <w:spacing w:val="-5"/>
        </w:rPr>
        <w:t>、“中国</w:t>
      </w:r>
      <w:r>
        <w:t>政府采购网”（</w:t>
      </w:r>
      <w:r>
        <w:fldChar w:fldCharType="begin"/>
      </w:r>
      <w:r>
        <w:instrText xml:space="preserve"> HYPERLINK "http://www.ccgp.gov.cn/" \h </w:instrText>
      </w:r>
      <w:r>
        <w:fldChar w:fldCharType="separate"/>
      </w:r>
      <w:r>
        <w:t>www.ccgp.gov.cn</w:t>
      </w:r>
      <w:r>
        <w:fldChar w:fldCharType="end"/>
      </w:r>
      <w:r>
        <w:t>）对供应商进行信用信息查询，并将网站查询有关记录留存（财库[2016]125</w:t>
      </w:r>
      <w:r>
        <w:rPr>
          <w:spacing w:val="-30"/>
        </w:rPr>
        <w:t xml:space="preserve"> 号</w:t>
      </w:r>
      <w:r>
        <w:t>）。</w:t>
      </w:r>
    </w:p>
    <w:p>
      <w:pPr>
        <w:pStyle w:val="3"/>
        <w:spacing w:line="304" w:lineRule="exact"/>
      </w:pPr>
      <w:bookmarkStart w:id="8" w:name="4、磋商费用"/>
      <w:bookmarkEnd w:id="8"/>
      <w:r>
        <w:t>4、磋商费用</w:t>
      </w:r>
    </w:p>
    <w:p>
      <w:pPr>
        <w:pStyle w:val="12"/>
        <w:numPr>
          <w:ilvl w:val="1"/>
          <w:numId w:val="15"/>
        </w:numPr>
        <w:tabs>
          <w:tab w:val="left" w:pos="1221"/>
        </w:tabs>
        <w:spacing w:before="161" w:after="0" w:line="364" w:lineRule="auto"/>
        <w:ind w:left="618" w:right="616" w:firstLine="240"/>
        <w:jc w:val="left"/>
        <w:rPr>
          <w:sz w:val="22"/>
        </w:rPr>
      </w:pPr>
      <w:r>
        <w:rPr>
          <w:sz w:val="24"/>
        </w:rPr>
        <w:t>供应商应承担所有与准备和参加磋商有关的费用，无论磋商结果如何，采购代理机构和采购人在任何情况下均无义务和责任承担这些费用。</w:t>
      </w:r>
    </w:p>
    <w:p>
      <w:pPr>
        <w:pStyle w:val="3"/>
        <w:numPr>
          <w:ilvl w:val="1"/>
          <w:numId w:val="15"/>
        </w:numPr>
        <w:tabs>
          <w:tab w:val="left" w:pos="1222"/>
        </w:tabs>
        <w:spacing w:before="0" w:after="0" w:line="364" w:lineRule="auto"/>
        <w:ind w:left="618" w:right="575" w:firstLine="240"/>
        <w:jc w:val="both"/>
        <w:rPr>
          <w:sz w:val="22"/>
        </w:rPr>
      </w:pPr>
      <w:r>
        <w:rPr>
          <w:rFonts w:hint="eastAsia" w:ascii="宋体" w:hAnsi="宋体" w:eastAsia="宋体" w:cs="宋体"/>
          <w:b/>
          <w:bCs/>
          <w:sz w:val="24"/>
          <w:szCs w:val="24"/>
          <w:lang w:val="zh-CN" w:eastAsia="zh-CN" w:bidi="zh-CN"/>
        </w:rPr>
        <w:t>本项目的招标代理服务费和评审费均由中标人承担，招标代理服务费根据计价格（</w:t>
      </w:r>
      <w:r>
        <w:rPr>
          <w:rFonts w:ascii="宋体" w:hAnsi="宋体" w:eastAsia="宋体" w:cs="宋体"/>
          <w:b/>
          <w:bCs/>
          <w:sz w:val="24"/>
          <w:szCs w:val="24"/>
          <w:lang w:val="zh-CN" w:eastAsia="zh-CN" w:bidi="zh-CN"/>
        </w:rPr>
        <w:t>2002</w:t>
      </w:r>
      <w:r>
        <w:rPr>
          <w:rFonts w:hint="eastAsia" w:ascii="宋体" w:hAnsi="宋体" w:eastAsia="宋体" w:cs="宋体"/>
          <w:b/>
          <w:bCs/>
          <w:sz w:val="24"/>
          <w:szCs w:val="24"/>
          <w:lang w:val="zh-CN" w:eastAsia="zh-CN" w:bidi="zh-CN"/>
        </w:rPr>
        <w:t>）</w:t>
      </w:r>
      <w:r>
        <w:rPr>
          <w:rFonts w:ascii="宋体" w:hAnsi="宋体" w:eastAsia="宋体" w:cs="宋体"/>
          <w:b/>
          <w:bCs/>
          <w:sz w:val="24"/>
          <w:szCs w:val="24"/>
          <w:lang w:val="zh-CN" w:eastAsia="zh-CN" w:bidi="zh-CN"/>
        </w:rPr>
        <w:t>1980</w:t>
      </w:r>
      <w:r>
        <w:rPr>
          <w:rFonts w:hint="eastAsia" w:ascii="宋体" w:hAnsi="宋体" w:eastAsia="宋体" w:cs="宋体"/>
          <w:b/>
          <w:bCs/>
          <w:sz w:val="24"/>
          <w:szCs w:val="24"/>
          <w:lang w:val="zh-CN" w:eastAsia="zh-CN" w:bidi="zh-CN"/>
        </w:rPr>
        <w:t>号文收费标准计取(不足3000元，以最低3000元收取)；评审费由招标代理机构先行垫付。</w:t>
      </w:r>
    </w:p>
    <w:p>
      <w:pPr>
        <w:pStyle w:val="12"/>
        <w:numPr>
          <w:ilvl w:val="1"/>
          <w:numId w:val="15"/>
        </w:numPr>
        <w:tabs>
          <w:tab w:val="left" w:pos="1220"/>
        </w:tabs>
        <w:spacing w:before="0" w:after="0" w:line="364" w:lineRule="auto"/>
        <w:ind w:left="618" w:right="2845" w:firstLine="240"/>
        <w:jc w:val="left"/>
        <w:rPr>
          <w:b/>
          <w:sz w:val="22"/>
        </w:rPr>
      </w:pPr>
      <w:r>
        <w:rPr>
          <w:spacing w:val="-1"/>
          <w:sz w:val="24"/>
        </w:rPr>
        <w:t>本次采购代理服务费在成交供应商领取成交通知书时结算。</w:t>
      </w:r>
      <w:r>
        <w:rPr>
          <w:b/>
          <w:sz w:val="24"/>
        </w:rPr>
        <w:t>二、响应文件编制</w:t>
      </w:r>
    </w:p>
    <w:p>
      <w:pPr>
        <w:pStyle w:val="3"/>
        <w:spacing w:line="364" w:lineRule="auto"/>
        <w:ind w:left="618" w:right="582" w:firstLine="240"/>
      </w:pPr>
      <w:r>
        <w:t>5、供应商应当按照磋商文件的要求编制响应文件，并对其提交的响应文件真实性、合法性承担法律责任。</w:t>
      </w:r>
    </w:p>
    <w:p>
      <w:pPr>
        <w:pStyle w:val="3"/>
        <w:spacing w:line="306" w:lineRule="exact"/>
      </w:pPr>
      <w:r>
        <w:t>6、响应文件的语言、计量单位、货币和编制</w:t>
      </w:r>
    </w:p>
    <w:p>
      <w:pPr>
        <w:pStyle w:val="12"/>
        <w:numPr>
          <w:ilvl w:val="1"/>
          <w:numId w:val="16"/>
        </w:numPr>
        <w:tabs>
          <w:tab w:val="left" w:pos="1221"/>
        </w:tabs>
        <w:spacing w:before="155" w:after="0" w:line="364" w:lineRule="auto"/>
        <w:ind w:left="618" w:right="617" w:firstLine="240"/>
        <w:jc w:val="both"/>
        <w:rPr>
          <w:sz w:val="24"/>
        </w:rPr>
      </w:pPr>
      <w:r>
        <w:rPr>
          <w:sz w:val="24"/>
        </w:rPr>
        <w:t>提交的响应文件、技术文件和资料，包括相关说明，以及供应商与采购代理机构</w:t>
      </w:r>
      <w:r>
        <w:rPr>
          <w:spacing w:val="3"/>
          <w:sz w:val="24"/>
        </w:rPr>
        <w:t>就有关磋商的所有来往函电均应使用中文。响应文件中若有英文或其他语言文字的资</w:t>
      </w:r>
      <w:r>
        <w:rPr>
          <w:spacing w:val="-7"/>
          <w:sz w:val="24"/>
        </w:rPr>
        <w:t>料，应提供相应的中文翻译资料。对不同文本响应文件的解释发生异议的，以中文文本</w:t>
      </w:r>
      <w:r>
        <w:rPr>
          <w:sz w:val="24"/>
        </w:rPr>
        <w:t>为准。</w:t>
      </w:r>
    </w:p>
    <w:p>
      <w:pPr>
        <w:pStyle w:val="12"/>
        <w:numPr>
          <w:ilvl w:val="1"/>
          <w:numId w:val="16"/>
        </w:numPr>
        <w:tabs>
          <w:tab w:val="left" w:pos="1220"/>
        </w:tabs>
        <w:spacing w:before="0" w:after="0" w:line="305" w:lineRule="exact"/>
        <w:ind w:left="1219" w:right="0" w:hanging="362"/>
        <w:jc w:val="left"/>
        <w:rPr>
          <w:sz w:val="24"/>
        </w:rPr>
      </w:pPr>
      <w:r>
        <w:rPr>
          <w:sz w:val="24"/>
        </w:rPr>
        <w:t>供应商所使用的计量单位应为国家法定计量单位。</w:t>
      </w:r>
    </w:p>
    <w:p>
      <w:pPr>
        <w:pStyle w:val="12"/>
        <w:numPr>
          <w:ilvl w:val="1"/>
          <w:numId w:val="16"/>
        </w:numPr>
        <w:tabs>
          <w:tab w:val="left" w:pos="1220"/>
        </w:tabs>
        <w:spacing w:before="158" w:after="0" w:line="240" w:lineRule="auto"/>
        <w:ind w:left="1219" w:right="0" w:hanging="362"/>
        <w:jc w:val="left"/>
        <w:rPr>
          <w:sz w:val="24"/>
        </w:rPr>
      </w:pPr>
      <w:r>
        <w:rPr>
          <w:sz w:val="24"/>
        </w:rPr>
        <w:t>供应商应用人民币报价。</w:t>
      </w:r>
    </w:p>
    <w:p>
      <w:pPr>
        <w:spacing w:after="0" w:line="240"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12"/>
        <w:numPr>
          <w:ilvl w:val="1"/>
          <w:numId w:val="16"/>
        </w:numPr>
        <w:tabs>
          <w:tab w:val="left" w:pos="1221"/>
        </w:tabs>
        <w:spacing w:before="61" w:after="0" w:line="362" w:lineRule="auto"/>
        <w:ind w:left="618" w:right="616" w:firstLine="240"/>
        <w:jc w:val="left"/>
        <w:rPr>
          <w:sz w:val="24"/>
        </w:rPr>
      </w:pPr>
      <w:r>
        <w:rPr>
          <w:sz w:val="24"/>
        </w:rPr>
        <w:t>响应文件应字迹清楚、内容齐全、不得涂改。如有修改，修改处须有供应商公章或法定代表人或其授权磋商代表签字。</w:t>
      </w:r>
    </w:p>
    <w:p>
      <w:pPr>
        <w:pStyle w:val="12"/>
        <w:numPr>
          <w:ilvl w:val="1"/>
          <w:numId w:val="16"/>
        </w:numPr>
        <w:tabs>
          <w:tab w:val="left" w:pos="1221"/>
        </w:tabs>
        <w:spacing w:before="4" w:after="0" w:line="364" w:lineRule="auto"/>
        <w:ind w:left="618" w:right="617" w:firstLine="240"/>
        <w:jc w:val="both"/>
        <w:rPr>
          <w:sz w:val="24"/>
        </w:rPr>
      </w:pPr>
      <w:r>
        <w:rPr>
          <w:sz w:val="24"/>
        </w:rPr>
        <w:t>响应文件的编制应按照磋商文件统一规定的格式，供应商可根据自身实际情况进</w:t>
      </w:r>
      <w:r>
        <w:rPr>
          <w:spacing w:val="-3"/>
          <w:sz w:val="24"/>
        </w:rPr>
        <w:t>行添加调整。响应文件统一用</w:t>
      </w:r>
      <w:r>
        <w:rPr>
          <w:sz w:val="24"/>
        </w:rPr>
        <w:t>A4</w:t>
      </w:r>
      <w:r>
        <w:rPr>
          <w:spacing w:val="-5"/>
          <w:sz w:val="24"/>
        </w:rPr>
        <w:t>规格幅面打印、装订成册并编制目录，由于编排混乱导</w:t>
      </w:r>
      <w:r>
        <w:rPr>
          <w:sz w:val="24"/>
        </w:rPr>
        <w:t>致响应文件被误读或查找不到，责任由供应商承担。</w:t>
      </w:r>
    </w:p>
    <w:p>
      <w:pPr>
        <w:pStyle w:val="12"/>
        <w:numPr>
          <w:ilvl w:val="1"/>
          <w:numId w:val="16"/>
        </w:numPr>
        <w:tabs>
          <w:tab w:val="left" w:pos="1220"/>
        </w:tabs>
        <w:spacing w:before="0" w:after="0" w:line="362" w:lineRule="auto"/>
        <w:ind w:left="618" w:right="497" w:firstLine="240"/>
        <w:jc w:val="left"/>
        <w:rPr>
          <w:sz w:val="24"/>
        </w:rPr>
      </w:pPr>
      <w:r>
        <w:rPr>
          <w:spacing w:val="-4"/>
          <w:sz w:val="24"/>
        </w:rPr>
        <w:t>供应商应在响应文件中写清相应的项目采购编号、项目名称、供应商全称、地址、</w:t>
      </w:r>
      <w:r>
        <w:rPr>
          <w:sz w:val="24"/>
        </w:rPr>
        <w:t>电话、传真等，如有必要，可以增加附页，作为响应文件的组成部分。</w:t>
      </w:r>
    </w:p>
    <w:p>
      <w:pPr>
        <w:pStyle w:val="12"/>
        <w:numPr>
          <w:ilvl w:val="1"/>
          <w:numId w:val="16"/>
        </w:numPr>
        <w:tabs>
          <w:tab w:val="left" w:pos="1220"/>
        </w:tabs>
        <w:spacing w:before="5" w:after="0" w:line="362" w:lineRule="auto"/>
        <w:ind w:left="618" w:right="497" w:firstLine="240"/>
        <w:jc w:val="left"/>
        <w:rPr>
          <w:sz w:val="24"/>
        </w:rPr>
      </w:pPr>
      <w:r>
        <w:rPr>
          <w:spacing w:val="-4"/>
          <w:sz w:val="24"/>
        </w:rPr>
        <w:t>供应商应将响应文件用档案袋或封套密封，封面并注明项目项目编号、项目名称、</w:t>
      </w:r>
      <w:r>
        <w:rPr>
          <w:sz w:val="24"/>
        </w:rPr>
        <w:t>供应商全称等。</w:t>
      </w:r>
    </w:p>
    <w:p>
      <w:pPr>
        <w:pStyle w:val="3"/>
        <w:spacing w:before="5"/>
      </w:pPr>
      <w:r>
        <w:t>7、响应文件的组成</w:t>
      </w:r>
    </w:p>
    <w:p>
      <w:pPr>
        <w:pStyle w:val="12"/>
        <w:numPr>
          <w:ilvl w:val="1"/>
          <w:numId w:val="17"/>
        </w:numPr>
        <w:tabs>
          <w:tab w:val="left" w:pos="1221"/>
        </w:tabs>
        <w:spacing w:before="158" w:after="0" w:line="364" w:lineRule="auto"/>
        <w:ind w:left="618" w:right="617" w:firstLine="240"/>
        <w:jc w:val="both"/>
        <w:rPr>
          <w:sz w:val="22"/>
        </w:rPr>
      </w:pPr>
      <w:r>
        <w:rPr>
          <w:sz w:val="24"/>
        </w:rPr>
        <w:t>供应商应当根据磋商文件要求编制响应文件，并根据自己的商务能力、技术水平</w:t>
      </w:r>
      <w:r>
        <w:rPr>
          <w:spacing w:val="-4"/>
          <w:sz w:val="24"/>
        </w:rPr>
        <w:t>对磋商文件提出的要求和条件逐条标明是否响应。响应文件由商务部分、技术部分、价</w:t>
      </w:r>
      <w:r>
        <w:rPr>
          <w:sz w:val="24"/>
        </w:rPr>
        <w:t>格部分，以及其他部分组成。</w:t>
      </w:r>
    </w:p>
    <w:p>
      <w:pPr>
        <w:pStyle w:val="12"/>
        <w:numPr>
          <w:ilvl w:val="1"/>
          <w:numId w:val="17"/>
        </w:numPr>
        <w:tabs>
          <w:tab w:val="left" w:pos="1222"/>
        </w:tabs>
        <w:spacing w:before="0" w:after="0" w:line="307" w:lineRule="exact"/>
        <w:ind w:left="618" w:right="0" w:firstLine="240"/>
        <w:jc w:val="left"/>
        <w:rPr>
          <w:sz w:val="22"/>
        </w:rPr>
      </w:pPr>
      <w:r>
        <w:rPr>
          <w:b/>
          <w:sz w:val="24"/>
        </w:rPr>
        <w:t>响应文件的商务部分。</w:t>
      </w:r>
      <w:r>
        <w:rPr>
          <w:sz w:val="24"/>
        </w:rPr>
        <w:t>商务部分是证明供应商有资格参加磋商和成交后有能力履</w:t>
      </w:r>
    </w:p>
    <w:p>
      <w:pPr>
        <w:spacing w:before="84" w:line="252" w:lineRule="auto"/>
        <w:ind w:left="618" w:right="554" w:firstLine="0"/>
        <w:jc w:val="left"/>
        <w:rPr>
          <w:rFonts w:hint="eastAsia" w:ascii="微软雅黑" w:hAnsi="微软雅黑" w:eastAsia="微软雅黑"/>
          <w:b/>
          <w:sz w:val="24"/>
        </w:rPr>
      </w:pPr>
      <w:r>
        <w:rPr>
          <w:sz w:val="24"/>
        </w:rPr>
        <w:t>行合同的文件，这些文件应能满足竞争性磋商文件的要求，包括但不限于下列文件，</w:t>
      </w:r>
      <w:r>
        <w:rPr>
          <w:rFonts w:hint="eastAsia" w:ascii="微软雅黑" w:hAnsi="微软雅黑" w:eastAsia="微软雅黑"/>
          <w:b/>
          <w:sz w:val="24"/>
        </w:rPr>
        <w:t>其中加※项目不得有缺失或无效：</w:t>
      </w:r>
    </w:p>
    <w:p>
      <w:pPr>
        <w:pStyle w:val="3"/>
        <w:numPr>
          <w:ilvl w:val="0"/>
          <w:numId w:val="18"/>
        </w:numPr>
        <w:tabs>
          <w:tab w:val="left" w:pos="1461"/>
        </w:tabs>
        <w:spacing w:before="4" w:after="0" w:line="240" w:lineRule="auto"/>
        <w:ind w:left="1460" w:right="0" w:hanging="603"/>
        <w:jc w:val="left"/>
        <w:rPr>
          <w:rFonts w:hint="eastAsia" w:ascii="微软雅黑" w:hAnsi="微软雅黑" w:eastAsia="微软雅黑"/>
          <w:sz w:val="22"/>
        </w:rPr>
      </w:pPr>
      <w:r>
        <w:rPr>
          <w:rFonts w:hint="eastAsia" w:ascii="微软雅黑" w:hAnsi="微软雅黑" w:eastAsia="微软雅黑"/>
        </w:rPr>
        <w:t>※磋商申请及声明；</w:t>
      </w:r>
    </w:p>
    <w:p>
      <w:pPr>
        <w:pStyle w:val="3"/>
        <w:numPr>
          <w:ilvl w:val="0"/>
          <w:numId w:val="18"/>
        </w:numPr>
        <w:tabs>
          <w:tab w:val="left" w:pos="1461"/>
        </w:tabs>
        <w:spacing w:before="23" w:after="0" w:line="240" w:lineRule="auto"/>
        <w:ind w:left="1460" w:right="0" w:hanging="603"/>
        <w:jc w:val="left"/>
        <w:rPr>
          <w:rFonts w:hint="eastAsia" w:ascii="微软雅黑" w:hAnsi="微软雅黑" w:eastAsia="微软雅黑"/>
          <w:sz w:val="22"/>
        </w:rPr>
      </w:pPr>
      <w:r>
        <w:rPr>
          <w:rFonts w:hint="eastAsia" w:ascii="微软雅黑" w:hAnsi="微软雅黑" w:eastAsia="微软雅黑"/>
        </w:rPr>
        <w:t>※法定代表人授权委托书及委托代理人的身份证复印件；</w:t>
      </w:r>
    </w:p>
    <w:p>
      <w:pPr>
        <w:pStyle w:val="3"/>
        <w:numPr>
          <w:ilvl w:val="0"/>
          <w:numId w:val="18"/>
        </w:numPr>
        <w:tabs>
          <w:tab w:val="left" w:pos="1461"/>
        </w:tabs>
        <w:spacing w:before="24" w:after="0" w:line="240" w:lineRule="auto"/>
        <w:ind w:left="1460" w:right="0" w:hanging="603"/>
        <w:jc w:val="left"/>
        <w:rPr>
          <w:rFonts w:hint="eastAsia" w:ascii="微软雅黑" w:hAnsi="微软雅黑" w:eastAsia="微软雅黑"/>
          <w:sz w:val="22"/>
        </w:rPr>
      </w:pPr>
      <w:r>
        <w:rPr>
          <w:rFonts w:hint="eastAsia" w:ascii="微软雅黑" w:hAnsi="微软雅黑" w:eastAsia="微软雅黑"/>
        </w:rPr>
        <w:t>※磋商保证金交纳相关证明材料；</w:t>
      </w:r>
    </w:p>
    <w:p>
      <w:pPr>
        <w:pStyle w:val="3"/>
        <w:numPr>
          <w:ilvl w:val="0"/>
          <w:numId w:val="18"/>
        </w:numPr>
        <w:tabs>
          <w:tab w:val="left" w:pos="1462"/>
        </w:tabs>
        <w:spacing w:before="25" w:after="0" w:line="254" w:lineRule="auto"/>
        <w:ind w:left="618" w:right="582" w:firstLine="240"/>
        <w:jc w:val="left"/>
        <w:rPr>
          <w:rFonts w:hint="eastAsia" w:ascii="微软雅黑" w:hAnsi="微软雅黑" w:eastAsia="微软雅黑"/>
          <w:sz w:val="22"/>
        </w:rPr>
      </w:pPr>
      <w:r>
        <w:rPr>
          <w:rFonts w:hint="eastAsia" w:ascii="微软雅黑" w:hAnsi="微软雅黑" w:eastAsia="微软雅黑"/>
          <w:spacing w:val="2"/>
          <w:w w:val="118"/>
        </w:rPr>
        <w:t>※</w:t>
      </w:r>
      <w:r>
        <w:rPr>
          <w:rFonts w:hint="eastAsia" w:ascii="微软雅黑" w:hAnsi="微软雅黑" w:eastAsia="微软雅黑"/>
        </w:rPr>
        <w:t>第一章竞争性磋商邀请中</w:t>
      </w:r>
      <w:r>
        <w:rPr>
          <w:rFonts w:hint="eastAsia" w:ascii="微软雅黑" w:hAnsi="微软雅黑" w:eastAsia="微软雅黑"/>
          <w:spacing w:val="2"/>
          <w:w w:val="81"/>
        </w:rPr>
        <w:t>3</w:t>
      </w:r>
      <w:r>
        <w:rPr>
          <w:rFonts w:hint="eastAsia" w:ascii="微软雅黑" w:hAnsi="微软雅黑" w:eastAsia="微软雅黑"/>
          <w:w w:val="175"/>
        </w:rPr>
        <w:t>.</w:t>
      </w:r>
      <w:r>
        <w:rPr>
          <w:rFonts w:hint="eastAsia" w:ascii="微软雅黑" w:hAnsi="微软雅黑" w:eastAsia="微软雅黑"/>
          <w:spacing w:val="-27"/>
          <w:w w:val="81"/>
        </w:rPr>
        <w:t>1</w:t>
      </w:r>
      <w:r>
        <w:rPr>
          <w:rFonts w:hint="eastAsia" w:ascii="微软雅黑" w:hAnsi="微软雅黑" w:eastAsia="微软雅黑"/>
          <w:spacing w:val="-2"/>
        </w:rPr>
        <w:t>《中华人民共和国政府采购法》第二十二条规</w:t>
      </w:r>
      <w:r>
        <w:rPr>
          <w:rFonts w:hint="eastAsia" w:ascii="微软雅黑" w:hAnsi="微软雅黑" w:eastAsia="微软雅黑"/>
        </w:rPr>
        <w:t>定的条件的证明文件；</w:t>
      </w:r>
    </w:p>
    <w:p>
      <w:pPr>
        <w:pStyle w:val="3"/>
        <w:numPr>
          <w:ilvl w:val="0"/>
          <w:numId w:val="18"/>
        </w:numPr>
        <w:tabs>
          <w:tab w:val="left" w:pos="1466"/>
        </w:tabs>
        <w:spacing w:before="0" w:after="0" w:line="254" w:lineRule="auto"/>
        <w:ind w:left="618" w:right="582" w:firstLine="240"/>
        <w:jc w:val="left"/>
        <w:rPr>
          <w:rFonts w:hint="eastAsia" w:ascii="微软雅黑" w:hAnsi="微软雅黑" w:eastAsia="微软雅黑"/>
          <w:sz w:val="22"/>
        </w:rPr>
      </w:pPr>
      <w:r>
        <w:rPr>
          <w:rFonts w:hint="eastAsia" w:ascii="微软雅黑" w:hAnsi="微软雅黑" w:eastAsia="微软雅黑"/>
          <w:spacing w:val="2"/>
          <w:w w:val="118"/>
        </w:rPr>
        <w:t>※</w:t>
      </w:r>
      <w:r>
        <w:rPr>
          <w:rFonts w:hint="eastAsia" w:ascii="微软雅黑" w:hAnsi="微软雅黑" w:eastAsia="微软雅黑"/>
        </w:rPr>
        <w:t xml:space="preserve">第一章竞争性磋商邀请中 </w:t>
      </w:r>
      <w:r>
        <w:rPr>
          <w:rFonts w:hint="eastAsia" w:ascii="微软雅黑" w:hAnsi="微软雅黑" w:eastAsia="微软雅黑"/>
          <w:spacing w:val="2"/>
          <w:w w:val="81"/>
        </w:rPr>
        <w:t>3</w:t>
      </w:r>
      <w:r>
        <w:rPr>
          <w:rFonts w:hint="eastAsia" w:ascii="微软雅黑" w:hAnsi="微软雅黑" w:eastAsia="微软雅黑"/>
          <w:w w:val="175"/>
        </w:rPr>
        <w:t>.</w:t>
      </w:r>
      <w:r>
        <w:rPr>
          <w:rFonts w:hint="eastAsia" w:ascii="微软雅黑" w:hAnsi="微软雅黑" w:eastAsia="微软雅黑"/>
          <w:w w:val="81"/>
        </w:rPr>
        <w:t>2</w:t>
      </w:r>
      <w:r>
        <w:rPr>
          <w:rFonts w:hint="eastAsia" w:ascii="微软雅黑" w:hAnsi="微软雅黑" w:eastAsia="微软雅黑"/>
          <w:spacing w:val="-1"/>
        </w:rPr>
        <w:t xml:space="preserve"> 采购人根据采购项目的特殊要求规定的特定条件的证明文件；</w:t>
      </w:r>
    </w:p>
    <w:p>
      <w:pPr>
        <w:pStyle w:val="12"/>
        <w:numPr>
          <w:ilvl w:val="0"/>
          <w:numId w:val="18"/>
        </w:numPr>
        <w:tabs>
          <w:tab w:val="left" w:pos="1460"/>
        </w:tabs>
        <w:spacing w:before="69" w:after="0" w:line="240" w:lineRule="auto"/>
        <w:ind w:left="1459" w:right="0" w:hanging="602"/>
        <w:jc w:val="left"/>
        <w:rPr>
          <w:sz w:val="22"/>
        </w:rPr>
      </w:pPr>
      <w:r>
        <w:rPr>
          <w:sz w:val="24"/>
        </w:rPr>
        <w:t>合同草案条款；</w:t>
      </w:r>
    </w:p>
    <w:p>
      <w:pPr>
        <w:pStyle w:val="12"/>
        <w:numPr>
          <w:ilvl w:val="0"/>
          <w:numId w:val="18"/>
        </w:numPr>
        <w:tabs>
          <w:tab w:val="left" w:pos="1460"/>
        </w:tabs>
        <w:spacing w:before="160" w:after="0" w:line="240" w:lineRule="auto"/>
        <w:ind w:left="1459" w:right="0" w:hanging="602"/>
        <w:jc w:val="left"/>
        <w:rPr>
          <w:sz w:val="22"/>
        </w:rPr>
      </w:pPr>
      <w:r>
        <w:rPr>
          <w:sz w:val="24"/>
        </w:rPr>
        <w:t>供应商认为需要提供的其他资格证明文件和商务资料；</w:t>
      </w:r>
    </w:p>
    <w:p>
      <w:pPr>
        <w:pStyle w:val="12"/>
        <w:numPr>
          <w:ilvl w:val="0"/>
          <w:numId w:val="18"/>
        </w:numPr>
        <w:tabs>
          <w:tab w:val="left" w:pos="1460"/>
        </w:tabs>
        <w:spacing w:before="158" w:after="0" w:line="240" w:lineRule="auto"/>
        <w:ind w:left="1459" w:right="0" w:hanging="602"/>
        <w:jc w:val="left"/>
        <w:rPr>
          <w:sz w:val="22"/>
        </w:rPr>
      </w:pPr>
      <w:r>
        <w:rPr>
          <w:sz w:val="24"/>
        </w:rPr>
        <w:t>《商务条款偏离表》。</w:t>
      </w:r>
    </w:p>
    <w:p>
      <w:pPr>
        <w:pStyle w:val="12"/>
        <w:numPr>
          <w:ilvl w:val="1"/>
          <w:numId w:val="17"/>
        </w:numPr>
        <w:tabs>
          <w:tab w:val="left" w:pos="1222"/>
        </w:tabs>
        <w:spacing w:before="161" w:after="0" w:line="364" w:lineRule="auto"/>
        <w:ind w:left="618" w:right="565" w:firstLine="240"/>
        <w:jc w:val="both"/>
        <w:rPr>
          <w:sz w:val="22"/>
        </w:rPr>
      </w:pPr>
      <w:r>
        <w:rPr>
          <w:b/>
          <w:sz w:val="24"/>
        </w:rPr>
        <w:t>响应文件的技术部分。</w:t>
      </w:r>
      <w:r>
        <w:rPr>
          <w:sz w:val="24"/>
        </w:rPr>
        <w:t>技术部分是证明供应商提供的服务是合格的，并符合磋商文件要求的证明文件，以及对服务的详细说明，这些文件可以是文字资料、图纸（表</w:t>
      </w:r>
      <w:r>
        <w:rPr>
          <w:spacing w:val="-16"/>
          <w:sz w:val="24"/>
        </w:rPr>
        <w:t xml:space="preserve">） </w:t>
      </w:r>
      <w:r>
        <w:rPr>
          <w:spacing w:val="-6"/>
          <w:sz w:val="24"/>
        </w:rPr>
        <w:t>和数据等。提供的服务如与磋商文件要求有不符之处，应说明其差别之所在。包括但不</w:t>
      </w:r>
    </w:p>
    <w:p>
      <w:pPr>
        <w:spacing w:before="0" w:line="363" w:lineRule="exact"/>
        <w:ind w:left="618" w:right="0" w:firstLine="0"/>
        <w:jc w:val="left"/>
        <w:rPr>
          <w:rFonts w:hint="eastAsia" w:ascii="微软雅黑" w:hAnsi="微软雅黑" w:eastAsia="微软雅黑"/>
          <w:b/>
          <w:sz w:val="24"/>
        </w:rPr>
      </w:pPr>
      <w:r>
        <w:rPr>
          <w:w w:val="105"/>
          <w:sz w:val="24"/>
        </w:rPr>
        <w:t>限于下列文件，</w:t>
      </w:r>
      <w:r>
        <w:rPr>
          <w:rFonts w:hint="eastAsia" w:ascii="微软雅黑" w:hAnsi="微软雅黑" w:eastAsia="微软雅黑"/>
          <w:b/>
          <w:w w:val="105"/>
          <w:sz w:val="24"/>
        </w:rPr>
        <w:t>其中加“※”项目不得有缺失或无效：</w:t>
      </w:r>
    </w:p>
    <w:p>
      <w:pPr>
        <w:spacing w:after="0" w:line="363" w:lineRule="exact"/>
        <w:jc w:val="left"/>
        <w:rPr>
          <w:rFonts w:hint="eastAsia" w:ascii="微软雅黑" w:hAnsi="微软雅黑" w:eastAsia="微软雅黑"/>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12"/>
        <w:numPr>
          <w:ilvl w:val="0"/>
          <w:numId w:val="19"/>
        </w:numPr>
        <w:tabs>
          <w:tab w:val="left" w:pos="1460"/>
        </w:tabs>
        <w:spacing w:before="61" w:after="0" w:line="240" w:lineRule="auto"/>
        <w:ind w:left="1459" w:right="0" w:hanging="602"/>
        <w:jc w:val="left"/>
        <w:rPr>
          <w:sz w:val="22"/>
        </w:rPr>
      </w:pPr>
      <w:r>
        <w:rPr>
          <w:sz w:val="24"/>
        </w:rPr>
        <w:t>服务内容的详细说明；</w:t>
      </w:r>
    </w:p>
    <w:p>
      <w:pPr>
        <w:pStyle w:val="3"/>
        <w:numPr>
          <w:ilvl w:val="0"/>
          <w:numId w:val="19"/>
        </w:numPr>
        <w:tabs>
          <w:tab w:val="left" w:pos="1461"/>
        </w:tabs>
        <w:spacing w:before="81" w:after="0" w:line="240" w:lineRule="auto"/>
        <w:ind w:left="1460" w:right="0" w:hanging="603"/>
        <w:jc w:val="left"/>
        <w:rPr>
          <w:rFonts w:hint="eastAsia" w:ascii="微软雅黑" w:hAnsi="微软雅黑" w:eastAsia="微软雅黑"/>
          <w:sz w:val="22"/>
        </w:rPr>
      </w:pPr>
      <w:r>
        <w:rPr>
          <w:rFonts w:hint="eastAsia" w:ascii="微软雅黑" w:hAnsi="微软雅黑" w:eastAsia="微软雅黑"/>
        </w:rPr>
        <w:t>※项目实施方案；</w:t>
      </w:r>
    </w:p>
    <w:p>
      <w:pPr>
        <w:pStyle w:val="12"/>
        <w:numPr>
          <w:ilvl w:val="0"/>
          <w:numId w:val="19"/>
        </w:numPr>
        <w:tabs>
          <w:tab w:val="left" w:pos="1460"/>
        </w:tabs>
        <w:spacing w:before="102" w:after="0" w:line="240" w:lineRule="auto"/>
        <w:ind w:left="1459" w:right="0" w:hanging="602"/>
        <w:jc w:val="left"/>
        <w:rPr>
          <w:sz w:val="22"/>
        </w:rPr>
      </w:pPr>
      <w:r>
        <w:rPr>
          <w:sz w:val="24"/>
        </w:rPr>
        <w:t>验收标准、技术资料；</w:t>
      </w:r>
    </w:p>
    <w:p>
      <w:pPr>
        <w:pStyle w:val="12"/>
        <w:numPr>
          <w:ilvl w:val="0"/>
          <w:numId w:val="19"/>
        </w:numPr>
        <w:tabs>
          <w:tab w:val="left" w:pos="1460"/>
        </w:tabs>
        <w:spacing w:before="161" w:after="0" w:line="240" w:lineRule="auto"/>
        <w:ind w:left="1459" w:right="0" w:hanging="602"/>
        <w:jc w:val="left"/>
        <w:rPr>
          <w:sz w:val="22"/>
        </w:rPr>
      </w:pPr>
      <w:r>
        <w:rPr>
          <w:sz w:val="24"/>
        </w:rPr>
        <w:t>服务承诺；</w:t>
      </w:r>
    </w:p>
    <w:p>
      <w:pPr>
        <w:pStyle w:val="12"/>
        <w:numPr>
          <w:ilvl w:val="0"/>
          <w:numId w:val="19"/>
        </w:numPr>
        <w:tabs>
          <w:tab w:val="left" w:pos="1460"/>
        </w:tabs>
        <w:spacing w:before="158" w:after="0" w:line="240" w:lineRule="auto"/>
        <w:ind w:left="1459" w:right="0" w:hanging="602"/>
        <w:jc w:val="left"/>
        <w:rPr>
          <w:sz w:val="22"/>
        </w:rPr>
      </w:pPr>
      <w:r>
        <w:rPr>
          <w:sz w:val="24"/>
        </w:rPr>
        <w:t>供应商认为需要提供的其他技术资料等；</w:t>
      </w:r>
    </w:p>
    <w:p>
      <w:pPr>
        <w:pStyle w:val="12"/>
        <w:numPr>
          <w:ilvl w:val="0"/>
          <w:numId w:val="19"/>
        </w:numPr>
        <w:tabs>
          <w:tab w:val="left" w:pos="1460"/>
        </w:tabs>
        <w:spacing w:before="160" w:after="0" w:line="362" w:lineRule="auto"/>
        <w:ind w:left="858" w:right="6445" w:firstLine="0"/>
        <w:jc w:val="left"/>
        <w:rPr>
          <w:b/>
          <w:sz w:val="22"/>
        </w:rPr>
      </w:pPr>
      <w:r>
        <w:rPr>
          <w:spacing w:val="-2"/>
          <w:sz w:val="24"/>
        </w:rPr>
        <w:t>《技术条款偏离表》。</w:t>
      </w:r>
      <w:r>
        <w:rPr>
          <w:b/>
          <w:sz w:val="24"/>
        </w:rPr>
        <w:t>7.4响应文件的价格部分</w:t>
      </w:r>
    </w:p>
    <w:p>
      <w:pPr>
        <w:pStyle w:val="12"/>
        <w:numPr>
          <w:ilvl w:val="0"/>
          <w:numId w:val="20"/>
        </w:numPr>
        <w:tabs>
          <w:tab w:val="left" w:pos="1464"/>
        </w:tabs>
        <w:spacing w:before="5" w:after="0" w:line="362" w:lineRule="auto"/>
        <w:ind w:left="618" w:right="616" w:firstLine="240"/>
        <w:jc w:val="left"/>
        <w:rPr>
          <w:sz w:val="24"/>
        </w:rPr>
      </w:pPr>
      <w:r>
        <w:rPr>
          <w:sz w:val="24"/>
        </w:rPr>
        <w:t>价格部分是对服务价格构成的说明，磋商文件如没有特别说明的话，对每一项服务仅接受一个价格。</w:t>
      </w:r>
    </w:p>
    <w:p>
      <w:pPr>
        <w:pStyle w:val="12"/>
        <w:numPr>
          <w:ilvl w:val="0"/>
          <w:numId w:val="20"/>
        </w:numPr>
        <w:tabs>
          <w:tab w:val="left" w:pos="1464"/>
        </w:tabs>
        <w:spacing w:before="5" w:after="0" w:line="362" w:lineRule="auto"/>
        <w:ind w:left="618" w:right="616" w:firstLine="240"/>
        <w:jc w:val="left"/>
        <w:rPr>
          <w:b/>
          <w:sz w:val="24"/>
        </w:rPr>
      </w:pPr>
      <w:r>
        <w:rPr>
          <w:sz w:val="24"/>
        </w:rPr>
        <w:t>报价应包含完成本服务项目发生的所有含税费用、支付给员工的工资和国家强制缴纳的各种社会保障资金，以及供应商认为需要的其他费用等</w:t>
      </w:r>
      <w:r>
        <w:rPr>
          <w:b/>
          <w:sz w:val="24"/>
        </w:rPr>
        <w:t>。</w:t>
      </w:r>
    </w:p>
    <w:p>
      <w:pPr>
        <w:pStyle w:val="12"/>
        <w:numPr>
          <w:ilvl w:val="0"/>
          <w:numId w:val="20"/>
        </w:numPr>
        <w:tabs>
          <w:tab w:val="left" w:pos="1464"/>
        </w:tabs>
        <w:spacing w:before="5" w:after="0" w:line="362" w:lineRule="auto"/>
        <w:ind w:left="618" w:right="616" w:firstLine="240"/>
        <w:jc w:val="left"/>
        <w:rPr>
          <w:sz w:val="24"/>
        </w:rPr>
      </w:pPr>
      <w:r>
        <w:rPr>
          <w:sz w:val="24"/>
        </w:rPr>
        <w:t>供应商应充分考虑到市场价格变动，以及项目实施过程中的不可预见因素，一旦成交，总价格不变。如果有漏项，视同让利。</w:t>
      </w:r>
    </w:p>
    <w:p>
      <w:pPr>
        <w:pStyle w:val="12"/>
        <w:numPr>
          <w:ilvl w:val="0"/>
          <w:numId w:val="20"/>
        </w:numPr>
        <w:tabs>
          <w:tab w:val="left" w:pos="1464"/>
        </w:tabs>
        <w:spacing w:before="5" w:after="0" w:line="364" w:lineRule="auto"/>
        <w:ind w:left="618" w:right="616" w:firstLine="240"/>
        <w:jc w:val="left"/>
        <w:rPr>
          <w:sz w:val="24"/>
        </w:rPr>
      </w:pPr>
      <w:r>
        <w:rPr>
          <w:sz w:val="24"/>
        </w:rPr>
        <w:t>经磋商后，如果成交价高于或低于供应商在响应文件首次报价的，分项报价同比例调整。</w:t>
      </w:r>
    </w:p>
    <w:p>
      <w:pPr>
        <w:spacing w:before="0" w:line="364" w:lineRule="auto"/>
        <w:ind w:left="618" w:right="604" w:firstLine="240"/>
        <w:jc w:val="left"/>
        <w:rPr>
          <w:sz w:val="24"/>
        </w:rPr>
      </w:pPr>
      <w:r>
        <w:rPr>
          <w:b/>
          <w:sz w:val="24"/>
        </w:rPr>
        <w:t>7.5响应文件的其他部分。</w:t>
      </w:r>
      <w:r>
        <w:rPr>
          <w:sz w:val="24"/>
        </w:rPr>
        <w:t>其他部分由供应商根据编制响应文件需要提供的其他相关文件。</w:t>
      </w:r>
    </w:p>
    <w:p>
      <w:pPr>
        <w:pStyle w:val="3"/>
        <w:spacing w:line="306" w:lineRule="exact"/>
      </w:pPr>
      <w:r>
        <w:t>8、磋商保证金</w:t>
      </w:r>
    </w:p>
    <w:p>
      <w:pPr>
        <w:pStyle w:val="12"/>
        <w:numPr>
          <w:ilvl w:val="1"/>
          <w:numId w:val="21"/>
        </w:numPr>
        <w:tabs>
          <w:tab w:val="left" w:pos="1221"/>
        </w:tabs>
        <w:spacing w:before="157" w:after="0" w:line="364" w:lineRule="auto"/>
        <w:ind w:left="618" w:right="617" w:firstLine="240"/>
        <w:jc w:val="both"/>
        <w:rPr>
          <w:sz w:val="24"/>
        </w:rPr>
      </w:pPr>
      <w:r>
        <w:rPr>
          <w:sz w:val="24"/>
        </w:rPr>
        <w:t>供应商应按照要求提交磋商保证金，并作为其响应文件的一部分。磋商保证金是</w:t>
      </w:r>
      <w:r>
        <w:rPr>
          <w:spacing w:val="-4"/>
          <w:sz w:val="24"/>
        </w:rPr>
        <w:t>为了保护采购人免遭因供应商的行为而蒙受的损失，采购代理机构在因供应商的行为受</w:t>
      </w:r>
      <w:r>
        <w:rPr>
          <w:sz w:val="24"/>
        </w:rPr>
        <w:t>到损害时，磋商保证金将不予退还。</w:t>
      </w:r>
    </w:p>
    <w:p>
      <w:pPr>
        <w:pStyle w:val="12"/>
        <w:numPr>
          <w:ilvl w:val="1"/>
          <w:numId w:val="21"/>
        </w:numPr>
        <w:tabs>
          <w:tab w:val="left" w:pos="1221"/>
        </w:tabs>
        <w:spacing w:before="0" w:after="0" w:line="364" w:lineRule="auto"/>
        <w:ind w:left="618" w:right="580" w:firstLine="240"/>
        <w:jc w:val="both"/>
        <w:rPr>
          <w:sz w:val="24"/>
        </w:rPr>
      </w:pPr>
      <w:r>
        <w:rPr>
          <w:sz w:val="24"/>
        </w:rPr>
        <w:t>未成交的供应商的磋商保证金，将在成交通知发出后五个工作日内无息退还。</w:t>
      </w:r>
      <w:r>
        <w:rPr>
          <w:b/>
          <w:sz w:val="24"/>
        </w:rPr>
        <w:t>未</w:t>
      </w:r>
      <w:r>
        <w:rPr>
          <w:b/>
          <w:spacing w:val="-3"/>
          <w:sz w:val="24"/>
        </w:rPr>
        <w:t>成交的供应商应主动与采购代理机构联系，联系电话：</w:t>
      </w:r>
      <w:r>
        <w:rPr>
          <w:b/>
          <w:spacing w:val="-4"/>
          <w:sz w:val="24"/>
        </w:rPr>
        <w:t>025-</w:t>
      </w:r>
      <w:r>
        <w:rPr>
          <w:rFonts w:hint="eastAsia"/>
          <w:b/>
          <w:spacing w:val="-4"/>
          <w:sz w:val="24"/>
          <w:lang w:val="en-US" w:eastAsia="zh-CN"/>
        </w:rPr>
        <w:t>83266652</w:t>
      </w:r>
      <w:r>
        <w:rPr>
          <w:b/>
          <w:spacing w:val="-2"/>
          <w:sz w:val="24"/>
        </w:rPr>
        <w:t>，办理磋商保证金</w:t>
      </w:r>
      <w:r>
        <w:rPr>
          <w:b/>
          <w:spacing w:val="-7"/>
          <w:sz w:val="24"/>
        </w:rPr>
        <w:t>退还事宜，以及办理退还手续。</w:t>
      </w:r>
      <w:r>
        <w:rPr>
          <w:spacing w:val="-1"/>
          <w:sz w:val="24"/>
        </w:rPr>
        <w:t>由于供应商的自身原因未联系办理保证金退还的，其责任和由此造成的后果由供应商自行承担。</w:t>
      </w:r>
    </w:p>
    <w:p>
      <w:pPr>
        <w:pStyle w:val="12"/>
        <w:numPr>
          <w:ilvl w:val="1"/>
          <w:numId w:val="21"/>
        </w:numPr>
        <w:tabs>
          <w:tab w:val="left" w:pos="1220"/>
        </w:tabs>
        <w:spacing w:before="0" w:after="0" w:line="305" w:lineRule="exact"/>
        <w:ind w:left="1219" w:right="0" w:hanging="362"/>
        <w:jc w:val="left"/>
        <w:rPr>
          <w:sz w:val="24"/>
        </w:rPr>
      </w:pPr>
      <w:r>
        <w:rPr>
          <w:sz w:val="24"/>
        </w:rPr>
        <w:t>成交供应商的磋商保证金，将在签订合同后五个工作日内无息退还。</w:t>
      </w:r>
    </w:p>
    <w:p>
      <w:pPr>
        <w:pStyle w:val="12"/>
        <w:numPr>
          <w:ilvl w:val="1"/>
          <w:numId w:val="21"/>
        </w:numPr>
        <w:tabs>
          <w:tab w:val="left" w:pos="1220"/>
        </w:tabs>
        <w:spacing w:before="160" w:after="0" w:line="240" w:lineRule="auto"/>
        <w:ind w:left="1219" w:right="0" w:hanging="362"/>
        <w:jc w:val="left"/>
        <w:rPr>
          <w:sz w:val="24"/>
        </w:rPr>
      </w:pPr>
      <w:r>
        <w:rPr>
          <w:sz w:val="24"/>
        </w:rPr>
        <w:t>下列任何情况发生时，磋商保证金不予退还：</w:t>
      </w:r>
    </w:p>
    <w:p>
      <w:pPr>
        <w:pStyle w:val="12"/>
        <w:numPr>
          <w:ilvl w:val="0"/>
          <w:numId w:val="22"/>
        </w:numPr>
        <w:tabs>
          <w:tab w:val="left" w:pos="1460"/>
        </w:tabs>
        <w:spacing w:before="158" w:after="0" w:line="240" w:lineRule="auto"/>
        <w:ind w:left="1459" w:right="0" w:hanging="602"/>
        <w:jc w:val="left"/>
        <w:rPr>
          <w:sz w:val="24"/>
        </w:rPr>
      </w:pPr>
      <w:r>
        <w:rPr>
          <w:sz w:val="24"/>
        </w:rPr>
        <w:t>成交通知书发出后三十日内，成交供应商未与采购人签订合同的；</w:t>
      </w:r>
    </w:p>
    <w:p>
      <w:pPr>
        <w:pStyle w:val="12"/>
        <w:numPr>
          <w:ilvl w:val="0"/>
          <w:numId w:val="22"/>
        </w:numPr>
        <w:tabs>
          <w:tab w:val="left" w:pos="1460"/>
        </w:tabs>
        <w:spacing w:before="161" w:after="0" w:line="240" w:lineRule="auto"/>
        <w:ind w:left="1459" w:right="0" w:hanging="602"/>
        <w:jc w:val="left"/>
        <w:rPr>
          <w:sz w:val="24"/>
        </w:rPr>
      </w:pPr>
      <w:r>
        <w:rPr>
          <w:sz w:val="24"/>
        </w:rPr>
        <w:t>提供虚假材料谋取成交的；</w:t>
      </w:r>
    </w:p>
    <w:p>
      <w:pPr>
        <w:pStyle w:val="12"/>
        <w:numPr>
          <w:ilvl w:val="0"/>
          <w:numId w:val="22"/>
        </w:numPr>
        <w:tabs>
          <w:tab w:val="left" w:pos="1460"/>
        </w:tabs>
        <w:spacing w:before="158" w:after="0" w:line="240" w:lineRule="auto"/>
        <w:ind w:left="1459" w:right="0" w:hanging="602"/>
        <w:jc w:val="left"/>
        <w:rPr>
          <w:sz w:val="24"/>
        </w:rPr>
      </w:pPr>
      <w:r>
        <w:rPr>
          <w:sz w:val="24"/>
        </w:rPr>
        <w:t>经查实与采购人、其他供应商恶意串通的等。</w:t>
      </w:r>
    </w:p>
    <w:p>
      <w:pPr>
        <w:spacing w:after="0" w:line="240"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ind w:left="618"/>
      </w:pPr>
      <w:bookmarkStart w:id="9" w:name="三、响应文件签署与提交"/>
      <w:bookmarkEnd w:id="9"/>
      <w:r>
        <w:t>三、响应文件签署与提交</w:t>
      </w:r>
    </w:p>
    <w:p>
      <w:pPr>
        <w:pStyle w:val="4"/>
        <w:spacing w:before="158" w:line="364" w:lineRule="auto"/>
        <w:ind w:right="618" w:firstLine="240"/>
      </w:pPr>
      <w:r>
        <w:t>9、响应文件的正本和副本均由供应商法定代表人或经正式授权并对供应商有约束力的委托代理人用不褪色墨水书写签署。</w:t>
      </w:r>
    </w:p>
    <w:p>
      <w:pPr>
        <w:pStyle w:val="4"/>
        <w:spacing w:before="1" w:line="362" w:lineRule="auto"/>
        <w:ind w:right="617" w:firstLine="240"/>
      </w:pPr>
      <w:r>
        <w:t>10</w:t>
      </w:r>
      <w:r>
        <w:rPr>
          <w:spacing w:val="-8"/>
        </w:rPr>
        <w:t>、供应商应当在磋商文件要求提交响应文件的截止时间前，将响应文件密封送达指</w:t>
      </w:r>
      <w:r>
        <w:t>定地点。</w:t>
      </w:r>
    </w:p>
    <w:p>
      <w:pPr>
        <w:pStyle w:val="3"/>
        <w:spacing w:before="5"/>
      </w:pPr>
      <w:r>
        <w:t>11、有下列情形之一的响应文件将拒收：</w:t>
      </w:r>
    </w:p>
    <w:p>
      <w:pPr>
        <w:pStyle w:val="3"/>
        <w:numPr>
          <w:ilvl w:val="1"/>
          <w:numId w:val="23"/>
        </w:numPr>
        <w:tabs>
          <w:tab w:val="left" w:pos="1345"/>
        </w:tabs>
        <w:spacing w:before="81" w:after="0" w:line="240" w:lineRule="auto"/>
        <w:ind w:left="1344" w:right="0" w:hanging="487"/>
        <w:jc w:val="left"/>
        <w:rPr>
          <w:rFonts w:hint="eastAsia" w:ascii="微软雅黑" w:eastAsia="微软雅黑"/>
        </w:rPr>
      </w:pPr>
      <w:r>
        <w:rPr>
          <w:rFonts w:hint="eastAsia" w:ascii="微软雅黑" w:eastAsia="微软雅黑"/>
        </w:rPr>
        <w:t>未按竞争性磋商邀请规定的数额和办法交纳磋商保证金的；</w:t>
      </w:r>
    </w:p>
    <w:p>
      <w:pPr>
        <w:pStyle w:val="3"/>
        <w:numPr>
          <w:ilvl w:val="1"/>
          <w:numId w:val="23"/>
        </w:numPr>
        <w:tabs>
          <w:tab w:val="left" w:pos="1345"/>
        </w:tabs>
        <w:spacing w:before="26" w:after="0" w:line="240" w:lineRule="auto"/>
        <w:ind w:left="1344" w:right="0" w:hanging="487"/>
        <w:jc w:val="left"/>
        <w:rPr>
          <w:rFonts w:hint="eastAsia" w:ascii="微软雅黑" w:eastAsia="微软雅黑"/>
        </w:rPr>
      </w:pPr>
      <w:r>
        <w:rPr>
          <w:rFonts w:hint="eastAsia" w:ascii="微软雅黑" w:eastAsia="微软雅黑"/>
        </w:rPr>
        <w:t>在磋商文件要求提交响应文件的截止时间之后送达的等。</w:t>
      </w:r>
    </w:p>
    <w:p>
      <w:pPr>
        <w:pStyle w:val="3"/>
        <w:spacing w:before="100"/>
        <w:ind w:left="618"/>
      </w:pPr>
      <w:r>
        <w:t>四、磋商</w:t>
      </w:r>
    </w:p>
    <w:p>
      <w:pPr>
        <w:pStyle w:val="3"/>
        <w:spacing w:before="160"/>
      </w:pPr>
      <w:r>
        <w:t>12、联合体</w:t>
      </w:r>
    </w:p>
    <w:p>
      <w:pPr>
        <w:pStyle w:val="4"/>
        <w:spacing w:before="158"/>
        <w:ind w:left="858"/>
      </w:pPr>
      <w:r>
        <w:t>12.1本项目不接受联合体。</w:t>
      </w:r>
    </w:p>
    <w:p>
      <w:pPr>
        <w:pStyle w:val="3"/>
        <w:spacing w:before="161"/>
      </w:pPr>
      <w:r>
        <w:rPr>
          <w:w w:val="95"/>
        </w:rPr>
        <w:t>13、磋商组织</w:t>
      </w:r>
    </w:p>
    <w:p>
      <w:pPr>
        <w:pStyle w:val="12"/>
        <w:numPr>
          <w:ilvl w:val="1"/>
          <w:numId w:val="24"/>
        </w:numPr>
        <w:tabs>
          <w:tab w:val="left" w:pos="1340"/>
        </w:tabs>
        <w:spacing w:before="158" w:after="0" w:line="364" w:lineRule="auto"/>
        <w:ind w:left="618" w:right="617" w:firstLine="240"/>
        <w:jc w:val="left"/>
        <w:rPr>
          <w:sz w:val="24"/>
        </w:rPr>
      </w:pPr>
      <w:r>
        <w:rPr>
          <w:spacing w:val="-5"/>
          <w:sz w:val="24"/>
        </w:rPr>
        <w:t>在提交响应文件时间截止后，采购代理机构在规定的时间和地点组织磋商小组分</w:t>
      </w:r>
      <w:r>
        <w:rPr>
          <w:sz w:val="24"/>
        </w:rPr>
        <w:t>别与供应商进行磋商。</w:t>
      </w:r>
    </w:p>
    <w:p>
      <w:pPr>
        <w:pStyle w:val="12"/>
        <w:numPr>
          <w:ilvl w:val="1"/>
          <w:numId w:val="24"/>
        </w:numPr>
        <w:tabs>
          <w:tab w:val="left" w:pos="1340"/>
        </w:tabs>
        <w:spacing w:before="1" w:after="0" w:line="240" w:lineRule="auto"/>
        <w:ind w:left="1339" w:right="0" w:hanging="482"/>
        <w:jc w:val="left"/>
        <w:rPr>
          <w:sz w:val="24"/>
        </w:rPr>
      </w:pPr>
      <w:r>
        <w:rPr>
          <w:sz w:val="24"/>
        </w:rPr>
        <w:t>磋商工作由采购代理机构负责组织，具体磋商事务由依法组建的磋商小组负责。</w:t>
      </w:r>
    </w:p>
    <w:p>
      <w:pPr>
        <w:pStyle w:val="3"/>
        <w:spacing w:before="158"/>
      </w:pPr>
      <w:r>
        <w:t>14、磋商程序</w:t>
      </w:r>
    </w:p>
    <w:p>
      <w:pPr>
        <w:pStyle w:val="12"/>
        <w:numPr>
          <w:ilvl w:val="1"/>
          <w:numId w:val="25"/>
        </w:numPr>
        <w:tabs>
          <w:tab w:val="left" w:pos="1340"/>
        </w:tabs>
        <w:spacing w:before="161" w:after="0" w:line="362" w:lineRule="auto"/>
        <w:ind w:left="618" w:right="617" w:firstLine="240"/>
        <w:jc w:val="both"/>
        <w:rPr>
          <w:sz w:val="22"/>
        </w:rPr>
      </w:pPr>
      <w:r>
        <w:rPr>
          <w:spacing w:val="-4"/>
          <w:sz w:val="24"/>
        </w:rPr>
        <w:t>磋商小组评审供应商所递交的响应性文件，并根据磋商文件规定的程序、评定成</w:t>
      </w:r>
      <w:r>
        <w:rPr>
          <w:spacing w:val="-3"/>
          <w:sz w:val="24"/>
        </w:rPr>
        <w:t>交的标准等事项与实质性响应磋商文件要求的供应商进行磋商。未实质性响应磋商文件</w:t>
      </w:r>
      <w:r>
        <w:rPr>
          <w:sz w:val="24"/>
        </w:rPr>
        <w:t>的响应文件按无效处理，磋商小组应将告知有关供应商。</w:t>
      </w:r>
    </w:p>
    <w:p>
      <w:pPr>
        <w:pStyle w:val="12"/>
        <w:numPr>
          <w:ilvl w:val="1"/>
          <w:numId w:val="25"/>
        </w:numPr>
        <w:tabs>
          <w:tab w:val="left" w:pos="1340"/>
        </w:tabs>
        <w:spacing w:before="6" w:after="0" w:line="364" w:lineRule="auto"/>
        <w:ind w:left="618" w:right="617" w:firstLine="240"/>
        <w:jc w:val="left"/>
        <w:rPr>
          <w:sz w:val="22"/>
        </w:rPr>
      </w:pPr>
      <w:r>
        <w:rPr>
          <w:spacing w:val="-4"/>
          <w:sz w:val="24"/>
        </w:rPr>
        <w:t>磋商小组所有成员集中与单一供应商分别进行磋商，所有参加磋商的供应商均有</w:t>
      </w:r>
      <w:r>
        <w:rPr>
          <w:sz w:val="24"/>
        </w:rPr>
        <w:t>同等的磋商机会。</w:t>
      </w:r>
    </w:p>
    <w:p>
      <w:pPr>
        <w:pStyle w:val="12"/>
        <w:numPr>
          <w:ilvl w:val="1"/>
          <w:numId w:val="25"/>
        </w:numPr>
        <w:tabs>
          <w:tab w:val="left" w:pos="1340"/>
        </w:tabs>
        <w:spacing w:before="0" w:after="0" w:line="364" w:lineRule="auto"/>
        <w:ind w:left="618" w:right="497" w:firstLine="240"/>
        <w:jc w:val="both"/>
        <w:rPr>
          <w:b/>
          <w:sz w:val="22"/>
        </w:rPr>
      </w:pPr>
      <w:r>
        <w:rPr>
          <w:spacing w:val="-7"/>
          <w:sz w:val="24"/>
        </w:rPr>
        <w:t>磋商过程中，磋商小组根据磋商文件和磋商情况可能实质性变动磋商需求中的技术、服务要求以及合同草案条款。实质性变动是磋商文件的有效组成部分，磋商小组将</w:t>
      </w:r>
      <w:r>
        <w:rPr>
          <w:spacing w:val="-11"/>
          <w:sz w:val="24"/>
        </w:rPr>
        <w:t>以书面形式通知所有参加磋商的供应商。</w:t>
      </w:r>
      <w:r>
        <w:rPr>
          <w:b/>
          <w:spacing w:val="-13"/>
          <w:sz w:val="24"/>
        </w:rPr>
        <w:t>用“★”加注或特别说明的内容为实质性要求。</w:t>
      </w:r>
    </w:p>
    <w:p>
      <w:pPr>
        <w:pStyle w:val="12"/>
        <w:numPr>
          <w:ilvl w:val="1"/>
          <w:numId w:val="25"/>
        </w:numPr>
        <w:tabs>
          <w:tab w:val="left" w:pos="1340"/>
        </w:tabs>
        <w:spacing w:before="0" w:after="0" w:line="364" w:lineRule="auto"/>
        <w:ind w:left="618" w:right="617" w:firstLine="240"/>
        <w:jc w:val="both"/>
        <w:rPr>
          <w:sz w:val="22"/>
        </w:rPr>
      </w:pPr>
      <w:r>
        <w:rPr>
          <w:spacing w:val="-3"/>
          <w:sz w:val="24"/>
        </w:rPr>
        <w:t>为保证在磋商小组要求供应商解释或者澄清其响应文件时能够及时得到回复，在</w:t>
      </w:r>
      <w:r>
        <w:rPr>
          <w:spacing w:val="-7"/>
          <w:sz w:val="24"/>
        </w:rPr>
        <w:t>磋商开始后，供应商应保持其响应文件上联系方式的通讯畅通；供应商法定代表人或授</w:t>
      </w:r>
      <w:r>
        <w:rPr>
          <w:spacing w:val="-4"/>
          <w:sz w:val="24"/>
        </w:rPr>
        <w:t>权代表或自然人本人也可以直接到磋商现场等候。供应商的澄清、说明或者更正应在磋</w:t>
      </w:r>
      <w:r>
        <w:rPr>
          <w:spacing w:val="-5"/>
          <w:sz w:val="24"/>
        </w:rPr>
        <w:t>商小组向其提出澄清、说明或者更正要求后十分钟内以书面形式提交给磋商小组，该书</w:t>
      </w:r>
      <w:r>
        <w:rPr>
          <w:spacing w:val="-12"/>
          <w:sz w:val="24"/>
        </w:rPr>
        <w:t>面材料由法定代表人或授权代表签字或加盖公章。在磋商期间，如磋商小组联系未果</w:t>
      </w:r>
      <w:r>
        <w:rPr>
          <w:sz w:val="24"/>
        </w:rPr>
        <w:t>（</w:t>
      </w:r>
      <w:r>
        <w:rPr>
          <w:spacing w:val="-17"/>
          <w:sz w:val="24"/>
        </w:rPr>
        <w:t>在</w:t>
      </w:r>
      <w:r>
        <w:rPr>
          <w:sz w:val="24"/>
        </w:rPr>
        <w:t>十分钟内联系五次</w:t>
      </w:r>
      <w:r>
        <w:rPr>
          <w:spacing w:val="-27"/>
          <w:sz w:val="24"/>
        </w:rPr>
        <w:t>）</w:t>
      </w:r>
      <w:r>
        <w:rPr>
          <w:spacing w:val="-3"/>
          <w:sz w:val="24"/>
        </w:rPr>
        <w:t>或者供应商在二十分钟内未按时提交书面材料，则视为供应商放弃</w:t>
      </w:r>
    </w:p>
    <w:p>
      <w:pPr>
        <w:spacing w:after="0" w:line="364" w:lineRule="auto"/>
        <w:jc w:val="both"/>
        <w:rPr>
          <w:sz w:val="22"/>
        </w:rPr>
        <w:sectPr>
          <w:footerReference r:id="rId6" w:type="default"/>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pPr>
      <w:r>
        <w:t>上述权利，相关后果自负。</w:t>
      </w:r>
    </w:p>
    <w:p>
      <w:pPr>
        <w:pStyle w:val="12"/>
        <w:numPr>
          <w:ilvl w:val="1"/>
          <w:numId w:val="25"/>
        </w:numPr>
        <w:tabs>
          <w:tab w:val="left" w:pos="1340"/>
        </w:tabs>
        <w:spacing w:before="158" w:after="0" w:line="364" w:lineRule="auto"/>
        <w:ind w:left="618" w:right="617" w:firstLine="240"/>
        <w:jc w:val="left"/>
        <w:rPr>
          <w:sz w:val="22"/>
        </w:rPr>
      </w:pPr>
      <w:r>
        <w:rPr>
          <w:spacing w:val="-3"/>
          <w:sz w:val="24"/>
        </w:rPr>
        <w:t>供应商应当按照磋商文件的变动情况和磋商小组的要求重新提交响应文件，并由</w:t>
      </w:r>
      <w:r>
        <w:rPr>
          <w:sz w:val="24"/>
        </w:rPr>
        <w:t>其法定代表人或授权代表签字或者加盖公章。</w:t>
      </w:r>
    </w:p>
    <w:p>
      <w:pPr>
        <w:pStyle w:val="12"/>
        <w:numPr>
          <w:ilvl w:val="1"/>
          <w:numId w:val="25"/>
        </w:numPr>
        <w:tabs>
          <w:tab w:val="left" w:pos="1340"/>
        </w:tabs>
        <w:spacing w:before="1" w:after="0" w:line="364" w:lineRule="auto"/>
        <w:ind w:left="618" w:right="617" w:firstLine="240"/>
        <w:jc w:val="both"/>
        <w:rPr>
          <w:sz w:val="22"/>
        </w:rPr>
      </w:pPr>
      <w:r>
        <w:rPr>
          <w:spacing w:val="-8"/>
          <w:sz w:val="24"/>
        </w:rPr>
        <w:t>磋商结束后，磋商小组将要求所有继续参加磋商的供应商在规定时间内提交最后</w:t>
      </w:r>
      <w:r>
        <w:rPr>
          <w:spacing w:val="-7"/>
          <w:sz w:val="24"/>
        </w:rPr>
        <w:t>报价。最后报价由其法定代表人或授权代表签字或者加盖公章，最后报价是供应商响应</w:t>
      </w:r>
      <w:r>
        <w:rPr>
          <w:sz w:val="24"/>
        </w:rPr>
        <w:t>文件的有效组成部分。</w:t>
      </w:r>
    </w:p>
    <w:p>
      <w:pPr>
        <w:pStyle w:val="12"/>
        <w:numPr>
          <w:ilvl w:val="1"/>
          <w:numId w:val="25"/>
        </w:numPr>
        <w:tabs>
          <w:tab w:val="left" w:pos="1399"/>
        </w:tabs>
        <w:spacing w:before="0" w:after="0" w:line="364" w:lineRule="auto"/>
        <w:ind w:left="618" w:right="505" w:firstLine="240"/>
        <w:jc w:val="both"/>
        <w:rPr>
          <w:sz w:val="24"/>
        </w:rPr>
      </w:pPr>
      <w:r>
        <w:rPr>
          <w:spacing w:val="-1"/>
          <w:sz w:val="24"/>
        </w:rPr>
        <w:t>已提交响应文件的供应商，在提交最后报价之前，可以根据磋商情况退出磋商。</w:t>
      </w:r>
      <w:r>
        <w:rPr>
          <w:sz w:val="24"/>
        </w:rPr>
        <w:t>退出磋商的供应商，采购代理机构将退还其磋商保证金。</w:t>
      </w:r>
    </w:p>
    <w:p>
      <w:pPr>
        <w:pStyle w:val="3"/>
        <w:numPr>
          <w:ilvl w:val="1"/>
          <w:numId w:val="25"/>
        </w:numPr>
        <w:tabs>
          <w:tab w:val="left" w:pos="1401"/>
        </w:tabs>
        <w:spacing w:before="0" w:after="0" w:line="364" w:lineRule="exact"/>
        <w:ind w:left="1400" w:right="0" w:hanging="543"/>
        <w:jc w:val="left"/>
        <w:rPr>
          <w:rFonts w:hint="eastAsia" w:ascii="微软雅黑" w:eastAsia="微软雅黑"/>
        </w:rPr>
      </w:pPr>
      <w:r>
        <w:rPr>
          <w:rFonts w:hint="eastAsia" w:ascii="微软雅黑" w:eastAsia="微软雅黑"/>
        </w:rPr>
        <w:t>出现下列情形之一的响应文件按照无效处理：</w:t>
      </w:r>
    </w:p>
    <w:p>
      <w:pPr>
        <w:pStyle w:val="3"/>
        <w:numPr>
          <w:ilvl w:val="0"/>
          <w:numId w:val="26"/>
        </w:numPr>
        <w:tabs>
          <w:tab w:val="left" w:pos="1460"/>
        </w:tabs>
        <w:spacing w:before="22" w:after="0" w:line="240" w:lineRule="auto"/>
        <w:ind w:left="1459" w:right="0" w:hanging="602"/>
        <w:jc w:val="left"/>
        <w:rPr>
          <w:rFonts w:hint="eastAsia" w:ascii="微软雅黑" w:hAnsi="微软雅黑" w:eastAsia="微软雅黑"/>
        </w:rPr>
      </w:pPr>
      <w:r>
        <w:rPr>
          <w:rFonts w:hint="eastAsia" w:ascii="微软雅黑" w:hAnsi="微软雅黑" w:eastAsia="微软雅黑"/>
          <w:spacing w:val="1"/>
        </w:rPr>
        <w:t>本章</w:t>
      </w:r>
      <w:r>
        <w:rPr>
          <w:rFonts w:hint="eastAsia" w:ascii="微软雅黑" w:hAnsi="微软雅黑" w:eastAsia="微软雅黑"/>
          <w:spacing w:val="2"/>
          <w:w w:val="81"/>
        </w:rPr>
        <w:t>7</w:t>
      </w:r>
      <w:r>
        <w:rPr>
          <w:rFonts w:hint="eastAsia" w:ascii="微软雅黑" w:hAnsi="微软雅黑" w:eastAsia="微软雅黑"/>
          <w:w w:val="175"/>
        </w:rPr>
        <w:t>.</w:t>
      </w:r>
      <w:r>
        <w:rPr>
          <w:rFonts w:hint="eastAsia" w:ascii="微软雅黑" w:hAnsi="微软雅黑" w:eastAsia="微软雅黑"/>
          <w:spacing w:val="2"/>
          <w:w w:val="81"/>
        </w:rPr>
        <w:t>2</w:t>
      </w:r>
      <w:r>
        <w:rPr>
          <w:rFonts w:hint="eastAsia" w:ascii="微软雅黑" w:hAnsi="微软雅黑" w:eastAsia="微软雅黑"/>
        </w:rPr>
        <w:t>、</w:t>
      </w:r>
      <w:r>
        <w:rPr>
          <w:rFonts w:hint="eastAsia" w:ascii="微软雅黑" w:hAnsi="微软雅黑" w:eastAsia="微软雅黑"/>
          <w:spacing w:val="2"/>
          <w:w w:val="81"/>
        </w:rPr>
        <w:t>7</w:t>
      </w:r>
      <w:r>
        <w:rPr>
          <w:rFonts w:hint="eastAsia" w:ascii="微软雅黑" w:hAnsi="微软雅黑" w:eastAsia="微软雅黑"/>
          <w:w w:val="175"/>
        </w:rPr>
        <w:t>.</w:t>
      </w:r>
      <w:r>
        <w:rPr>
          <w:rFonts w:hint="eastAsia" w:ascii="微软雅黑" w:hAnsi="微软雅黑" w:eastAsia="微软雅黑"/>
          <w:w w:val="81"/>
        </w:rPr>
        <w:t>3</w:t>
      </w:r>
      <w:r>
        <w:rPr>
          <w:rFonts w:hint="eastAsia" w:ascii="微软雅黑" w:hAnsi="微软雅黑" w:eastAsia="微软雅黑"/>
          <w:spacing w:val="2"/>
        </w:rPr>
        <w:t>加</w:t>
      </w:r>
      <w:r>
        <w:rPr>
          <w:rFonts w:hint="eastAsia" w:ascii="微软雅黑" w:hAnsi="微软雅黑" w:eastAsia="微软雅黑"/>
          <w:w w:val="118"/>
        </w:rPr>
        <w:t>※</w:t>
      </w:r>
      <w:r>
        <w:rPr>
          <w:rFonts w:hint="eastAsia" w:ascii="微软雅黑" w:hAnsi="微软雅黑" w:eastAsia="微软雅黑"/>
        </w:rPr>
        <w:t>项要求提供的证明材料缺失或无效的；</w:t>
      </w:r>
    </w:p>
    <w:p>
      <w:pPr>
        <w:pStyle w:val="3"/>
        <w:numPr>
          <w:ilvl w:val="0"/>
          <w:numId w:val="26"/>
        </w:numPr>
        <w:tabs>
          <w:tab w:val="left" w:pos="1462"/>
        </w:tabs>
        <w:spacing w:before="24" w:after="0" w:line="240" w:lineRule="auto"/>
        <w:ind w:left="1461" w:right="0" w:hanging="604"/>
        <w:jc w:val="left"/>
        <w:rPr>
          <w:rFonts w:hint="eastAsia" w:ascii="微软雅黑" w:eastAsia="微软雅黑"/>
        </w:rPr>
      </w:pPr>
      <w:r>
        <w:rPr>
          <w:rFonts w:hint="eastAsia" w:ascii="微软雅黑" w:eastAsia="微软雅黑"/>
        </w:rPr>
        <w:t>响应文件中未响应磋商项目需求中规定的实质性要求的；</w:t>
      </w:r>
    </w:p>
    <w:p>
      <w:pPr>
        <w:pStyle w:val="3"/>
        <w:numPr>
          <w:ilvl w:val="0"/>
          <w:numId w:val="26"/>
        </w:numPr>
        <w:tabs>
          <w:tab w:val="left" w:pos="1460"/>
        </w:tabs>
        <w:spacing w:before="25" w:after="0" w:line="240" w:lineRule="auto"/>
        <w:ind w:left="1459" w:right="0" w:hanging="602"/>
        <w:jc w:val="left"/>
        <w:rPr>
          <w:rFonts w:hint="eastAsia" w:ascii="微软雅黑" w:eastAsia="微软雅黑"/>
        </w:rPr>
      </w:pPr>
      <w:r>
        <w:rPr>
          <w:rFonts w:hint="eastAsia" w:ascii="微软雅黑" w:eastAsia="微软雅黑"/>
        </w:rPr>
        <w:t>最终报价超过磋商文件中规定的项目预算或者最高限价的；</w:t>
      </w:r>
    </w:p>
    <w:p>
      <w:pPr>
        <w:pStyle w:val="3"/>
        <w:numPr>
          <w:ilvl w:val="0"/>
          <w:numId w:val="26"/>
        </w:numPr>
        <w:tabs>
          <w:tab w:val="left" w:pos="1466"/>
        </w:tabs>
        <w:spacing w:before="23" w:after="0" w:line="254" w:lineRule="auto"/>
        <w:ind w:left="618" w:right="582" w:firstLine="240"/>
        <w:jc w:val="both"/>
        <w:rPr>
          <w:rFonts w:hint="eastAsia" w:ascii="微软雅黑" w:eastAsia="微软雅黑"/>
        </w:rPr>
      </w:pPr>
      <w:r>
        <w:rPr>
          <w:rFonts w:hint="eastAsia" w:ascii="微软雅黑" w:eastAsia="微软雅黑"/>
        </w:rPr>
        <w:t>报价低于完成本服务项目发生的所有含税费用、支付给员工的工资（不得低于供应商所在地最低工资标准</w:t>
      </w:r>
      <w:r>
        <w:rPr>
          <w:rFonts w:hint="eastAsia" w:ascii="微软雅黑" w:eastAsia="微软雅黑"/>
          <w:spacing w:val="-27"/>
        </w:rPr>
        <w:t>）</w:t>
      </w:r>
      <w:r>
        <w:rPr>
          <w:rFonts w:hint="eastAsia" w:ascii="微软雅黑" w:eastAsia="微软雅黑"/>
          <w:spacing w:val="-4"/>
        </w:rPr>
        <w:t>和国家强制缴纳的各种社会保障资金、公积金，以及供应商认为需要的其他费用等；</w:t>
      </w:r>
    </w:p>
    <w:p>
      <w:pPr>
        <w:pStyle w:val="3"/>
        <w:numPr>
          <w:ilvl w:val="0"/>
          <w:numId w:val="26"/>
        </w:numPr>
        <w:tabs>
          <w:tab w:val="left" w:pos="1460"/>
        </w:tabs>
        <w:spacing w:before="0" w:after="0" w:line="437" w:lineRule="exact"/>
        <w:ind w:left="1459" w:right="0" w:hanging="602"/>
        <w:jc w:val="left"/>
        <w:rPr>
          <w:rFonts w:hint="eastAsia" w:ascii="微软雅黑" w:eastAsia="微软雅黑"/>
        </w:rPr>
      </w:pPr>
      <w:r>
        <w:rPr>
          <w:rFonts w:hint="eastAsia" w:ascii="微软雅黑" w:eastAsia="微软雅黑"/>
        </w:rPr>
        <w:t>不符合法律、法规和磋商文件规定的其他实质性要求的。</w:t>
      </w:r>
    </w:p>
    <w:p>
      <w:pPr>
        <w:pStyle w:val="3"/>
        <w:numPr>
          <w:ilvl w:val="1"/>
          <w:numId w:val="25"/>
        </w:numPr>
        <w:tabs>
          <w:tab w:val="left" w:pos="1342"/>
        </w:tabs>
        <w:spacing w:before="103" w:after="0" w:line="240" w:lineRule="auto"/>
        <w:ind w:left="1341" w:right="0" w:hanging="484"/>
        <w:jc w:val="left"/>
        <w:rPr>
          <w:sz w:val="22"/>
        </w:rPr>
      </w:pPr>
      <w:bookmarkStart w:id="10" w:name="14.9出现下列情形之一的，磋商终止："/>
      <w:bookmarkEnd w:id="10"/>
      <w:bookmarkStart w:id="11" w:name="14.9出现下列情形之一的，磋商终止："/>
      <w:bookmarkEnd w:id="11"/>
      <w:r>
        <w:t>出现下列情形之一的，磋商终止：</w:t>
      </w:r>
    </w:p>
    <w:p>
      <w:pPr>
        <w:pStyle w:val="3"/>
        <w:numPr>
          <w:ilvl w:val="0"/>
          <w:numId w:val="27"/>
        </w:numPr>
        <w:tabs>
          <w:tab w:val="left" w:pos="1460"/>
        </w:tabs>
        <w:spacing w:before="81" w:after="0" w:line="240" w:lineRule="auto"/>
        <w:ind w:left="1459" w:right="0" w:hanging="602"/>
        <w:jc w:val="left"/>
        <w:rPr>
          <w:rFonts w:hint="eastAsia" w:ascii="微软雅黑" w:eastAsia="微软雅黑"/>
        </w:rPr>
      </w:pPr>
      <w:bookmarkStart w:id="12" w:name="（1）所有供应商的响应文件被磋商小组认定为无效的；"/>
      <w:bookmarkEnd w:id="12"/>
      <w:bookmarkStart w:id="13" w:name="（1）所有供应商的响应文件被磋商小组认定为无效的；"/>
      <w:bookmarkEnd w:id="13"/>
      <w:r>
        <w:rPr>
          <w:rFonts w:hint="eastAsia" w:ascii="微软雅黑" w:eastAsia="微软雅黑"/>
        </w:rPr>
        <w:t>所有供应商的响应文件被磋商小组认定为无效的；</w:t>
      </w:r>
    </w:p>
    <w:p>
      <w:pPr>
        <w:pStyle w:val="3"/>
        <w:numPr>
          <w:ilvl w:val="0"/>
          <w:numId w:val="27"/>
        </w:numPr>
        <w:tabs>
          <w:tab w:val="left" w:pos="1460"/>
        </w:tabs>
        <w:spacing w:before="23" w:after="0" w:line="240" w:lineRule="auto"/>
        <w:ind w:left="1459" w:right="0" w:hanging="602"/>
        <w:jc w:val="left"/>
        <w:rPr>
          <w:rFonts w:hint="eastAsia" w:ascii="微软雅黑" w:eastAsia="微软雅黑"/>
        </w:rPr>
      </w:pPr>
      <w:bookmarkStart w:id="14" w:name="（2）出现影响磋商公正的违法、违规行为的；"/>
      <w:bookmarkEnd w:id="14"/>
      <w:bookmarkStart w:id="15" w:name="（2）出现影响磋商公正的违法、违规行为的；"/>
      <w:bookmarkEnd w:id="15"/>
      <w:r>
        <w:rPr>
          <w:rFonts w:hint="eastAsia" w:ascii="微软雅黑" w:eastAsia="微软雅黑"/>
        </w:rPr>
        <w:t>出现影响磋商公正的违法、违规行为的；</w:t>
      </w:r>
    </w:p>
    <w:p>
      <w:pPr>
        <w:pStyle w:val="3"/>
        <w:numPr>
          <w:ilvl w:val="0"/>
          <w:numId w:val="27"/>
        </w:numPr>
        <w:tabs>
          <w:tab w:val="left" w:pos="1460"/>
        </w:tabs>
        <w:spacing w:before="26" w:after="0" w:line="240" w:lineRule="auto"/>
        <w:ind w:left="1459" w:right="0" w:hanging="602"/>
        <w:jc w:val="left"/>
        <w:rPr>
          <w:rFonts w:hint="eastAsia" w:ascii="微软雅黑" w:eastAsia="微软雅黑"/>
        </w:rPr>
      </w:pPr>
      <w:bookmarkStart w:id="16" w:name="（3）所有供应商的最终报价均超过磋商文件中规定的项目预算或者最高限价的；"/>
      <w:bookmarkEnd w:id="16"/>
      <w:bookmarkStart w:id="17" w:name="（3）所有供应商的最终报价均超过磋商文件中规定的项目预算或者最高限价的；"/>
      <w:bookmarkEnd w:id="17"/>
      <w:r>
        <w:rPr>
          <w:rFonts w:hint="eastAsia" w:ascii="微软雅黑" w:eastAsia="微软雅黑"/>
        </w:rPr>
        <w:t>所有供应商的最终报价均超过磋商文件中规定的项目预算或者最高限价的；</w:t>
      </w:r>
    </w:p>
    <w:p>
      <w:pPr>
        <w:pStyle w:val="3"/>
        <w:numPr>
          <w:ilvl w:val="0"/>
          <w:numId w:val="27"/>
        </w:numPr>
        <w:tabs>
          <w:tab w:val="left" w:pos="1460"/>
        </w:tabs>
        <w:spacing w:before="26" w:after="0" w:line="240" w:lineRule="auto"/>
        <w:ind w:left="1459" w:right="0" w:hanging="602"/>
        <w:jc w:val="left"/>
        <w:rPr>
          <w:rFonts w:hint="eastAsia" w:ascii="微软雅黑" w:eastAsia="微软雅黑"/>
        </w:rPr>
      </w:pPr>
      <w:r>
        <w:rPr>
          <w:rFonts w:hint="eastAsia" w:ascii="微软雅黑" w:eastAsia="微软雅黑"/>
        </w:rPr>
        <w:t>因重大变故，磋商任务取消的。</w:t>
      </w:r>
    </w:p>
    <w:p>
      <w:pPr>
        <w:pStyle w:val="3"/>
        <w:spacing w:before="100"/>
      </w:pPr>
      <w:r>
        <w:t>15、评定成交方法和标准</w:t>
      </w:r>
    </w:p>
    <w:p>
      <w:pPr>
        <w:pStyle w:val="12"/>
        <w:numPr>
          <w:ilvl w:val="1"/>
          <w:numId w:val="28"/>
        </w:numPr>
        <w:tabs>
          <w:tab w:val="left" w:pos="1340"/>
        </w:tabs>
        <w:spacing w:before="160" w:after="0" w:line="364" w:lineRule="auto"/>
        <w:ind w:left="618" w:right="617" w:firstLine="240"/>
        <w:jc w:val="both"/>
        <w:rPr>
          <w:sz w:val="24"/>
        </w:rPr>
      </w:pPr>
      <w:r>
        <w:rPr>
          <w:spacing w:val="-6"/>
          <w:sz w:val="24"/>
        </w:rPr>
        <w:t>采用综合评分法。即在最大限度地满足竞争性磋商文件实质性要求前提下，按照</w:t>
      </w:r>
      <w:r>
        <w:rPr>
          <w:spacing w:val="-4"/>
          <w:sz w:val="24"/>
        </w:rPr>
        <w:t>磋商文件中规定的各项因素进行综合评审后，以评审总得分最高的供应商作为成交候选</w:t>
      </w:r>
      <w:r>
        <w:rPr>
          <w:sz w:val="24"/>
        </w:rPr>
        <w:t>人或者成交供应商的评审方法。</w:t>
      </w:r>
    </w:p>
    <w:p>
      <w:pPr>
        <w:pStyle w:val="12"/>
        <w:numPr>
          <w:ilvl w:val="1"/>
          <w:numId w:val="28"/>
        </w:numPr>
        <w:tabs>
          <w:tab w:val="left" w:pos="1340"/>
        </w:tabs>
        <w:spacing w:before="0" w:after="0" w:line="364" w:lineRule="auto"/>
        <w:ind w:left="618" w:right="613" w:firstLine="240"/>
        <w:jc w:val="left"/>
        <w:rPr>
          <w:sz w:val="24"/>
        </w:rPr>
      </w:pPr>
      <w:r>
        <w:rPr>
          <w:spacing w:val="-7"/>
          <w:sz w:val="24"/>
        </w:rPr>
        <w:t>综合评审的主要因素是：价格、服务、业绩、信誉、履约能力、对竞争性磋商文</w:t>
      </w:r>
      <w:r>
        <w:rPr>
          <w:sz w:val="24"/>
        </w:rPr>
        <w:t>件响应程度等。</w:t>
      </w:r>
    </w:p>
    <w:p>
      <w:pPr>
        <w:pStyle w:val="3"/>
        <w:spacing w:line="306" w:lineRule="exact"/>
      </w:pPr>
      <w:r>
        <w:t>16、确定成交候选人</w:t>
      </w:r>
    </w:p>
    <w:p>
      <w:pPr>
        <w:pStyle w:val="12"/>
        <w:numPr>
          <w:ilvl w:val="1"/>
          <w:numId w:val="29"/>
        </w:numPr>
        <w:tabs>
          <w:tab w:val="left" w:pos="1399"/>
        </w:tabs>
        <w:spacing w:before="158" w:after="0" w:line="362" w:lineRule="auto"/>
        <w:ind w:left="618" w:right="606" w:firstLine="240"/>
        <w:jc w:val="left"/>
        <w:rPr>
          <w:b/>
          <w:sz w:val="24"/>
        </w:rPr>
      </w:pPr>
      <w:r>
        <w:rPr>
          <w:spacing w:val="-5"/>
          <w:sz w:val="24"/>
        </w:rPr>
        <w:t>在综合比较与评价后按照得分高低顺序对供应商进行排列。得分相同的，按报价</w:t>
      </w:r>
      <w:r>
        <w:rPr>
          <w:spacing w:val="-9"/>
          <w:sz w:val="24"/>
        </w:rPr>
        <w:t>由低到高顺序排列。得分且报价相同的，按技术指标优劣顺序排列。</w:t>
      </w:r>
      <w:r>
        <w:rPr>
          <w:b/>
          <w:spacing w:val="-2"/>
          <w:sz w:val="24"/>
        </w:rPr>
        <w:t>磋商小组将综合排</w:t>
      </w:r>
    </w:p>
    <w:p>
      <w:pPr>
        <w:spacing w:after="0" w:line="362"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ind w:left="618"/>
      </w:pPr>
      <w:r>
        <w:t>名第一的供应商确定为成交候选人。</w:t>
      </w:r>
    </w:p>
    <w:p>
      <w:pPr>
        <w:pStyle w:val="12"/>
        <w:numPr>
          <w:ilvl w:val="1"/>
          <w:numId w:val="29"/>
        </w:numPr>
        <w:tabs>
          <w:tab w:val="left" w:pos="1340"/>
        </w:tabs>
        <w:spacing w:before="158" w:after="0" w:line="240" w:lineRule="auto"/>
        <w:ind w:left="1339" w:right="0" w:hanging="482"/>
        <w:jc w:val="left"/>
        <w:rPr>
          <w:sz w:val="24"/>
        </w:rPr>
      </w:pPr>
      <w:r>
        <w:rPr>
          <w:sz w:val="24"/>
        </w:rPr>
        <w:t>磋商小组根据磋商过程和结果编写评审报告。</w:t>
      </w:r>
    </w:p>
    <w:p>
      <w:pPr>
        <w:pStyle w:val="3"/>
        <w:spacing w:before="160"/>
      </w:pPr>
      <w:r>
        <w:t>17、确定成交供应商</w:t>
      </w:r>
    </w:p>
    <w:p>
      <w:pPr>
        <w:pStyle w:val="12"/>
        <w:numPr>
          <w:ilvl w:val="1"/>
          <w:numId w:val="30"/>
        </w:numPr>
        <w:tabs>
          <w:tab w:val="left" w:pos="1399"/>
        </w:tabs>
        <w:spacing w:before="161" w:after="0" w:line="362" w:lineRule="auto"/>
        <w:ind w:left="618" w:right="617" w:firstLine="240"/>
        <w:jc w:val="left"/>
        <w:rPr>
          <w:sz w:val="24"/>
        </w:rPr>
      </w:pPr>
      <w:r>
        <w:rPr>
          <w:spacing w:val="-12"/>
          <w:sz w:val="24"/>
        </w:rPr>
        <w:t>评审结果确定后，采购人在评审现场可根据成交候选人名单委托授权磋商小组直</w:t>
      </w:r>
      <w:r>
        <w:rPr>
          <w:sz w:val="24"/>
        </w:rPr>
        <w:t>接确定成交供应商。</w:t>
      </w:r>
    </w:p>
    <w:p>
      <w:pPr>
        <w:pStyle w:val="12"/>
        <w:numPr>
          <w:ilvl w:val="1"/>
          <w:numId w:val="30"/>
        </w:numPr>
        <w:tabs>
          <w:tab w:val="left" w:pos="1401"/>
        </w:tabs>
        <w:spacing w:before="5" w:after="0" w:line="362" w:lineRule="auto"/>
        <w:ind w:left="618" w:right="617" w:firstLine="240"/>
        <w:jc w:val="left"/>
        <w:rPr>
          <w:sz w:val="24"/>
        </w:rPr>
      </w:pPr>
      <w:r>
        <w:rPr>
          <w:spacing w:val="-2"/>
          <w:sz w:val="24"/>
        </w:rPr>
        <w:t xml:space="preserve">采购人如未授权委托直接确定成交供应商的采购代理机构将在评审结束后 </w:t>
      </w:r>
      <w:r>
        <w:rPr>
          <w:sz w:val="24"/>
        </w:rPr>
        <w:t>2</w:t>
      </w:r>
      <w:r>
        <w:rPr>
          <w:spacing w:val="-23"/>
          <w:sz w:val="24"/>
        </w:rPr>
        <w:t xml:space="preserve"> 个工作日内将评审报告送采购人确认。</w:t>
      </w:r>
    </w:p>
    <w:p>
      <w:pPr>
        <w:pStyle w:val="12"/>
        <w:numPr>
          <w:ilvl w:val="1"/>
          <w:numId w:val="30"/>
        </w:numPr>
        <w:tabs>
          <w:tab w:val="left" w:pos="1399"/>
        </w:tabs>
        <w:spacing w:before="5" w:after="0" w:line="362" w:lineRule="auto"/>
        <w:ind w:left="618" w:right="617" w:firstLine="240"/>
        <w:jc w:val="left"/>
        <w:rPr>
          <w:sz w:val="24"/>
        </w:rPr>
      </w:pPr>
      <w:r>
        <w:rPr>
          <w:spacing w:val="-5"/>
          <w:sz w:val="24"/>
        </w:rPr>
        <w:t xml:space="preserve">采购人在收到评审报告后 </w:t>
      </w:r>
      <w:r>
        <w:rPr>
          <w:sz w:val="24"/>
        </w:rPr>
        <w:t>5</w:t>
      </w:r>
      <w:r>
        <w:rPr>
          <w:spacing w:val="-15"/>
          <w:sz w:val="24"/>
        </w:rPr>
        <w:t xml:space="preserve"> 个工作日内，从评审报告提出的成交候选人中，按照</w:t>
      </w:r>
      <w:r>
        <w:rPr>
          <w:sz w:val="24"/>
        </w:rPr>
        <w:t>排序由高到低的原则确定成交供应商。</w:t>
      </w:r>
    </w:p>
    <w:p>
      <w:pPr>
        <w:pStyle w:val="12"/>
        <w:numPr>
          <w:ilvl w:val="1"/>
          <w:numId w:val="30"/>
        </w:numPr>
        <w:tabs>
          <w:tab w:val="left" w:pos="1399"/>
        </w:tabs>
        <w:spacing w:before="4" w:after="0" w:line="362" w:lineRule="auto"/>
        <w:ind w:left="618" w:right="617" w:firstLine="240"/>
        <w:jc w:val="left"/>
        <w:rPr>
          <w:sz w:val="24"/>
        </w:rPr>
      </w:pPr>
      <w:r>
        <w:rPr>
          <w:spacing w:val="-11"/>
          <w:sz w:val="24"/>
        </w:rPr>
        <w:t>成交供应商确定后，将在原信息发布媒体上公告，成交供应商应及时到采购代理</w:t>
      </w:r>
      <w:r>
        <w:rPr>
          <w:sz w:val="24"/>
        </w:rPr>
        <w:t>机构（</w:t>
      </w:r>
      <w:r>
        <w:rPr>
          <w:rFonts w:hint="eastAsia"/>
          <w:spacing w:val="-6"/>
          <w:sz w:val="24"/>
          <w:lang w:eastAsia="zh-CN"/>
        </w:rPr>
        <w:t>南京市鼓楼区中山北路346号老学堂创意园58号楼9楼</w:t>
      </w:r>
      <w:r>
        <w:rPr>
          <w:sz w:val="24"/>
        </w:rPr>
        <w:t>）领取成交通知书。</w:t>
      </w:r>
    </w:p>
    <w:p>
      <w:pPr>
        <w:pStyle w:val="12"/>
        <w:numPr>
          <w:ilvl w:val="1"/>
          <w:numId w:val="30"/>
        </w:numPr>
        <w:tabs>
          <w:tab w:val="left" w:pos="1399"/>
        </w:tabs>
        <w:spacing w:before="5" w:after="0" w:line="240" w:lineRule="auto"/>
        <w:ind w:left="1398" w:right="0" w:hanging="541"/>
        <w:jc w:val="left"/>
        <w:rPr>
          <w:sz w:val="24"/>
        </w:rPr>
      </w:pPr>
      <w:r>
        <w:rPr>
          <w:sz w:val="24"/>
        </w:rPr>
        <w:t>成交通知书对采购人和成交供应商具有同等法律效力。</w:t>
      </w:r>
    </w:p>
    <w:p>
      <w:pPr>
        <w:pStyle w:val="12"/>
        <w:numPr>
          <w:ilvl w:val="1"/>
          <w:numId w:val="30"/>
        </w:numPr>
        <w:tabs>
          <w:tab w:val="left" w:pos="1399"/>
        </w:tabs>
        <w:spacing w:before="159" w:after="0" w:line="240" w:lineRule="auto"/>
        <w:ind w:left="1398" w:right="0" w:hanging="541"/>
        <w:jc w:val="left"/>
        <w:rPr>
          <w:sz w:val="24"/>
        </w:rPr>
      </w:pPr>
      <w:r>
        <w:rPr>
          <w:sz w:val="24"/>
        </w:rPr>
        <w:t>采购代理机构对未成交的供应商不作未成交原因的解释。</w:t>
      </w:r>
    </w:p>
    <w:p>
      <w:pPr>
        <w:pStyle w:val="12"/>
        <w:numPr>
          <w:ilvl w:val="1"/>
          <w:numId w:val="30"/>
        </w:numPr>
        <w:tabs>
          <w:tab w:val="left" w:pos="1340"/>
        </w:tabs>
        <w:spacing w:before="160" w:after="0" w:line="240" w:lineRule="auto"/>
        <w:ind w:left="1339" w:right="0" w:hanging="482"/>
        <w:jc w:val="left"/>
        <w:rPr>
          <w:sz w:val="24"/>
        </w:rPr>
      </w:pPr>
      <w:r>
        <w:rPr>
          <w:sz w:val="24"/>
        </w:rPr>
        <w:t>所有响应文件都将作为档案保存，不论成交与否，采购代理机构均不退回。</w:t>
      </w:r>
    </w:p>
    <w:p>
      <w:pPr>
        <w:pStyle w:val="3"/>
        <w:spacing w:before="161"/>
      </w:pPr>
      <w:r>
        <w:t>18、签订合同</w:t>
      </w:r>
    </w:p>
    <w:p>
      <w:pPr>
        <w:pStyle w:val="12"/>
        <w:numPr>
          <w:ilvl w:val="1"/>
          <w:numId w:val="31"/>
        </w:numPr>
        <w:tabs>
          <w:tab w:val="left" w:pos="1344"/>
        </w:tabs>
        <w:spacing w:before="158" w:after="0" w:line="364" w:lineRule="auto"/>
        <w:ind w:left="618" w:right="616" w:firstLine="240"/>
        <w:jc w:val="left"/>
        <w:rPr>
          <w:sz w:val="22"/>
        </w:rPr>
      </w:pPr>
      <w:r>
        <w:rPr>
          <w:spacing w:val="3"/>
          <w:sz w:val="24"/>
        </w:rPr>
        <w:t>成交供应商应当自成交通知书发出之日起三十日内，与采购人签订磋商项目合同，所签订的合同不得对磋商文件和响应文件作实质性修改。</w:t>
      </w:r>
    </w:p>
    <w:p>
      <w:pPr>
        <w:pStyle w:val="12"/>
        <w:numPr>
          <w:ilvl w:val="1"/>
          <w:numId w:val="31"/>
        </w:numPr>
        <w:tabs>
          <w:tab w:val="left" w:pos="1340"/>
        </w:tabs>
        <w:spacing w:before="0" w:after="0" w:line="362" w:lineRule="auto"/>
        <w:ind w:left="618" w:right="617" w:firstLine="240"/>
        <w:jc w:val="left"/>
        <w:rPr>
          <w:sz w:val="22"/>
        </w:rPr>
      </w:pPr>
      <w:r>
        <w:rPr>
          <w:spacing w:val="-3"/>
          <w:sz w:val="24"/>
        </w:rPr>
        <w:t>采购人不得向成交供应商提出任何不合理的要求作为签订合同的条件，不得与成</w:t>
      </w:r>
      <w:r>
        <w:rPr>
          <w:sz w:val="24"/>
        </w:rPr>
        <w:t>交供应商私下订立背离合同实质性内容的协议。</w:t>
      </w:r>
    </w:p>
    <w:p>
      <w:pPr>
        <w:pStyle w:val="12"/>
        <w:numPr>
          <w:ilvl w:val="1"/>
          <w:numId w:val="31"/>
        </w:numPr>
        <w:tabs>
          <w:tab w:val="left" w:pos="1399"/>
        </w:tabs>
        <w:spacing w:before="3" w:after="0" w:line="364" w:lineRule="auto"/>
        <w:ind w:left="618" w:right="617" w:firstLine="240"/>
        <w:jc w:val="both"/>
        <w:rPr>
          <w:sz w:val="24"/>
        </w:rPr>
      </w:pPr>
      <w:r>
        <w:rPr>
          <w:spacing w:val="-9"/>
          <w:sz w:val="24"/>
        </w:rPr>
        <w:t>除不可抗力等因素外，成交通知书发出后，采购人改变成交结果，或者成交供应</w:t>
      </w:r>
      <w:r>
        <w:rPr>
          <w:sz w:val="24"/>
        </w:rPr>
        <w:t>商拒绝签订磋商项目合同的，应当承担相应的法律责任。</w:t>
      </w:r>
    </w:p>
    <w:p>
      <w:pPr>
        <w:pStyle w:val="3"/>
        <w:numPr>
          <w:ilvl w:val="1"/>
          <w:numId w:val="31"/>
        </w:numPr>
        <w:tabs>
          <w:tab w:val="left" w:pos="1406"/>
        </w:tabs>
        <w:spacing w:before="0" w:after="0" w:line="364" w:lineRule="auto"/>
        <w:ind w:left="618" w:right="582" w:firstLine="240"/>
        <w:jc w:val="both"/>
      </w:pPr>
      <w:r>
        <w:rPr>
          <w:spacing w:val="2"/>
          <w:w w:val="95"/>
        </w:rPr>
        <w:t xml:space="preserve">成交供应商除发生法律规定的不能预见、不能避免并不能克服的客观情况外不  </w:t>
      </w:r>
      <w:r>
        <w:rPr>
          <w:spacing w:val="-4"/>
        </w:rPr>
        <w:t>得放弃或拒绝签订合同的。放弃或拒绝签订合同的，在一至三年内禁止参加</w:t>
      </w:r>
      <w:r>
        <w:rPr>
          <w:rFonts w:hint="eastAsia"/>
          <w:spacing w:val="-4"/>
          <w:lang w:eastAsia="zh-CN"/>
        </w:rPr>
        <w:t>南京市鼓楼区文化和旅游局</w:t>
      </w:r>
      <w:r>
        <w:rPr>
          <w:spacing w:val="-4"/>
        </w:rPr>
        <w:t>组织的采购活动。</w:t>
      </w:r>
    </w:p>
    <w:p>
      <w:pPr>
        <w:pStyle w:val="12"/>
        <w:numPr>
          <w:ilvl w:val="1"/>
          <w:numId w:val="31"/>
        </w:numPr>
        <w:tabs>
          <w:tab w:val="left" w:pos="1399"/>
        </w:tabs>
        <w:spacing w:before="0" w:after="0" w:line="364" w:lineRule="auto"/>
        <w:ind w:left="618" w:right="617" w:firstLine="240"/>
        <w:jc w:val="both"/>
        <w:rPr>
          <w:sz w:val="24"/>
        </w:rPr>
      </w:pPr>
      <w:r>
        <w:rPr>
          <w:spacing w:val="-8"/>
          <w:sz w:val="24"/>
        </w:rPr>
        <w:t>成交供应商拒绝签订磋商项目合同的，或因不可抗力或者自身原因不能履行磋商项目合同的，采购人可以视情与排位在成交供应商之后第一位的成交候选人签订磋商项</w:t>
      </w:r>
      <w:r>
        <w:rPr>
          <w:sz w:val="24"/>
        </w:rPr>
        <w:t>目合同，也可以重新开展磋商活动。</w:t>
      </w:r>
    </w:p>
    <w:p>
      <w:pPr>
        <w:pStyle w:val="12"/>
        <w:numPr>
          <w:ilvl w:val="1"/>
          <w:numId w:val="31"/>
        </w:numPr>
        <w:tabs>
          <w:tab w:val="left" w:pos="1340"/>
        </w:tabs>
        <w:spacing w:before="0" w:after="0" w:line="364" w:lineRule="auto"/>
        <w:ind w:left="618" w:right="617" w:firstLine="240"/>
        <w:jc w:val="both"/>
        <w:rPr>
          <w:sz w:val="22"/>
        </w:rPr>
      </w:pPr>
      <w:r>
        <w:rPr>
          <w:spacing w:val="-5"/>
          <w:sz w:val="24"/>
        </w:rPr>
        <w:t>磋商项目合同履行中，采购人需追加与合同标的相同的服务的，在不改变合同其</w:t>
      </w:r>
      <w:r>
        <w:rPr>
          <w:spacing w:val="-6"/>
          <w:sz w:val="24"/>
        </w:rPr>
        <w:t>他条款的前提下，可以与成交供应商协商签订补充合同，但所有补充合同的项目金额不</w:t>
      </w:r>
      <w:r>
        <w:rPr>
          <w:sz w:val="24"/>
        </w:rPr>
        <w:t>得超过原合同金额的百分之十。</w:t>
      </w:r>
    </w:p>
    <w:p>
      <w:pPr>
        <w:spacing w:after="0" w:line="364" w:lineRule="auto"/>
        <w:jc w:val="both"/>
        <w:rPr>
          <w:sz w:val="22"/>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line="362" w:lineRule="auto"/>
        <w:ind w:right="6073" w:hanging="240"/>
      </w:pPr>
      <w:bookmarkStart w:id="18" w:name="六、询问、质疑、投诉和诚实信用"/>
      <w:bookmarkEnd w:id="18"/>
      <w:r>
        <w:t>六、询问、质疑、投诉和诚实信用19、询问</w:t>
      </w:r>
    </w:p>
    <w:p>
      <w:pPr>
        <w:pStyle w:val="4"/>
        <w:spacing w:before="4"/>
        <w:ind w:left="858"/>
      </w:pPr>
      <w:r>
        <w:t>19.1供应商对磋商活动事项有疑问的，可以依法向采购代理机构或采购人提出询问</w:t>
      </w:r>
    </w:p>
    <w:p>
      <w:pPr>
        <w:pStyle w:val="4"/>
        <w:spacing w:before="161" w:line="362" w:lineRule="auto"/>
        <w:ind w:right="558"/>
      </w:pPr>
      <w:r>
        <w:t>（口头或书面），采购人或者采购代理机构在三个工作日内对供应商依法提出的询问作出答复，但答复的内容不涉及商业秘密。</w:t>
      </w:r>
    </w:p>
    <w:p>
      <w:pPr>
        <w:pStyle w:val="4"/>
        <w:tabs>
          <w:tab w:val="left" w:pos="4218"/>
          <w:tab w:val="left" w:pos="6378"/>
        </w:tabs>
        <w:spacing w:before="5" w:line="362" w:lineRule="auto"/>
        <w:ind w:left="1338" w:right="2245" w:hanging="480"/>
        <w:rPr>
          <w:rFonts w:hint="eastAsia"/>
          <w:lang w:val="en-US" w:eastAsia="zh-CN"/>
        </w:rPr>
      </w:pPr>
      <w:r>
        <w:t>19.2采购代理机构询问电话：</w:t>
      </w:r>
      <w:r>
        <w:rPr>
          <w:rFonts w:hint="eastAsia"/>
          <w:lang w:eastAsia="zh-CN"/>
        </w:rPr>
        <w:t>洪工</w:t>
      </w:r>
      <w:r>
        <w:rPr>
          <w:rFonts w:hint="eastAsia"/>
          <w:lang w:val="en-US" w:eastAsia="zh-CN"/>
        </w:rPr>
        <w:t xml:space="preserve">  </w:t>
      </w:r>
      <w:r>
        <w:rPr>
          <w:rFonts w:hint="eastAsia"/>
          <w:lang w:eastAsia="zh-CN"/>
        </w:rPr>
        <w:t>李</w:t>
      </w:r>
      <w:r>
        <w:t>工，025-</w:t>
      </w:r>
      <w:r>
        <w:rPr>
          <w:rFonts w:hint="eastAsia"/>
          <w:lang w:val="en-US" w:eastAsia="zh-CN"/>
        </w:rPr>
        <w:t>83266652</w:t>
      </w:r>
    </w:p>
    <w:p>
      <w:pPr>
        <w:pStyle w:val="4"/>
        <w:tabs>
          <w:tab w:val="left" w:pos="4218"/>
          <w:tab w:val="left" w:pos="6378"/>
        </w:tabs>
        <w:spacing w:before="5" w:line="362" w:lineRule="auto"/>
        <w:ind w:left="1338" w:right="2245" w:hanging="480"/>
      </w:pPr>
      <w:r>
        <w:rPr>
          <w:spacing w:val="-2"/>
        </w:rPr>
        <w:t xml:space="preserve"> </w:t>
      </w:r>
      <w:r>
        <w:t>采购人询问电话：</w:t>
      </w:r>
      <w:r>
        <w:rPr>
          <w:rFonts w:hint="eastAsia"/>
          <w:lang w:eastAsia="zh-CN"/>
        </w:rPr>
        <w:t>陈主任</w:t>
      </w:r>
      <w:r>
        <w:tab/>
      </w:r>
      <w:r>
        <w:rPr>
          <w:rFonts w:hint="eastAsia"/>
          <w:lang w:val="en-US" w:eastAsia="zh-CN"/>
        </w:rPr>
        <w:t>13770752607</w:t>
      </w:r>
      <w:r>
        <w:t>。</w:t>
      </w:r>
    </w:p>
    <w:p>
      <w:pPr>
        <w:pStyle w:val="3"/>
        <w:spacing w:before="5"/>
      </w:pPr>
      <w:r>
        <w:t>20、质疑</w:t>
      </w:r>
    </w:p>
    <w:p>
      <w:pPr>
        <w:pStyle w:val="12"/>
        <w:numPr>
          <w:ilvl w:val="1"/>
          <w:numId w:val="32"/>
        </w:numPr>
        <w:tabs>
          <w:tab w:val="left" w:pos="1399"/>
        </w:tabs>
        <w:spacing w:before="158" w:after="0" w:line="364" w:lineRule="auto"/>
        <w:ind w:left="618" w:right="617" w:firstLine="240"/>
        <w:jc w:val="both"/>
        <w:rPr>
          <w:sz w:val="24"/>
        </w:rPr>
      </w:pPr>
      <w:r>
        <w:rPr>
          <w:spacing w:val="-9"/>
          <w:sz w:val="24"/>
        </w:rPr>
        <w:t>供应商认为磋商文件、磋商过程和成交结果使自己的合法权益受到损害的，可以</w:t>
      </w:r>
      <w:r>
        <w:rPr>
          <w:spacing w:val="-3"/>
          <w:sz w:val="24"/>
        </w:rPr>
        <w:t>在知道或者应当知道其权益受到损害之日起三个工作日内，将书面质疑文件原件送达采</w:t>
      </w:r>
      <w:r>
        <w:rPr>
          <w:sz w:val="24"/>
        </w:rPr>
        <w:t>购代理机构。</w:t>
      </w:r>
    </w:p>
    <w:p>
      <w:pPr>
        <w:pStyle w:val="12"/>
        <w:numPr>
          <w:ilvl w:val="1"/>
          <w:numId w:val="32"/>
        </w:numPr>
        <w:tabs>
          <w:tab w:val="left" w:pos="1399"/>
        </w:tabs>
        <w:spacing w:before="0" w:after="0" w:line="362" w:lineRule="auto"/>
        <w:ind w:left="618" w:right="617" w:firstLine="240"/>
        <w:jc w:val="both"/>
        <w:rPr>
          <w:sz w:val="24"/>
        </w:rPr>
      </w:pPr>
      <w:r>
        <w:rPr>
          <w:spacing w:val="-8"/>
          <w:sz w:val="24"/>
        </w:rPr>
        <w:t>质疑文件应包括以下主要内容，并按照“谁主张、谁举证”的原则，附上相关证</w:t>
      </w:r>
      <w:r>
        <w:rPr>
          <w:sz w:val="24"/>
        </w:rPr>
        <w:t>明材料。否则，采购代理机构不予受理：</w:t>
      </w:r>
    </w:p>
    <w:p>
      <w:pPr>
        <w:pStyle w:val="12"/>
        <w:numPr>
          <w:ilvl w:val="0"/>
          <w:numId w:val="33"/>
        </w:numPr>
        <w:tabs>
          <w:tab w:val="left" w:pos="1460"/>
        </w:tabs>
        <w:spacing w:before="4" w:after="0" w:line="240" w:lineRule="auto"/>
        <w:ind w:left="1459" w:right="0" w:hanging="602"/>
        <w:jc w:val="left"/>
        <w:rPr>
          <w:sz w:val="24"/>
        </w:rPr>
      </w:pPr>
      <w:r>
        <w:rPr>
          <w:sz w:val="24"/>
        </w:rPr>
        <w:t>质疑项目名称、采购编号、采购公告发布时间、磋商时间；</w:t>
      </w:r>
    </w:p>
    <w:p>
      <w:pPr>
        <w:pStyle w:val="12"/>
        <w:numPr>
          <w:ilvl w:val="0"/>
          <w:numId w:val="33"/>
        </w:numPr>
        <w:tabs>
          <w:tab w:val="left" w:pos="1460"/>
        </w:tabs>
        <w:spacing w:before="161" w:after="0" w:line="240" w:lineRule="auto"/>
        <w:ind w:left="1459" w:right="0" w:hanging="602"/>
        <w:jc w:val="left"/>
        <w:rPr>
          <w:sz w:val="24"/>
        </w:rPr>
      </w:pPr>
      <w:r>
        <w:rPr>
          <w:sz w:val="24"/>
        </w:rPr>
        <w:t>提起质疑的日期、具体的质疑事项及事实根据（具体条款）；</w:t>
      </w:r>
    </w:p>
    <w:p>
      <w:pPr>
        <w:pStyle w:val="12"/>
        <w:numPr>
          <w:ilvl w:val="0"/>
          <w:numId w:val="33"/>
        </w:numPr>
        <w:tabs>
          <w:tab w:val="left" w:pos="1460"/>
        </w:tabs>
        <w:spacing w:before="158" w:after="0" w:line="240" w:lineRule="auto"/>
        <w:ind w:left="1459" w:right="0" w:hanging="602"/>
        <w:jc w:val="left"/>
        <w:rPr>
          <w:sz w:val="24"/>
        </w:rPr>
      </w:pPr>
      <w:r>
        <w:rPr>
          <w:sz w:val="24"/>
        </w:rPr>
        <w:t>认为自己合法权益受到损害或可能受到损害的相关证据材料；</w:t>
      </w:r>
    </w:p>
    <w:p>
      <w:pPr>
        <w:pStyle w:val="12"/>
        <w:numPr>
          <w:ilvl w:val="0"/>
          <w:numId w:val="33"/>
        </w:numPr>
        <w:tabs>
          <w:tab w:val="left" w:pos="1464"/>
        </w:tabs>
        <w:spacing w:before="160" w:after="0" w:line="362" w:lineRule="auto"/>
        <w:ind w:left="618" w:right="616" w:firstLine="240"/>
        <w:jc w:val="left"/>
        <w:rPr>
          <w:sz w:val="24"/>
        </w:rPr>
      </w:pPr>
      <w:r>
        <w:rPr>
          <w:sz w:val="24"/>
        </w:rPr>
        <w:t>质疑供应商名称、地址、邮编、联系人、联系电话（包括座机、手机、传真号码等）；</w:t>
      </w:r>
    </w:p>
    <w:p>
      <w:pPr>
        <w:pStyle w:val="12"/>
        <w:numPr>
          <w:ilvl w:val="0"/>
          <w:numId w:val="33"/>
        </w:numPr>
        <w:tabs>
          <w:tab w:val="left" w:pos="1464"/>
        </w:tabs>
        <w:spacing w:before="3" w:after="0" w:line="364" w:lineRule="auto"/>
        <w:ind w:left="618" w:right="616" w:firstLine="240"/>
        <w:jc w:val="left"/>
        <w:rPr>
          <w:sz w:val="24"/>
        </w:rPr>
      </w:pPr>
      <w:r>
        <w:rPr>
          <w:sz w:val="24"/>
        </w:rPr>
        <w:t>质疑文件应当署名，质疑人为自然人的，应当由本人签字并附有效身份证明； 质疑人为法人或其他组织的，应当由法定代表人签字并加盖单位公章；</w:t>
      </w:r>
    </w:p>
    <w:p>
      <w:pPr>
        <w:pStyle w:val="12"/>
        <w:numPr>
          <w:ilvl w:val="0"/>
          <w:numId w:val="33"/>
        </w:numPr>
        <w:tabs>
          <w:tab w:val="left" w:pos="1464"/>
        </w:tabs>
        <w:spacing w:before="1" w:after="0" w:line="362" w:lineRule="auto"/>
        <w:ind w:left="618" w:right="616" w:firstLine="240"/>
        <w:jc w:val="left"/>
        <w:rPr>
          <w:sz w:val="24"/>
        </w:rPr>
      </w:pPr>
      <w:r>
        <w:rPr>
          <w:sz w:val="24"/>
        </w:rPr>
        <w:t>供应商委托代理质疑的，应当向被质疑人提交授权委托书，并载明委托代理的具体权限和事项。</w:t>
      </w:r>
    </w:p>
    <w:p>
      <w:pPr>
        <w:pStyle w:val="12"/>
        <w:numPr>
          <w:ilvl w:val="1"/>
          <w:numId w:val="32"/>
        </w:numPr>
        <w:tabs>
          <w:tab w:val="left" w:pos="1399"/>
        </w:tabs>
        <w:spacing w:before="5" w:after="0" w:line="364" w:lineRule="auto"/>
        <w:ind w:left="618" w:right="617" w:firstLine="240"/>
        <w:jc w:val="both"/>
        <w:rPr>
          <w:sz w:val="24"/>
        </w:rPr>
      </w:pPr>
      <w:r>
        <w:rPr>
          <w:spacing w:val="-6"/>
          <w:sz w:val="24"/>
        </w:rPr>
        <w:t>质疑供应商是指直接参加本项目磋商活动的供应商；对磋商文件提出质疑的，应</w:t>
      </w:r>
      <w:r>
        <w:rPr>
          <w:spacing w:val="-4"/>
          <w:sz w:val="24"/>
        </w:rPr>
        <w:t>自供应商获得磋商文件之日起计算，且应当在提交响应文件截止之日前提出；对磋商过</w:t>
      </w:r>
      <w:r>
        <w:rPr>
          <w:spacing w:val="-6"/>
          <w:sz w:val="24"/>
        </w:rPr>
        <w:t>程提出质疑的，自磋商程序环节结束之日起计算；对成交结果提出质疑的，自成交结果</w:t>
      </w:r>
      <w:r>
        <w:rPr>
          <w:sz w:val="24"/>
        </w:rPr>
        <w:t>公告期限届满之日起计算。</w:t>
      </w:r>
    </w:p>
    <w:p>
      <w:pPr>
        <w:pStyle w:val="12"/>
        <w:numPr>
          <w:ilvl w:val="1"/>
          <w:numId w:val="32"/>
        </w:numPr>
        <w:tabs>
          <w:tab w:val="left" w:pos="1399"/>
        </w:tabs>
        <w:spacing w:before="0" w:after="0" w:line="362" w:lineRule="auto"/>
        <w:ind w:left="618" w:right="617" w:firstLine="240"/>
        <w:jc w:val="both"/>
        <w:rPr>
          <w:sz w:val="24"/>
        </w:rPr>
      </w:pPr>
      <w:r>
        <w:rPr>
          <w:spacing w:val="-5"/>
          <w:sz w:val="24"/>
        </w:rPr>
        <w:t>供应商提出的询问或者质疑超出采购人对采购代理机构委托授权范围的，供应商</w:t>
      </w:r>
      <w:r>
        <w:rPr>
          <w:sz w:val="24"/>
        </w:rPr>
        <w:t>应向采购人提出。</w:t>
      </w:r>
    </w:p>
    <w:p>
      <w:pPr>
        <w:pStyle w:val="12"/>
        <w:numPr>
          <w:ilvl w:val="1"/>
          <w:numId w:val="32"/>
        </w:numPr>
        <w:tabs>
          <w:tab w:val="left" w:pos="1399"/>
        </w:tabs>
        <w:spacing w:before="3" w:after="0" w:line="362" w:lineRule="auto"/>
        <w:ind w:left="618" w:right="617" w:firstLine="240"/>
        <w:jc w:val="both"/>
        <w:rPr>
          <w:sz w:val="24"/>
        </w:rPr>
      </w:pPr>
      <w:r>
        <w:rPr>
          <w:spacing w:val="-7"/>
          <w:sz w:val="24"/>
        </w:rPr>
        <w:t>供应商不得虚假质疑和恶意质疑，并对质疑内容的真实性承担责任。供应商或者</w:t>
      </w:r>
      <w:r>
        <w:rPr>
          <w:spacing w:val="-4"/>
          <w:sz w:val="24"/>
        </w:rPr>
        <w:t>其他利害关系人通过捏造事实、伪造证明材料等方式提出异议或投诉，阻碍磋商活动正</w:t>
      </w:r>
    </w:p>
    <w:p>
      <w:pPr>
        <w:spacing w:after="0" w:line="362" w:lineRule="auto"/>
        <w:jc w:val="both"/>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line="362" w:lineRule="auto"/>
        <w:ind w:right="617"/>
      </w:pPr>
      <w:r>
        <w:rPr>
          <w:spacing w:val="-8"/>
        </w:rPr>
        <w:t>常进行的，属于严重不良行为，采购代理机构将提请相关部门将其列入不良行为记录名</w:t>
      </w:r>
      <w:r>
        <w:t>单，并依法予以处罚。</w:t>
      </w:r>
    </w:p>
    <w:p>
      <w:pPr>
        <w:pStyle w:val="12"/>
        <w:numPr>
          <w:ilvl w:val="1"/>
          <w:numId w:val="32"/>
        </w:numPr>
        <w:tabs>
          <w:tab w:val="left" w:pos="1340"/>
        </w:tabs>
        <w:spacing w:before="4" w:after="0" w:line="364" w:lineRule="auto"/>
        <w:ind w:left="618" w:right="617" w:firstLine="240"/>
        <w:jc w:val="both"/>
        <w:rPr>
          <w:sz w:val="24"/>
        </w:rPr>
      </w:pPr>
      <w:r>
        <w:rPr>
          <w:spacing w:val="-3"/>
          <w:sz w:val="24"/>
        </w:rPr>
        <w:t>采购代理机构在收到供应商的书面质疑后将及时组织调查核实，在五个工作日内</w:t>
      </w:r>
      <w:r>
        <w:rPr>
          <w:spacing w:val="-7"/>
          <w:sz w:val="24"/>
        </w:rPr>
        <w:t>作出答复，并以书面或电子邮件形式通知质疑供应商和其他有关供应商，答复的内容不涉及商业秘密。采购代理机构遵循“谁过错谁负担”的原则，有过错的一方承担调查论</w:t>
      </w:r>
      <w:r>
        <w:rPr>
          <w:sz w:val="24"/>
        </w:rPr>
        <w:t>证费用。</w:t>
      </w:r>
    </w:p>
    <w:p>
      <w:pPr>
        <w:pStyle w:val="12"/>
        <w:numPr>
          <w:ilvl w:val="1"/>
          <w:numId w:val="32"/>
        </w:numPr>
        <w:tabs>
          <w:tab w:val="left" w:pos="1399"/>
        </w:tabs>
        <w:spacing w:before="0" w:after="0" w:line="305" w:lineRule="exact"/>
        <w:ind w:left="1398" w:right="0" w:hanging="541"/>
        <w:jc w:val="both"/>
        <w:rPr>
          <w:sz w:val="24"/>
        </w:rPr>
      </w:pPr>
      <w:r>
        <w:rPr>
          <w:sz w:val="24"/>
        </w:rPr>
        <w:t>质疑联系方式</w:t>
      </w:r>
    </w:p>
    <w:p>
      <w:pPr>
        <w:pStyle w:val="4"/>
        <w:keepNext w:val="0"/>
        <w:keepLines w:val="0"/>
        <w:pageBreakBefore w:val="0"/>
        <w:widowControl w:val="0"/>
        <w:kinsoku/>
        <w:wordWrap/>
        <w:overflowPunct/>
        <w:topLinePunct w:val="0"/>
        <w:autoSpaceDE w:val="0"/>
        <w:autoSpaceDN w:val="0"/>
        <w:bidi w:val="0"/>
        <w:adjustRightInd/>
        <w:snapToGrid/>
        <w:spacing w:before="161" w:line="365" w:lineRule="auto"/>
        <w:ind w:left="856" w:right="1701"/>
        <w:textAlignment w:val="auto"/>
        <w:rPr>
          <w:rFonts w:hint="eastAsia"/>
          <w:spacing w:val="-1"/>
          <w:lang w:eastAsia="zh-CN"/>
        </w:rPr>
      </w:pPr>
      <w:r>
        <w:rPr>
          <w:spacing w:val="-1"/>
        </w:rPr>
        <w:t>采购代理机构名称：</w:t>
      </w:r>
      <w:r>
        <w:rPr>
          <w:rFonts w:hint="eastAsia"/>
          <w:spacing w:val="-1"/>
          <w:lang w:eastAsia="zh-CN"/>
        </w:rPr>
        <w:t>江苏骏通建设项目管理咨询有限公司</w:t>
      </w:r>
    </w:p>
    <w:p>
      <w:pPr>
        <w:pStyle w:val="4"/>
        <w:keepNext w:val="0"/>
        <w:keepLines w:val="0"/>
        <w:pageBreakBefore w:val="0"/>
        <w:widowControl w:val="0"/>
        <w:kinsoku/>
        <w:wordWrap/>
        <w:overflowPunct/>
        <w:topLinePunct w:val="0"/>
        <w:autoSpaceDE w:val="0"/>
        <w:autoSpaceDN w:val="0"/>
        <w:bidi w:val="0"/>
        <w:adjustRightInd/>
        <w:snapToGrid/>
        <w:spacing w:before="161" w:line="365" w:lineRule="auto"/>
        <w:ind w:left="856" w:right="1701"/>
        <w:textAlignment w:val="auto"/>
        <w:rPr>
          <w:rFonts w:hint="default" w:eastAsia="宋体"/>
          <w:lang w:val="en-US" w:eastAsia="zh-CN"/>
        </w:rPr>
      </w:pPr>
      <w:r>
        <w:rPr>
          <w:spacing w:val="-3"/>
        </w:rPr>
        <w:t>采购代理机构地址：</w:t>
      </w:r>
      <w:r>
        <w:rPr>
          <w:rFonts w:hint="eastAsia"/>
          <w:spacing w:val="-3"/>
          <w:lang w:eastAsia="zh-CN"/>
        </w:rPr>
        <w:t>南京市鼓楼区中山北路</w:t>
      </w:r>
      <w:r>
        <w:rPr>
          <w:rFonts w:hint="eastAsia"/>
          <w:spacing w:val="-3"/>
          <w:lang w:val="en-US" w:eastAsia="zh-CN"/>
        </w:rPr>
        <w:t xml:space="preserve">346号  </w:t>
      </w:r>
      <w:r>
        <w:rPr>
          <w:spacing w:val="-19"/>
        </w:rPr>
        <w:t>联系人：</w:t>
      </w:r>
      <w:r>
        <w:rPr>
          <w:rFonts w:hint="eastAsia"/>
          <w:spacing w:val="-19"/>
          <w:lang w:eastAsia="zh-CN"/>
        </w:rPr>
        <w:t>洪</w:t>
      </w:r>
      <w:r>
        <w:rPr>
          <w:spacing w:val="-19"/>
        </w:rPr>
        <w:t>工</w:t>
      </w:r>
      <w:r>
        <w:rPr>
          <w:rFonts w:hint="eastAsia"/>
          <w:spacing w:val="-19"/>
          <w:lang w:val="en-US" w:eastAsia="zh-CN"/>
        </w:rPr>
        <w:t xml:space="preserve">  李工</w:t>
      </w:r>
    </w:p>
    <w:p>
      <w:pPr>
        <w:pStyle w:val="4"/>
        <w:tabs>
          <w:tab w:val="left" w:pos="4218"/>
        </w:tabs>
        <w:spacing w:line="364" w:lineRule="auto"/>
        <w:ind w:left="858" w:right="4645"/>
        <w:rPr>
          <w:rFonts w:hint="eastAsia"/>
          <w:lang w:val="en-US" w:eastAsia="zh-CN"/>
        </w:rPr>
      </w:pPr>
      <w:r>
        <w:t>质疑咨询电话：025-</w:t>
      </w:r>
      <w:r>
        <w:rPr>
          <w:rFonts w:hint="eastAsia"/>
          <w:lang w:val="en-US" w:eastAsia="zh-CN"/>
        </w:rPr>
        <w:t>83266652</w:t>
      </w:r>
    </w:p>
    <w:p>
      <w:pPr>
        <w:spacing w:before="0" w:line="364" w:lineRule="auto"/>
        <w:ind w:left="858" w:right="8005" w:firstLine="0"/>
        <w:jc w:val="left"/>
        <w:rPr>
          <w:b/>
          <w:sz w:val="24"/>
        </w:rPr>
      </w:pPr>
      <w:r>
        <w:rPr>
          <w:b/>
          <w:sz w:val="24"/>
        </w:rPr>
        <w:t>21、投诉</w:t>
      </w:r>
    </w:p>
    <w:p>
      <w:pPr>
        <w:pStyle w:val="4"/>
        <w:spacing w:line="364" w:lineRule="auto"/>
        <w:ind w:right="617" w:firstLine="240"/>
        <w:jc w:val="both"/>
      </w:pPr>
      <w:r>
        <w:t>21.1</w:t>
      </w:r>
      <w:r>
        <w:rPr>
          <w:spacing w:val="-5"/>
        </w:rPr>
        <w:t>质疑供应商对采购人、采购代理机构的答复不满意或者采购人、采购代理机构未在规定的时间内作出答复的，可以在答复期满后七个工作日内向采购人同级纪检监察部</w:t>
      </w:r>
      <w:r>
        <w:t>门投诉。</w:t>
      </w:r>
    </w:p>
    <w:p>
      <w:pPr>
        <w:pStyle w:val="3"/>
        <w:spacing w:line="304" w:lineRule="exact"/>
      </w:pPr>
      <w:r>
        <w:t>22、诚实信用</w:t>
      </w:r>
    </w:p>
    <w:p>
      <w:pPr>
        <w:pStyle w:val="12"/>
        <w:numPr>
          <w:ilvl w:val="1"/>
          <w:numId w:val="34"/>
        </w:numPr>
        <w:tabs>
          <w:tab w:val="left" w:pos="1340"/>
        </w:tabs>
        <w:spacing w:before="155" w:after="0" w:line="364" w:lineRule="auto"/>
        <w:ind w:left="618" w:right="617" w:firstLine="240"/>
        <w:jc w:val="left"/>
        <w:rPr>
          <w:sz w:val="24"/>
        </w:rPr>
      </w:pPr>
      <w:r>
        <w:rPr>
          <w:spacing w:val="-4"/>
          <w:sz w:val="24"/>
        </w:rPr>
        <w:t>供应商之间不得相互串通报价，不得妨碍其他供应商的公平竞争，不得损害采购</w:t>
      </w:r>
      <w:r>
        <w:rPr>
          <w:sz w:val="24"/>
        </w:rPr>
        <w:t>人和其他供应商的合法权益。</w:t>
      </w:r>
    </w:p>
    <w:p>
      <w:pPr>
        <w:pStyle w:val="12"/>
        <w:numPr>
          <w:ilvl w:val="1"/>
          <w:numId w:val="34"/>
        </w:numPr>
        <w:tabs>
          <w:tab w:val="left" w:pos="1340"/>
        </w:tabs>
        <w:spacing w:before="1" w:after="0" w:line="362" w:lineRule="auto"/>
        <w:ind w:left="618" w:right="617" w:firstLine="240"/>
        <w:jc w:val="left"/>
        <w:rPr>
          <w:sz w:val="24"/>
        </w:rPr>
      </w:pPr>
      <w:r>
        <w:rPr>
          <w:spacing w:val="-4"/>
          <w:sz w:val="24"/>
        </w:rPr>
        <w:t>供应商不得以向采购代理机构工作人员、磋商小组行贿或者采取其他不正当手段</w:t>
      </w:r>
      <w:r>
        <w:rPr>
          <w:sz w:val="24"/>
        </w:rPr>
        <w:t>谋取成交。</w:t>
      </w:r>
    </w:p>
    <w:p>
      <w:pPr>
        <w:pStyle w:val="12"/>
        <w:numPr>
          <w:ilvl w:val="1"/>
          <w:numId w:val="34"/>
        </w:numPr>
        <w:tabs>
          <w:tab w:val="left" w:pos="1399"/>
        </w:tabs>
        <w:spacing w:before="5" w:after="0" w:line="240" w:lineRule="auto"/>
        <w:ind w:left="1398" w:right="0" w:hanging="541"/>
        <w:jc w:val="left"/>
        <w:rPr>
          <w:sz w:val="24"/>
        </w:rPr>
      </w:pPr>
      <w:r>
        <w:rPr>
          <w:sz w:val="24"/>
        </w:rPr>
        <w:t>供应商不得虚假承诺，否则，按照提供虚假材料谋取成交处理。</w:t>
      </w:r>
    </w:p>
    <w:p>
      <w:pPr>
        <w:pStyle w:val="12"/>
        <w:numPr>
          <w:ilvl w:val="1"/>
          <w:numId w:val="34"/>
        </w:numPr>
        <w:tabs>
          <w:tab w:val="left" w:pos="1399"/>
        </w:tabs>
        <w:spacing w:before="158" w:after="0" w:line="364" w:lineRule="auto"/>
        <w:ind w:left="618" w:right="493" w:firstLine="240"/>
        <w:jc w:val="left"/>
        <w:rPr>
          <w:sz w:val="24"/>
        </w:rPr>
      </w:pPr>
      <w:r>
        <w:rPr>
          <w:spacing w:val="-15"/>
          <w:sz w:val="24"/>
        </w:rPr>
        <w:t xml:space="preserve">供应商应自觉遵守磋商、评审纪律，扰乱磋商、评审现场秩序的，属于失信行为， </w:t>
      </w:r>
      <w:r>
        <w:rPr>
          <w:sz w:val="24"/>
        </w:rPr>
        <w:t>失信行为将被记入供应商诚信档案。</w:t>
      </w:r>
    </w:p>
    <w:p>
      <w:pPr>
        <w:spacing w:after="0" w:line="364"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tabs>
          <w:tab w:val="left" w:pos="1281"/>
        </w:tabs>
        <w:spacing w:before="62"/>
        <w:ind w:left="0" w:right="0" w:firstLine="0"/>
        <w:jc w:val="center"/>
        <w:rPr>
          <w:rFonts w:hint="eastAsia" w:ascii="黑体" w:eastAsia="黑体"/>
          <w:sz w:val="32"/>
        </w:rPr>
      </w:pPr>
      <w:bookmarkStart w:id="19" w:name="第三章  成交标准（综合评分法）"/>
      <w:bookmarkEnd w:id="19"/>
      <w:r>
        <w:rPr>
          <w:rFonts w:hint="eastAsia" w:ascii="黑体" w:eastAsia="黑体"/>
          <w:sz w:val="32"/>
        </w:rPr>
        <w:t>第三章</w:t>
      </w:r>
      <w:r>
        <w:rPr>
          <w:rFonts w:hint="eastAsia" w:ascii="黑体" w:eastAsia="黑体"/>
          <w:sz w:val="32"/>
        </w:rPr>
        <w:tab/>
      </w:r>
      <w:r>
        <w:rPr>
          <w:rFonts w:hint="eastAsia" w:ascii="黑体" w:eastAsia="黑体"/>
          <w:sz w:val="32"/>
        </w:rPr>
        <w:t>成交标准（综合评分法）</w:t>
      </w:r>
    </w:p>
    <w:p>
      <w:pPr>
        <w:pStyle w:val="4"/>
        <w:spacing w:before="5"/>
        <w:ind w:left="0"/>
        <w:rPr>
          <w:rFonts w:ascii="黑体"/>
          <w:sz w:val="16"/>
        </w:rPr>
      </w:pPr>
    </w:p>
    <w:tbl>
      <w:tblPr>
        <w:tblStyle w:val="9"/>
        <w:tblW w:w="9800"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969"/>
        <w:gridCol w:w="7408"/>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90" w:type="dxa"/>
          </w:tcPr>
          <w:p>
            <w:pPr>
              <w:pStyle w:val="13"/>
              <w:rPr>
                <w:rFonts w:ascii="黑体"/>
                <w:sz w:val="16"/>
              </w:rPr>
            </w:pPr>
          </w:p>
          <w:p>
            <w:pPr>
              <w:pStyle w:val="13"/>
              <w:ind w:left="113" w:right="104"/>
              <w:jc w:val="center"/>
              <w:rPr>
                <w:b/>
                <w:sz w:val="21"/>
              </w:rPr>
            </w:pPr>
            <w:r>
              <w:rPr>
                <w:b/>
                <w:sz w:val="21"/>
              </w:rPr>
              <w:t>序号</w:t>
            </w:r>
          </w:p>
        </w:tc>
        <w:tc>
          <w:tcPr>
            <w:tcW w:w="969" w:type="dxa"/>
          </w:tcPr>
          <w:p>
            <w:pPr>
              <w:pStyle w:val="13"/>
              <w:spacing w:before="1"/>
              <w:ind w:left="313"/>
              <w:rPr>
                <w:b/>
                <w:sz w:val="21"/>
              </w:rPr>
            </w:pPr>
            <w:r>
              <w:rPr>
                <w:b/>
                <w:w w:val="95"/>
                <w:sz w:val="21"/>
              </w:rPr>
              <w:t>评分</w:t>
            </w:r>
          </w:p>
          <w:p>
            <w:pPr>
              <w:pStyle w:val="13"/>
              <w:spacing w:before="139"/>
              <w:ind w:left="313"/>
              <w:rPr>
                <w:b/>
                <w:sz w:val="21"/>
              </w:rPr>
            </w:pPr>
            <w:r>
              <w:rPr>
                <w:b/>
                <w:w w:val="95"/>
                <w:sz w:val="21"/>
              </w:rPr>
              <w:t>因素</w:t>
            </w:r>
          </w:p>
        </w:tc>
        <w:tc>
          <w:tcPr>
            <w:tcW w:w="7408" w:type="dxa"/>
          </w:tcPr>
          <w:p>
            <w:pPr>
              <w:pStyle w:val="13"/>
              <w:rPr>
                <w:rFonts w:ascii="黑体"/>
                <w:sz w:val="16"/>
              </w:rPr>
            </w:pPr>
          </w:p>
          <w:p>
            <w:pPr>
              <w:pStyle w:val="13"/>
              <w:ind w:left="3222" w:right="3211"/>
              <w:jc w:val="center"/>
              <w:rPr>
                <w:b/>
                <w:sz w:val="21"/>
              </w:rPr>
            </w:pPr>
            <w:r>
              <w:rPr>
                <w:b/>
                <w:sz w:val="21"/>
              </w:rPr>
              <w:t>评审标准</w:t>
            </w:r>
          </w:p>
        </w:tc>
        <w:tc>
          <w:tcPr>
            <w:tcW w:w="733" w:type="dxa"/>
          </w:tcPr>
          <w:p>
            <w:pPr>
              <w:pStyle w:val="13"/>
              <w:rPr>
                <w:rFonts w:ascii="黑体"/>
                <w:sz w:val="16"/>
              </w:rPr>
            </w:pPr>
          </w:p>
          <w:p>
            <w:pPr>
              <w:pStyle w:val="13"/>
              <w:ind w:left="135" w:right="125"/>
              <w:jc w:val="center"/>
              <w:rPr>
                <w:b/>
                <w:sz w:val="21"/>
              </w:rPr>
            </w:pPr>
            <w:r>
              <w:rPr>
                <w:b/>
                <w:sz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690" w:type="dxa"/>
          </w:tcPr>
          <w:p>
            <w:pPr>
              <w:pStyle w:val="13"/>
              <w:rPr>
                <w:rFonts w:ascii="黑体"/>
                <w:sz w:val="20"/>
              </w:rPr>
            </w:pPr>
          </w:p>
          <w:p>
            <w:pPr>
              <w:pStyle w:val="13"/>
              <w:spacing w:before="9"/>
              <w:rPr>
                <w:rFonts w:ascii="黑体"/>
                <w:sz w:val="27"/>
              </w:rPr>
            </w:pPr>
          </w:p>
          <w:p>
            <w:pPr>
              <w:pStyle w:val="13"/>
              <w:ind w:left="6"/>
              <w:jc w:val="center"/>
              <w:rPr>
                <w:b/>
                <w:sz w:val="21"/>
              </w:rPr>
            </w:pPr>
            <w:r>
              <w:rPr>
                <w:b/>
                <w:w w:val="98"/>
                <w:sz w:val="21"/>
              </w:rPr>
              <w:t>1</w:t>
            </w:r>
          </w:p>
        </w:tc>
        <w:tc>
          <w:tcPr>
            <w:tcW w:w="969" w:type="dxa"/>
          </w:tcPr>
          <w:p>
            <w:pPr>
              <w:pStyle w:val="13"/>
              <w:rPr>
                <w:rFonts w:ascii="黑体"/>
                <w:sz w:val="20"/>
              </w:rPr>
            </w:pPr>
          </w:p>
          <w:p>
            <w:pPr>
              <w:pStyle w:val="13"/>
              <w:spacing w:before="9"/>
              <w:rPr>
                <w:rFonts w:ascii="黑体"/>
                <w:sz w:val="27"/>
              </w:rPr>
            </w:pPr>
          </w:p>
          <w:p>
            <w:pPr>
              <w:pStyle w:val="13"/>
              <w:ind w:left="313"/>
              <w:rPr>
                <w:b/>
                <w:sz w:val="21"/>
              </w:rPr>
            </w:pPr>
            <w:r>
              <w:rPr>
                <w:b/>
                <w:sz w:val="21"/>
              </w:rPr>
              <w:t>价格</w:t>
            </w:r>
          </w:p>
        </w:tc>
        <w:tc>
          <w:tcPr>
            <w:tcW w:w="7408" w:type="dxa"/>
          </w:tcPr>
          <w:p>
            <w:pPr>
              <w:pStyle w:val="13"/>
              <w:spacing w:line="364" w:lineRule="auto"/>
              <w:ind w:left="108" w:right="95" w:firstLine="420"/>
              <w:jc w:val="both"/>
              <w:rPr>
                <w:sz w:val="21"/>
              </w:rPr>
            </w:pPr>
            <w:r>
              <w:rPr>
                <w:spacing w:val="-3"/>
                <w:w w:val="95"/>
                <w:sz w:val="21"/>
              </w:rPr>
              <w:t xml:space="preserve">评审采用低价优先的方法，即满足磋商文件要求的最低的报价为评标基准  </w:t>
            </w:r>
            <w:r>
              <w:rPr>
                <w:spacing w:val="-5"/>
                <w:w w:val="95"/>
                <w:sz w:val="21"/>
              </w:rPr>
              <w:t>价，其价格分为满分。其他供应商的价格分按照下列公式计算</w:t>
            </w:r>
            <w:r>
              <w:rPr>
                <w:w w:val="95"/>
                <w:sz w:val="21"/>
              </w:rPr>
              <w:t xml:space="preserve">（小数点保留两  </w:t>
            </w:r>
            <w:r>
              <w:rPr>
                <w:sz w:val="21"/>
              </w:rPr>
              <w:t>位）：</w:t>
            </w:r>
          </w:p>
          <w:p>
            <w:pPr>
              <w:pStyle w:val="13"/>
              <w:spacing w:line="269" w:lineRule="exact"/>
              <w:ind w:left="528"/>
              <w:rPr>
                <w:sz w:val="21"/>
              </w:rPr>
            </w:pPr>
            <w:r>
              <w:rPr>
                <w:sz w:val="21"/>
              </w:rPr>
              <w:t>投标报价得分=(评标基准价／投标报价)×</w:t>
            </w:r>
            <w:r>
              <w:rPr>
                <w:rFonts w:hint="eastAsia"/>
                <w:sz w:val="21"/>
                <w:lang w:val="en-US" w:eastAsia="zh-CN"/>
              </w:rPr>
              <w:t>85</w:t>
            </w:r>
            <w:r>
              <w:rPr>
                <w:sz w:val="21"/>
              </w:rPr>
              <w:t>。</w:t>
            </w:r>
          </w:p>
        </w:tc>
        <w:tc>
          <w:tcPr>
            <w:tcW w:w="733" w:type="dxa"/>
          </w:tcPr>
          <w:p>
            <w:pPr>
              <w:pStyle w:val="13"/>
              <w:rPr>
                <w:rFonts w:ascii="黑体"/>
                <w:sz w:val="20"/>
              </w:rPr>
            </w:pPr>
          </w:p>
          <w:p>
            <w:pPr>
              <w:pStyle w:val="13"/>
              <w:spacing w:before="9"/>
              <w:rPr>
                <w:rFonts w:ascii="黑体"/>
                <w:sz w:val="27"/>
              </w:rPr>
            </w:pPr>
          </w:p>
          <w:p>
            <w:pPr>
              <w:pStyle w:val="13"/>
              <w:ind w:left="134" w:right="125"/>
              <w:jc w:val="center"/>
              <w:rPr>
                <w:rFonts w:hint="eastAsia" w:eastAsia="宋体"/>
                <w:b/>
                <w:sz w:val="21"/>
                <w:lang w:eastAsia="zh-CN"/>
              </w:rPr>
            </w:pPr>
            <w:r>
              <w:rPr>
                <w:rFonts w:hint="eastAsia"/>
                <w:b/>
                <w:sz w:val="21"/>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690" w:type="dxa"/>
            <w:vAlign w:val="top"/>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47"/>
              <w:ind w:left="6" w:leftChars="0" w:right="0" w:rightChars="0"/>
              <w:jc w:val="center"/>
              <w:rPr>
                <w:rFonts w:hint="eastAsia" w:ascii="宋体" w:hAnsi="宋体" w:eastAsia="宋体" w:cs="宋体"/>
                <w:b/>
                <w:sz w:val="21"/>
                <w:szCs w:val="22"/>
                <w:lang w:val="zh-CN" w:eastAsia="zh-CN" w:bidi="zh-CN"/>
              </w:rPr>
            </w:pPr>
            <w:r>
              <w:rPr>
                <w:rFonts w:hint="eastAsia"/>
                <w:b/>
                <w:w w:val="98"/>
                <w:sz w:val="21"/>
                <w:lang w:val="en-US" w:eastAsia="zh-CN"/>
              </w:rPr>
              <w:t>2</w:t>
            </w:r>
          </w:p>
        </w:tc>
        <w:tc>
          <w:tcPr>
            <w:tcW w:w="969" w:type="dxa"/>
            <w:vAlign w:val="top"/>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7"/>
              <w:rPr>
                <w:rFonts w:ascii="黑体"/>
                <w:sz w:val="15"/>
              </w:rPr>
            </w:pPr>
          </w:p>
          <w:p>
            <w:pPr>
              <w:pStyle w:val="13"/>
              <w:spacing w:before="1" w:line="364" w:lineRule="auto"/>
              <w:ind w:left="210" w:leftChars="0" w:right="196" w:rightChars="0"/>
              <w:rPr>
                <w:rFonts w:ascii="宋体" w:hAnsi="宋体" w:eastAsia="宋体" w:cs="宋体"/>
                <w:b/>
                <w:sz w:val="21"/>
                <w:szCs w:val="22"/>
                <w:lang w:val="zh-CN" w:eastAsia="zh-CN" w:bidi="zh-CN"/>
              </w:rPr>
            </w:pPr>
            <w:r>
              <w:rPr>
                <w:rFonts w:hint="eastAsia"/>
                <w:b/>
                <w:sz w:val="21"/>
                <w:lang w:eastAsia="zh-CN"/>
              </w:rPr>
              <w:t>实施</w:t>
            </w:r>
            <w:r>
              <w:rPr>
                <w:b/>
                <w:sz w:val="21"/>
              </w:rPr>
              <w:t>方案</w:t>
            </w:r>
          </w:p>
        </w:tc>
        <w:tc>
          <w:tcPr>
            <w:tcW w:w="7408" w:type="dxa"/>
            <w:vAlign w:val="top"/>
          </w:tcPr>
          <w:p>
            <w:pPr>
              <w:pStyle w:val="13"/>
              <w:numPr>
                <w:ilvl w:val="0"/>
                <w:numId w:val="35"/>
              </w:numPr>
              <w:tabs>
                <w:tab w:val="left" w:pos="850"/>
              </w:tabs>
              <w:spacing w:before="1" w:after="0" w:line="240" w:lineRule="auto"/>
              <w:ind w:left="850" w:right="0" w:hanging="533"/>
              <w:jc w:val="left"/>
              <w:rPr>
                <w:sz w:val="21"/>
              </w:rPr>
            </w:pPr>
            <w:r>
              <w:rPr>
                <w:spacing w:val="-3"/>
                <w:sz w:val="21"/>
              </w:rPr>
              <w:t xml:space="preserve">施工进度计划和各阶段进度的保证措施；优得 </w:t>
            </w:r>
            <w:r>
              <w:rPr>
                <w:sz w:val="21"/>
              </w:rPr>
              <w:t>3</w:t>
            </w:r>
            <w:r>
              <w:rPr>
                <w:spacing w:val="-17"/>
                <w:sz w:val="21"/>
              </w:rPr>
              <w:t xml:space="preserve"> 分，良得 </w:t>
            </w:r>
            <w:r>
              <w:rPr>
                <w:sz w:val="21"/>
              </w:rPr>
              <w:t>2</w:t>
            </w:r>
            <w:r>
              <w:rPr>
                <w:spacing w:val="-9"/>
                <w:sz w:val="21"/>
              </w:rPr>
              <w:t xml:space="preserve"> 分，一般</w:t>
            </w:r>
          </w:p>
          <w:p>
            <w:pPr>
              <w:pStyle w:val="13"/>
              <w:spacing w:before="139"/>
              <w:ind w:left="108"/>
              <w:rPr>
                <w:sz w:val="21"/>
              </w:rPr>
            </w:pPr>
            <w:r>
              <w:rPr>
                <w:sz w:val="21"/>
              </w:rPr>
              <w:t>得 1 分。</w:t>
            </w:r>
          </w:p>
          <w:p>
            <w:pPr>
              <w:pStyle w:val="13"/>
              <w:numPr>
                <w:ilvl w:val="0"/>
                <w:numId w:val="35"/>
              </w:numPr>
              <w:tabs>
                <w:tab w:val="left" w:pos="842"/>
              </w:tabs>
              <w:spacing w:before="139" w:after="0" w:line="240" w:lineRule="auto"/>
              <w:ind w:left="841" w:right="-15" w:hanging="525"/>
              <w:jc w:val="left"/>
              <w:rPr>
                <w:sz w:val="21"/>
              </w:rPr>
            </w:pPr>
            <w:r>
              <w:rPr>
                <w:spacing w:val="-5"/>
                <w:sz w:val="21"/>
              </w:rPr>
              <w:t xml:space="preserve">关键技术、工艺及工程项目实施的重点、难点和解决方案；优得 </w:t>
            </w:r>
            <w:r>
              <w:rPr>
                <w:sz w:val="21"/>
              </w:rPr>
              <w:t>3</w:t>
            </w:r>
            <w:r>
              <w:rPr>
                <w:spacing w:val="-20"/>
                <w:sz w:val="21"/>
              </w:rPr>
              <w:t xml:space="preserve"> 分，</w:t>
            </w:r>
          </w:p>
          <w:p>
            <w:pPr>
              <w:pStyle w:val="13"/>
              <w:spacing w:before="139"/>
              <w:ind w:left="108"/>
              <w:rPr>
                <w:sz w:val="21"/>
              </w:rPr>
            </w:pPr>
            <w:r>
              <w:rPr>
                <w:sz w:val="21"/>
              </w:rPr>
              <w:t>良得 2 分，一般得 1 分。</w:t>
            </w:r>
          </w:p>
          <w:p>
            <w:pPr>
              <w:pStyle w:val="13"/>
              <w:numPr>
                <w:ilvl w:val="0"/>
                <w:numId w:val="35"/>
              </w:numPr>
              <w:tabs>
                <w:tab w:val="left" w:pos="842"/>
              </w:tabs>
              <w:spacing w:before="138" w:after="0" w:line="240" w:lineRule="auto"/>
              <w:ind w:left="841" w:right="0" w:hanging="525"/>
              <w:jc w:val="left"/>
              <w:rPr>
                <w:sz w:val="21"/>
              </w:rPr>
            </w:pPr>
            <w:r>
              <w:rPr>
                <w:spacing w:val="-8"/>
                <w:sz w:val="21"/>
              </w:rPr>
              <w:t xml:space="preserve">安全、文明施工保证措施及消防等各单位之间的配合协调措施；优得 </w:t>
            </w:r>
            <w:r>
              <w:rPr>
                <w:sz w:val="21"/>
              </w:rPr>
              <w:t>2</w:t>
            </w:r>
          </w:p>
          <w:p>
            <w:pPr>
              <w:pStyle w:val="13"/>
              <w:spacing w:before="139"/>
              <w:ind w:left="108"/>
              <w:rPr>
                <w:sz w:val="21"/>
              </w:rPr>
            </w:pPr>
            <w:r>
              <w:rPr>
                <w:sz w:val="21"/>
              </w:rPr>
              <w:t>分，良得 1 分，一般不得分。</w:t>
            </w:r>
          </w:p>
          <w:p>
            <w:pPr>
              <w:pStyle w:val="13"/>
              <w:numPr>
                <w:ilvl w:val="0"/>
                <w:numId w:val="35"/>
              </w:numPr>
              <w:tabs>
                <w:tab w:val="left" w:pos="850"/>
              </w:tabs>
              <w:spacing w:before="142" w:after="0" w:line="240" w:lineRule="auto"/>
              <w:ind w:left="850" w:right="0" w:hanging="533"/>
              <w:jc w:val="left"/>
              <w:rPr>
                <w:sz w:val="21"/>
              </w:rPr>
            </w:pPr>
            <w:r>
              <w:rPr>
                <w:spacing w:val="-2"/>
                <w:sz w:val="21"/>
              </w:rPr>
              <w:t xml:space="preserve">针对本项目实施过程中可能发生的质量通病的防治措施；优得 </w:t>
            </w:r>
            <w:r>
              <w:rPr>
                <w:sz w:val="21"/>
              </w:rPr>
              <w:t>2</w:t>
            </w:r>
            <w:r>
              <w:rPr>
                <w:spacing w:val="-16"/>
                <w:sz w:val="21"/>
              </w:rPr>
              <w:t xml:space="preserve"> 分，</w:t>
            </w:r>
          </w:p>
          <w:p>
            <w:pPr>
              <w:pStyle w:val="13"/>
              <w:spacing w:before="139"/>
              <w:ind w:left="108" w:leftChars="0" w:right="0" w:rightChars="0"/>
              <w:rPr>
                <w:rFonts w:ascii="宋体" w:hAnsi="宋体" w:eastAsia="宋体" w:cs="宋体"/>
                <w:sz w:val="21"/>
                <w:szCs w:val="22"/>
                <w:lang w:val="zh-CN" w:eastAsia="zh-CN" w:bidi="zh-CN"/>
              </w:rPr>
            </w:pPr>
            <w:r>
              <w:rPr>
                <w:sz w:val="21"/>
              </w:rPr>
              <w:t>良得 1 分，一般不得分。</w:t>
            </w:r>
          </w:p>
        </w:tc>
        <w:tc>
          <w:tcPr>
            <w:tcW w:w="733" w:type="dxa"/>
            <w:vAlign w:val="top"/>
          </w:tcPr>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rPr>
                <w:rFonts w:ascii="黑体"/>
                <w:sz w:val="20"/>
              </w:rPr>
            </w:pPr>
          </w:p>
          <w:p>
            <w:pPr>
              <w:pStyle w:val="13"/>
              <w:spacing w:before="147"/>
              <w:ind w:left="134" w:leftChars="0" w:right="125" w:rightChars="0"/>
              <w:jc w:val="center"/>
              <w:rPr>
                <w:rFonts w:hint="eastAsia" w:ascii="宋体" w:hAnsi="宋体" w:eastAsia="宋体" w:cs="宋体"/>
                <w:b/>
                <w:sz w:val="21"/>
                <w:szCs w:val="22"/>
                <w:lang w:val="en-US" w:eastAsia="zh-CN" w:bidi="zh-CN"/>
              </w:rPr>
            </w:pPr>
            <w:r>
              <w:rPr>
                <w:b/>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690" w:type="dxa"/>
            <w:vAlign w:val="top"/>
          </w:tcPr>
          <w:p>
            <w:pPr>
              <w:pStyle w:val="13"/>
              <w:rPr>
                <w:rFonts w:ascii="黑体"/>
                <w:sz w:val="20"/>
              </w:rPr>
            </w:pPr>
          </w:p>
          <w:p>
            <w:pPr>
              <w:pStyle w:val="13"/>
              <w:rPr>
                <w:rFonts w:ascii="黑体"/>
                <w:sz w:val="20"/>
              </w:rPr>
            </w:pPr>
          </w:p>
          <w:p>
            <w:pPr>
              <w:pStyle w:val="13"/>
              <w:spacing w:before="11"/>
              <w:rPr>
                <w:rFonts w:ascii="黑体"/>
                <w:sz w:val="16"/>
              </w:rPr>
            </w:pPr>
          </w:p>
          <w:p>
            <w:pPr>
              <w:pStyle w:val="13"/>
              <w:ind w:left="58" w:leftChars="0" w:right="0" w:rightChars="0"/>
              <w:jc w:val="center"/>
              <w:rPr>
                <w:rFonts w:hint="eastAsia" w:ascii="宋体" w:hAnsi="宋体" w:eastAsia="宋体" w:cs="宋体"/>
                <w:b/>
                <w:sz w:val="21"/>
                <w:szCs w:val="22"/>
                <w:lang w:val="zh-CN" w:eastAsia="zh-CN" w:bidi="zh-CN"/>
              </w:rPr>
            </w:pPr>
            <w:r>
              <w:rPr>
                <w:rFonts w:hint="eastAsia"/>
                <w:b/>
                <w:w w:val="98"/>
                <w:sz w:val="21"/>
                <w:lang w:val="en-US" w:eastAsia="zh-CN"/>
              </w:rPr>
              <w:t>3</w:t>
            </w:r>
          </w:p>
        </w:tc>
        <w:tc>
          <w:tcPr>
            <w:tcW w:w="969" w:type="dxa"/>
            <w:vAlign w:val="top"/>
          </w:tcPr>
          <w:p>
            <w:pPr>
              <w:pStyle w:val="13"/>
              <w:rPr>
                <w:rFonts w:ascii="黑体"/>
                <w:sz w:val="20"/>
              </w:rPr>
            </w:pPr>
          </w:p>
          <w:p>
            <w:pPr>
              <w:pStyle w:val="13"/>
              <w:rPr>
                <w:rFonts w:ascii="黑体"/>
                <w:sz w:val="20"/>
              </w:rPr>
            </w:pPr>
          </w:p>
          <w:p>
            <w:pPr>
              <w:pStyle w:val="13"/>
              <w:spacing w:before="11"/>
              <w:rPr>
                <w:rFonts w:ascii="黑体"/>
                <w:sz w:val="16"/>
              </w:rPr>
            </w:pPr>
          </w:p>
          <w:p>
            <w:pPr>
              <w:pStyle w:val="13"/>
              <w:ind w:left="313" w:leftChars="0" w:right="0" w:rightChars="0"/>
              <w:rPr>
                <w:rFonts w:ascii="宋体" w:hAnsi="宋体" w:eastAsia="宋体" w:cs="宋体"/>
                <w:b/>
                <w:sz w:val="21"/>
                <w:szCs w:val="22"/>
                <w:lang w:val="zh-CN" w:eastAsia="zh-CN" w:bidi="zh-CN"/>
              </w:rPr>
            </w:pPr>
            <w:r>
              <w:rPr>
                <w:b/>
                <w:sz w:val="21"/>
              </w:rPr>
              <w:t>信誉</w:t>
            </w:r>
          </w:p>
        </w:tc>
        <w:tc>
          <w:tcPr>
            <w:tcW w:w="7408" w:type="dxa"/>
            <w:vAlign w:val="top"/>
          </w:tcPr>
          <w:p>
            <w:pPr>
              <w:pStyle w:val="13"/>
              <w:spacing w:before="87" w:line="364" w:lineRule="auto"/>
              <w:ind w:left="108" w:right="95" w:firstLine="208"/>
              <w:rPr>
                <w:sz w:val="21"/>
              </w:rPr>
            </w:pPr>
            <w:r>
              <w:rPr>
                <w:spacing w:val="-9"/>
                <w:sz w:val="21"/>
              </w:rPr>
              <w:t>根据《南京市政府采购供应商信用管理工作暂行办法》宁财规</w:t>
            </w:r>
            <w:r>
              <w:rPr>
                <w:sz w:val="21"/>
              </w:rPr>
              <w:t>[2018]10</w:t>
            </w:r>
            <w:r>
              <w:rPr>
                <w:spacing w:val="-22"/>
                <w:sz w:val="21"/>
              </w:rPr>
              <w:t xml:space="preserve"> 号文</w:t>
            </w:r>
            <w:r>
              <w:rPr>
                <w:spacing w:val="-12"/>
                <w:sz w:val="21"/>
              </w:rPr>
              <w:t xml:space="preserve">件规定，如供应商诚信档案为三星级的得 </w:t>
            </w:r>
            <w:r>
              <w:rPr>
                <w:sz w:val="21"/>
              </w:rPr>
              <w:t>1</w:t>
            </w:r>
            <w:r>
              <w:rPr>
                <w:spacing w:val="-16"/>
                <w:sz w:val="21"/>
              </w:rPr>
              <w:t xml:space="preserve"> 分，四星级的得 </w:t>
            </w:r>
            <w:r>
              <w:rPr>
                <w:sz w:val="21"/>
              </w:rPr>
              <w:t>2</w:t>
            </w:r>
            <w:r>
              <w:rPr>
                <w:spacing w:val="-11"/>
                <w:sz w:val="21"/>
              </w:rPr>
              <w:t xml:space="preserve"> 分，五星级的得</w:t>
            </w:r>
          </w:p>
          <w:p>
            <w:pPr>
              <w:pStyle w:val="13"/>
              <w:spacing w:line="267" w:lineRule="exact"/>
              <w:ind w:left="108"/>
              <w:rPr>
                <w:sz w:val="21"/>
              </w:rPr>
            </w:pPr>
            <w:r>
              <w:rPr>
                <w:sz w:val="21"/>
              </w:rPr>
              <w:t>3</w:t>
            </w:r>
            <w:r>
              <w:rPr>
                <w:spacing w:val="-10"/>
                <w:sz w:val="21"/>
              </w:rPr>
              <w:t xml:space="preserve"> 分，被评为南京市政府采购“重诚信政府采购供应商”的得 </w:t>
            </w:r>
            <w:r>
              <w:rPr>
                <w:sz w:val="21"/>
              </w:rPr>
              <w:t>5</w:t>
            </w:r>
            <w:r>
              <w:rPr>
                <w:spacing w:val="-9"/>
                <w:sz w:val="21"/>
              </w:rPr>
              <w:t xml:space="preserve"> 分，本项最多</w:t>
            </w:r>
          </w:p>
          <w:p>
            <w:pPr>
              <w:pStyle w:val="13"/>
              <w:spacing w:before="141"/>
              <w:ind w:left="108" w:leftChars="0" w:right="0" w:rightChars="0"/>
              <w:rPr>
                <w:rFonts w:ascii="宋体" w:hAnsi="宋体" w:eastAsia="宋体" w:cs="宋体"/>
                <w:sz w:val="24"/>
                <w:szCs w:val="22"/>
                <w:lang w:val="zh-CN" w:eastAsia="zh-CN" w:bidi="zh-CN"/>
              </w:rPr>
            </w:pPr>
            <w:r>
              <w:rPr>
                <w:sz w:val="21"/>
              </w:rPr>
              <w:t>得 5 分（投标文件中提供“南京市政府采购供应商信用记录表”）</w:t>
            </w:r>
            <w:r>
              <w:rPr>
                <w:sz w:val="24"/>
              </w:rPr>
              <w:t>。</w:t>
            </w:r>
          </w:p>
        </w:tc>
        <w:tc>
          <w:tcPr>
            <w:tcW w:w="733" w:type="dxa"/>
            <w:vAlign w:val="top"/>
          </w:tcPr>
          <w:p>
            <w:pPr>
              <w:pStyle w:val="13"/>
              <w:rPr>
                <w:rFonts w:ascii="黑体"/>
                <w:sz w:val="20"/>
              </w:rPr>
            </w:pPr>
          </w:p>
          <w:p>
            <w:pPr>
              <w:pStyle w:val="13"/>
              <w:rPr>
                <w:rFonts w:ascii="黑体"/>
                <w:sz w:val="20"/>
              </w:rPr>
            </w:pPr>
          </w:p>
          <w:p>
            <w:pPr>
              <w:pStyle w:val="13"/>
              <w:spacing w:before="11"/>
              <w:rPr>
                <w:rFonts w:ascii="黑体"/>
                <w:sz w:val="16"/>
              </w:rPr>
            </w:pPr>
          </w:p>
          <w:p>
            <w:pPr>
              <w:pStyle w:val="13"/>
              <w:ind w:left="6" w:leftChars="0" w:right="0" w:rightChars="0"/>
              <w:jc w:val="center"/>
              <w:rPr>
                <w:rFonts w:hint="eastAsia" w:ascii="宋体" w:hAnsi="宋体" w:eastAsia="宋体" w:cs="宋体"/>
                <w:b/>
                <w:sz w:val="21"/>
                <w:szCs w:val="22"/>
                <w:lang w:val="en-US" w:eastAsia="zh-CN" w:bidi="zh-CN"/>
              </w:rPr>
            </w:pPr>
            <w:r>
              <w:rPr>
                <w:b/>
                <w:w w:val="98"/>
                <w:sz w:val="21"/>
              </w:rPr>
              <w:t>5</w:t>
            </w:r>
          </w:p>
        </w:tc>
      </w:tr>
    </w:tbl>
    <w:p>
      <w:pPr>
        <w:pStyle w:val="4"/>
        <w:spacing w:before="8"/>
        <w:ind w:left="0"/>
        <w:rPr>
          <w:rFonts w:ascii="黑体"/>
          <w:sz w:val="4"/>
        </w:rPr>
      </w:pPr>
    </w:p>
    <w:p>
      <w:pPr>
        <w:pStyle w:val="4"/>
        <w:spacing w:before="6"/>
        <w:ind w:left="0"/>
        <w:rPr>
          <w:rFonts w:ascii="黑体"/>
          <w:sz w:val="26"/>
        </w:rPr>
      </w:pPr>
    </w:p>
    <w:p>
      <w:pPr>
        <w:spacing w:before="70"/>
        <w:ind w:left="618" w:right="0" w:firstLine="0"/>
        <w:jc w:val="left"/>
        <w:rPr>
          <w:b/>
          <w:sz w:val="21"/>
        </w:rPr>
      </w:pPr>
      <w:r>
        <w:rPr>
          <w:b/>
          <w:sz w:val="21"/>
        </w:rPr>
        <w:t>说明：</w:t>
      </w:r>
    </w:p>
    <w:p>
      <w:pPr>
        <w:spacing w:before="139"/>
        <w:ind w:left="827" w:right="0" w:firstLine="0"/>
        <w:jc w:val="left"/>
        <w:rPr>
          <w:b/>
          <w:sz w:val="21"/>
        </w:rPr>
      </w:pPr>
      <w:r>
        <w:rPr>
          <w:b/>
          <w:sz w:val="21"/>
        </w:rPr>
        <w:t>1、供应商诚信指数：</w:t>
      </w:r>
    </w:p>
    <w:p>
      <w:pPr>
        <w:spacing w:before="59" w:line="364" w:lineRule="auto"/>
        <w:ind w:left="618" w:right="615" w:firstLine="208"/>
        <w:jc w:val="both"/>
        <w:rPr>
          <w:sz w:val="21"/>
        </w:rPr>
      </w:pPr>
      <w:r>
        <w:rPr>
          <w:spacing w:val="-3"/>
          <w:sz w:val="21"/>
        </w:rPr>
        <w:t>根据《南京市政府采购供应商信用管理工作暂行办法》宁财规</w:t>
      </w:r>
      <w:r>
        <w:rPr>
          <w:sz w:val="21"/>
        </w:rPr>
        <w:t>[2018]10</w:t>
      </w:r>
      <w:r>
        <w:rPr>
          <w:spacing w:val="-9"/>
          <w:sz w:val="21"/>
        </w:rPr>
        <w:t xml:space="preserve"> 号文件规定，供应商应在响应文件中提供其在“信用南京”或“南京市政府采购网”在线打印的“南京市政府采购供应商信用记录表”，按照其信用记录表中的信用得分（诚信指数）对供应商进行扣分，具体要求如下：</w:t>
      </w:r>
    </w:p>
    <w:p>
      <w:pPr>
        <w:pStyle w:val="12"/>
        <w:numPr>
          <w:ilvl w:val="0"/>
          <w:numId w:val="36"/>
        </w:numPr>
        <w:tabs>
          <w:tab w:val="left" w:pos="1354"/>
        </w:tabs>
        <w:spacing w:before="0" w:after="0" w:line="269" w:lineRule="exact"/>
        <w:ind w:left="1354" w:right="0" w:hanging="527"/>
        <w:jc w:val="both"/>
        <w:rPr>
          <w:sz w:val="21"/>
        </w:rPr>
      </w:pPr>
      <w:r>
        <w:rPr>
          <w:spacing w:val="-10"/>
          <w:sz w:val="21"/>
        </w:rPr>
        <w:t xml:space="preserve">诚信指数在 </w:t>
      </w:r>
      <w:r>
        <w:rPr>
          <w:sz w:val="21"/>
        </w:rPr>
        <w:t>40-30</w:t>
      </w:r>
      <w:r>
        <w:rPr>
          <w:spacing w:val="-23"/>
          <w:sz w:val="21"/>
        </w:rPr>
        <w:t xml:space="preserve"> 分的扣 </w:t>
      </w:r>
      <w:r>
        <w:rPr>
          <w:sz w:val="21"/>
        </w:rPr>
        <w:t>2</w:t>
      </w:r>
      <w:r>
        <w:rPr>
          <w:spacing w:val="-18"/>
          <w:sz w:val="21"/>
        </w:rPr>
        <w:t xml:space="preserve"> 分；</w:t>
      </w:r>
    </w:p>
    <w:p>
      <w:pPr>
        <w:pStyle w:val="12"/>
        <w:numPr>
          <w:ilvl w:val="0"/>
          <w:numId w:val="36"/>
        </w:numPr>
        <w:tabs>
          <w:tab w:val="left" w:pos="1354"/>
        </w:tabs>
        <w:spacing w:before="139" w:after="0" w:line="240" w:lineRule="auto"/>
        <w:ind w:left="1354" w:right="0" w:hanging="527"/>
        <w:jc w:val="left"/>
        <w:rPr>
          <w:sz w:val="21"/>
        </w:rPr>
      </w:pPr>
      <w:r>
        <w:rPr>
          <w:spacing w:val="-10"/>
          <w:sz w:val="21"/>
        </w:rPr>
        <w:t xml:space="preserve">诚信指数在 </w:t>
      </w:r>
      <w:r>
        <w:rPr>
          <w:sz w:val="21"/>
        </w:rPr>
        <w:t>29-20</w:t>
      </w:r>
      <w:r>
        <w:rPr>
          <w:spacing w:val="-23"/>
          <w:sz w:val="21"/>
        </w:rPr>
        <w:t xml:space="preserve"> 分的扣 </w:t>
      </w:r>
      <w:r>
        <w:rPr>
          <w:sz w:val="21"/>
        </w:rPr>
        <w:t>3</w:t>
      </w:r>
      <w:r>
        <w:rPr>
          <w:spacing w:val="-18"/>
          <w:sz w:val="21"/>
        </w:rPr>
        <w:t xml:space="preserve"> 分；</w:t>
      </w:r>
    </w:p>
    <w:p>
      <w:pPr>
        <w:pStyle w:val="12"/>
        <w:numPr>
          <w:ilvl w:val="0"/>
          <w:numId w:val="36"/>
        </w:numPr>
        <w:tabs>
          <w:tab w:val="left" w:pos="1354"/>
        </w:tabs>
        <w:spacing w:before="139" w:after="0" w:line="240" w:lineRule="auto"/>
        <w:ind w:left="1354" w:right="0" w:hanging="527"/>
        <w:jc w:val="left"/>
        <w:rPr>
          <w:sz w:val="21"/>
        </w:rPr>
      </w:pPr>
      <w:r>
        <w:rPr>
          <w:spacing w:val="-10"/>
          <w:sz w:val="21"/>
        </w:rPr>
        <w:t xml:space="preserve">诚信指数在 </w:t>
      </w:r>
      <w:r>
        <w:rPr>
          <w:sz w:val="21"/>
        </w:rPr>
        <w:t>19-10</w:t>
      </w:r>
      <w:r>
        <w:rPr>
          <w:spacing w:val="-23"/>
          <w:sz w:val="21"/>
        </w:rPr>
        <w:t xml:space="preserve"> 分的扣 </w:t>
      </w:r>
      <w:r>
        <w:rPr>
          <w:sz w:val="21"/>
        </w:rPr>
        <w:t>4</w:t>
      </w:r>
      <w:r>
        <w:rPr>
          <w:spacing w:val="-18"/>
          <w:sz w:val="21"/>
        </w:rPr>
        <w:t xml:space="preserve"> 分；</w:t>
      </w:r>
    </w:p>
    <w:p>
      <w:pPr>
        <w:pStyle w:val="12"/>
        <w:numPr>
          <w:ilvl w:val="0"/>
          <w:numId w:val="36"/>
        </w:numPr>
        <w:tabs>
          <w:tab w:val="left" w:pos="1354"/>
        </w:tabs>
        <w:spacing w:before="142" w:after="0" w:line="240" w:lineRule="auto"/>
        <w:ind w:left="1354" w:right="0" w:hanging="527"/>
        <w:jc w:val="left"/>
        <w:rPr>
          <w:sz w:val="21"/>
        </w:rPr>
      </w:pPr>
      <w:r>
        <w:rPr>
          <w:spacing w:val="-9"/>
          <w:sz w:val="21"/>
        </w:rPr>
        <w:t xml:space="preserve">诚信指数在 </w:t>
      </w:r>
      <w:r>
        <w:rPr>
          <w:sz w:val="21"/>
        </w:rPr>
        <w:t>9</w:t>
      </w:r>
      <w:r>
        <w:rPr>
          <w:spacing w:val="-17"/>
          <w:sz w:val="21"/>
        </w:rPr>
        <w:t xml:space="preserve"> 分以下的扣 </w:t>
      </w:r>
      <w:r>
        <w:rPr>
          <w:sz w:val="21"/>
        </w:rPr>
        <w:t>10</w:t>
      </w:r>
      <w:r>
        <w:rPr>
          <w:spacing w:val="-18"/>
          <w:sz w:val="21"/>
        </w:rPr>
        <w:t xml:space="preserve"> 分。</w:t>
      </w:r>
    </w:p>
    <w:p>
      <w:pPr>
        <w:spacing w:before="138"/>
        <w:ind w:left="827" w:right="0" w:firstLine="0"/>
        <w:jc w:val="both"/>
        <w:rPr>
          <w:b/>
          <w:sz w:val="21"/>
        </w:rPr>
      </w:pPr>
      <w:r>
        <w:rPr>
          <w:b/>
          <w:sz w:val="21"/>
        </w:rPr>
        <w:t>2、对小微企业生产的产品给予投标价的 6%价格扣除，用扣除后的价格参与评审。</w:t>
      </w:r>
    </w:p>
    <w:p>
      <w:pPr>
        <w:spacing w:before="139" w:line="364" w:lineRule="auto"/>
        <w:ind w:left="618" w:right="612" w:firstLine="208"/>
        <w:jc w:val="both"/>
        <w:rPr>
          <w:sz w:val="21"/>
        </w:rPr>
      </w:pPr>
      <w:r>
        <w:rPr>
          <w:sz w:val="21"/>
        </w:rPr>
        <w:t>3</w:t>
      </w:r>
      <w:r>
        <w:rPr>
          <w:spacing w:val="-7"/>
          <w:sz w:val="21"/>
        </w:rPr>
        <w:t>、大中型企业和其他自然人、法人或者其他组织与小型、微型企业组成联合体共同参加投标，如</w:t>
      </w:r>
      <w:r>
        <w:rPr>
          <w:spacing w:val="-3"/>
          <w:sz w:val="21"/>
        </w:rPr>
        <w:t xml:space="preserve">果联合协议中约定，小型、微型企业的协议合同金额占到联合体协议合同总金额 </w:t>
      </w:r>
      <w:r>
        <w:rPr>
          <w:sz w:val="21"/>
        </w:rPr>
        <w:t>30%以上的，给予</w:t>
      </w:r>
      <w:r>
        <w:rPr>
          <w:spacing w:val="-16"/>
          <w:sz w:val="21"/>
        </w:rPr>
        <w:t xml:space="preserve">联合体 </w:t>
      </w:r>
      <w:r>
        <w:rPr>
          <w:sz w:val="21"/>
        </w:rPr>
        <w:t>2</w:t>
      </w:r>
      <w:r>
        <w:rPr>
          <w:spacing w:val="-8"/>
          <w:sz w:val="21"/>
        </w:rPr>
        <w:t xml:space="preserve">%的价格扣除。联合体各方均为中小型、微型企业的，联合体视同为小型、微型企业享受 </w:t>
      </w:r>
      <w:r>
        <w:rPr>
          <w:sz w:val="21"/>
        </w:rPr>
        <w:t>6% 价格扣除，用扣除后的价格参与评审。</w:t>
      </w:r>
    </w:p>
    <w:p>
      <w:pPr>
        <w:spacing w:before="0" w:line="268" w:lineRule="exact"/>
        <w:ind w:left="1038" w:right="0" w:firstLine="0"/>
        <w:jc w:val="left"/>
        <w:rPr>
          <w:sz w:val="21"/>
        </w:rPr>
      </w:pPr>
      <w:r>
        <w:rPr>
          <w:sz w:val="21"/>
        </w:rPr>
        <w:t>小企业（含小型、微型企业）应当同时符合以下条件：</w:t>
      </w:r>
    </w:p>
    <w:p>
      <w:pPr>
        <w:pStyle w:val="12"/>
        <w:numPr>
          <w:ilvl w:val="1"/>
          <w:numId w:val="36"/>
        </w:numPr>
        <w:tabs>
          <w:tab w:val="left" w:pos="1563"/>
        </w:tabs>
        <w:spacing w:before="139" w:after="0" w:line="240" w:lineRule="auto"/>
        <w:ind w:left="1562" w:right="0" w:hanging="525"/>
        <w:jc w:val="left"/>
        <w:rPr>
          <w:sz w:val="21"/>
        </w:rPr>
      </w:pPr>
      <w:r>
        <w:rPr>
          <w:sz w:val="21"/>
        </w:rPr>
        <w:t>供应商为小企业，且符合中小企业划分标准；</w:t>
      </w:r>
    </w:p>
    <w:p>
      <w:pPr>
        <w:pStyle w:val="12"/>
        <w:numPr>
          <w:ilvl w:val="1"/>
          <w:numId w:val="36"/>
        </w:numPr>
        <w:tabs>
          <w:tab w:val="left" w:pos="1563"/>
        </w:tabs>
        <w:spacing w:before="139" w:after="0" w:line="364" w:lineRule="auto"/>
        <w:ind w:left="618" w:right="615" w:firstLine="420"/>
        <w:jc w:val="left"/>
        <w:rPr>
          <w:sz w:val="21"/>
        </w:rPr>
      </w:pPr>
      <w:r>
        <w:rPr>
          <w:spacing w:val="-4"/>
          <w:w w:val="95"/>
          <w:sz w:val="21"/>
        </w:rPr>
        <w:t xml:space="preserve">提供本企业制造的货物、承担的工程或者服务，或者提供其他小企业制造的货物。如果提  </w:t>
      </w:r>
      <w:r>
        <w:rPr>
          <w:spacing w:val="-4"/>
          <w:sz w:val="21"/>
        </w:rPr>
        <w:t>供的货物为大中型企业注册商标的货物，视同大中型企业。</w:t>
      </w:r>
    </w:p>
    <w:p>
      <w:pPr>
        <w:spacing w:before="1"/>
        <w:ind w:left="827" w:right="0" w:firstLine="0"/>
        <w:jc w:val="left"/>
        <w:rPr>
          <w:b/>
          <w:sz w:val="21"/>
        </w:rPr>
      </w:pPr>
      <w:r>
        <w:rPr>
          <w:b/>
          <w:sz w:val="21"/>
        </w:rPr>
        <w:t>4、所有认证、证明和业绩均以有效的证明文件的复印件为依据。</w:t>
      </w:r>
    </w:p>
    <w:p>
      <w:pPr>
        <w:spacing w:after="0"/>
        <w:jc w:val="left"/>
        <w:rPr>
          <w:sz w:val="21"/>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2"/>
        <w:tabs>
          <w:tab w:val="left" w:pos="1279"/>
        </w:tabs>
      </w:pPr>
      <w:bookmarkStart w:id="20" w:name="_TOC_250001"/>
      <w:bookmarkEnd w:id="20"/>
      <w:r>
        <w:t>第四章</w:t>
      </w:r>
      <w:r>
        <w:tab/>
      </w:r>
      <w:r>
        <w:t>磋商项目需求</w:t>
      </w:r>
    </w:p>
    <w:p>
      <w:pPr>
        <w:pStyle w:val="4"/>
        <w:spacing w:before="2"/>
        <w:ind w:left="0"/>
        <w:rPr>
          <w:rFonts w:ascii="黑体"/>
          <w:sz w:val="25"/>
        </w:rPr>
      </w:pPr>
    </w:p>
    <w:p>
      <w:pPr>
        <w:pStyle w:val="3"/>
        <w:spacing w:before="1"/>
        <w:ind w:left="1088"/>
      </w:pPr>
      <w:r>
        <w:t>一.项目概况</w:t>
      </w:r>
    </w:p>
    <w:p>
      <w:pPr>
        <w:pStyle w:val="4"/>
        <w:spacing w:before="131"/>
        <w:ind w:left="1088"/>
        <w:rPr>
          <w:rFonts w:hint="eastAsia" w:eastAsia="宋体"/>
          <w:lang w:eastAsia="zh-CN"/>
        </w:rPr>
      </w:pPr>
      <w:r>
        <w:t>1、项目名称：</w:t>
      </w:r>
      <w:r>
        <w:rPr>
          <w:rFonts w:hint="eastAsia"/>
          <w:lang w:eastAsia="zh-CN"/>
        </w:rPr>
        <w:t>颜鲁公祠西厢房修缮工程项目</w:t>
      </w:r>
    </w:p>
    <w:p>
      <w:pPr>
        <w:pStyle w:val="4"/>
        <w:spacing w:before="132"/>
        <w:ind w:left="1088"/>
      </w:pPr>
      <w:r>
        <w:t>2、项目地点：</w:t>
      </w:r>
      <w:r>
        <w:rPr>
          <w:rFonts w:hint="eastAsia" w:ascii="宋体" w:hAnsi="宋体"/>
          <w:snapToGrid w:val="0"/>
          <w:color w:val="000000"/>
          <w:sz w:val="24"/>
          <w:lang w:eastAsia="zh-CN"/>
        </w:rPr>
        <w:t>南京市鼓楼区广州路221号</w:t>
      </w:r>
    </w:p>
    <w:p>
      <w:pPr>
        <w:pStyle w:val="4"/>
        <w:spacing w:before="132" w:line="343" w:lineRule="auto"/>
        <w:ind w:right="616" w:firstLine="470"/>
      </w:pPr>
      <w:r>
        <w:t>3</w:t>
      </w:r>
      <w:r>
        <w:rPr>
          <w:spacing w:val="-18"/>
        </w:rPr>
        <w:t>、</w:t>
      </w:r>
      <w:r>
        <w:t>磋商范围：</w:t>
      </w:r>
      <w:r>
        <w:rPr>
          <w:rFonts w:ascii="宋体" w:hAnsi="宋体"/>
          <w:snapToGrid w:val="0"/>
          <w:color w:val="000000"/>
          <w:sz w:val="24"/>
          <w:u w:val="none"/>
        </w:rPr>
        <w:t>包括</w:t>
      </w:r>
      <w:r>
        <w:rPr>
          <w:rFonts w:hint="eastAsia" w:ascii="宋体" w:hAnsi="宋体"/>
          <w:snapToGrid w:val="0"/>
          <w:color w:val="000000"/>
          <w:sz w:val="24"/>
          <w:u w:val="none"/>
          <w:lang w:eastAsia="zh-CN"/>
        </w:rPr>
        <w:t>屋顶瓦片替换</w:t>
      </w:r>
      <w:r>
        <w:rPr>
          <w:rFonts w:ascii="宋体" w:hAnsi="宋体"/>
          <w:snapToGrid w:val="0"/>
          <w:color w:val="000000"/>
          <w:sz w:val="24"/>
          <w:u w:val="none"/>
        </w:rPr>
        <w:t>、</w:t>
      </w:r>
      <w:r>
        <w:rPr>
          <w:rFonts w:hint="eastAsia" w:ascii="宋体" w:hAnsi="宋体"/>
          <w:snapToGrid w:val="0"/>
          <w:color w:val="000000"/>
          <w:sz w:val="24"/>
          <w:u w:val="none"/>
          <w:lang w:eastAsia="zh-CN"/>
        </w:rPr>
        <w:t>门窗维修更换</w:t>
      </w:r>
      <w:r>
        <w:rPr>
          <w:rFonts w:ascii="宋体" w:hAnsi="宋体"/>
          <w:snapToGrid w:val="0"/>
          <w:color w:val="000000"/>
          <w:sz w:val="24"/>
          <w:u w:val="none"/>
        </w:rPr>
        <w:t>、</w:t>
      </w:r>
      <w:r>
        <w:rPr>
          <w:rFonts w:hint="eastAsia" w:ascii="宋体" w:hAnsi="宋体"/>
          <w:snapToGrid w:val="0"/>
          <w:color w:val="000000"/>
          <w:sz w:val="24"/>
          <w:u w:val="none"/>
        </w:rPr>
        <w:t>椽头油漆</w:t>
      </w:r>
      <w:r>
        <w:rPr>
          <w:rFonts w:ascii="宋体" w:hAnsi="宋体"/>
          <w:snapToGrid w:val="0"/>
          <w:color w:val="000000"/>
          <w:sz w:val="24"/>
          <w:u w:val="none"/>
        </w:rPr>
        <w:t>、</w:t>
      </w:r>
      <w:r>
        <w:rPr>
          <w:rFonts w:hint="eastAsia" w:ascii="宋体" w:hAnsi="宋体"/>
          <w:snapToGrid w:val="0"/>
          <w:color w:val="000000"/>
          <w:sz w:val="24"/>
          <w:u w:val="none"/>
        </w:rPr>
        <w:t>墙面仿古抹灰</w:t>
      </w:r>
      <w:r>
        <w:rPr>
          <w:rFonts w:ascii="宋体" w:hAnsi="宋体"/>
          <w:snapToGrid w:val="0"/>
          <w:color w:val="000000"/>
          <w:sz w:val="24"/>
          <w:u w:val="none"/>
        </w:rPr>
        <w:t>、</w:t>
      </w:r>
      <w:r>
        <w:rPr>
          <w:rFonts w:hint="eastAsia" w:ascii="宋体" w:hAnsi="宋体"/>
          <w:snapToGrid w:val="0"/>
          <w:color w:val="000000"/>
          <w:sz w:val="24"/>
          <w:u w:val="none"/>
        </w:rPr>
        <w:t>石板地面</w:t>
      </w:r>
      <w:r>
        <w:rPr>
          <w:rFonts w:hint="eastAsia" w:ascii="宋体" w:hAnsi="宋体"/>
          <w:snapToGrid w:val="0"/>
          <w:color w:val="000000"/>
          <w:sz w:val="24"/>
          <w:u w:val="none"/>
          <w:lang w:eastAsia="zh-CN"/>
        </w:rPr>
        <w:t>修缮更换</w:t>
      </w:r>
      <w:r>
        <w:rPr>
          <w:rFonts w:ascii="宋体" w:hAnsi="宋体"/>
          <w:snapToGrid w:val="0"/>
          <w:color w:val="000000"/>
          <w:sz w:val="24"/>
          <w:u w:val="none"/>
        </w:rPr>
        <w:t>、电路整改、</w:t>
      </w:r>
      <w:r>
        <w:rPr>
          <w:rFonts w:hint="eastAsia" w:ascii="宋体" w:hAnsi="宋体"/>
          <w:snapToGrid w:val="0"/>
          <w:color w:val="000000"/>
          <w:sz w:val="24"/>
          <w:u w:val="none"/>
        </w:rPr>
        <w:t>避雷网</w:t>
      </w:r>
      <w:r>
        <w:rPr>
          <w:rFonts w:hint="eastAsia" w:ascii="宋体" w:hAnsi="宋体"/>
          <w:snapToGrid w:val="0"/>
          <w:color w:val="000000"/>
          <w:sz w:val="24"/>
          <w:u w:val="none"/>
          <w:lang w:eastAsia="zh-CN"/>
        </w:rPr>
        <w:t>敷设</w:t>
      </w:r>
      <w:r>
        <w:rPr>
          <w:rFonts w:ascii="宋体" w:hAnsi="宋体"/>
          <w:snapToGrid w:val="0"/>
          <w:color w:val="000000"/>
          <w:sz w:val="24"/>
          <w:u w:val="none"/>
        </w:rPr>
        <w:t>等。</w:t>
      </w:r>
    </w:p>
    <w:p>
      <w:pPr>
        <w:pStyle w:val="3"/>
        <w:spacing w:before="5"/>
        <w:ind w:firstLine="241" w:firstLineChars="100"/>
      </w:pPr>
      <w:r>
        <w:rPr>
          <w:rFonts w:hint="eastAsia"/>
          <w:lang w:eastAsia="zh-CN"/>
        </w:rPr>
        <w:t>二</w:t>
      </w:r>
      <w:r>
        <w:t>、</w:t>
      </w:r>
      <w:r>
        <w:rPr>
          <w:rFonts w:hint="eastAsia"/>
          <w:lang w:eastAsia="zh-CN"/>
        </w:rPr>
        <w:t>项目</w:t>
      </w:r>
      <w:r>
        <w:t>要求</w:t>
      </w:r>
    </w:p>
    <w:p>
      <w:pPr>
        <w:pStyle w:val="4"/>
        <w:keepNext w:val="0"/>
        <w:keepLines w:val="0"/>
        <w:pageBreakBefore w:val="0"/>
        <w:widowControl w:val="0"/>
        <w:kinsoku/>
        <w:wordWrap/>
        <w:overflowPunct/>
        <w:topLinePunct w:val="0"/>
        <w:autoSpaceDE w:val="0"/>
        <w:autoSpaceDN w:val="0"/>
        <w:bidi w:val="0"/>
        <w:adjustRightInd/>
        <w:snapToGrid/>
        <w:spacing w:before="161" w:line="360" w:lineRule="auto"/>
        <w:ind w:left="1098"/>
        <w:textAlignment w:val="auto"/>
        <w:rPr>
          <w:color w:val="auto"/>
        </w:rPr>
      </w:pPr>
      <w:r>
        <w:t>（一）</w:t>
      </w:r>
      <w:r>
        <w:rPr>
          <w:b/>
          <w:spacing w:val="-13"/>
          <w:sz w:val="24"/>
        </w:rPr>
        <w:t>★</w:t>
      </w:r>
      <w:r>
        <w:rPr>
          <w:rFonts w:hint="eastAsia"/>
          <w:lang w:eastAsia="zh-CN"/>
        </w:rPr>
        <w:t>施工工期</w:t>
      </w:r>
      <w:r>
        <w:t>：</w:t>
      </w:r>
      <w:r>
        <w:rPr>
          <w:rFonts w:hint="eastAsia"/>
          <w:lang w:val="en-US" w:eastAsia="zh-CN"/>
        </w:rPr>
        <w:t>30天</w:t>
      </w:r>
      <w:r>
        <w:rPr>
          <w:color w:val="auto"/>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565" w:firstLine="480"/>
        <w:textAlignment w:val="auto"/>
        <w:rPr>
          <w:rFonts w:hint="eastAsia" w:eastAsia="宋体"/>
          <w:lang w:eastAsia="zh-CN"/>
        </w:rPr>
      </w:pPr>
      <w:r>
        <w:t>（二）</w:t>
      </w:r>
      <w:r>
        <w:rPr>
          <w:b/>
          <w:spacing w:val="-13"/>
          <w:sz w:val="24"/>
        </w:rPr>
        <w:t>★</w:t>
      </w:r>
      <w:r>
        <w:rPr>
          <w:rFonts w:hint="eastAsia"/>
          <w:lang w:val="en-US" w:eastAsia="zh-CN"/>
        </w:rPr>
        <w:t>质量要求：符合国家相关验收标准</w:t>
      </w:r>
    </w:p>
    <w:p>
      <w:pPr>
        <w:pStyle w:val="4"/>
        <w:spacing w:before="140"/>
        <w:ind w:firstLine="480"/>
      </w:pPr>
      <w:r>
        <w:rPr>
          <w:spacing w:val="-1"/>
        </w:rPr>
        <w:t>（</w:t>
      </w:r>
      <w:r>
        <w:t>三）报价要求：本次报价为总包价。包含供应商在项目实施过程中的所有费用，</w:t>
      </w:r>
    </w:p>
    <w:p>
      <w:pPr>
        <w:pStyle w:val="4"/>
        <w:spacing w:line="480" w:lineRule="atLeast"/>
        <w:ind w:right="565"/>
      </w:pPr>
      <w:r>
        <w:t>供应商需充分考虑报价风险。</w:t>
      </w:r>
    </w:p>
    <w:p>
      <w:pPr>
        <w:numPr>
          <w:numId w:val="0"/>
        </w:numPr>
        <w:spacing w:before="61" w:line="362" w:lineRule="auto"/>
        <w:ind w:left="720" w:leftChars="0" w:right="546" w:rightChars="0" w:firstLine="482" w:firstLineChars="200"/>
        <w:jc w:val="left"/>
        <w:rPr>
          <w:rFonts w:hint="eastAsia"/>
          <w:b/>
          <w:bCs/>
          <w:sz w:val="24"/>
          <w:lang w:val="en-US" w:eastAsia="zh-CN"/>
        </w:rPr>
      </w:pPr>
      <w:r>
        <w:rPr>
          <w:rFonts w:hint="eastAsia"/>
          <w:b/>
          <w:bCs/>
          <w:sz w:val="24"/>
          <w:lang w:val="en-US" w:eastAsia="zh-CN"/>
        </w:rPr>
        <w:t>三、工程图纸</w:t>
      </w:r>
    </w:p>
    <w:p>
      <w:pPr>
        <w:numPr>
          <w:ilvl w:val="0"/>
          <w:numId w:val="0"/>
        </w:numPr>
        <w:spacing w:before="61" w:line="362" w:lineRule="auto"/>
        <w:ind w:left="720" w:leftChars="0" w:right="546" w:rightChars="0" w:firstLine="480" w:firstLineChars="200"/>
        <w:jc w:val="left"/>
        <w:rPr>
          <w:rFonts w:hint="eastAsia"/>
          <w:sz w:val="24"/>
          <w:lang w:val="en-US" w:eastAsia="zh-CN"/>
        </w:rPr>
      </w:pPr>
      <w:r>
        <w:rPr>
          <w:rFonts w:hint="eastAsia"/>
          <w:sz w:val="24"/>
          <w:lang w:val="en-US" w:eastAsia="zh-CN"/>
        </w:rPr>
        <w:t>详见后附</w:t>
      </w:r>
    </w:p>
    <w:p>
      <w:pPr>
        <w:numPr>
          <w:numId w:val="0"/>
        </w:numPr>
        <w:spacing w:before="61" w:line="362" w:lineRule="auto"/>
        <w:ind w:left="720" w:leftChars="0" w:right="546" w:rightChars="0" w:firstLine="482" w:firstLineChars="200"/>
        <w:jc w:val="left"/>
        <w:rPr>
          <w:rFonts w:hint="default"/>
          <w:b/>
          <w:bCs/>
          <w:sz w:val="24"/>
          <w:lang w:val="en-US" w:eastAsia="zh-CN"/>
        </w:rPr>
      </w:pPr>
      <w:r>
        <w:rPr>
          <w:rFonts w:hint="eastAsia"/>
          <w:b/>
          <w:bCs/>
          <w:sz w:val="24"/>
          <w:lang w:val="en-US" w:eastAsia="zh-CN"/>
        </w:rPr>
        <w:t>四、工程量清单</w:t>
      </w:r>
    </w:p>
    <w:p>
      <w:pPr>
        <w:numPr>
          <w:ilvl w:val="0"/>
          <w:numId w:val="0"/>
        </w:numPr>
        <w:spacing w:before="61" w:line="362" w:lineRule="auto"/>
        <w:ind w:left="720" w:leftChars="0" w:right="546" w:rightChars="0" w:firstLine="480" w:firstLineChars="200"/>
        <w:jc w:val="left"/>
        <w:rPr>
          <w:rFonts w:hint="default"/>
          <w:sz w:val="24"/>
          <w:lang w:val="en-US" w:eastAsia="zh-CN"/>
        </w:rPr>
      </w:pPr>
      <w:r>
        <w:rPr>
          <w:rFonts w:hint="eastAsia"/>
          <w:sz w:val="24"/>
          <w:lang w:val="en-US" w:eastAsia="zh-CN"/>
        </w:rPr>
        <w:t>详见后附</w:t>
      </w:r>
    </w:p>
    <w:p>
      <w:pPr>
        <w:pStyle w:val="3"/>
        <w:spacing w:before="4"/>
        <w:ind w:left="618"/>
      </w:pPr>
      <w:r>
        <w:t>特别说明：</w:t>
      </w:r>
    </w:p>
    <w:p>
      <w:pPr>
        <w:pStyle w:val="3"/>
        <w:spacing w:before="161"/>
        <w:ind w:left="618"/>
      </w:pPr>
      <w:r>
        <w:t>1、本章所有要求均为实质性要求，不允许负偏离，否则作为无效投标。</w:t>
      </w:r>
    </w:p>
    <w:p>
      <w:pPr>
        <w:pStyle w:val="3"/>
        <w:spacing w:before="158"/>
        <w:ind w:left="618"/>
      </w:pPr>
      <w:r>
        <w:t>2、所有实质性要求在竞争性磋商中经采购人代表确认允许进行实质性变动。</w:t>
      </w:r>
    </w:p>
    <w:p>
      <w:pPr>
        <w:pStyle w:val="3"/>
        <w:spacing w:before="161"/>
        <w:ind w:left="618"/>
      </w:pPr>
      <w:r>
        <w:t>3、如有疑问请与采购人联系。</w:t>
      </w:r>
    </w:p>
    <w:p>
      <w:pPr>
        <w:pStyle w:val="4"/>
        <w:ind w:left="0"/>
        <w:rPr>
          <w:b/>
        </w:rPr>
      </w:pPr>
    </w:p>
    <w:p>
      <w:pPr>
        <w:spacing w:after="0"/>
        <w:sectPr>
          <w:footerReference r:id="rId7" w:type="default"/>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ind w:left="0"/>
        <w:rPr>
          <w:sz w:val="20"/>
        </w:rPr>
      </w:pPr>
    </w:p>
    <w:p>
      <w:pPr>
        <w:pStyle w:val="4"/>
        <w:spacing w:before="2"/>
        <w:ind w:left="0"/>
        <w:rPr>
          <w:sz w:val="29"/>
        </w:rPr>
      </w:pPr>
    </w:p>
    <w:p>
      <w:pPr>
        <w:pStyle w:val="2"/>
        <w:tabs>
          <w:tab w:val="left" w:pos="1279"/>
        </w:tabs>
        <w:spacing w:before="54"/>
      </w:pPr>
      <w:bookmarkStart w:id="21" w:name="_TOC_250000"/>
      <w:bookmarkEnd w:id="21"/>
      <w:r>
        <w:t>第五章</w:t>
      </w:r>
      <w:r>
        <w:tab/>
      </w:r>
      <w:r>
        <w:t>合同草案条款及格式</w:t>
      </w:r>
    </w:p>
    <w:p>
      <w:pPr>
        <w:pStyle w:val="4"/>
        <w:ind w:left="0"/>
        <w:rPr>
          <w:rFonts w:ascii="黑体"/>
          <w:sz w:val="32"/>
        </w:rPr>
      </w:pPr>
    </w:p>
    <w:p>
      <w:pPr>
        <w:pStyle w:val="4"/>
        <w:ind w:left="0"/>
        <w:rPr>
          <w:rFonts w:ascii="黑体"/>
          <w:sz w:val="32"/>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建设工程施工合同（示范文本）（GF—2013—0201）</w:t>
      </w:r>
    </w:p>
    <w:p>
      <w:pPr>
        <w:spacing w:line="360" w:lineRule="auto"/>
        <w:jc w:val="center"/>
        <w:rPr>
          <w:rFonts w:hint="eastAsia" w:ascii="宋体" w:hAnsi="宋体"/>
          <w:b/>
          <w:color w:val="000000"/>
          <w:sz w:val="28"/>
          <w:szCs w:val="28"/>
        </w:rPr>
      </w:pPr>
      <w:bookmarkStart w:id="22" w:name="_Toc296503025"/>
      <w:bookmarkStart w:id="23" w:name="_Toc296890982"/>
      <w:bookmarkStart w:id="24" w:name="_Toc351203480"/>
    </w:p>
    <w:p>
      <w:pPr>
        <w:spacing w:line="360" w:lineRule="auto"/>
        <w:ind w:firstLine="562" w:firstLineChars="200"/>
        <w:contextualSpacing/>
        <w:jc w:val="center"/>
        <w:rPr>
          <w:rFonts w:ascii="宋体" w:hAnsi="宋体"/>
          <w:b/>
          <w:color w:val="000000"/>
          <w:sz w:val="28"/>
          <w:szCs w:val="28"/>
        </w:rPr>
      </w:pPr>
      <w:r>
        <w:rPr>
          <w:rFonts w:ascii="宋体" w:hAnsi="宋体"/>
          <w:b/>
          <w:color w:val="000000"/>
          <w:sz w:val="28"/>
          <w:szCs w:val="28"/>
        </w:rPr>
        <w:t>第一部分 合同协议书</w:t>
      </w:r>
      <w:bookmarkEnd w:id="22"/>
      <w:bookmarkEnd w:id="23"/>
      <w:bookmarkEnd w:id="24"/>
    </w:p>
    <w:p>
      <w:pPr>
        <w:spacing w:line="360" w:lineRule="auto"/>
        <w:ind w:firstLine="482" w:firstLineChars="200"/>
        <w:contextualSpacing/>
        <w:rPr>
          <w:rFonts w:hint="eastAsia" w:ascii="宋体" w:hAnsi="宋体"/>
          <w:b/>
          <w:color w:val="000000"/>
          <w:sz w:val="24"/>
        </w:rPr>
      </w:pPr>
      <w:r>
        <w:rPr>
          <w:rFonts w:hint="eastAsia" w:ascii="宋体" w:hAnsi="宋体"/>
          <w:b/>
          <w:color w:val="000000"/>
          <w:sz w:val="24"/>
        </w:rPr>
        <w:t>发包人（全称）：</w:t>
      </w:r>
      <w:r>
        <w:rPr>
          <w:rFonts w:hint="eastAsia" w:ascii="宋体" w:hAnsi="宋体"/>
          <w:b/>
          <w:color w:val="000000"/>
          <w:sz w:val="24"/>
          <w:lang w:eastAsia="zh-CN"/>
        </w:rPr>
        <w:t>南京市鼓楼区文化和旅游局</w:t>
      </w:r>
      <w:r>
        <w:rPr>
          <w:rFonts w:ascii="宋体" w:hAnsi="宋体"/>
          <w:b/>
          <w:color w:val="000000"/>
          <w:sz w:val="24"/>
        </w:rPr>
        <w:t xml:space="preserve"> </w:t>
      </w:r>
    </w:p>
    <w:p>
      <w:pPr>
        <w:spacing w:line="360" w:lineRule="auto"/>
        <w:ind w:firstLine="482" w:firstLineChars="200"/>
        <w:contextualSpacing/>
        <w:rPr>
          <w:rFonts w:hint="eastAsia" w:ascii="宋体" w:hAnsi="宋体"/>
          <w:b/>
          <w:color w:val="000000"/>
          <w:sz w:val="24"/>
          <w:u w:val="single"/>
          <w:vertAlign w:val="subscript"/>
        </w:rPr>
      </w:pPr>
      <w:r>
        <w:rPr>
          <w:rFonts w:hint="eastAsia" w:ascii="宋体" w:hAnsi="宋体"/>
          <w:b/>
          <w:color w:val="000000"/>
          <w:sz w:val="24"/>
        </w:rPr>
        <w:t>承包人（全称）：</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根据《中华人民共和国合同法》、《中华人民共和国建筑法》及有关法律规定，遵循平等、自愿、公平和诚实信用的原则，双方就</w:t>
      </w:r>
      <w:r>
        <w:rPr>
          <w:rFonts w:hint="eastAsia"/>
          <w:sz w:val="24"/>
          <w:szCs w:val="24"/>
          <w:u w:val="single"/>
          <w:lang w:eastAsia="zh-CN"/>
        </w:rPr>
        <w:t>颜鲁公祠西厢房修缮工程项目</w:t>
      </w:r>
      <w:r>
        <w:rPr>
          <w:rFonts w:hint="eastAsia"/>
          <w:sz w:val="24"/>
          <w:szCs w:val="24"/>
          <w:u w:val="single"/>
        </w:rPr>
        <w:t xml:space="preserve"> </w:t>
      </w:r>
      <w:r>
        <w:rPr>
          <w:rFonts w:hint="eastAsia" w:ascii="宋体" w:hAnsi="宋体"/>
          <w:color w:val="000000"/>
          <w:sz w:val="24"/>
        </w:rPr>
        <w:t>施工及有关事项协商一致，共同达成如下协议：</w:t>
      </w:r>
      <w:bookmarkStart w:id="25" w:name="_Toc351203481"/>
    </w:p>
    <w:p>
      <w:pPr>
        <w:spacing w:line="360" w:lineRule="auto"/>
        <w:ind w:firstLine="482" w:firstLineChars="200"/>
        <w:contextualSpacing/>
        <w:rPr>
          <w:rFonts w:hint="eastAsia" w:ascii="宋体" w:hAnsi="宋体"/>
          <w:color w:val="000000"/>
          <w:sz w:val="24"/>
        </w:rPr>
      </w:pPr>
      <w:r>
        <w:rPr>
          <w:rFonts w:hint="eastAsia" w:ascii="宋体" w:hAnsi="宋体"/>
          <w:b/>
          <w:color w:val="000000"/>
          <w:sz w:val="24"/>
        </w:rPr>
        <w:t>一、工程概况</w:t>
      </w:r>
      <w:bookmarkEnd w:id="25"/>
    </w:p>
    <w:p>
      <w:pPr>
        <w:spacing w:line="360" w:lineRule="auto"/>
        <w:ind w:firstLine="480" w:firstLineChars="200"/>
        <w:contextualSpacing/>
        <w:rPr>
          <w:rFonts w:hint="eastAsia" w:ascii="宋体" w:hAnsi="宋体"/>
          <w:color w:val="000000"/>
          <w:sz w:val="24"/>
          <w:u w:val="single"/>
        </w:rPr>
      </w:pPr>
      <w:r>
        <w:rPr>
          <w:rFonts w:hint="eastAsia" w:ascii="宋体" w:hAnsi="宋体"/>
          <w:bCs/>
          <w:color w:val="000000"/>
          <w:sz w:val="24"/>
        </w:rPr>
        <w:t>1.工程名称</w:t>
      </w:r>
      <w:r>
        <w:rPr>
          <w:rFonts w:hint="eastAsia" w:ascii="宋体" w:hAnsi="宋体"/>
          <w:color w:val="000000"/>
          <w:sz w:val="24"/>
        </w:rPr>
        <w:t>：</w:t>
      </w:r>
      <w:r>
        <w:rPr>
          <w:rFonts w:hint="eastAsia"/>
          <w:sz w:val="24"/>
          <w:szCs w:val="24"/>
          <w:u w:val="single"/>
          <w:lang w:eastAsia="zh-CN"/>
        </w:rPr>
        <w:t>颜鲁公祠西厢房修缮工程项目</w:t>
      </w:r>
      <w:r>
        <w:rPr>
          <w:rFonts w:hint="eastAsia"/>
          <w:sz w:val="24"/>
          <w:szCs w:val="24"/>
          <w:u w:val="single"/>
        </w:rPr>
        <w:t xml:space="preserve"> </w:t>
      </w:r>
      <w:r>
        <w:rPr>
          <w:rFonts w:hint="eastAsia" w:ascii="宋体" w:hAnsi="宋体"/>
          <w:bCs/>
          <w:color w:val="000000"/>
          <w:sz w:val="24"/>
        </w:rPr>
        <w:t>。</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2.工程地点：</w:t>
      </w:r>
      <w:r>
        <w:rPr>
          <w:rFonts w:hint="eastAsia" w:ascii="宋体" w:hAnsi="宋体"/>
          <w:bCs/>
          <w:color w:val="000000"/>
          <w:sz w:val="24"/>
          <w:u w:val="single"/>
        </w:rPr>
        <w:t>南京</w:t>
      </w:r>
      <w:r>
        <w:rPr>
          <w:rFonts w:hint="eastAsia" w:ascii="宋体" w:hAnsi="宋体"/>
          <w:bCs/>
          <w:color w:val="000000"/>
          <w:sz w:val="24"/>
          <w:u w:val="single"/>
          <w:lang w:eastAsia="zh-CN"/>
        </w:rPr>
        <w:t>市</w:t>
      </w:r>
      <w:r>
        <w:rPr>
          <w:rFonts w:hint="eastAsia" w:ascii="宋体" w:hAnsi="宋体"/>
          <w:bCs/>
          <w:color w:val="000000"/>
          <w:sz w:val="24"/>
          <w:u w:val="single"/>
        </w:rPr>
        <w:t>鼓楼区</w:t>
      </w:r>
      <w:r>
        <w:rPr>
          <w:rFonts w:hint="eastAsia" w:ascii="宋体" w:hAnsi="宋体"/>
          <w:snapToGrid w:val="0"/>
          <w:color w:val="000000"/>
          <w:sz w:val="24"/>
          <w:u w:val="single"/>
          <w:lang w:eastAsia="zh-CN"/>
        </w:rPr>
        <w:t>南京市鼓楼区广州路221号</w:t>
      </w:r>
      <w:r>
        <w:rPr>
          <w:rFonts w:hint="eastAsia" w:ascii="宋体" w:hAnsi="宋体"/>
          <w:color w:val="000000"/>
          <w:sz w:val="24"/>
        </w:rPr>
        <w:t>。</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3.工程立项批准文号：</w:t>
      </w:r>
      <w:r>
        <w:rPr>
          <w:rFonts w:hint="eastAsia" w:ascii="宋体" w:hAnsi="宋体"/>
          <w:snapToGrid w:val="0"/>
          <w:color w:val="000000"/>
          <w:sz w:val="24"/>
          <w:szCs w:val="22"/>
          <w:u w:val="single"/>
          <w:lang w:eastAsia="zh-CN"/>
        </w:rPr>
        <w:t xml:space="preserve">鼓发改项字〔2018) </w:t>
      </w:r>
      <w:r>
        <w:rPr>
          <w:rFonts w:hint="eastAsia" w:ascii="宋体" w:hAnsi="宋体"/>
          <w:snapToGrid w:val="0"/>
          <w:color w:val="000000"/>
          <w:sz w:val="24"/>
          <w:szCs w:val="22"/>
          <w:u w:val="single"/>
          <w:lang w:val="en-US" w:eastAsia="zh-CN"/>
        </w:rPr>
        <w:t>149</w:t>
      </w:r>
      <w:r>
        <w:rPr>
          <w:rFonts w:hint="eastAsia" w:ascii="宋体" w:hAnsi="宋体"/>
          <w:snapToGrid w:val="0"/>
          <w:color w:val="000000"/>
          <w:sz w:val="24"/>
          <w:szCs w:val="22"/>
          <w:u w:val="single"/>
          <w:lang w:eastAsia="zh-CN"/>
        </w:rPr>
        <w:t xml:space="preserve"> 号</w:t>
      </w:r>
      <w:r>
        <w:rPr>
          <w:rFonts w:hint="eastAsia" w:ascii="宋体" w:hAnsi="宋体"/>
          <w:bCs/>
          <w:color w:val="000000"/>
          <w:sz w:val="24"/>
        </w:rPr>
        <w:t>。</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4.资金来源：</w:t>
      </w:r>
      <w:r>
        <w:rPr>
          <w:rFonts w:hint="eastAsia" w:ascii="宋体" w:hAnsi="宋体"/>
          <w:bCs/>
          <w:color w:val="000000"/>
          <w:sz w:val="24"/>
          <w:u w:val="single"/>
        </w:rPr>
        <w:t>国有资金，100%已落实</w:t>
      </w:r>
      <w:r>
        <w:rPr>
          <w:rFonts w:hint="eastAsia" w:ascii="宋体" w:hAnsi="宋体"/>
          <w:color w:val="000000"/>
          <w:sz w:val="24"/>
          <w:u w:val="single"/>
        </w:rPr>
        <w:t xml:space="preserve"> </w:t>
      </w:r>
      <w:r>
        <w:rPr>
          <w:rFonts w:hint="eastAsia" w:ascii="宋体" w:hAnsi="宋体"/>
          <w:bCs/>
          <w:color w:val="000000"/>
          <w:sz w:val="24"/>
        </w:rPr>
        <w:t>。</w:t>
      </w:r>
    </w:p>
    <w:p>
      <w:pPr>
        <w:tabs>
          <w:tab w:val="left" w:pos="1332"/>
        </w:tabs>
        <w:spacing w:line="400" w:lineRule="exact"/>
        <w:ind w:firstLine="480" w:firstLineChars="200"/>
        <w:rPr>
          <w:rFonts w:hint="eastAsia" w:ascii="宋体" w:hAnsi="宋体" w:cs="宋体"/>
          <w:sz w:val="24"/>
          <w:u w:val="single"/>
          <w:lang w:bidi="ar"/>
        </w:rPr>
      </w:pPr>
      <w:r>
        <w:rPr>
          <w:rFonts w:hint="eastAsia" w:ascii="宋体" w:hAnsi="宋体"/>
          <w:bCs/>
          <w:color w:val="000000"/>
          <w:sz w:val="24"/>
        </w:rPr>
        <w:t>5.工程内容：</w:t>
      </w:r>
      <w:r>
        <w:rPr>
          <w:rFonts w:ascii="宋体" w:hAnsi="宋体"/>
          <w:snapToGrid w:val="0"/>
          <w:color w:val="000000"/>
          <w:sz w:val="24"/>
          <w:u w:val="single"/>
        </w:rPr>
        <w:t>包括</w:t>
      </w:r>
      <w:r>
        <w:rPr>
          <w:rFonts w:hint="eastAsia" w:ascii="宋体" w:hAnsi="宋体"/>
          <w:snapToGrid w:val="0"/>
          <w:color w:val="000000"/>
          <w:sz w:val="24"/>
          <w:u w:val="single"/>
          <w:lang w:eastAsia="zh-CN"/>
        </w:rPr>
        <w:t>屋顶瓦片替换</w:t>
      </w:r>
      <w:r>
        <w:rPr>
          <w:rFonts w:ascii="宋体" w:hAnsi="宋体"/>
          <w:snapToGrid w:val="0"/>
          <w:color w:val="000000"/>
          <w:sz w:val="24"/>
          <w:u w:val="single"/>
        </w:rPr>
        <w:t>、</w:t>
      </w:r>
      <w:r>
        <w:rPr>
          <w:rFonts w:hint="eastAsia" w:ascii="宋体" w:hAnsi="宋体"/>
          <w:snapToGrid w:val="0"/>
          <w:color w:val="000000"/>
          <w:sz w:val="24"/>
          <w:u w:val="single"/>
          <w:lang w:eastAsia="zh-CN"/>
        </w:rPr>
        <w:t>门窗维修更换</w:t>
      </w:r>
      <w:r>
        <w:rPr>
          <w:rFonts w:ascii="宋体" w:hAnsi="宋体"/>
          <w:snapToGrid w:val="0"/>
          <w:color w:val="000000"/>
          <w:sz w:val="24"/>
          <w:u w:val="single"/>
        </w:rPr>
        <w:t>、</w:t>
      </w:r>
      <w:r>
        <w:rPr>
          <w:rFonts w:hint="eastAsia" w:ascii="宋体" w:hAnsi="宋体"/>
          <w:snapToGrid w:val="0"/>
          <w:color w:val="000000"/>
          <w:sz w:val="24"/>
          <w:u w:val="single"/>
        </w:rPr>
        <w:t>椽头油漆</w:t>
      </w:r>
      <w:r>
        <w:rPr>
          <w:rFonts w:ascii="宋体" w:hAnsi="宋体"/>
          <w:snapToGrid w:val="0"/>
          <w:color w:val="000000"/>
          <w:sz w:val="24"/>
          <w:u w:val="single"/>
        </w:rPr>
        <w:t>、</w:t>
      </w:r>
      <w:r>
        <w:rPr>
          <w:rFonts w:hint="eastAsia" w:ascii="宋体" w:hAnsi="宋体"/>
          <w:snapToGrid w:val="0"/>
          <w:color w:val="000000"/>
          <w:sz w:val="24"/>
          <w:u w:val="single"/>
        </w:rPr>
        <w:t>墙面仿古抹灰</w:t>
      </w:r>
      <w:r>
        <w:rPr>
          <w:rFonts w:ascii="宋体" w:hAnsi="宋体"/>
          <w:snapToGrid w:val="0"/>
          <w:color w:val="000000"/>
          <w:sz w:val="24"/>
          <w:u w:val="single"/>
        </w:rPr>
        <w:t>、</w:t>
      </w:r>
      <w:r>
        <w:rPr>
          <w:rFonts w:hint="eastAsia" w:ascii="宋体" w:hAnsi="宋体"/>
          <w:snapToGrid w:val="0"/>
          <w:color w:val="000000"/>
          <w:sz w:val="24"/>
          <w:u w:val="single"/>
        </w:rPr>
        <w:t>石板地面</w:t>
      </w:r>
      <w:r>
        <w:rPr>
          <w:rFonts w:hint="eastAsia" w:ascii="宋体" w:hAnsi="宋体"/>
          <w:snapToGrid w:val="0"/>
          <w:color w:val="000000"/>
          <w:sz w:val="24"/>
          <w:u w:val="single"/>
          <w:lang w:eastAsia="zh-CN"/>
        </w:rPr>
        <w:t>修缮更换</w:t>
      </w:r>
      <w:r>
        <w:rPr>
          <w:rFonts w:ascii="宋体" w:hAnsi="宋体"/>
          <w:snapToGrid w:val="0"/>
          <w:color w:val="000000"/>
          <w:sz w:val="24"/>
          <w:u w:val="single"/>
        </w:rPr>
        <w:t>、电路整改、</w:t>
      </w:r>
      <w:r>
        <w:rPr>
          <w:rFonts w:hint="eastAsia" w:ascii="宋体" w:hAnsi="宋体"/>
          <w:snapToGrid w:val="0"/>
          <w:color w:val="000000"/>
          <w:sz w:val="24"/>
          <w:u w:val="single"/>
        </w:rPr>
        <w:t>避雷网</w:t>
      </w:r>
      <w:r>
        <w:rPr>
          <w:rFonts w:hint="eastAsia" w:ascii="宋体" w:hAnsi="宋体"/>
          <w:snapToGrid w:val="0"/>
          <w:color w:val="000000"/>
          <w:sz w:val="24"/>
          <w:u w:val="single"/>
          <w:lang w:eastAsia="zh-CN"/>
        </w:rPr>
        <w:t>敷设</w:t>
      </w:r>
      <w:r>
        <w:rPr>
          <w:rFonts w:ascii="宋体" w:hAnsi="宋体"/>
          <w:snapToGrid w:val="0"/>
          <w:color w:val="000000"/>
          <w:sz w:val="24"/>
          <w:u w:val="single"/>
        </w:rPr>
        <w:t>等。</w:t>
      </w:r>
    </w:p>
    <w:p>
      <w:pPr>
        <w:tabs>
          <w:tab w:val="left" w:pos="1332"/>
        </w:tabs>
        <w:spacing w:line="400" w:lineRule="exact"/>
        <w:ind w:firstLine="480" w:firstLineChars="200"/>
        <w:rPr>
          <w:rFonts w:hint="eastAsia" w:ascii="宋体" w:hAnsi="宋体" w:cs="宋体"/>
          <w:sz w:val="24"/>
          <w:u w:val="single"/>
          <w:lang w:bidi="ar"/>
        </w:rPr>
      </w:pPr>
      <w:r>
        <w:rPr>
          <w:rFonts w:hint="eastAsia" w:ascii="宋体" w:hAnsi="宋体"/>
          <w:bCs/>
          <w:color w:val="000000"/>
          <w:sz w:val="24"/>
        </w:rPr>
        <w:t>6.工程承包范围：</w:t>
      </w:r>
      <w:bookmarkStart w:id="26" w:name="_Toc351203482"/>
      <w:r>
        <w:rPr>
          <w:rFonts w:ascii="宋体" w:hAnsi="宋体"/>
          <w:snapToGrid w:val="0"/>
          <w:color w:val="000000"/>
          <w:sz w:val="24"/>
          <w:u w:val="single"/>
        </w:rPr>
        <w:t>包括</w:t>
      </w:r>
      <w:r>
        <w:rPr>
          <w:rFonts w:hint="eastAsia" w:ascii="宋体" w:hAnsi="宋体"/>
          <w:snapToGrid w:val="0"/>
          <w:color w:val="000000"/>
          <w:sz w:val="24"/>
          <w:u w:val="single"/>
          <w:lang w:eastAsia="zh-CN"/>
        </w:rPr>
        <w:t>屋顶瓦片替换</w:t>
      </w:r>
      <w:r>
        <w:rPr>
          <w:rFonts w:ascii="宋体" w:hAnsi="宋体"/>
          <w:snapToGrid w:val="0"/>
          <w:color w:val="000000"/>
          <w:sz w:val="24"/>
          <w:u w:val="single"/>
        </w:rPr>
        <w:t>、</w:t>
      </w:r>
      <w:r>
        <w:rPr>
          <w:rFonts w:hint="eastAsia" w:ascii="宋体" w:hAnsi="宋体"/>
          <w:snapToGrid w:val="0"/>
          <w:color w:val="000000"/>
          <w:sz w:val="24"/>
          <w:u w:val="single"/>
          <w:lang w:eastAsia="zh-CN"/>
        </w:rPr>
        <w:t>门窗维修更换</w:t>
      </w:r>
      <w:r>
        <w:rPr>
          <w:rFonts w:ascii="宋体" w:hAnsi="宋体"/>
          <w:snapToGrid w:val="0"/>
          <w:color w:val="000000"/>
          <w:sz w:val="24"/>
          <w:u w:val="single"/>
        </w:rPr>
        <w:t>、</w:t>
      </w:r>
      <w:r>
        <w:rPr>
          <w:rFonts w:hint="eastAsia" w:ascii="宋体" w:hAnsi="宋体"/>
          <w:snapToGrid w:val="0"/>
          <w:color w:val="000000"/>
          <w:sz w:val="24"/>
          <w:u w:val="single"/>
        </w:rPr>
        <w:t>椽头油漆</w:t>
      </w:r>
      <w:r>
        <w:rPr>
          <w:rFonts w:ascii="宋体" w:hAnsi="宋体"/>
          <w:snapToGrid w:val="0"/>
          <w:color w:val="000000"/>
          <w:sz w:val="24"/>
          <w:u w:val="single"/>
        </w:rPr>
        <w:t>、</w:t>
      </w:r>
      <w:r>
        <w:rPr>
          <w:rFonts w:hint="eastAsia" w:ascii="宋体" w:hAnsi="宋体"/>
          <w:snapToGrid w:val="0"/>
          <w:color w:val="000000"/>
          <w:sz w:val="24"/>
          <w:u w:val="single"/>
        </w:rPr>
        <w:t>墙面仿古抹灰</w:t>
      </w:r>
      <w:r>
        <w:rPr>
          <w:rFonts w:ascii="宋体" w:hAnsi="宋体"/>
          <w:snapToGrid w:val="0"/>
          <w:color w:val="000000"/>
          <w:sz w:val="24"/>
          <w:u w:val="single"/>
        </w:rPr>
        <w:t>、</w:t>
      </w:r>
      <w:r>
        <w:rPr>
          <w:rFonts w:hint="eastAsia" w:ascii="宋体" w:hAnsi="宋体"/>
          <w:snapToGrid w:val="0"/>
          <w:color w:val="000000"/>
          <w:sz w:val="24"/>
          <w:u w:val="single"/>
        </w:rPr>
        <w:t>石板地面</w:t>
      </w:r>
      <w:r>
        <w:rPr>
          <w:rFonts w:hint="eastAsia" w:ascii="宋体" w:hAnsi="宋体"/>
          <w:snapToGrid w:val="0"/>
          <w:color w:val="000000"/>
          <w:sz w:val="24"/>
          <w:u w:val="single"/>
          <w:lang w:eastAsia="zh-CN"/>
        </w:rPr>
        <w:t>修缮更换</w:t>
      </w:r>
      <w:r>
        <w:rPr>
          <w:rFonts w:ascii="宋体" w:hAnsi="宋体"/>
          <w:snapToGrid w:val="0"/>
          <w:color w:val="000000"/>
          <w:sz w:val="24"/>
          <w:u w:val="single"/>
        </w:rPr>
        <w:t>、电路整改、</w:t>
      </w:r>
      <w:r>
        <w:rPr>
          <w:rFonts w:hint="eastAsia" w:ascii="宋体" w:hAnsi="宋体"/>
          <w:snapToGrid w:val="0"/>
          <w:color w:val="000000"/>
          <w:sz w:val="24"/>
          <w:u w:val="single"/>
        </w:rPr>
        <w:t>避雷网</w:t>
      </w:r>
      <w:r>
        <w:rPr>
          <w:rFonts w:hint="eastAsia" w:ascii="宋体" w:hAnsi="宋体"/>
          <w:snapToGrid w:val="0"/>
          <w:color w:val="000000"/>
          <w:sz w:val="24"/>
          <w:u w:val="single"/>
          <w:lang w:eastAsia="zh-CN"/>
        </w:rPr>
        <w:t>敷设</w:t>
      </w:r>
      <w:r>
        <w:rPr>
          <w:rFonts w:ascii="宋体" w:hAnsi="宋体"/>
          <w:snapToGrid w:val="0"/>
          <w:color w:val="000000"/>
          <w:sz w:val="24"/>
          <w:u w:val="single"/>
        </w:rPr>
        <w:t>等。</w:t>
      </w:r>
    </w:p>
    <w:p>
      <w:pPr>
        <w:spacing w:line="360" w:lineRule="auto"/>
        <w:ind w:firstLine="482" w:firstLineChars="200"/>
        <w:contextualSpacing/>
        <w:rPr>
          <w:rFonts w:hint="eastAsia" w:ascii="宋体" w:hAnsi="宋体"/>
          <w:b/>
          <w:color w:val="000000"/>
          <w:sz w:val="24"/>
        </w:rPr>
      </w:pPr>
      <w:r>
        <w:rPr>
          <w:rFonts w:hint="eastAsia" w:ascii="宋体" w:hAnsi="宋体"/>
          <w:b/>
          <w:color w:val="000000"/>
          <w:sz w:val="24"/>
        </w:rPr>
        <w:t>二、合同工期</w:t>
      </w:r>
      <w:bookmarkEnd w:id="26"/>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计划开工日期：</w:t>
      </w:r>
      <w:r>
        <w:rPr>
          <w:rFonts w:hint="eastAsia" w:ascii="宋体" w:hAnsi="宋体"/>
          <w:bCs/>
          <w:color w:val="000000"/>
          <w:sz w:val="24"/>
          <w:u w:val="single"/>
        </w:rPr>
        <w:t xml:space="preserve">      </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计划竣工日期：</w:t>
      </w:r>
      <w:r>
        <w:rPr>
          <w:rFonts w:hint="eastAsia" w:ascii="宋体" w:hAnsi="宋体"/>
          <w:bCs/>
          <w:color w:val="000000"/>
          <w:sz w:val="24"/>
          <w:u w:val="single"/>
        </w:rPr>
        <w:t xml:space="preserve">      </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工期总日历天数：</w:t>
      </w:r>
      <w:r>
        <w:rPr>
          <w:rFonts w:hint="eastAsia" w:ascii="宋体" w:hAnsi="宋体"/>
          <w:color w:val="000000"/>
          <w:sz w:val="24"/>
          <w:u w:val="single"/>
          <w:lang w:val="en-US" w:eastAsia="zh-CN"/>
        </w:rPr>
        <w:t>30</w:t>
      </w:r>
      <w:r>
        <w:rPr>
          <w:rFonts w:hint="eastAsia" w:ascii="宋体" w:hAnsi="宋体"/>
          <w:color w:val="000000"/>
          <w:sz w:val="24"/>
          <w:u w:val="single"/>
        </w:rPr>
        <w:t xml:space="preserve"> </w:t>
      </w:r>
      <w:r>
        <w:rPr>
          <w:rFonts w:hint="eastAsia" w:ascii="宋体" w:hAnsi="宋体"/>
          <w:color w:val="000000"/>
          <w:sz w:val="24"/>
        </w:rPr>
        <w:t>天。工期总日历天数与根据前述计划开竣工日期计算的工期天数不一致的，以工期总日历天数为准。</w:t>
      </w:r>
    </w:p>
    <w:p>
      <w:pPr>
        <w:spacing w:line="360" w:lineRule="auto"/>
        <w:ind w:firstLine="482" w:firstLineChars="200"/>
        <w:contextualSpacing/>
        <w:rPr>
          <w:rFonts w:hint="eastAsia" w:ascii="宋体" w:hAnsi="宋体"/>
          <w:b/>
          <w:color w:val="000000"/>
          <w:sz w:val="24"/>
        </w:rPr>
      </w:pPr>
      <w:bookmarkStart w:id="27" w:name="_Toc351203483"/>
      <w:r>
        <w:rPr>
          <w:rFonts w:hint="eastAsia" w:ascii="宋体" w:hAnsi="宋体"/>
          <w:b/>
          <w:color w:val="000000"/>
          <w:sz w:val="24"/>
        </w:rPr>
        <w:t>三、质量标准</w:t>
      </w:r>
      <w:bookmarkEnd w:id="27"/>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工程质量符合</w:t>
      </w:r>
      <w:r>
        <w:rPr>
          <w:rFonts w:hint="eastAsia" w:ascii="宋体" w:hAnsi="宋体"/>
          <w:color w:val="000000"/>
          <w:sz w:val="24"/>
          <w:u w:val="single"/>
        </w:rPr>
        <w:t xml:space="preserve"> 国家质量验收合格 </w:t>
      </w:r>
      <w:r>
        <w:rPr>
          <w:rFonts w:hint="eastAsia" w:ascii="宋体" w:hAnsi="宋体"/>
          <w:color w:val="000000"/>
          <w:sz w:val="24"/>
        </w:rPr>
        <w:t>标准。</w:t>
      </w:r>
    </w:p>
    <w:p>
      <w:pPr>
        <w:spacing w:line="360" w:lineRule="auto"/>
        <w:ind w:firstLine="482" w:firstLineChars="200"/>
        <w:contextualSpacing/>
        <w:rPr>
          <w:rFonts w:hint="eastAsia" w:ascii="宋体" w:hAnsi="宋体"/>
          <w:b/>
          <w:color w:val="000000"/>
          <w:sz w:val="24"/>
        </w:rPr>
      </w:pPr>
      <w:bookmarkStart w:id="28" w:name="_Toc351203484"/>
      <w:r>
        <w:rPr>
          <w:rFonts w:hint="eastAsia" w:ascii="宋体" w:hAnsi="宋体"/>
          <w:b/>
          <w:color w:val="000000"/>
          <w:sz w:val="24"/>
        </w:rPr>
        <w:t>四、签约合同价与合同价格形式</w:t>
      </w:r>
      <w:bookmarkEnd w:id="28"/>
      <w:r>
        <w:rPr>
          <w:rFonts w:hint="eastAsia" w:ascii="宋体" w:hAnsi="宋体"/>
          <w:b/>
          <w:color w:val="000000"/>
          <w:sz w:val="24"/>
        </w:rPr>
        <w:tab/>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1.签约合同价为：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其中：</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（1）安全文明施工费：</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（2）材料和工程设备暂估价金额：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（3）专业工程暂估价金额：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（4）暂列金额：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2.合同价格形式：</w:t>
      </w:r>
      <w:r>
        <w:rPr>
          <w:rFonts w:hint="eastAsia" w:ascii="宋体" w:hAnsi="宋体"/>
          <w:color w:val="000000"/>
          <w:sz w:val="24"/>
          <w:u w:val="single"/>
        </w:rPr>
        <w:t xml:space="preserve"> 固定单价</w:t>
      </w:r>
      <w:r>
        <w:rPr>
          <w:rFonts w:hint="eastAsia" w:ascii="宋体" w:hAnsi="宋体"/>
          <w:color w:val="000000"/>
          <w:sz w:val="24"/>
        </w:rPr>
        <w:t>。</w:t>
      </w:r>
    </w:p>
    <w:p>
      <w:pPr>
        <w:spacing w:line="360" w:lineRule="auto"/>
        <w:ind w:firstLine="482" w:firstLineChars="200"/>
        <w:contextualSpacing/>
        <w:rPr>
          <w:rFonts w:hint="eastAsia" w:ascii="宋体" w:hAnsi="宋体"/>
          <w:b/>
          <w:color w:val="000000"/>
          <w:sz w:val="24"/>
        </w:rPr>
      </w:pPr>
      <w:bookmarkStart w:id="29" w:name="_Toc351203485"/>
      <w:r>
        <w:rPr>
          <w:rFonts w:hint="eastAsia" w:ascii="宋体" w:hAnsi="宋体"/>
          <w:b/>
          <w:color w:val="000000"/>
          <w:sz w:val="24"/>
        </w:rPr>
        <w:t>五、</w:t>
      </w:r>
      <w:bookmarkEnd w:id="29"/>
      <w:r>
        <w:rPr>
          <w:rFonts w:hint="eastAsia" w:ascii="宋体" w:hAnsi="宋体"/>
          <w:b/>
          <w:color w:val="000000"/>
          <w:sz w:val="24"/>
        </w:rPr>
        <w:t>项目经理</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承包人项目经理：</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2" w:firstLineChars="200"/>
        <w:contextualSpacing/>
        <w:rPr>
          <w:rFonts w:hint="eastAsia" w:ascii="宋体" w:hAnsi="宋体"/>
          <w:b/>
          <w:color w:val="000000"/>
          <w:sz w:val="24"/>
        </w:rPr>
      </w:pPr>
      <w:bookmarkStart w:id="30" w:name="_Toc351203486"/>
      <w:r>
        <w:rPr>
          <w:rFonts w:hint="eastAsia" w:ascii="宋体" w:hAnsi="宋体"/>
          <w:b/>
          <w:color w:val="000000"/>
          <w:sz w:val="24"/>
        </w:rPr>
        <w:t>六、合同文件构成</w:t>
      </w:r>
      <w:bookmarkEnd w:id="30"/>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本协议书与下列文件一起构成合同文件：</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（1）中标通知书（如果有）；</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 xml:space="preserve">（2）投标函及其附录（如果有）； </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（3）专用合同条款及其附件；</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（4）通用合同条款；</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（5）技术标准和要求；</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（6）图纸；</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（7）已标价工程量清单或预算书；</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（8）其他合同文件。</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在合同订立及履行过程中形成的与合同有关的文件均构成合同文件组成部分。</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82" w:firstLineChars="200"/>
        <w:contextualSpacing/>
        <w:rPr>
          <w:rFonts w:hint="eastAsia" w:ascii="宋体" w:hAnsi="宋体"/>
          <w:b/>
          <w:color w:val="000000"/>
          <w:sz w:val="24"/>
        </w:rPr>
      </w:pPr>
      <w:bookmarkStart w:id="31" w:name="_Toc351203487"/>
      <w:r>
        <w:rPr>
          <w:rFonts w:hint="eastAsia" w:ascii="宋体" w:hAnsi="宋体"/>
          <w:b/>
          <w:color w:val="000000"/>
          <w:sz w:val="24"/>
        </w:rPr>
        <w:t>七、承诺</w:t>
      </w:r>
      <w:bookmarkEnd w:id="31"/>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1.发包人承诺按照法律规定履行项目审批手续、筹集工程建设资金并按照合同约定的期限和方式支付合同价款。</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3.发包人和承包人通过招投标形式签订合同的，双方理解并承诺不再就同一工程另行签订与合同实质性内容相背离的协议。</w:t>
      </w:r>
    </w:p>
    <w:p>
      <w:pPr>
        <w:spacing w:line="360" w:lineRule="auto"/>
        <w:ind w:firstLine="482" w:firstLineChars="200"/>
        <w:contextualSpacing/>
        <w:rPr>
          <w:rFonts w:hint="eastAsia" w:ascii="宋体" w:hAnsi="宋体"/>
          <w:b/>
          <w:color w:val="000000"/>
          <w:sz w:val="24"/>
        </w:rPr>
      </w:pPr>
      <w:bookmarkStart w:id="32" w:name="_Toc351203488"/>
      <w:r>
        <w:rPr>
          <w:rFonts w:hint="eastAsia" w:ascii="宋体" w:hAnsi="宋体"/>
          <w:b/>
          <w:color w:val="000000"/>
          <w:sz w:val="24"/>
        </w:rPr>
        <w:t>八、词语含义</w:t>
      </w:r>
      <w:bookmarkEnd w:id="32"/>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本协议书中词语含义与第二部分通用合同条款中赋予的含义相同。</w:t>
      </w:r>
    </w:p>
    <w:p>
      <w:pPr>
        <w:spacing w:line="360" w:lineRule="auto"/>
        <w:ind w:firstLine="482" w:firstLineChars="200"/>
        <w:contextualSpacing/>
        <w:rPr>
          <w:rFonts w:hint="eastAsia" w:ascii="宋体" w:hAnsi="宋体"/>
          <w:b/>
          <w:color w:val="000000"/>
          <w:sz w:val="24"/>
        </w:rPr>
      </w:pPr>
      <w:bookmarkStart w:id="33" w:name="_Toc351203489"/>
      <w:r>
        <w:rPr>
          <w:rFonts w:hint="eastAsia" w:ascii="宋体" w:hAnsi="宋体"/>
          <w:b/>
          <w:color w:val="000000"/>
          <w:sz w:val="24"/>
        </w:rPr>
        <w:t>九、签订时间</w:t>
      </w:r>
      <w:bookmarkEnd w:id="33"/>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 xml:space="preserve">本合同于 </w:t>
      </w:r>
      <w:r>
        <w:rPr>
          <w:rFonts w:hint="eastAsia" w:ascii="宋体" w:hAnsi="宋体"/>
          <w:bCs/>
          <w:color w:val="000000"/>
          <w:sz w:val="24"/>
          <w:u w:val="single"/>
        </w:rPr>
        <w:t xml:space="preserve">     </w:t>
      </w:r>
      <w:r>
        <w:rPr>
          <w:rFonts w:hint="eastAsia" w:ascii="宋体" w:hAnsi="宋体"/>
          <w:bCs/>
          <w:color w:val="000000"/>
          <w:sz w:val="24"/>
        </w:rPr>
        <w:t>年</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rPr>
        <w:t>日签订。</w:t>
      </w:r>
    </w:p>
    <w:p>
      <w:pPr>
        <w:spacing w:line="360" w:lineRule="auto"/>
        <w:ind w:firstLine="482" w:firstLineChars="200"/>
        <w:contextualSpacing/>
        <w:rPr>
          <w:rFonts w:hint="eastAsia" w:ascii="宋体" w:hAnsi="宋体"/>
          <w:b/>
          <w:color w:val="000000"/>
          <w:sz w:val="24"/>
        </w:rPr>
      </w:pPr>
      <w:bookmarkStart w:id="34" w:name="_Toc351203490"/>
      <w:r>
        <w:rPr>
          <w:rFonts w:hint="eastAsia" w:ascii="宋体" w:hAnsi="宋体"/>
          <w:b/>
          <w:color w:val="000000"/>
          <w:sz w:val="24"/>
        </w:rPr>
        <w:t>十、签订地点</w:t>
      </w:r>
      <w:bookmarkEnd w:id="34"/>
    </w:p>
    <w:p>
      <w:pPr>
        <w:spacing w:line="360" w:lineRule="auto"/>
        <w:ind w:firstLine="480" w:firstLineChars="200"/>
        <w:contextualSpacing/>
        <w:rPr>
          <w:rFonts w:hint="eastAsia" w:ascii="宋体" w:hAnsi="宋体"/>
          <w:bCs/>
          <w:color w:val="000000"/>
          <w:sz w:val="24"/>
          <w:szCs w:val="24"/>
        </w:rPr>
      </w:pPr>
      <w:r>
        <w:rPr>
          <w:rFonts w:hint="eastAsia" w:ascii="宋体" w:hAnsi="宋体"/>
          <w:bCs/>
          <w:color w:val="000000"/>
          <w:sz w:val="24"/>
          <w:szCs w:val="24"/>
        </w:rPr>
        <w:t>本合同在</w:t>
      </w:r>
      <w:r>
        <w:rPr>
          <w:rFonts w:hint="eastAsia" w:ascii="宋体" w:hAnsi="宋体"/>
          <w:bCs/>
          <w:color w:val="000000"/>
          <w:sz w:val="24"/>
          <w:szCs w:val="24"/>
          <w:u w:val="single"/>
        </w:rPr>
        <w:t xml:space="preserve">                </w:t>
      </w:r>
      <w:r>
        <w:rPr>
          <w:rFonts w:hint="eastAsia" w:ascii="宋体" w:hAnsi="宋体"/>
          <w:bCs/>
          <w:color w:val="000000"/>
          <w:sz w:val="24"/>
          <w:szCs w:val="24"/>
        </w:rPr>
        <w:t>签订。</w:t>
      </w:r>
    </w:p>
    <w:p>
      <w:pPr>
        <w:spacing w:line="360" w:lineRule="auto"/>
        <w:ind w:firstLine="482" w:firstLineChars="200"/>
        <w:contextualSpacing/>
        <w:rPr>
          <w:rFonts w:hint="eastAsia" w:ascii="宋体" w:hAnsi="宋体"/>
          <w:b/>
          <w:color w:val="000000"/>
          <w:sz w:val="24"/>
        </w:rPr>
      </w:pPr>
      <w:bookmarkStart w:id="35" w:name="_Toc351203491"/>
      <w:r>
        <w:rPr>
          <w:rFonts w:hint="eastAsia" w:ascii="宋体" w:hAnsi="宋体"/>
          <w:b/>
          <w:color w:val="000000"/>
          <w:sz w:val="24"/>
        </w:rPr>
        <w:t>十一、补充协议</w:t>
      </w:r>
      <w:bookmarkEnd w:id="35"/>
    </w:p>
    <w:p>
      <w:pPr>
        <w:spacing w:line="360" w:lineRule="auto"/>
        <w:ind w:firstLine="480" w:firstLineChars="200"/>
        <w:contextualSpacing/>
        <w:rPr>
          <w:rFonts w:hint="eastAsia" w:ascii="宋体" w:hAnsi="宋体"/>
          <w:b/>
          <w:bCs/>
          <w:color w:val="000000"/>
          <w:sz w:val="24"/>
        </w:rPr>
      </w:pPr>
      <w:r>
        <w:rPr>
          <w:rFonts w:hint="eastAsia" w:ascii="宋体" w:hAnsi="宋体"/>
          <w:bCs/>
          <w:color w:val="000000"/>
          <w:sz w:val="24"/>
        </w:rPr>
        <w:t>合同未尽事宜，合同当事人另行签订补充协议，补充协议是合同的组成部分。</w:t>
      </w:r>
    </w:p>
    <w:p>
      <w:pPr>
        <w:spacing w:line="360" w:lineRule="auto"/>
        <w:ind w:firstLine="482" w:firstLineChars="200"/>
        <w:contextualSpacing/>
        <w:rPr>
          <w:rFonts w:hint="eastAsia" w:ascii="宋体" w:hAnsi="宋体"/>
          <w:b/>
          <w:color w:val="000000"/>
          <w:sz w:val="24"/>
        </w:rPr>
      </w:pPr>
      <w:bookmarkStart w:id="36" w:name="_Toc351203492"/>
      <w:r>
        <w:rPr>
          <w:rFonts w:hint="eastAsia" w:ascii="宋体" w:hAnsi="宋体"/>
          <w:b/>
          <w:color w:val="000000"/>
          <w:sz w:val="24"/>
        </w:rPr>
        <w:t>十二、合同生效</w:t>
      </w:r>
      <w:bookmarkEnd w:id="36"/>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本合同自</w:t>
      </w:r>
      <w:r>
        <w:rPr>
          <w:rFonts w:hint="eastAsia" w:ascii="宋体" w:hAnsi="宋体"/>
          <w:bCs/>
          <w:color w:val="000000"/>
          <w:sz w:val="24"/>
          <w:u w:val="single"/>
        </w:rPr>
        <w:t xml:space="preserve"> 双方签字并盖章后 </w:t>
      </w:r>
      <w:r>
        <w:rPr>
          <w:rFonts w:hint="eastAsia" w:ascii="宋体" w:hAnsi="宋体"/>
          <w:bCs/>
          <w:color w:val="000000"/>
          <w:sz w:val="24"/>
        </w:rPr>
        <w:t>生效。</w:t>
      </w:r>
    </w:p>
    <w:p>
      <w:pPr>
        <w:spacing w:line="360" w:lineRule="auto"/>
        <w:ind w:firstLine="482" w:firstLineChars="200"/>
        <w:contextualSpacing/>
        <w:rPr>
          <w:rFonts w:hint="eastAsia" w:ascii="宋体" w:hAnsi="宋体"/>
          <w:b/>
          <w:color w:val="000000"/>
          <w:sz w:val="24"/>
        </w:rPr>
      </w:pPr>
      <w:bookmarkStart w:id="37" w:name="_Toc351203493"/>
      <w:r>
        <w:rPr>
          <w:rFonts w:hint="eastAsia" w:ascii="宋体" w:hAnsi="宋体"/>
          <w:b/>
          <w:color w:val="000000"/>
          <w:sz w:val="24"/>
        </w:rPr>
        <w:t>十三、合同份数</w:t>
      </w:r>
      <w:bookmarkEnd w:id="37"/>
    </w:p>
    <w:p>
      <w:pPr>
        <w:spacing w:line="360" w:lineRule="auto"/>
        <w:ind w:firstLine="480" w:firstLineChars="200"/>
        <w:contextualSpacing/>
        <w:rPr>
          <w:rFonts w:hint="eastAsia" w:ascii="宋体" w:hAnsi="宋体"/>
          <w:bCs/>
          <w:color w:val="000000"/>
          <w:sz w:val="24"/>
        </w:rPr>
      </w:pPr>
      <w:r>
        <w:rPr>
          <w:rFonts w:hint="eastAsia" w:ascii="宋体" w:hAnsi="宋体"/>
          <w:bCs/>
          <w:color w:val="000000"/>
          <w:sz w:val="24"/>
        </w:rPr>
        <w:t>本合同一式</w:t>
      </w:r>
      <w:r>
        <w:rPr>
          <w:rFonts w:hint="eastAsia" w:ascii="宋体" w:hAnsi="宋体"/>
          <w:bCs/>
          <w:color w:val="000000"/>
          <w:sz w:val="24"/>
          <w:u w:val="single"/>
        </w:rPr>
        <w:t xml:space="preserve">    </w:t>
      </w:r>
      <w:r>
        <w:rPr>
          <w:rFonts w:hint="eastAsia" w:ascii="宋体" w:hAnsi="宋体"/>
          <w:bCs/>
          <w:color w:val="000000"/>
          <w:sz w:val="24"/>
        </w:rPr>
        <w:t>份，均具有同等法律效力，发包人执</w:t>
      </w:r>
      <w:r>
        <w:rPr>
          <w:rFonts w:hint="eastAsia" w:ascii="宋体" w:hAnsi="宋体"/>
          <w:bCs/>
          <w:color w:val="000000"/>
          <w:sz w:val="24"/>
          <w:u w:val="single"/>
        </w:rPr>
        <w:t xml:space="preserve">   </w:t>
      </w:r>
      <w:r>
        <w:rPr>
          <w:rFonts w:hint="eastAsia" w:ascii="宋体" w:hAnsi="宋体"/>
          <w:bCs/>
          <w:color w:val="000000"/>
          <w:sz w:val="24"/>
        </w:rPr>
        <w:t>份，承包人执</w:t>
      </w:r>
      <w:r>
        <w:rPr>
          <w:rFonts w:hint="eastAsia" w:ascii="宋体" w:hAnsi="宋体"/>
          <w:bCs/>
          <w:color w:val="000000"/>
          <w:sz w:val="24"/>
          <w:u w:val="single"/>
        </w:rPr>
        <w:t xml:space="preserve">  </w:t>
      </w:r>
      <w:r>
        <w:rPr>
          <w:rFonts w:hint="eastAsia" w:ascii="宋体" w:hAnsi="宋体"/>
          <w:bCs/>
          <w:color w:val="000000"/>
          <w:sz w:val="24"/>
        </w:rPr>
        <w:t>份。</w:t>
      </w:r>
    </w:p>
    <w:p>
      <w:pPr>
        <w:spacing w:line="360" w:lineRule="auto"/>
        <w:ind w:firstLine="480" w:firstLineChars="200"/>
        <w:contextualSpacing/>
        <w:rPr>
          <w:rFonts w:hint="eastAsia" w:ascii="宋体" w:hAnsi="宋体"/>
          <w:bCs/>
          <w:color w:val="000000"/>
          <w:sz w:val="24"/>
        </w:rPr>
      </w:pPr>
    </w:p>
    <w:p>
      <w:pPr>
        <w:spacing w:line="300" w:lineRule="auto"/>
        <w:ind w:firstLine="480" w:firstLineChars="200"/>
        <w:rPr>
          <w:rFonts w:hint="eastAsia" w:ascii="宋体" w:hAnsi="宋体"/>
          <w:bCs/>
          <w:color w:val="000000"/>
          <w:sz w:val="24"/>
        </w:rPr>
      </w:pPr>
    </w:p>
    <w:p>
      <w:pPr>
        <w:spacing w:line="300" w:lineRule="auto"/>
        <w:rPr>
          <w:rFonts w:hint="eastAsia" w:ascii="宋体" w:hAnsi="宋体"/>
          <w:color w:val="000000"/>
          <w:sz w:val="24"/>
        </w:rPr>
      </w:pPr>
      <w:r>
        <w:rPr>
          <w:rFonts w:hint="eastAsia" w:ascii="宋体" w:hAnsi="宋体"/>
          <w:color w:val="000000"/>
          <w:sz w:val="24"/>
        </w:rPr>
        <w:t>发包人： (公章)                        承包人： (公章)</w:t>
      </w:r>
    </w:p>
    <w:p>
      <w:pPr>
        <w:spacing w:line="300" w:lineRule="auto"/>
        <w:rPr>
          <w:rFonts w:hint="eastAsia" w:ascii="宋体" w:hAnsi="宋体"/>
          <w:color w:val="000000"/>
          <w:sz w:val="24"/>
        </w:rPr>
      </w:pPr>
      <w:r>
        <w:rPr>
          <w:rFonts w:hint="eastAsia" w:ascii="宋体" w:hAnsi="宋体"/>
          <w:color w:val="000000"/>
          <w:sz w:val="24"/>
        </w:rPr>
        <w:t xml:space="preserve">                                 </w:t>
      </w:r>
    </w:p>
    <w:p>
      <w:pPr>
        <w:spacing w:line="300" w:lineRule="auto"/>
        <w:rPr>
          <w:rFonts w:hint="eastAsia" w:ascii="宋体" w:hAnsi="宋体"/>
          <w:color w:val="000000"/>
          <w:sz w:val="24"/>
        </w:rPr>
      </w:pPr>
      <w:r>
        <w:rPr>
          <w:rFonts w:hint="eastAsia" w:ascii="宋体" w:hAnsi="宋体"/>
          <w:color w:val="000000"/>
          <w:sz w:val="24"/>
        </w:rPr>
        <w:t>法定代表人或其委托代理人：              法定代表人或其委托代理人：</w:t>
      </w:r>
    </w:p>
    <w:p>
      <w:pPr>
        <w:spacing w:line="300" w:lineRule="auto"/>
        <w:rPr>
          <w:rFonts w:hint="eastAsia" w:ascii="宋体" w:hAnsi="宋体"/>
          <w:color w:val="000000"/>
          <w:sz w:val="24"/>
        </w:rPr>
      </w:pPr>
      <w:r>
        <w:rPr>
          <w:rFonts w:hint="eastAsia" w:ascii="宋体" w:hAnsi="宋体"/>
          <w:color w:val="000000"/>
          <w:sz w:val="24"/>
        </w:rPr>
        <w:t>（签字）                                （签字）</w:t>
      </w:r>
    </w:p>
    <w:p>
      <w:pPr>
        <w:spacing w:line="300" w:lineRule="auto"/>
        <w:rPr>
          <w:rFonts w:hint="eastAsia" w:ascii="宋体" w:hAnsi="宋体"/>
          <w:color w:val="000000"/>
          <w:sz w:val="24"/>
          <w:u w:val="single"/>
        </w:rPr>
      </w:pPr>
    </w:p>
    <w:p>
      <w:pPr>
        <w:spacing w:line="300" w:lineRule="auto"/>
        <w:rPr>
          <w:rFonts w:hint="eastAsia" w:ascii="宋体" w:hAnsi="宋体"/>
          <w:color w:val="000000"/>
          <w:sz w:val="24"/>
        </w:rPr>
      </w:pPr>
      <w:r>
        <w:rPr>
          <w:rFonts w:hint="eastAsia" w:ascii="宋体" w:hAnsi="宋体"/>
          <w:color w:val="000000"/>
          <w:sz w:val="24"/>
        </w:rPr>
        <w:t xml:space="preserve">组织机构代码:                           组织机构代码：                       </w:t>
      </w:r>
    </w:p>
    <w:p>
      <w:pPr>
        <w:spacing w:line="300" w:lineRule="auto"/>
        <w:rPr>
          <w:rFonts w:hint="eastAsia" w:ascii="宋体" w:hAnsi="宋体"/>
          <w:color w:val="000000"/>
          <w:sz w:val="24"/>
        </w:rPr>
      </w:pPr>
      <w:r>
        <w:rPr>
          <w:rFonts w:hint="eastAsia" w:ascii="宋体" w:hAnsi="宋体"/>
          <w:color w:val="000000"/>
          <w:sz w:val="24"/>
        </w:rPr>
        <w:t xml:space="preserve">地  址：                                地  址：                             </w:t>
      </w:r>
    </w:p>
    <w:p>
      <w:pPr>
        <w:spacing w:line="300" w:lineRule="auto"/>
        <w:rPr>
          <w:rFonts w:hint="eastAsia" w:ascii="宋体" w:hAnsi="宋体"/>
          <w:color w:val="000000"/>
          <w:sz w:val="24"/>
        </w:rPr>
      </w:pPr>
      <w:r>
        <w:rPr>
          <w:rFonts w:hint="eastAsia" w:ascii="宋体" w:hAnsi="宋体"/>
          <w:color w:val="000000"/>
          <w:sz w:val="24"/>
        </w:rPr>
        <w:t xml:space="preserve">邮政编码：                              邮政编码：                           </w:t>
      </w:r>
    </w:p>
    <w:p>
      <w:pPr>
        <w:spacing w:line="300" w:lineRule="auto"/>
        <w:rPr>
          <w:rFonts w:hint="eastAsia" w:ascii="宋体" w:hAnsi="宋体"/>
          <w:color w:val="000000"/>
          <w:sz w:val="24"/>
        </w:rPr>
      </w:pPr>
      <w:r>
        <w:rPr>
          <w:rFonts w:hint="eastAsia" w:ascii="宋体" w:hAnsi="宋体"/>
          <w:color w:val="000000"/>
          <w:sz w:val="24"/>
        </w:rPr>
        <w:t xml:space="preserve">法定代表人：                            法定代表人：                         </w:t>
      </w:r>
    </w:p>
    <w:p>
      <w:pPr>
        <w:spacing w:line="300" w:lineRule="auto"/>
        <w:rPr>
          <w:rFonts w:hint="eastAsia" w:ascii="宋体" w:hAnsi="宋体"/>
          <w:color w:val="000000"/>
          <w:sz w:val="24"/>
        </w:rPr>
      </w:pPr>
      <w:r>
        <w:rPr>
          <w:rFonts w:hint="eastAsia" w:ascii="宋体" w:hAnsi="宋体"/>
          <w:color w:val="000000"/>
          <w:sz w:val="24"/>
        </w:rPr>
        <w:t xml:space="preserve">委托代理人：                            委托代理人：                         </w:t>
      </w:r>
    </w:p>
    <w:p>
      <w:pPr>
        <w:spacing w:line="300" w:lineRule="auto"/>
        <w:rPr>
          <w:rFonts w:hint="eastAsia" w:ascii="宋体" w:hAnsi="宋体"/>
          <w:color w:val="000000"/>
          <w:sz w:val="24"/>
        </w:rPr>
      </w:pPr>
      <w:r>
        <w:rPr>
          <w:rFonts w:hint="eastAsia" w:ascii="宋体" w:hAnsi="宋体"/>
          <w:color w:val="000000"/>
          <w:sz w:val="24"/>
        </w:rPr>
        <w:t xml:space="preserve">电  话：                                电  话：                             </w:t>
      </w:r>
    </w:p>
    <w:p>
      <w:pPr>
        <w:spacing w:line="300" w:lineRule="auto"/>
        <w:rPr>
          <w:rFonts w:hint="eastAsia" w:ascii="宋体" w:hAnsi="宋体"/>
          <w:color w:val="000000"/>
          <w:sz w:val="24"/>
        </w:rPr>
      </w:pPr>
      <w:r>
        <w:rPr>
          <w:rFonts w:hint="eastAsia" w:ascii="宋体" w:hAnsi="宋体"/>
          <w:color w:val="000000"/>
          <w:sz w:val="24"/>
        </w:rPr>
        <w:t xml:space="preserve">传  真：                                传  真：                             </w:t>
      </w:r>
    </w:p>
    <w:p>
      <w:pPr>
        <w:spacing w:line="300" w:lineRule="auto"/>
        <w:rPr>
          <w:rFonts w:hint="eastAsia" w:ascii="宋体" w:hAnsi="宋体"/>
          <w:color w:val="000000"/>
          <w:sz w:val="24"/>
        </w:rPr>
      </w:pPr>
      <w:r>
        <w:rPr>
          <w:rFonts w:hint="eastAsia" w:ascii="宋体" w:hAnsi="宋体"/>
          <w:color w:val="000000"/>
          <w:sz w:val="24"/>
        </w:rPr>
        <w:t xml:space="preserve">电子信箱：                              电子信箱：                           </w:t>
      </w:r>
    </w:p>
    <w:p>
      <w:pPr>
        <w:spacing w:line="300" w:lineRule="auto"/>
        <w:rPr>
          <w:rFonts w:hint="eastAsia" w:ascii="宋体" w:hAnsi="宋体"/>
          <w:color w:val="000000"/>
          <w:sz w:val="24"/>
        </w:rPr>
      </w:pPr>
      <w:r>
        <w:rPr>
          <w:rFonts w:hint="eastAsia" w:ascii="宋体" w:hAnsi="宋体"/>
          <w:color w:val="000000"/>
          <w:sz w:val="24"/>
        </w:rPr>
        <w:t xml:space="preserve">开户银行：                              开户银行：                          </w:t>
      </w:r>
    </w:p>
    <w:p>
      <w:pPr>
        <w:spacing w:line="300" w:lineRule="auto"/>
        <w:rPr>
          <w:rFonts w:hint="eastAsia" w:ascii="宋体" w:hAnsi="宋体"/>
          <w:color w:val="000000"/>
          <w:sz w:val="24"/>
        </w:rPr>
      </w:pPr>
      <w:r>
        <w:rPr>
          <w:rFonts w:hint="eastAsia" w:ascii="宋体" w:hAnsi="宋体"/>
          <w:color w:val="000000"/>
          <w:sz w:val="24"/>
        </w:rPr>
        <w:t xml:space="preserve">账  号：                                账  号：                             </w:t>
      </w:r>
      <w:bookmarkStart w:id="38" w:name="_Toc351203494"/>
    </w:p>
    <w:p>
      <w:pPr>
        <w:spacing w:line="360" w:lineRule="auto"/>
        <w:ind w:firstLine="562" w:firstLineChars="200"/>
        <w:contextualSpacing/>
        <w:jc w:val="center"/>
        <w:rPr>
          <w:rFonts w:hint="eastAsia" w:ascii="宋体" w:hAnsi="宋体"/>
          <w:b/>
          <w:color w:val="000000"/>
          <w:sz w:val="28"/>
          <w:szCs w:val="28"/>
        </w:rPr>
      </w:pPr>
    </w:p>
    <w:p>
      <w:pPr>
        <w:spacing w:line="360" w:lineRule="auto"/>
        <w:ind w:firstLine="562" w:firstLineChars="200"/>
        <w:contextualSpacing/>
        <w:jc w:val="center"/>
        <w:rPr>
          <w:rFonts w:hint="eastAsia" w:ascii="宋体" w:hAnsi="宋体"/>
          <w:b/>
          <w:color w:val="000000"/>
          <w:sz w:val="28"/>
          <w:szCs w:val="28"/>
        </w:rPr>
      </w:pPr>
    </w:p>
    <w:p>
      <w:pPr>
        <w:spacing w:line="360" w:lineRule="auto"/>
        <w:ind w:firstLine="562" w:firstLineChars="200"/>
        <w:contextualSpacing/>
        <w:jc w:val="center"/>
        <w:rPr>
          <w:rFonts w:hint="eastAsia" w:ascii="宋体" w:hAnsi="宋体"/>
          <w:b/>
          <w:color w:val="000000"/>
          <w:sz w:val="28"/>
          <w:szCs w:val="28"/>
        </w:rPr>
      </w:pPr>
    </w:p>
    <w:p>
      <w:pPr>
        <w:spacing w:line="360" w:lineRule="auto"/>
        <w:ind w:firstLine="562" w:firstLineChars="200"/>
        <w:contextualSpacing/>
        <w:jc w:val="center"/>
        <w:rPr>
          <w:rFonts w:hint="eastAsia" w:ascii="宋体" w:hAnsi="宋体"/>
          <w:b/>
          <w:color w:val="000000"/>
          <w:sz w:val="28"/>
          <w:szCs w:val="28"/>
        </w:rPr>
      </w:pPr>
      <w:r>
        <w:rPr>
          <w:rFonts w:ascii="宋体" w:hAnsi="宋体"/>
          <w:b/>
          <w:color w:val="000000"/>
          <w:sz w:val="28"/>
          <w:szCs w:val="28"/>
        </w:rPr>
        <w:t>第二部分 通用合同条款</w:t>
      </w:r>
      <w:bookmarkEnd w:id="38"/>
      <w:bookmarkStart w:id="39" w:name="_Toc337558727"/>
    </w:p>
    <w:p>
      <w:pPr>
        <w:pStyle w:val="14"/>
        <w:adjustRightInd/>
        <w:spacing w:before="0" w:after="0" w:line="360" w:lineRule="auto"/>
        <w:ind w:left="0" w:right="0" w:firstLine="480" w:firstLineChars="200"/>
        <w:contextualSpacing/>
        <w:jc w:val="center"/>
        <w:rPr>
          <w:rFonts w:hint="eastAsia" w:ascii="宋体" w:hAnsi="宋体"/>
          <w:color w:val="000000"/>
          <w:kern w:val="2"/>
          <w:szCs w:val="24"/>
        </w:rPr>
      </w:pPr>
      <w:r>
        <w:rPr>
          <w:rFonts w:hint="eastAsia" w:ascii="宋体" w:hAnsi="宋体"/>
          <w:color w:val="000000"/>
          <w:kern w:val="2"/>
          <w:szCs w:val="24"/>
        </w:rPr>
        <w:t>此部分采用《建设工程施工合同》范本（GF-2013-0201）中《第二部分通用条款》</w:t>
      </w:r>
    </w:p>
    <w:p>
      <w:pPr>
        <w:pStyle w:val="14"/>
        <w:adjustRightInd/>
        <w:spacing w:before="0" w:after="0" w:line="360" w:lineRule="auto"/>
        <w:ind w:left="0" w:right="0" w:firstLine="420" w:firstLineChars="200"/>
        <w:contextualSpacing/>
        <w:jc w:val="center"/>
        <w:rPr>
          <w:rFonts w:hint="eastAsia" w:ascii="宋体" w:hAnsi="宋体"/>
          <w:color w:val="000000"/>
          <w:kern w:val="2"/>
          <w:sz w:val="21"/>
          <w:szCs w:val="22"/>
        </w:rPr>
      </w:pPr>
    </w:p>
    <w:bookmarkEnd w:id="39"/>
    <w:p>
      <w:pPr>
        <w:spacing w:line="360" w:lineRule="auto"/>
        <w:ind w:firstLine="562" w:firstLineChars="200"/>
        <w:contextualSpacing/>
        <w:jc w:val="center"/>
        <w:rPr>
          <w:rFonts w:hint="eastAsia" w:ascii="宋体" w:hAnsi="宋体"/>
          <w:b/>
          <w:color w:val="000000"/>
          <w:sz w:val="28"/>
          <w:szCs w:val="28"/>
        </w:rPr>
      </w:pPr>
      <w:bookmarkStart w:id="40" w:name="_Toc351203632"/>
      <w:r>
        <w:rPr>
          <w:rFonts w:ascii="宋体" w:hAnsi="宋体"/>
          <w:b/>
          <w:color w:val="000000"/>
          <w:sz w:val="28"/>
          <w:szCs w:val="28"/>
        </w:rPr>
        <w:t xml:space="preserve">第三部分 </w:t>
      </w:r>
      <w:r>
        <w:rPr>
          <w:rFonts w:hint="eastAsia" w:ascii="宋体" w:hAnsi="宋体"/>
          <w:b/>
          <w:color w:val="000000"/>
          <w:sz w:val="28"/>
          <w:szCs w:val="28"/>
        </w:rPr>
        <w:t>专用合同条款</w:t>
      </w:r>
      <w:bookmarkEnd w:id="40"/>
      <w:bookmarkStart w:id="41" w:name="_Toc351203633"/>
    </w:p>
    <w:p>
      <w:pPr>
        <w:spacing w:line="360" w:lineRule="auto"/>
        <w:ind w:firstLine="480" w:firstLineChars="200"/>
        <w:contextualSpacing/>
        <w:rPr>
          <w:rFonts w:ascii="宋体" w:hAnsi="宋体"/>
          <w:color w:val="000000"/>
          <w:sz w:val="24"/>
        </w:rPr>
      </w:pPr>
      <w:r>
        <w:rPr>
          <w:rFonts w:ascii="宋体" w:hAnsi="宋体"/>
          <w:color w:val="000000"/>
          <w:sz w:val="24"/>
        </w:rPr>
        <w:t>1</w:t>
      </w:r>
      <w:bookmarkStart w:id="42" w:name="_Toc296347155"/>
      <w:bookmarkStart w:id="43" w:name="_Toc296890984"/>
      <w:bookmarkStart w:id="44" w:name="_Toc297120456"/>
      <w:bookmarkStart w:id="45" w:name="_Toc297048342"/>
      <w:bookmarkStart w:id="46" w:name="_Toc296944495"/>
      <w:bookmarkStart w:id="47" w:name="_Toc296503156"/>
      <w:bookmarkStart w:id="48" w:name="_Toc292559361"/>
      <w:bookmarkStart w:id="49" w:name="_Toc296891196"/>
      <w:bookmarkStart w:id="50" w:name="_Toc296346657"/>
      <w:bookmarkStart w:id="51" w:name="_Toc292559866"/>
      <w:r>
        <w:rPr>
          <w:rFonts w:ascii="宋体" w:hAnsi="宋体"/>
          <w:color w:val="000000"/>
          <w:sz w:val="24"/>
        </w:rPr>
        <w:t>. 一般约定</w:t>
      </w:r>
      <w:bookmarkEnd w:id="41"/>
    </w:p>
    <w:bookmarkEnd w:id="42"/>
    <w:bookmarkEnd w:id="43"/>
    <w:bookmarkEnd w:id="44"/>
    <w:bookmarkEnd w:id="45"/>
    <w:bookmarkEnd w:id="46"/>
    <w:bookmarkEnd w:id="47"/>
    <w:bookmarkEnd w:id="48"/>
    <w:bookmarkEnd w:id="49"/>
    <w:bookmarkEnd w:id="50"/>
    <w:bookmarkEnd w:id="51"/>
    <w:p>
      <w:pPr>
        <w:spacing w:line="360" w:lineRule="auto"/>
        <w:ind w:firstLine="480" w:firstLineChars="200"/>
        <w:contextualSpacing/>
        <w:rPr>
          <w:rFonts w:ascii="宋体" w:hAnsi="宋体"/>
          <w:color w:val="000000"/>
          <w:sz w:val="24"/>
        </w:rPr>
      </w:pPr>
      <w:r>
        <w:rPr>
          <w:rFonts w:ascii="宋体" w:hAnsi="宋体"/>
          <w:color w:val="000000"/>
          <w:sz w:val="24"/>
        </w:rPr>
        <w:t>1.1 词语定义</w:t>
      </w:r>
    </w:p>
    <w:p>
      <w:pPr>
        <w:spacing w:line="360" w:lineRule="auto"/>
        <w:ind w:firstLine="480" w:firstLineChars="200"/>
        <w:contextualSpacing/>
        <w:rPr>
          <w:rFonts w:ascii="宋体" w:hAnsi="宋体"/>
          <w:color w:val="000000"/>
          <w:sz w:val="24"/>
          <w:szCs w:val="32"/>
        </w:rPr>
      </w:pPr>
      <w:r>
        <w:rPr>
          <w:rFonts w:ascii="宋体" w:hAnsi="宋体"/>
          <w:color w:val="000000"/>
          <w:sz w:val="24"/>
          <w:szCs w:val="32"/>
        </w:rPr>
        <w:t>1.1.1合同</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1.1.1.10其他合同文件包括：</w:t>
      </w:r>
      <w:r>
        <w:rPr>
          <w:rFonts w:hint="eastAsia" w:ascii="宋体" w:hAnsi="宋体"/>
          <w:color w:val="000000"/>
          <w:sz w:val="24"/>
          <w:u w:val="single"/>
        </w:rPr>
        <w:t xml:space="preserve"> (1)本合同协议书 ；(2)中标通知书 ；(3)投标书及其附件 ；(4)本合同专用条款 ；(5)本合同通用条款 ；(6)标准、规范及有关技术文件 ；(7) 工程量清单 ；(8)工程报价单或预算书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szCs w:val="32"/>
        </w:rPr>
        <w:t>1</w:t>
      </w:r>
      <w:r>
        <w:rPr>
          <w:rFonts w:ascii="宋体" w:hAnsi="宋体"/>
          <w:color w:val="000000"/>
          <w:sz w:val="24"/>
        </w:rPr>
        <w:t>.1.2 合同当事人及其他相关方</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1.1.2.4监理人：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1.1.2.5 设计人：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名    称：</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资质类别和等级：</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1.1.3 工程和设备</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1.1.3.7 作为施工现场组成部分的其他场所包括：</w:t>
      </w:r>
      <w:r>
        <w:rPr>
          <w:rFonts w:hint="eastAsia" w:ascii="宋体" w:hAnsi="宋体"/>
          <w:color w:val="000000"/>
          <w:sz w:val="24"/>
          <w:u w:val="single"/>
        </w:rPr>
        <w:t>/</w:t>
      </w:r>
      <w:r>
        <w:rPr>
          <w:rFonts w:hint="eastAsia" w:ascii="宋体" w:hAnsi="宋体"/>
          <w:color w:val="000000"/>
          <w:sz w:val="24"/>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1.1.3.9 永久占地包括：</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1.1.3.10 临时占地包括：</w:t>
      </w:r>
      <w:r>
        <w:rPr>
          <w:rFonts w:hint="eastAsia" w:ascii="宋体" w:hAnsi="宋体"/>
          <w:color w:val="000000"/>
          <w:sz w:val="24"/>
          <w:u w:val="single"/>
        </w:rPr>
        <w:t xml:space="preserve"> 按现状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 xml:space="preserve">1.3法律 </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适用于合同的其他规范性文件：</w:t>
      </w:r>
      <w:r>
        <w:rPr>
          <w:rFonts w:hint="eastAsia" w:ascii="宋体" w:hAnsi="宋体"/>
          <w:color w:val="000000"/>
          <w:sz w:val="24"/>
          <w:u w:val="single"/>
        </w:rPr>
        <w:t xml:space="preserve"> 《中华人民共和国合同法》、《中华人民共和国建筑法》、《中华人民共和国招投标法》、《建设工程质量管理条例》、《中华人民共和国招标投标法实施条例》、七部委第30号令《工程建设项目施工招标投标办法》及现行国家、行业、专业和南京市的有关标准、规范、规定和条例所阐明的强制性标准。当对同一考核指标国家、行业、专业和南京市颁布的有关标准、规范产生不一致时，以其颁布的标准、规范较为严格者为准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1.4 标准和规范</w:t>
      </w:r>
    </w:p>
    <w:p>
      <w:pPr>
        <w:spacing w:line="360" w:lineRule="auto"/>
        <w:ind w:firstLine="480" w:firstLineChars="200"/>
        <w:contextualSpacing/>
        <w:rPr>
          <w:rFonts w:ascii="宋体" w:hAnsi="宋体"/>
          <w:color w:val="000000"/>
          <w:sz w:val="24"/>
          <w:szCs w:val="32"/>
        </w:rPr>
      </w:pPr>
      <w:r>
        <w:rPr>
          <w:rFonts w:ascii="宋体" w:hAnsi="宋体"/>
          <w:color w:val="000000"/>
          <w:sz w:val="24"/>
        </w:rPr>
        <w:t>1.4.1适用于工程的标准规范包括：</w:t>
      </w:r>
      <w:r>
        <w:rPr>
          <w:rFonts w:hint="eastAsia" w:ascii="宋体" w:hAnsi="宋体"/>
          <w:color w:val="000000"/>
          <w:sz w:val="24"/>
          <w:u w:val="single"/>
        </w:rPr>
        <w:t xml:space="preserve"> 本项目应按国家颁发的有关规范、标准及省、市有关规定设计及施工。除非合同中另有规定，施工所用的规范及标准须采用最新版本。如遇设计或施工规范和标准对同一问题的处理出现相互矛盾的情况时，承包人应及时通知监理工程师，并提出解决办法，征得监理工程师的同意后实施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1.4.2 发包人提供国外标准、规范的名称：</w:t>
      </w:r>
      <w:r>
        <w:rPr>
          <w:rFonts w:hint="eastAsia" w:ascii="宋体" w:hAnsi="宋体"/>
          <w:color w:val="000000"/>
          <w:sz w:val="24"/>
        </w:rPr>
        <w:t xml:space="preserve"> </w:t>
      </w:r>
      <w:r>
        <w:rPr>
          <w:rFonts w:hint="eastAsia" w:ascii="宋体" w:hAnsi="宋体"/>
          <w:color w:val="000000"/>
          <w:sz w:val="24"/>
          <w:u w:val="single"/>
        </w:rPr>
        <w:t>无</w:t>
      </w:r>
      <w:r>
        <w:rPr>
          <w:rFonts w:hint="eastAsia" w:ascii="宋体" w:hAnsi="宋体"/>
          <w:color w:val="000000"/>
          <w:sz w:val="24"/>
        </w:rPr>
        <w:t xml:space="preserve"> </w:t>
      </w:r>
      <w:r>
        <w:rPr>
          <w:rFonts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发包人提供国外标准、规范的份数：</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发包人提供国外标准、规范的名称：</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ascii="宋体" w:hAnsi="宋体"/>
          <w:color w:val="000000"/>
          <w:sz w:val="24"/>
          <w:szCs w:val="32"/>
        </w:rPr>
      </w:pPr>
      <w:r>
        <w:rPr>
          <w:rFonts w:ascii="宋体" w:hAnsi="宋体"/>
          <w:color w:val="000000"/>
          <w:sz w:val="24"/>
        </w:rPr>
        <w:t>1.4.3发包人对工程的技术标准和功能要求的特殊要求：</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1.5 合同文件的优先顺序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合同文件组成及优先顺序为：</w:t>
      </w:r>
      <w:r>
        <w:rPr>
          <w:rFonts w:hint="eastAsia" w:ascii="宋体" w:hAnsi="宋体"/>
          <w:color w:val="000000"/>
          <w:sz w:val="24"/>
          <w:u w:val="single"/>
        </w:rPr>
        <w:t xml:space="preserve"> 本合同协议书；中标通知书；招标文件、工程量清单及招标文件修改澄清（含答疑）；投标书及其附件；合同专用条款；合同通用条款；标准、规范及有关技术文件；工程报价单或预算书</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1.6 图纸和承包人文件</w:t>
      </w:r>
      <w:r>
        <w:rPr>
          <w:rFonts w:ascii="宋体" w:hAnsi="宋体"/>
          <w:color w:val="000000"/>
          <w:sz w:val="24"/>
        </w:rPr>
        <w:tab/>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1.6.1 图纸的提供</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发包人向承包人提供图纸的期限：</w:t>
      </w:r>
      <w:r>
        <w:rPr>
          <w:rFonts w:hint="eastAsia" w:ascii="宋体" w:hAnsi="宋体"/>
          <w:color w:val="000000"/>
          <w:sz w:val="24"/>
          <w:u w:val="single"/>
        </w:rPr>
        <w:t xml:space="preserve"> 无</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发包人向承包人提供图纸的数量：</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发包人向承包人提供图纸的内容：</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1.6.4 承包人文件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需要由承包人提供的文件，包括：</w:t>
      </w:r>
      <w:r>
        <w:rPr>
          <w:rFonts w:hint="eastAsia" w:ascii="宋体" w:hAnsi="宋体"/>
          <w:color w:val="000000"/>
          <w:sz w:val="24"/>
          <w:u w:val="single"/>
        </w:rPr>
        <w:t xml:space="preserve"> 施工组织方案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承包人提供的文件的期限为：</w:t>
      </w:r>
      <w:r>
        <w:rPr>
          <w:rFonts w:hint="eastAsia" w:ascii="宋体" w:hAnsi="宋体"/>
          <w:color w:val="000000"/>
          <w:sz w:val="24"/>
          <w:u w:val="single"/>
        </w:rPr>
        <w:t xml:space="preserve"> 签订合同后7日内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承包人提供的文件的数量为：</w:t>
      </w:r>
      <w:r>
        <w:rPr>
          <w:rFonts w:hint="eastAsia" w:ascii="宋体" w:hAnsi="宋体"/>
          <w:color w:val="000000"/>
          <w:sz w:val="24"/>
          <w:u w:val="single"/>
        </w:rPr>
        <w:t xml:space="preserve"> 3套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承包人提供的文件的形式为：</w:t>
      </w:r>
      <w:r>
        <w:rPr>
          <w:rFonts w:hint="eastAsia" w:ascii="宋体" w:hAnsi="宋体"/>
          <w:color w:val="000000"/>
          <w:sz w:val="24"/>
          <w:szCs w:val="24"/>
          <w:u w:val="single" w:color="000000"/>
        </w:rPr>
        <w:t>提供电子档一份，书面文件２份</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发包人审批承包人文件的期限：</w:t>
      </w:r>
      <w:r>
        <w:rPr>
          <w:rFonts w:hint="eastAsia" w:ascii="宋体" w:hAnsi="宋体"/>
          <w:color w:val="000000"/>
          <w:sz w:val="24"/>
          <w:u w:val="single"/>
        </w:rPr>
        <w:t xml:space="preserve"> 自收到文件后5日内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1.6.5 现场图纸准备</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关于现场图纸准备的约定：</w:t>
      </w:r>
      <w:r>
        <w:rPr>
          <w:rFonts w:hint="eastAsia" w:ascii="宋体" w:hAnsi="宋体"/>
          <w:color w:val="000000"/>
          <w:sz w:val="24"/>
          <w:szCs w:val="24"/>
          <w:u w:val="single" w:color="000000"/>
        </w:rPr>
        <w:t xml:space="preserve">   /  。</w:t>
      </w:r>
    </w:p>
    <w:p>
      <w:pPr>
        <w:spacing w:line="360" w:lineRule="auto"/>
        <w:ind w:firstLine="480" w:firstLineChars="200"/>
        <w:contextualSpacing/>
        <w:rPr>
          <w:rFonts w:ascii="宋体" w:hAnsi="宋体"/>
          <w:color w:val="000000"/>
          <w:sz w:val="24"/>
        </w:rPr>
      </w:pPr>
      <w:r>
        <w:rPr>
          <w:rFonts w:ascii="宋体" w:hAnsi="宋体"/>
          <w:color w:val="000000"/>
          <w:sz w:val="24"/>
        </w:rPr>
        <w:t>1.7 联络</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1.7.1发包人和承包人应当在</w:t>
      </w:r>
      <w:r>
        <w:rPr>
          <w:rFonts w:hint="eastAsia" w:ascii="宋体" w:hAnsi="宋体"/>
          <w:color w:val="000000"/>
          <w:sz w:val="24"/>
          <w:u w:val="single"/>
        </w:rPr>
        <w:t xml:space="preserve"> 3 </w:t>
      </w:r>
      <w:r>
        <w:rPr>
          <w:rFonts w:hint="eastAsia" w:ascii="宋体" w:hAnsi="宋体"/>
          <w:color w:val="000000"/>
          <w:sz w:val="24"/>
        </w:rPr>
        <w:t>天内将与合同有关的通知、批准、证明、证书、指示、指令、要求、请求、同意、意见、确定和决定等书面函件送达对方当事人。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1.7.2 发包人接收文件的地点：</w:t>
      </w:r>
      <w:r>
        <w:rPr>
          <w:rFonts w:hint="eastAsia" w:ascii="宋体" w:hAnsi="宋体"/>
          <w:color w:val="000000"/>
          <w:sz w:val="24"/>
          <w:szCs w:val="24"/>
          <w:u w:val="single" w:color="000000"/>
        </w:rPr>
        <w:t>项目现场</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发包人指定的接收人为：</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承包人接收文件的地点：</w:t>
      </w:r>
      <w:r>
        <w:rPr>
          <w:rFonts w:hint="eastAsia" w:ascii="宋体" w:hAnsi="宋体"/>
          <w:color w:val="000000"/>
          <w:sz w:val="24"/>
          <w:u w:val="single"/>
        </w:rPr>
        <w:t xml:space="preserve"> 项目现场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承包人指定的接收人为：</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监理人接收文件的地点：</w:t>
      </w:r>
      <w:r>
        <w:rPr>
          <w:rFonts w:hint="eastAsia" w:ascii="宋体" w:hAnsi="宋体"/>
          <w:color w:val="000000"/>
          <w:sz w:val="24"/>
          <w:u w:val="single"/>
        </w:rPr>
        <w:t>项目现场</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监理人指定的接收人为：</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1.10 交通运输</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bookmarkStart w:id="52" w:name="_Toc300934943"/>
      <w:bookmarkStart w:id="53" w:name="_Toc318581155"/>
      <w:bookmarkStart w:id="54" w:name="_Toc303539100"/>
      <w:bookmarkStart w:id="55" w:name="_Toc312677986"/>
      <w:bookmarkStart w:id="56" w:name="_Toc304295521"/>
      <w:r>
        <w:rPr>
          <w:rFonts w:hint="eastAsia" w:ascii="宋体" w:hAnsi="宋体"/>
          <w:color w:val="000000"/>
          <w:sz w:val="24"/>
        </w:rPr>
        <w:t>.10.1 出入现场的权利</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关于出入现场的权利的约定：</w:t>
      </w:r>
      <w:r>
        <w:rPr>
          <w:rFonts w:hint="eastAsia" w:ascii="宋体" w:hAnsi="宋体"/>
          <w:color w:val="000000"/>
          <w:sz w:val="24"/>
          <w:u w:val="single"/>
        </w:rPr>
        <w:t xml:space="preserve"> 发包人项目负责人及主管领导、承包人项目组成员 </w:t>
      </w:r>
      <w:r>
        <w:rPr>
          <w:rFonts w:hint="eastAsia" w:ascii="宋体" w:hAnsi="宋体"/>
          <w:color w:val="000000"/>
          <w:sz w:val="24"/>
        </w:rPr>
        <w:t>。</w:t>
      </w:r>
    </w:p>
    <w:bookmarkEnd w:id="52"/>
    <w:bookmarkEnd w:id="53"/>
    <w:bookmarkEnd w:id="54"/>
    <w:bookmarkEnd w:id="55"/>
    <w:bookmarkEnd w:id="56"/>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bookmarkStart w:id="57" w:name="_Toc318581156"/>
      <w:bookmarkStart w:id="58" w:name="_Toc304295522"/>
      <w:bookmarkStart w:id="59" w:name="_Toc312677987"/>
      <w:bookmarkStart w:id="60" w:name="_Toc300934944"/>
      <w:bookmarkStart w:id="61" w:name="_Toc303539101"/>
      <w:r>
        <w:rPr>
          <w:rFonts w:hint="eastAsia" w:ascii="宋体" w:hAnsi="宋体"/>
          <w:color w:val="000000"/>
          <w:sz w:val="24"/>
        </w:rPr>
        <w:t>.10.3 场内交通</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关于场外交通和场内交通的边界的约定：</w:t>
      </w:r>
      <w:r>
        <w:rPr>
          <w:rFonts w:hint="eastAsia" w:ascii="宋体" w:hAnsi="宋体"/>
          <w:color w:val="000000"/>
          <w:sz w:val="24"/>
          <w:u w:val="single"/>
        </w:rPr>
        <w:t xml:space="preserve"> 视项目现场情况另行约定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关于发包人向承包人免费提供满足工程施工需要的场内道路和交通设施的约定：</w:t>
      </w:r>
      <w:r>
        <w:rPr>
          <w:rFonts w:hint="eastAsia" w:ascii="宋体" w:hAnsi="宋体"/>
          <w:color w:val="000000"/>
          <w:sz w:val="24"/>
          <w:u w:val="single"/>
        </w:rPr>
        <w:t xml:space="preserve"> / </w:t>
      </w:r>
      <w:bookmarkEnd w:id="57"/>
      <w:bookmarkEnd w:id="58"/>
      <w:bookmarkEnd w:id="59"/>
      <w:bookmarkEnd w:id="60"/>
      <w:bookmarkEnd w:id="61"/>
      <w:bookmarkStart w:id="62" w:name="_Toc318581157"/>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1.10.4超大件和超重件的运输</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运输超大件或超重件所需的道路和桥梁临时加固改造费用和其他有关费用由</w:t>
      </w:r>
      <w:r>
        <w:rPr>
          <w:rFonts w:hint="eastAsia" w:ascii="宋体" w:hAnsi="宋体"/>
          <w:color w:val="000000"/>
          <w:sz w:val="24"/>
          <w:u w:val="single"/>
        </w:rPr>
        <w:t xml:space="preserve"> / </w:t>
      </w:r>
      <w:r>
        <w:rPr>
          <w:rFonts w:hint="eastAsia" w:ascii="宋体" w:hAnsi="宋体"/>
          <w:color w:val="000000"/>
          <w:sz w:val="24"/>
        </w:rPr>
        <w:t>。</w:t>
      </w:r>
    </w:p>
    <w:bookmarkEnd w:id="62"/>
    <w:p>
      <w:pPr>
        <w:spacing w:line="360" w:lineRule="auto"/>
        <w:ind w:firstLine="480" w:firstLineChars="200"/>
        <w:contextualSpacing/>
        <w:rPr>
          <w:rFonts w:ascii="宋体" w:hAnsi="宋体"/>
          <w:color w:val="000000"/>
          <w:sz w:val="24"/>
        </w:rPr>
      </w:pPr>
      <w:r>
        <w:rPr>
          <w:rFonts w:ascii="宋体" w:hAnsi="宋体"/>
          <w:color w:val="000000"/>
          <w:sz w:val="24"/>
        </w:rPr>
        <w:t>1.11 知识产权</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 w:val="24"/>
          <w:u w:val="single"/>
        </w:rPr>
        <w:t>属于发包人。</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关于发包人提供的上述文件的使用限制的要求</w:t>
      </w:r>
      <w:r>
        <w:rPr>
          <w:rFonts w:hint="eastAsia" w:ascii="宋体" w:hAnsi="宋体"/>
          <w:color w:val="000000"/>
          <w:sz w:val="24"/>
          <w:u w:val="single"/>
        </w:rPr>
        <w:t>：仅限于此工程项目</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1.11.2 关于承包人为实施工程所编制文件的著作权的归属：</w:t>
      </w:r>
      <w:r>
        <w:rPr>
          <w:rFonts w:hint="eastAsia" w:ascii="宋体" w:hAnsi="宋体"/>
          <w:color w:val="000000"/>
          <w:sz w:val="24"/>
          <w:u w:val="single"/>
        </w:rPr>
        <w:t xml:space="preserve"> 属承包人</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关于承包人提供的上述文件的使用限制的要求：</w:t>
      </w:r>
      <w:r>
        <w:rPr>
          <w:rFonts w:hint="eastAsia" w:ascii="宋体" w:hAnsi="宋体"/>
          <w:color w:val="000000"/>
          <w:sz w:val="24"/>
          <w:u w:val="single"/>
        </w:rPr>
        <w:t xml:space="preserve"> 仅限于此工程项目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1.11.4 承包人在施工过程中所采用的专利、专有技术、技术秘密的使用费的承担方式：</w:t>
      </w:r>
      <w:r>
        <w:rPr>
          <w:rFonts w:hint="eastAsia" w:ascii="宋体" w:hAnsi="宋体"/>
          <w:color w:val="000000"/>
          <w:sz w:val="24"/>
          <w:u w:val="single"/>
        </w:rPr>
        <w:t xml:space="preserve">由承包人承担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1.13工程量清单错误的修正</w:t>
      </w:r>
    </w:p>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rPr>
        <w:t>出现工程量清单错误时，是否调整合同价格：</w:t>
      </w:r>
      <w:r>
        <w:rPr>
          <w:rFonts w:hint="eastAsia" w:ascii="宋体" w:hAnsi="宋体"/>
          <w:color w:val="000000"/>
          <w:sz w:val="24"/>
          <w:szCs w:val="24"/>
          <w:u w:val="single"/>
        </w:rPr>
        <w:t>是</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允许调整合同价格的工程量偏差范围：</w:t>
      </w:r>
      <w:r>
        <w:rPr>
          <w:rFonts w:hint="eastAsia" w:ascii="宋体" w:hAnsi="宋体"/>
          <w:color w:val="000000"/>
          <w:sz w:val="24"/>
          <w:szCs w:val="24"/>
          <w:u w:val="single" w:color="000000"/>
        </w:rPr>
        <w:t>只调整工程量数量，单价执行中标单价及合同约定的人工费、机械费、材料费调差。</w:t>
      </w:r>
    </w:p>
    <w:p>
      <w:pPr>
        <w:spacing w:line="360" w:lineRule="auto"/>
        <w:ind w:firstLine="480" w:firstLineChars="200"/>
        <w:contextualSpacing/>
        <w:rPr>
          <w:rFonts w:ascii="宋体" w:hAnsi="宋体"/>
          <w:color w:val="000000"/>
          <w:sz w:val="24"/>
        </w:rPr>
      </w:pPr>
      <w:bookmarkStart w:id="63" w:name="_Toc351203634"/>
      <w:r>
        <w:rPr>
          <w:rFonts w:ascii="宋体" w:hAnsi="宋体"/>
          <w:color w:val="000000"/>
          <w:sz w:val="24"/>
        </w:rPr>
        <w:t>2</w:t>
      </w:r>
      <w:bookmarkStart w:id="64" w:name="_Toc296346658"/>
      <w:bookmarkStart w:id="65" w:name="_Toc292559867"/>
      <w:bookmarkStart w:id="66" w:name="_Toc292559362"/>
      <w:bookmarkStart w:id="67" w:name="_Toc296347156"/>
      <w:bookmarkStart w:id="68" w:name="_Toc296890985"/>
      <w:bookmarkStart w:id="69" w:name="_Toc296891197"/>
      <w:bookmarkStart w:id="70" w:name="_Toc296944496"/>
      <w:bookmarkStart w:id="71" w:name="_Toc296503157"/>
      <w:bookmarkStart w:id="72" w:name="_Toc297048343"/>
      <w:bookmarkStart w:id="73" w:name="_Toc297120457"/>
      <w:r>
        <w:rPr>
          <w:rFonts w:ascii="宋体" w:hAnsi="宋体"/>
          <w:color w:val="000000"/>
          <w:sz w:val="24"/>
        </w:rPr>
        <w:t>. 发包人</w:t>
      </w:r>
      <w:bookmarkEnd w:id="63"/>
    </w:p>
    <w:bookmarkEnd w:id="64"/>
    <w:bookmarkEnd w:id="65"/>
    <w:bookmarkEnd w:id="66"/>
    <w:bookmarkEnd w:id="67"/>
    <w:bookmarkEnd w:id="68"/>
    <w:bookmarkEnd w:id="69"/>
    <w:bookmarkEnd w:id="70"/>
    <w:bookmarkEnd w:id="71"/>
    <w:bookmarkEnd w:id="72"/>
    <w:bookmarkEnd w:id="73"/>
    <w:p>
      <w:pPr>
        <w:spacing w:line="360" w:lineRule="auto"/>
        <w:ind w:firstLine="480" w:firstLineChars="200"/>
        <w:contextualSpacing/>
        <w:rPr>
          <w:rFonts w:ascii="宋体" w:hAnsi="宋体"/>
          <w:color w:val="000000"/>
          <w:sz w:val="24"/>
        </w:rPr>
      </w:pPr>
      <w:r>
        <w:rPr>
          <w:rFonts w:ascii="宋体" w:hAnsi="宋体"/>
          <w:color w:val="000000"/>
          <w:sz w:val="24"/>
        </w:rPr>
        <w:t>2.2 发包人代表</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发包人代表：</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b/>
          <w:color w:val="000000"/>
          <w:sz w:val="24"/>
        </w:rPr>
      </w:pPr>
      <w:r>
        <w:rPr>
          <w:rFonts w:hint="eastAsia" w:ascii="宋体" w:hAnsi="宋体"/>
          <w:color w:val="000000"/>
          <w:sz w:val="24"/>
        </w:rPr>
        <w:t>发包人对发包人代表的授权范围如下：</w:t>
      </w:r>
      <w:r>
        <w:rPr>
          <w:rFonts w:hint="eastAsia" w:ascii="宋体" w:hAnsi="宋体"/>
          <w:color w:val="000000"/>
          <w:sz w:val="24"/>
          <w:u w:val="single"/>
        </w:rPr>
        <w:t>代表发包人行使职权。</w:t>
      </w:r>
    </w:p>
    <w:p>
      <w:pPr>
        <w:spacing w:line="360" w:lineRule="auto"/>
        <w:ind w:firstLine="480" w:firstLineChars="200"/>
        <w:contextualSpacing/>
        <w:rPr>
          <w:rFonts w:ascii="宋体" w:hAnsi="宋体"/>
          <w:color w:val="000000"/>
          <w:sz w:val="24"/>
        </w:rPr>
      </w:pPr>
      <w:r>
        <w:rPr>
          <w:rFonts w:ascii="宋体" w:hAnsi="宋体"/>
          <w:color w:val="000000"/>
          <w:sz w:val="24"/>
        </w:rPr>
        <w:t>2.4 施工现场、施工条件和基础资料的提供</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2.4.1 提供施工现场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关于发包人移交施工现场的期限要求：</w:t>
      </w:r>
      <w:r>
        <w:rPr>
          <w:rFonts w:hint="eastAsia" w:ascii="宋体" w:hAnsi="宋体"/>
          <w:color w:val="000000"/>
          <w:sz w:val="24"/>
          <w:u w:val="single"/>
        </w:rPr>
        <w:t xml:space="preserve"> 签订合同，签署开工令后3日内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2.4.2 提供施工条件</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关于发包人应负责提供施工所需要的条件，包括：</w:t>
      </w:r>
      <w:r>
        <w:rPr>
          <w:rFonts w:hint="eastAsia" w:ascii="宋体" w:hAnsi="宋体"/>
          <w:color w:val="000000"/>
          <w:sz w:val="24"/>
          <w:szCs w:val="24"/>
          <w:u w:val="single" w:color="000000"/>
        </w:rPr>
        <w:t>就近提供水、电源接口，承包人自行接至施工地点，承包人装表计量，水、电费用由承包人承担，发包方按月代为交纳，工程款支付时扣回，如因城市供电、供水部门等非发包人原因导致的停水、停电，承包人不得向发包人索赔。承包人进场后，甲乙双方应及时办理临时水电设施的移交手续，移交后由承包人负责维护</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2.5 资金来源证明及支付担保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发包人提供资金来源证明的期限要求：</w:t>
      </w:r>
      <w:r>
        <w:rPr>
          <w:rFonts w:hint="eastAsia" w:ascii="宋体" w:hAnsi="宋体"/>
          <w:color w:val="000000"/>
          <w:sz w:val="24"/>
          <w:u w:val="single"/>
        </w:rPr>
        <w:t xml:space="preserve"> 签订合同后7日内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发包人是否提供支付担保：</w:t>
      </w:r>
      <w:r>
        <w:rPr>
          <w:rFonts w:hint="eastAsia" w:ascii="宋体" w:hAnsi="宋体"/>
          <w:color w:val="000000"/>
          <w:sz w:val="24"/>
          <w:szCs w:val="24"/>
          <w:u w:val="single" w:color="000000"/>
        </w:rPr>
        <w:t>是</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发包人提供支付担保的形式：</w:t>
      </w:r>
      <w:r>
        <w:rPr>
          <w:rFonts w:hint="eastAsia" w:ascii="宋体" w:hAnsi="宋体"/>
          <w:color w:val="000000"/>
          <w:sz w:val="24"/>
          <w:szCs w:val="24"/>
          <w:u w:val="single" w:color="000000"/>
        </w:rPr>
        <w:t>中标人应当在与招标人签订合同前向招标人提交金额为承发包合同总价的10%的银行保函作为履约担保，如不提交将视为中标人放弃中标并没收其投标保证金。招标人在确认收到中标人按要求提交的履约担保并与中标人签订施工合同后，向中标人提交同等金额的银行保函作为工程款支付担保。支付担保退回与履约担保退回同时进行。</w:t>
      </w:r>
    </w:p>
    <w:p>
      <w:pPr>
        <w:spacing w:line="360" w:lineRule="auto"/>
        <w:ind w:firstLine="480" w:firstLineChars="200"/>
        <w:contextualSpacing/>
        <w:rPr>
          <w:rFonts w:ascii="宋体" w:hAnsi="宋体"/>
          <w:color w:val="000000"/>
          <w:sz w:val="24"/>
        </w:rPr>
      </w:pPr>
      <w:bookmarkStart w:id="74" w:name="_Toc351203635"/>
      <w:r>
        <w:rPr>
          <w:rFonts w:ascii="宋体" w:hAnsi="宋体"/>
          <w:color w:val="000000"/>
          <w:sz w:val="24"/>
        </w:rPr>
        <w:t>3</w:t>
      </w:r>
      <w:bookmarkStart w:id="75" w:name="_Toc296503158"/>
      <w:bookmarkStart w:id="76" w:name="_Toc297120458"/>
      <w:bookmarkStart w:id="77" w:name="_Toc297048344"/>
      <w:bookmarkStart w:id="78" w:name="_Toc296890986"/>
      <w:bookmarkStart w:id="79" w:name="_Toc296891198"/>
      <w:bookmarkStart w:id="80" w:name="_Toc292559363"/>
      <w:bookmarkStart w:id="81" w:name="_Toc292559868"/>
      <w:bookmarkStart w:id="82" w:name="_Toc296347157"/>
      <w:bookmarkStart w:id="83" w:name="_Toc296346659"/>
      <w:bookmarkStart w:id="84" w:name="_Toc296944497"/>
      <w:r>
        <w:rPr>
          <w:rFonts w:ascii="宋体" w:hAnsi="宋体"/>
          <w:color w:val="000000"/>
          <w:sz w:val="24"/>
        </w:rPr>
        <w:t>. 承包人</w:t>
      </w:r>
      <w:bookmarkEnd w:id="74"/>
    </w:p>
    <w:bookmarkEnd w:id="75"/>
    <w:bookmarkEnd w:id="76"/>
    <w:bookmarkEnd w:id="77"/>
    <w:bookmarkEnd w:id="78"/>
    <w:bookmarkEnd w:id="79"/>
    <w:bookmarkEnd w:id="80"/>
    <w:bookmarkEnd w:id="81"/>
    <w:bookmarkEnd w:id="82"/>
    <w:bookmarkEnd w:id="83"/>
    <w:bookmarkEnd w:id="84"/>
    <w:p>
      <w:pPr>
        <w:spacing w:line="360" w:lineRule="auto"/>
        <w:ind w:firstLine="480" w:firstLineChars="200"/>
        <w:contextualSpacing/>
        <w:rPr>
          <w:rFonts w:ascii="宋体" w:hAnsi="宋体"/>
          <w:color w:val="000000"/>
          <w:sz w:val="24"/>
        </w:rPr>
      </w:pPr>
      <w:r>
        <w:rPr>
          <w:rFonts w:ascii="宋体" w:hAnsi="宋体"/>
          <w:color w:val="000000"/>
          <w:sz w:val="24"/>
        </w:rPr>
        <w:t>3.1 承包人的一般义务</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（5）承包人提交的竣工资料的内容：</w:t>
      </w:r>
      <w:r>
        <w:rPr>
          <w:rFonts w:hint="eastAsia" w:ascii="宋体" w:hAnsi="宋体"/>
          <w:color w:val="000000"/>
          <w:sz w:val="24"/>
          <w:szCs w:val="24"/>
          <w:u w:val="single" w:color="000000"/>
        </w:rPr>
        <w:t>提供竣工图、竣工验收资料、竣工结算资料、设计变更、签证等应当由承包人提供的相关资料</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承包人需要提交的竣工资料套数：</w:t>
      </w:r>
      <w:r>
        <w:rPr>
          <w:rFonts w:hint="eastAsia" w:ascii="宋体" w:hAnsi="宋体"/>
          <w:color w:val="000000"/>
          <w:sz w:val="24"/>
          <w:u w:val="single"/>
        </w:rPr>
        <w:t xml:space="preserve"> 肆套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承包人提交的竣工资料的费用承担：</w:t>
      </w:r>
      <w:r>
        <w:rPr>
          <w:rFonts w:hint="eastAsia" w:ascii="宋体" w:hAnsi="宋体"/>
          <w:color w:val="000000"/>
          <w:sz w:val="24"/>
          <w:u w:val="single"/>
        </w:rPr>
        <w:t xml:space="preserve"> 自行承担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承包人提交的竣工资料移交时间：</w:t>
      </w:r>
      <w:r>
        <w:rPr>
          <w:rFonts w:hint="eastAsia" w:ascii="宋体" w:hAnsi="宋体"/>
          <w:color w:val="000000"/>
          <w:sz w:val="24"/>
          <w:szCs w:val="24"/>
          <w:u w:val="single" w:color="000000"/>
        </w:rPr>
        <w:t>开工前分别向发包人及监理方报送施工组织设计、总进度计划与材料计划；向发包人提交年、季、月工程进度计划及相应计划进度、统计表和工程事故报告；每月25日报送当月完成工程量报表(含工程变更及签证预算)、发包人供应材料清单计划、承包人购材料清单进度计划，以及下月进度计划；发包人要求提供的其他报表。与工程计量、计价、付款有关的资料，还需提供给跟踪审计单位。</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承包人提交的竣工资料形式要求：</w:t>
      </w:r>
      <w:r>
        <w:rPr>
          <w:rFonts w:hint="eastAsia" w:ascii="宋体" w:hAnsi="宋体"/>
          <w:color w:val="000000"/>
          <w:sz w:val="24"/>
          <w:u w:val="single"/>
        </w:rPr>
        <w:t xml:space="preserve"> 书面资料、电子资料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（6）承包人应履行的其他义务：</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1）承包人应承担现场道路、房屋、设施设备等既有成品的保护责任，所需费用已含在合同价款内，如因承包人责任损坏，承包人负责赔偿。</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2 ）如果承包方发现发包方提供的图纸或其他工程资料存在明显的错误或不合理，不提出异议，造成后果，承包方应承担由此造成的一切损失。</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场地使用必须无条件接受发包人规定的区域，临时设施搭建的标准必须满足与质量要求相配套的标准化现场要求。临时用房的结构应确保安全，要求上报公司，并得到技术负责人安检确认。竣工验收后办理竣工结算前，在发包人指定的时间内清运建筑垃圾并拆除临时设施，施工人员全部撤离现场。有配合审计及监理工作的义务，及时处理好现场各类事务。</w:t>
      </w:r>
    </w:p>
    <w:p>
      <w:pPr>
        <w:spacing w:line="360" w:lineRule="auto"/>
        <w:ind w:firstLine="480" w:firstLineChars="200"/>
        <w:contextualSpacing/>
        <w:rPr>
          <w:rFonts w:ascii="宋体" w:hAnsi="宋体"/>
          <w:color w:val="000000"/>
          <w:sz w:val="24"/>
        </w:rPr>
      </w:pPr>
      <w:r>
        <w:rPr>
          <w:rFonts w:ascii="宋体" w:hAnsi="宋体"/>
          <w:color w:val="000000"/>
          <w:sz w:val="24"/>
        </w:rPr>
        <w:t>3.2 项目经理</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3.2.1 项目经理：</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身份证号：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建造师执业资格等级：</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建造师注册证书号：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建造师执业印章号：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安全生产考核合格证书号：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承包人对项目经理的授权范围如下：</w:t>
      </w:r>
      <w:r>
        <w:rPr>
          <w:rFonts w:hint="eastAsia" w:ascii="宋体" w:hAnsi="宋体"/>
          <w:color w:val="000000"/>
          <w:sz w:val="24"/>
          <w:u w:val="single"/>
        </w:rPr>
        <w:t xml:space="preserve"> 代表承包人行使合同约定的承包人权利和义务，履行合同约定的承包人职责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关于项目经理每月在施工现场的时间要求：</w:t>
      </w:r>
      <w:r>
        <w:rPr>
          <w:rFonts w:hint="eastAsia" w:ascii="宋体" w:hAnsi="宋体"/>
          <w:color w:val="000000"/>
          <w:sz w:val="24"/>
          <w:u w:val="single"/>
        </w:rPr>
        <w:t xml:space="preserve"> 一周不少于5天，每天不少于8小时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承包人未提交劳动合同，以及没有为项目经理缴纳社会保险证明的违约责任：</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项目经理未经批准，擅自离开施工现场的违约责任：</w:t>
      </w:r>
      <w:r>
        <w:rPr>
          <w:rFonts w:hint="eastAsia" w:ascii="宋体" w:hAnsi="宋体"/>
          <w:color w:val="000000"/>
          <w:sz w:val="24"/>
          <w:szCs w:val="24"/>
          <w:u w:val="single" w:color="000000"/>
        </w:rPr>
        <w:t>人员离开工地需经发包人及总监理工程师同意，若无正当理由且未经发包人及总监理工程师的同意不在工地现场的，发现一次罚款5000元。若承包人项目经理及项目主要管理人员无故连续三天不在工地，又无发包人可以接受的理由，则发包人有权解除与承包人的所有建设工程合同，并要求承包人赔偿一切损失，违约赔偿金在每次付工程款中扣除，承包人不得提出异议</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3.2.3 承包人擅自更换项目经理的违约责任：</w:t>
      </w:r>
      <w:r>
        <w:rPr>
          <w:rFonts w:hint="eastAsia" w:ascii="宋体" w:hAnsi="宋体"/>
          <w:color w:val="000000"/>
          <w:sz w:val="24"/>
          <w:u w:val="single"/>
        </w:rPr>
        <w:t xml:space="preserve"> 解除合同、追究违约责任，并报主管部门备案，承包人承担上述违约所造成的一切损失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3.2.4 承包人无正当理由拒绝更换项目经理的违约责任：</w:t>
      </w:r>
      <w:r>
        <w:rPr>
          <w:rFonts w:hint="eastAsia" w:ascii="宋体" w:hAnsi="宋体"/>
          <w:color w:val="000000"/>
          <w:sz w:val="24"/>
          <w:u w:val="single"/>
        </w:rPr>
        <w:t xml:space="preserve"> 如出现以上情况或其他违约，发包人有权要求承包人撤换调整其认为不称职的项目经理及项目部成员，承包人拒绝的，发包人有权解除合同，承包人承担上述违约所造成的一切损失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3.3 承包人人员</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3.3.1 承包人提交项目管理机构及施工现场管理人员安排报告的期限：</w:t>
      </w:r>
      <w:r>
        <w:rPr>
          <w:rFonts w:hint="eastAsia" w:ascii="宋体" w:hAnsi="宋体"/>
          <w:color w:val="000000"/>
          <w:sz w:val="24"/>
          <w:u w:val="single"/>
        </w:rPr>
        <w:t xml:space="preserve"> 开工前一周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3.3.3 承包人无正当理由拒绝撤换主要施工管理人员的违约责任：</w:t>
      </w:r>
      <w:r>
        <w:rPr>
          <w:rFonts w:hint="eastAsia" w:ascii="宋体" w:hAnsi="宋体"/>
          <w:color w:val="000000"/>
          <w:sz w:val="24"/>
          <w:u w:val="single"/>
        </w:rPr>
        <w:t xml:space="preserve"> 发包人有权要求承包人撤换调整其认为不称职的项目经理及项目部成员，承包人拒绝的，发包人有权解除合同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3.3.4 承包人主要施工管理人员离开施工现场的批准要求：</w:t>
      </w:r>
      <w:r>
        <w:rPr>
          <w:rFonts w:hint="eastAsia" w:ascii="宋体" w:hAnsi="宋体"/>
          <w:color w:val="000000"/>
          <w:sz w:val="24"/>
          <w:u w:val="single"/>
        </w:rPr>
        <w:t xml:space="preserve"> 经发包人书面批准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3.3.5承包人擅自更换主要施工管理人员的违约责任：</w:t>
      </w:r>
      <w:r>
        <w:rPr>
          <w:rFonts w:hint="eastAsia" w:ascii="宋体" w:hAnsi="宋体"/>
          <w:color w:val="000000"/>
          <w:sz w:val="24"/>
          <w:u w:val="single"/>
        </w:rPr>
        <w:t xml:space="preserve"> 投标文件中及合同中明确的项目经理和各专业人员不得擅自变更，开工时或施工过程中若有擅自变更，发包人有权解除合同，并追究由此带来的发包人一切损失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承包人主要施工管理人员擅自离开施工现场的违约责任：</w:t>
      </w:r>
      <w:r>
        <w:rPr>
          <w:rFonts w:hint="eastAsia" w:ascii="宋体" w:hAnsi="宋体"/>
          <w:color w:val="000000"/>
          <w:sz w:val="24"/>
          <w:u w:val="single"/>
        </w:rPr>
        <w:t xml:space="preserve"> 主要人员必须常驻现场，若出现未经发包人书面批准的主要人员更换的情况，则视为违约。如承包人违约，发包人将处罚承包人2000元/次的违约金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3</w:t>
      </w:r>
      <w:bookmarkStart w:id="85" w:name="_Toc292559364"/>
      <w:bookmarkStart w:id="86" w:name="_Toc292559869"/>
      <w:bookmarkStart w:id="87" w:name="_Toc296347158"/>
      <w:bookmarkStart w:id="88" w:name="_Toc296346660"/>
      <w:bookmarkStart w:id="89" w:name="_Toc296890987"/>
      <w:bookmarkStart w:id="90" w:name="_Toc296891199"/>
      <w:bookmarkStart w:id="91" w:name="_Toc296944498"/>
      <w:bookmarkStart w:id="92" w:name="_Toc296503159"/>
      <w:bookmarkStart w:id="93" w:name="_Toc297048345"/>
      <w:bookmarkStart w:id="94" w:name="_Toc297120459"/>
      <w:bookmarkStart w:id="95" w:name="_Toc297123492"/>
      <w:bookmarkStart w:id="96" w:name="_Toc297216151"/>
      <w:bookmarkStart w:id="97" w:name="_Toc300934945"/>
      <w:bookmarkStart w:id="98" w:name="_Toc303539102"/>
      <w:bookmarkStart w:id="99" w:name="_Toc304295523"/>
      <w:bookmarkStart w:id="100" w:name="_Toc312677988"/>
      <w:r>
        <w:rPr>
          <w:rFonts w:ascii="宋体" w:hAnsi="宋体"/>
          <w:color w:val="000000"/>
          <w:sz w:val="24"/>
        </w:rPr>
        <w:t>.5 分包</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pStyle w:val="15"/>
        <w:spacing w:line="360" w:lineRule="auto"/>
        <w:ind w:firstLine="480" w:firstLineChars="200"/>
        <w:contextualSpacing/>
        <w:jc w:val="left"/>
        <w:rPr>
          <w:rFonts w:hint="eastAsia" w:ascii="宋体" w:hAnsi="宋体"/>
          <w:snapToGrid w:val="0"/>
          <w:color w:val="000000"/>
          <w:szCs w:val="20"/>
        </w:rPr>
      </w:pPr>
      <w:bookmarkStart w:id="101" w:name="_Toc312677990"/>
      <w:bookmarkStart w:id="102" w:name="_Toc318581159"/>
      <w:r>
        <w:rPr>
          <w:rFonts w:hint="eastAsia" w:ascii="宋体" w:hAnsi="宋体"/>
          <w:snapToGrid w:val="0"/>
          <w:color w:val="000000"/>
          <w:szCs w:val="20"/>
        </w:rPr>
        <w:t>3.5.1 分包的一般约定</w:t>
      </w:r>
    </w:p>
    <w:p>
      <w:pPr>
        <w:pStyle w:val="15"/>
        <w:spacing w:line="360" w:lineRule="auto"/>
        <w:ind w:firstLine="480" w:firstLineChars="200"/>
        <w:contextualSpacing/>
        <w:jc w:val="left"/>
        <w:rPr>
          <w:rFonts w:hint="eastAsia" w:ascii="宋体" w:hAnsi="宋体"/>
          <w:snapToGrid w:val="0"/>
          <w:color w:val="000000"/>
          <w:szCs w:val="20"/>
        </w:rPr>
      </w:pPr>
      <w:r>
        <w:rPr>
          <w:rFonts w:hint="eastAsia" w:ascii="宋体" w:hAnsi="宋体"/>
          <w:snapToGrid w:val="0"/>
          <w:color w:val="000000"/>
          <w:szCs w:val="20"/>
        </w:rPr>
        <w:t>禁止分包的工程包括：</w:t>
      </w:r>
      <w:r>
        <w:rPr>
          <w:rFonts w:hint="eastAsia" w:ascii="宋体" w:hAnsi="宋体"/>
          <w:snapToGrid w:val="0"/>
          <w:color w:val="000000"/>
          <w:szCs w:val="20"/>
          <w:u w:val="single"/>
        </w:rPr>
        <w:t>主体、关键性工作。</w:t>
      </w:r>
    </w:p>
    <w:p>
      <w:pPr>
        <w:pStyle w:val="15"/>
        <w:spacing w:line="360" w:lineRule="auto"/>
        <w:ind w:firstLine="480" w:firstLineChars="200"/>
        <w:contextualSpacing/>
        <w:jc w:val="left"/>
        <w:rPr>
          <w:rFonts w:hint="eastAsia" w:ascii="宋体" w:hAnsi="宋体"/>
          <w:snapToGrid w:val="0"/>
          <w:color w:val="000000"/>
          <w:szCs w:val="20"/>
          <w:u w:val="single"/>
        </w:rPr>
      </w:pPr>
      <w:r>
        <w:rPr>
          <w:rFonts w:hint="eastAsia" w:ascii="宋体" w:hAnsi="宋体"/>
          <w:snapToGrid w:val="0"/>
          <w:color w:val="000000"/>
          <w:szCs w:val="20"/>
        </w:rPr>
        <w:t>主体结构、关键性工作的范围：</w:t>
      </w:r>
      <w:r>
        <w:rPr>
          <w:rFonts w:hint="eastAsia" w:ascii="宋体" w:hAnsi="宋体"/>
          <w:snapToGrid w:val="0"/>
          <w:color w:val="000000"/>
          <w:szCs w:val="20"/>
          <w:u w:val="single"/>
        </w:rPr>
        <w:t>本协议约定的所有施工内容。</w:t>
      </w:r>
    </w:p>
    <w:p>
      <w:pPr>
        <w:pStyle w:val="15"/>
        <w:spacing w:line="360" w:lineRule="auto"/>
        <w:ind w:firstLine="480" w:firstLineChars="200"/>
        <w:contextualSpacing/>
        <w:jc w:val="left"/>
        <w:rPr>
          <w:rFonts w:hint="eastAsia" w:ascii="宋体" w:hAnsi="宋体"/>
          <w:snapToGrid w:val="0"/>
          <w:color w:val="000000"/>
          <w:szCs w:val="20"/>
        </w:rPr>
      </w:pPr>
      <w:r>
        <w:rPr>
          <w:rFonts w:hint="eastAsia" w:ascii="宋体" w:hAnsi="宋体"/>
          <w:snapToGrid w:val="0"/>
          <w:color w:val="000000"/>
          <w:szCs w:val="20"/>
        </w:rPr>
        <w:t>3.5.2分包的确定</w:t>
      </w:r>
    </w:p>
    <w:p>
      <w:pPr>
        <w:pStyle w:val="15"/>
        <w:spacing w:line="360" w:lineRule="auto"/>
        <w:ind w:firstLine="480" w:firstLineChars="200"/>
        <w:contextualSpacing/>
        <w:jc w:val="left"/>
        <w:rPr>
          <w:rFonts w:hint="eastAsia" w:ascii="宋体" w:hAnsi="宋体"/>
          <w:snapToGrid w:val="0"/>
          <w:color w:val="000000"/>
          <w:szCs w:val="20"/>
          <w:u w:val="single"/>
        </w:rPr>
      </w:pPr>
      <w:r>
        <w:rPr>
          <w:rFonts w:hint="eastAsia" w:ascii="宋体" w:hAnsi="宋体"/>
          <w:snapToGrid w:val="0"/>
          <w:color w:val="000000"/>
          <w:szCs w:val="20"/>
        </w:rPr>
        <w:t>允许分包的专业工程包括：</w:t>
      </w:r>
      <w:r>
        <w:rPr>
          <w:rFonts w:hint="eastAsia" w:ascii="宋体" w:hAnsi="宋体"/>
          <w:snapToGrid w:val="0"/>
          <w:color w:val="000000"/>
          <w:szCs w:val="20"/>
          <w:u w:val="single"/>
        </w:rPr>
        <w:t>发包人有权对专业性很强的工程进行指定分包，承包人无条件配合服从。</w:t>
      </w:r>
    </w:p>
    <w:p>
      <w:pPr>
        <w:pStyle w:val="15"/>
        <w:spacing w:line="360" w:lineRule="auto"/>
        <w:ind w:firstLine="480" w:firstLineChars="200"/>
        <w:contextualSpacing/>
        <w:jc w:val="left"/>
        <w:rPr>
          <w:rFonts w:hint="eastAsia" w:ascii="宋体" w:hAnsi="宋体"/>
          <w:snapToGrid w:val="0"/>
          <w:color w:val="000000"/>
          <w:szCs w:val="20"/>
          <w:u w:val="single"/>
        </w:rPr>
      </w:pPr>
      <w:r>
        <w:rPr>
          <w:rFonts w:hint="eastAsia" w:ascii="宋体" w:hAnsi="宋体"/>
          <w:snapToGrid w:val="0"/>
          <w:color w:val="000000"/>
          <w:szCs w:val="20"/>
        </w:rPr>
        <w:t>其他关于分包的约定：</w:t>
      </w:r>
      <w:r>
        <w:rPr>
          <w:rFonts w:hint="eastAsia" w:ascii="宋体" w:hAnsi="宋体"/>
          <w:snapToGrid w:val="0"/>
          <w:color w:val="000000"/>
          <w:szCs w:val="20"/>
          <w:u w:val="single"/>
        </w:rPr>
        <w:t>对于专业性较强工程，如承包人需要进行专业分包，需在确定发包人之前，征得甲方同意。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3.5.4 分包合同价款</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关于分包合同价款支付的约定：</w:t>
      </w:r>
      <w:r>
        <w:rPr>
          <w:rFonts w:hint="eastAsia" w:ascii="宋体" w:hAnsi="宋体"/>
          <w:color w:val="000000"/>
          <w:sz w:val="24"/>
          <w:u w:val="single"/>
        </w:rPr>
        <w:t xml:space="preserve"> / </w:t>
      </w:r>
      <w:r>
        <w:rPr>
          <w:rFonts w:hint="eastAsia" w:ascii="宋体" w:hAnsi="宋体"/>
          <w:color w:val="000000"/>
          <w:sz w:val="24"/>
        </w:rPr>
        <w:t>。</w:t>
      </w:r>
    </w:p>
    <w:bookmarkEnd w:id="101"/>
    <w:bookmarkEnd w:id="102"/>
    <w:p>
      <w:pPr>
        <w:spacing w:line="360" w:lineRule="auto"/>
        <w:ind w:firstLine="480" w:firstLineChars="200"/>
        <w:contextualSpacing/>
        <w:rPr>
          <w:rFonts w:ascii="宋体" w:hAnsi="宋体"/>
          <w:color w:val="000000"/>
          <w:sz w:val="24"/>
        </w:rPr>
      </w:pPr>
      <w:r>
        <w:rPr>
          <w:rFonts w:ascii="宋体" w:hAnsi="宋体"/>
          <w:color w:val="000000"/>
          <w:sz w:val="24"/>
        </w:rPr>
        <w:t>3.6 工程照管与成品、半成品保护</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承包人负责照管工程及工程相关的材料、工程设备的起始时间：</w:t>
      </w:r>
      <w:r>
        <w:rPr>
          <w:rFonts w:hint="eastAsia" w:ascii="宋体" w:hAnsi="宋体"/>
          <w:color w:val="000000"/>
          <w:sz w:val="24"/>
          <w:szCs w:val="24"/>
          <w:u w:val="single" w:color="000000"/>
        </w:rPr>
        <w:t>从开工日至竣工日结束后30天。</w:t>
      </w:r>
    </w:p>
    <w:p>
      <w:pPr>
        <w:spacing w:line="360" w:lineRule="auto"/>
        <w:ind w:firstLine="480" w:firstLineChars="200"/>
        <w:contextualSpacing/>
        <w:rPr>
          <w:rFonts w:ascii="宋体" w:hAnsi="宋体"/>
          <w:color w:val="000000"/>
          <w:sz w:val="24"/>
        </w:rPr>
      </w:pPr>
      <w:r>
        <w:rPr>
          <w:rFonts w:ascii="宋体" w:hAnsi="宋体"/>
          <w:color w:val="000000"/>
          <w:sz w:val="24"/>
        </w:rPr>
        <w:t>3.7 履约担保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承包人是否提供履约担保：</w:t>
      </w:r>
      <w:r>
        <w:rPr>
          <w:rFonts w:hint="eastAsia" w:ascii="宋体" w:hAnsi="宋体"/>
          <w:color w:val="000000"/>
          <w:sz w:val="24"/>
          <w:u w:val="single"/>
        </w:rPr>
        <w:t xml:space="preserve"> 是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承包人提供履约担保的形式、金额及期限的：</w:t>
      </w:r>
      <w:bookmarkStart w:id="103" w:name="_Toc351203636"/>
      <w:r>
        <w:rPr>
          <w:rFonts w:hint="eastAsia" w:ascii="宋体" w:hAnsi="宋体"/>
          <w:color w:val="000000"/>
          <w:sz w:val="24"/>
          <w:szCs w:val="24"/>
          <w:u w:val="single" w:color="000000"/>
        </w:rPr>
        <w:t>中标人应当在与招标人签订合同前向招标人提交金额为承发包合同总价的10%的银行保函作为履约担保，如不提交将视为中标人放弃中标。招标人在确认收到中标人按要求提交的履约担保并与中标人签订施工合同后，向中标人提交同等金额的银行保函作为工程款支付担保 。</w:t>
      </w:r>
    </w:p>
    <w:p>
      <w:pPr>
        <w:spacing w:line="360" w:lineRule="auto"/>
        <w:ind w:firstLine="480" w:firstLineChars="200"/>
        <w:contextualSpacing/>
        <w:rPr>
          <w:rFonts w:ascii="宋体" w:hAnsi="宋体"/>
          <w:color w:val="000000"/>
          <w:sz w:val="24"/>
        </w:rPr>
      </w:pPr>
      <w:r>
        <w:rPr>
          <w:rFonts w:ascii="宋体" w:hAnsi="宋体"/>
          <w:color w:val="000000"/>
          <w:sz w:val="24"/>
        </w:rPr>
        <w:t>4</w:t>
      </w:r>
      <w:bookmarkStart w:id="104" w:name="_Toc296503162"/>
      <w:bookmarkStart w:id="105" w:name="_Toc296890990"/>
      <w:bookmarkStart w:id="106" w:name="_Toc296944501"/>
      <w:bookmarkStart w:id="107" w:name="_Toc296891202"/>
      <w:bookmarkStart w:id="108" w:name="_Toc297120462"/>
      <w:bookmarkStart w:id="109" w:name="_Toc292559366"/>
      <w:bookmarkStart w:id="110" w:name="_Toc292559871"/>
      <w:bookmarkStart w:id="111" w:name="_Toc297048348"/>
      <w:bookmarkStart w:id="112" w:name="_Toc267251413"/>
      <w:bookmarkStart w:id="113" w:name="_Toc296346663"/>
      <w:bookmarkStart w:id="114" w:name="_Toc296347161"/>
      <w:r>
        <w:rPr>
          <w:rFonts w:ascii="宋体" w:hAnsi="宋体"/>
          <w:color w:val="000000"/>
          <w:sz w:val="24"/>
        </w:rPr>
        <w:t>. 监</w:t>
      </w:r>
      <w:bookmarkEnd w:id="104"/>
      <w:bookmarkEnd w:id="105"/>
      <w:bookmarkEnd w:id="106"/>
      <w:bookmarkEnd w:id="107"/>
      <w:bookmarkEnd w:id="108"/>
      <w:bookmarkEnd w:id="109"/>
      <w:bookmarkEnd w:id="110"/>
      <w:bookmarkEnd w:id="111"/>
      <w:bookmarkEnd w:id="112"/>
      <w:bookmarkEnd w:id="113"/>
      <w:bookmarkEnd w:id="114"/>
      <w:r>
        <w:rPr>
          <w:rFonts w:ascii="宋体" w:hAnsi="宋体"/>
          <w:color w:val="000000"/>
          <w:sz w:val="24"/>
        </w:rPr>
        <w:t>理人</w:t>
      </w:r>
      <w:bookmarkEnd w:id="103"/>
    </w:p>
    <w:p>
      <w:pPr>
        <w:spacing w:line="360" w:lineRule="auto"/>
        <w:ind w:firstLine="480" w:firstLineChars="200"/>
        <w:contextualSpacing/>
        <w:rPr>
          <w:rFonts w:ascii="宋体" w:hAnsi="宋体"/>
          <w:color w:val="000000"/>
          <w:sz w:val="24"/>
        </w:rPr>
      </w:pPr>
      <w:r>
        <w:rPr>
          <w:rFonts w:ascii="宋体" w:hAnsi="宋体"/>
          <w:color w:val="000000"/>
          <w:sz w:val="24"/>
        </w:rPr>
        <w:t>4.1监理人的一般规定</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关于监理人的监理内容：</w:t>
      </w:r>
      <w:r>
        <w:rPr>
          <w:rFonts w:hint="eastAsia" w:ascii="宋体" w:hAnsi="宋体"/>
          <w:color w:val="000000"/>
          <w:sz w:val="24"/>
          <w:szCs w:val="24"/>
          <w:u w:val="single" w:color="000000"/>
          <w:lang w:eastAsia="zh-CN"/>
        </w:rPr>
        <w:t>颜鲁公祠西厢房修缮工程项目</w:t>
      </w:r>
      <w:r>
        <w:rPr>
          <w:rFonts w:hint="eastAsia" w:ascii="宋体" w:hAnsi="宋体"/>
          <w:color w:val="000000"/>
          <w:sz w:val="24"/>
          <w:szCs w:val="24"/>
          <w:u w:val="single" w:color="000000"/>
        </w:rPr>
        <w:t xml:space="preserve"> ，具体详见发包清单。</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szCs w:val="24"/>
          <w:u w:val="single" w:color="000000"/>
        </w:rPr>
        <w:t>关于监理人的监理权限： 施工阶段的质量、造价、进度、安全进行控制，以及合同、信息管理和现场组织管理，协调各单位之间的关系等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关于监理人在施工现场的办公场所、生活场所的提供和费用承担的约定：</w:t>
      </w:r>
      <w:r>
        <w:rPr>
          <w:rFonts w:hint="eastAsia" w:ascii="宋体" w:hAnsi="宋体"/>
          <w:color w:val="000000"/>
          <w:sz w:val="24"/>
          <w:u w:val="single"/>
        </w:rPr>
        <w:t>无</w:t>
      </w:r>
    </w:p>
    <w:p>
      <w:pPr>
        <w:spacing w:line="360" w:lineRule="auto"/>
        <w:ind w:firstLine="480" w:firstLineChars="200"/>
        <w:contextualSpacing/>
        <w:rPr>
          <w:rFonts w:ascii="宋体" w:hAnsi="宋体"/>
          <w:color w:val="000000"/>
          <w:sz w:val="24"/>
        </w:rPr>
      </w:pPr>
      <w:r>
        <w:rPr>
          <w:rFonts w:ascii="宋体" w:hAnsi="宋体"/>
          <w:color w:val="000000"/>
          <w:sz w:val="24"/>
        </w:rPr>
        <w:t>4.2 监理人员</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总监理工程师：</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监理工程师执业资格证书号：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关于监理人的其他约定：</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4.4 商定或确定</w:t>
      </w:r>
    </w:p>
    <w:p>
      <w:pPr>
        <w:spacing w:line="360" w:lineRule="auto"/>
        <w:ind w:firstLine="480" w:firstLineChars="200"/>
        <w:contextualSpacing/>
        <w:rPr>
          <w:rFonts w:hint="eastAsia" w:ascii="宋体" w:hAnsi="宋体"/>
          <w:color w:val="000000"/>
          <w:sz w:val="24"/>
        </w:rPr>
      </w:pPr>
      <w:bookmarkStart w:id="115" w:name="_Toc267251418"/>
      <w:r>
        <w:rPr>
          <w:rFonts w:hint="eastAsia" w:ascii="宋体" w:hAnsi="宋体"/>
          <w:color w:val="000000"/>
          <w:sz w:val="24"/>
        </w:rPr>
        <w:t>在发包人和承包人不能通过协商达成一致意见时，发包人授权监理人对以下事项进行确定：</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r>
        <w:rPr>
          <w:rFonts w:hint="eastAsia" w:ascii="宋体" w:hAnsi="宋体"/>
          <w:color w:val="000000"/>
          <w:sz w:val="24"/>
          <w:u w:val="single"/>
        </w:rPr>
        <w:t xml:space="preserve"> 按通用条款执行 </w:t>
      </w:r>
      <w:r>
        <w:rPr>
          <w:rFonts w:hint="eastAsia" w:ascii="宋体" w:hAnsi="宋体"/>
          <w:color w:val="000000"/>
          <w:sz w:val="24"/>
        </w:rPr>
        <w:t>；</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（2）</w:t>
      </w:r>
      <w:r>
        <w:rPr>
          <w:rFonts w:hint="eastAsia" w:ascii="宋体" w:hAnsi="宋体"/>
          <w:color w:val="000000"/>
          <w:sz w:val="24"/>
          <w:u w:val="single"/>
        </w:rPr>
        <w:t xml:space="preserve">                </w:t>
      </w:r>
      <w:r>
        <w:rPr>
          <w:rFonts w:hint="eastAsia" w:ascii="宋体" w:hAnsi="宋体"/>
          <w:color w:val="000000"/>
          <w:sz w:val="24"/>
        </w:rPr>
        <w:t>；</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（3）</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bookmarkStart w:id="116" w:name="_Toc351203637"/>
      <w:r>
        <w:rPr>
          <w:rFonts w:ascii="宋体" w:hAnsi="宋体"/>
          <w:color w:val="000000"/>
          <w:sz w:val="24"/>
        </w:rPr>
        <w:t>5</w:t>
      </w:r>
      <w:bookmarkEnd w:id="115"/>
      <w:bookmarkStart w:id="117" w:name="_Toc297048349"/>
      <w:bookmarkStart w:id="118" w:name="_Toc297120463"/>
      <w:bookmarkStart w:id="119" w:name="_Toc296503163"/>
      <w:bookmarkStart w:id="120" w:name="_Toc292559872"/>
      <w:bookmarkStart w:id="121" w:name="_Toc292559367"/>
      <w:bookmarkStart w:id="122" w:name="_Toc296890991"/>
      <w:bookmarkStart w:id="123" w:name="_Toc296346664"/>
      <w:bookmarkStart w:id="124" w:name="_Toc296891203"/>
      <w:bookmarkStart w:id="125" w:name="_Toc296347162"/>
      <w:bookmarkStart w:id="126" w:name="_Toc296944502"/>
      <w:r>
        <w:rPr>
          <w:rFonts w:ascii="宋体" w:hAnsi="宋体"/>
          <w:color w:val="000000"/>
          <w:sz w:val="24"/>
        </w:rPr>
        <w:t>. 工程质量</w:t>
      </w:r>
      <w:bookmarkEnd w:id="116"/>
    </w:p>
    <w:p>
      <w:pPr>
        <w:spacing w:line="360" w:lineRule="auto"/>
        <w:ind w:firstLine="480" w:firstLineChars="200"/>
        <w:contextualSpacing/>
        <w:rPr>
          <w:rFonts w:ascii="宋体" w:hAnsi="宋体"/>
          <w:color w:val="000000"/>
          <w:sz w:val="24"/>
        </w:rPr>
      </w:pPr>
      <w:r>
        <w:rPr>
          <w:rFonts w:ascii="宋体" w:hAnsi="宋体"/>
          <w:color w:val="000000"/>
          <w:sz w:val="24"/>
        </w:rPr>
        <w:t>5.1 质量要求</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5</w:t>
      </w:r>
      <w:bookmarkStart w:id="127" w:name="_Toc303539106"/>
      <w:bookmarkStart w:id="128" w:name="_Toc300934949"/>
      <w:bookmarkStart w:id="129" w:name="_Toc318581164"/>
      <w:bookmarkStart w:id="130" w:name="_Toc304295527"/>
      <w:bookmarkStart w:id="131" w:name="_Toc312677997"/>
      <w:bookmarkStart w:id="132" w:name="_Toc297216155"/>
      <w:bookmarkStart w:id="133" w:name="_Toc297123496"/>
      <w:r>
        <w:rPr>
          <w:rFonts w:hint="eastAsia" w:ascii="宋体" w:hAnsi="宋体"/>
          <w:color w:val="000000"/>
          <w:sz w:val="24"/>
        </w:rPr>
        <w:t>.1.1 特殊质量标准和要求：</w:t>
      </w:r>
      <w:r>
        <w:rPr>
          <w:rFonts w:hint="eastAsia" w:ascii="宋体" w:hAnsi="宋体"/>
          <w:color w:val="000000"/>
          <w:sz w:val="24"/>
          <w:u w:val="single"/>
        </w:rPr>
        <w:t xml:space="preserve"> 严格按照《建筑工程施工质量验收统一标准》GB50300-2013执行。对不符合国家质量验收标准及图纸要求，所发生的一切返工费用以及由此给发包人造成的经济损失由承包人承担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 xml:space="preserve">（1）承包人必须按发包人批准的施工组织设计、分项工程及关键部位的专项施工方案施工，现场放线后，须经监理、发包人专业工程师复核后才能施工，严把工序报验关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 xml:space="preserve">（2）在收到发包人的质量安全隐患整改通知后，承包人拒绝整改继续施工的，每发现一次，处罚1000元。如果下道工序的质量问题是由上道工序引起的，承包人须承担1000-5000元/次的违约金，所发生的一切返工费用以及由此给发包人造成的经济损失由承包人承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 xml:space="preserve">（3）施工过程中若出现质量事故，承包人必须立即上报监理及发包人，发包人视情况严重性上报质监、行业监管部门，查明原因，要求承包人停工整改，工期不得顺延，同时承包人须承担1-5万元/次的违约金，直至清退出场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 xml:space="preserve">（4）隐蔽工程未经验收或验收不合格，承包人仍进行下道工序施工的，承包人须按照发包人要求整改至合格，相关费用由承包人承担。并且发包人有权对承包人处1000元/次的处罚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关于工程奖项的约定：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5.3 隐蔽工程检查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5.3.2承包人提前通知监理人隐蔽工程检查的期限的约定：</w:t>
      </w:r>
      <w:r>
        <w:rPr>
          <w:rFonts w:hint="eastAsia" w:ascii="宋体" w:hAnsi="宋体"/>
          <w:color w:val="000000"/>
          <w:sz w:val="24"/>
          <w:szCs w:val="24"/>
          <w:u w:val="single" w:color="000000"/>
        </w:rPr>
        <w:t>除按规范要求执行外，关键工序施工完毕后，须经监理、发包人验收合格并签字后（承包人应在验收前向发包人提交三检记录、施工交底记录等资料），方可进行下道工序施工，否则每次承包人支付违约金1000元，并且暂停支付该部分进度款，直至发包人确认该部分工程合格为止，其相应责任由承包人承担。</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监理人不能按时进行检查时，应提前</w:t>
      </w:r>
      <w:r>
        <w:rPr>
          <w:rFonts w:hint="eastAsia" w:ascii="宋体" w:hAnsi="宋体"/>
          <w:color w:val="000000"/>
          <w:sz w:val="24"/>
          <w:u w:val="single"/>
        </w:rPr>
        <w:t xml:space="preserve"> 8 </w:t>
      </w:r>
      <w:r>
        <w:rPr>
          <w:rFonts w:hint="eastAsia" w:ascii="宋体" w:hAnsi="宋体"/>
          <w:color w:val="000000"/>
          <w:sz w:val="24"/>
        </w:rPr>
        <w:t>小时提交书面延期要求。</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关于延期最长不得超过：</w:t>
      </w:r>
      <w:r>
        <w:rPr>
          <w:rFonts w:hint="eastAsia" w:ascii="宋体" w:hAnsi="宋体"/>
          <w:color w:val="000000"/>
          <w:sz w:val="24"/>
          <w:u w:val="single"/>
        </w:rPr>
        <w:t xml:space="preserve"> 24 </w:t>
      </w:r>
      <w:r>
        <w:rPr>
          <w:rFonts w:hint="eastAsia" w:ascii="宋体" w:hAnsi="宋体"/>
          <w:color w:val="000000"/>
          <w:sz w:val="24"/>
        </w:rPr>
        <w:t>小时。</w:t>
      </w:r>
    </w:p>
    <w:p>
      <w:pPr>
        <w:spacing w:line="360" w:lineRule="auto"/>
        <w:ind w:firstLine="480" w:firstLineChars="200"/>
        <w:contextualSpacing/>
        <w:rPr>
          <w:rFonts w:ascii="宋体" w:hAnsi="宋体"/>
          <w:color w:val="000000"/>
          <w:sz w:val="24"/>
        </w:rPr>
      </w:pPr>
      <w:bookmarkStart w:id="134" w:name="_Toc351203638"/>
      <w:r>
        <w:rPr>
          <w:rFonts w:ascii="宋体" w:hAnsi="宋体"/>
          <w:color w:val="000000"/>
          <w:sz w:val="24"/>
        </w:rPr>
        <w:t>6. 安全文明施工与环境保护</w:t>
      </w:r>
      <w:bookmarkEnd w:id="134"/>
    </w:p>
    <w:p>
      <w:pPr>
        <w:spacing w:line="360" w:lineRule="auto"/>
        <w:ind w:firstLine="480" w:firstLineChars="200"/>
        <w:contextualSpacing/>
        <w:rPr>
          <w:rFonts w:ascii="宋体" w:hAnsi="宋体"/>
          <w:color w:val="000000"/>
          <w:sz w:val="24"/>
        </w:rPr>
      </w:pPr>
      <w:r>
        <w:rPr>
          <w:rFonts w:ascii="宋体" w:hAnsi="宋体"/>
          <w:color w:val="000000"/>
          <w:sz w:val="24"/>
        </w:rPr>
        <w:t>6.1安全文明施工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6.1.1 项目安全生产的达标目标及相应事项的约定：</w:t>
      </w:r>
      <w:r>
        <w:rPr>
          <w:rFonts w:hint="eastAsia" w:ascii="宋体" w:hAnsi="宋体"/>
          <w:color w:val="000000"/>
          <w:sz w:val="24"/>
          <w:u w:val="single"/>
        </w:rPr>
        <w:t xml:space="preserve">（1）按安全标准组织施工，根据现场情况采取必要的安全防护措施，全面负责施工现场的安全及第三方人身安全，加强安全教育，坚决杜绝安全事故的发生，并承担一切责任。（2）承包人对安全生产负全责。施工中加强安全防范意识和措施，杜绝安全事故的发生。每发生一起安全事故，发包人可以按违约责任给予责任单位一次性经济处罚，最低为1000元，最高5000元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6.1.4 关于治安保卫的特别约定：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关于编制施工场地治安管理计划的约定：</w:t>
      </w:r>
      <w:r>
        <w:rPr>
          <w:rFonts w:hint="eastAsia" w:ascii="宋体" w:hAnsi="宋体"/>
          <w:color w:val="000000"/>
          <w:sz w:val="24"/>
          <w:u w:val="single"/>
        </w:rPr>
        <w:t xml:space="preserve"> 在开工前提交的施工组织设计中必须要有此部分内容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6.1.5 文明施工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合同当事人对文明施工的要求：</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color="000000"/>
        </w:rPr>
        <w:t>各级政府相关管理部门对施工现场进行的有关建筑工程安全防护、文明施工的各种检查而发生的费用，无论在投标报价中是否单独列出均由承包人承担。</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color="000000"/>
        </w:rPr>
        <w:t>保持场地整洁卫生，承包人要制定生活和环境卫生管理制度，临时搭建须经招标人批准，且应整齐美观。</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6.1.6 关于安全文明施工费支付比例和支付期限的约定：</w:t>
      </w:r>
      <w:r>
        <w:rPr>
          <w:rFonts w:hint="eastAsia" w:ascii="宋体" w:hAnsi="宋体"/>
          <w:color w:val="000000"/>
          <w:sz w:val="24"/>
          <w:u w:val="single"/>
        </w:rPr>
        <w:t xml:space="preserve"> / </w:t>
      </w:r>
      <w:r>
        <w:rPr>
          <w:rFonts w:hint="eastAsia" w:ascii="宋体" w:hAnsi="宋体"/>
          <w:color w:val="000000"/>
          <w:sz w:val="24"/>
        </w:rPr>
        <w:t>。</w:t>
      </w:r>
    </w:p>
    <w:bookmarkEnd w:id="127"/>
    <w:bookmarkEnd w:id="128"/>
    <w:bookmarkEnd w:id="129"/>
    <w:bookmarkEnd w:id="130"/>
    <w:bookmarkEnd w:id="131"/>
    <w:bookmarkEnd w:id="132"/>
    <w:bookmarkEnd w:id="133"/>
    <w:p>
      <w:pPr>
        <w:spacing w:line="360" w:lineRule="auto"/>
        <w:ind w:firstLine="480" w:firstLineChars="200"/>
        <w:contextualSpacing/>
        <w:rPr>
          <w:rFonts w:ascii="宋体" w:hAnsi="宋体"/>
          <w:color w:val="000000"/>
          <w:sz w:val="24"/>
        </w:rPr>
      </w:pPr>
      <w:bookmarkStart w:id="135" w:name="_Toc351203639"/>
      <w:r>
        <w:rPr>
          <w:rFonts w:ascii="宋体" w:hAnsi="宋体"/>
          <w:color w:val="000000"/>
          <w:sz w:val="24"/>
        </w:rPr>
        <w:t>7. 工期和进度</w:t>
      </w:r>
      <w:bookmarkEnd w:id="135"/>
    </w:p>
    <w:p>
      <w:pPr>
        <w:spacing w:line="360" w:lineRule="auto"/>
        <w:ind w:firstLine="480" w:firstLineChars="200"/>
        <w:contextualSpacing/>
        <w:rPr>
          <w:rFonts w:ascii="宋体" w:hAnsi="宋体"/>
          <w:color w:val="000000"/>
          <w:sz w:val="24"/>
        </w:rPr>
      </w:pPr>
      <w:r>
        <w:rPr>
          <w:rFonts w:ascii="宋体" w:hAnsi="宋体"/>
          <w:color w:val="000000"/>
          <w:sz w:val="24"/>
        </w:rPr>
        <w:t>7.1 施工组织设计</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7.1.1 合同当事人约定的施工组织设计应包括的其他内容：</w:t>
      </w:r>
      <w:r>
        <w:rPr>
          <w:rFonts w:hint="eastAsia" w:ascii="宋体" w:hAnsi="宋体"/>
          <w:color w:val="000000"/>
          <w:sz w:val="24"/>
          <w:u w:val="single"/>
        </w:rPr>
        <w:t xml:space="preserve">/ </w:t>
      </w:r>
      <w:r>
        <w:rPr>
          <w:rFonts w:hint="eastAsia" w:ascii="宋体" w:hAnsi="宋体"/>
          <w:color w:val="000000"/>
          <w:sz w:val="24"/>
        </w:rPr>
        <w:t>。</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7.1.2 施工组织设计的提交和修改</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承包人提交详细施工组织设计的期限的约定：</w:t>
      </w:r>
      <w:r>
        <w:rPr>
          <w:rFonts w:hint="eastAsia" w:ascii="宋体" w:hAnsi="宋体"/>
          <w:color w:val="000000"/>
          <w:sz w:val="24"/>
          <w:u w:val="single"/>
        </w:rPr>
        <w:t xml:space="preserve"> 合同签订后7日内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发包人和监理人在收到详细的施工组织设计后确认或提出修改意见的期限：</w:t>
      </w:r>
      <w:r>
        <w:rPr>
          <w:rFonts w:hint="eastAsia" w:ascii="宋体" w:hAnsi="宋体"/>
          <w:color w:val="000000"/>
          <w:sz w:val="24"/>
          <w:u w:val="single"/>
        </w:rPr>
        <w:t xml:space="preserve">5日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7</w:t>
      </w:r>
      <w:bookmarkStart w:id="136" w:name="_Toc304295541"/>
      <w:bookmarkStart w:id="137" w:name="_Toc303539123"/>
      <w:bookmarkStart w:id="138" w:name="_Toc312677479"/>
      <w:bookmarkStart w:id="139" w:name="_Toc312678005"/>
      <w:bookmarkStart w:id="140" w:name="_Toc300934966"/>
      <w:bookmarkStart w:id="141" w:name="_Toc297123514"/>
      <w:bookmarkStart w:id="142" w:name="_Toc297216173"/>
      <w:r>
        <w:rPr>
          <w:rFonts w:ascii="宋体" w:hAnsi="宋体"/>
          <w:color w:val="000000"/>
          <w:sz w:val="24"/>
        </w:rPr>
        <w:t>.2 施工进度计划</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7.2.2 施工进度计划的修订</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发包人和监理人在收到修订的施工进度计划后确认或提出修改意见的期限：</w:t>
      </w:r>
      <w:r>
        <w:rPr>
          <w:rFonts w:hint="eastAsia" w:ascii="宋体" w:hAnsi="宋体"/>
          <w:color w:val="000000"/>
          <w:sz w:val="24"/>
          <w:u w:val="single"/>
        </w:rPr>
        <w:t xml:space="preserve"> 5日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7.3 开工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7.3.1 开工准备</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关于承包人提交工程开工报审表的期限：</w:t>
      </w:r>
      <w:r>
        <w:rPr>
          <w:rFonts w:hint="eastAsia" w:ascii="宋体" w:hAnsi="宋体"/>
          <w:color w:val="000000"/>
          <w:sz w:val="24"/>
          <w:u w:val="single"/>
        </w:rPr>
        <w:t xml:space="preserve"> 合同签订后5日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关于发包人应完成的其他开工准备工作及期限：</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关于承包人应完成的其他开工准备工作及期限：</w:t>
      </w:r>
      <w:r>
        <w:rPr>
          <w:rFonts w:hint="eastAsia" w:ascii="宋体" w:hAnsi="宋体"/>
          <w:color w:val="000000"/>
          <w:sz w:val="24"/>
          <w:u w:val="single"/>
        </w:rPr>
        <w:t xml:space="preserve"> 临时设施搭建、材料、设备、人员等，合同签订后2日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7.3.2开工通知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因发包人原因造成监理人未能在计划开工日期之日起</w:t>
      </w:r>
      <w:r>
        <w:rPr>
          <w:rFonts w:hint="eastAsia" w:ascii="宋体" w:hAnsi="宋体"/>
          <w:color w:val="000000"/>
          <w:sz w:val="24"/>
          <w:u w:val="single"/>
        </w:rPr>
        <w:t xml:space="preserve"> 7 </w:t>
      </w:r>
      <w:r>
        <w:rPr>
          <w:rFonts w:hint="eastAsia" w:ascii="宋体" w:hAnsi="宋体"/>
          <w:color w:val="000000"/>
          <w:sz w:val="24"/>
        </w:rPr>
        <w:t>天内发出开工通知的，承包人有权提出价格调整要求，或者解除合同。</w:t>
      </w:r>
    </w:p>
    <w:bookmarkEnd w:id="136"/>
    <w:bookmarkEnd w:id="137"/>
    <w:bookmarkEnd w:id="138"/>
    <w:bookmarkEnd w:id="139"/>
    <w:bookmarkEnd w:id="140"/>
    <w:bookmarkEnd w:id="141"/>
    <w:bookmarkEnd w:id="142"/>
    <w:p>
      <w:pPr>
        <w:spacing w:line="360" w:lineRule="auto"/>
        <w:ind w:firstLine="480" w:firstLineChars="200"/>
        <w:contextualSpacing/>
        <w:rPr>
          <w:rFonts w:ascii="宋体" w:hAnsi="宋体"/>
          <w:color w:val="000000"/>
          <w:sz w:val="24"/>
        </w:rPr>
      </w:pPr>
      <w:r>
        <w:rPr>
          <w:rFonts w:ascii="宋体" w:hAnsi="宋体"/>
          <w:color w:val="000000"/>
          <w:sz w:val="24"/>
        </w:rPr>
        <w:t>7.4 测量放线</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7.4.1发包人通过监理人向承包人提供测量基准点、基准线和水准点及其书面资料的期限：</w:t>
      </w:r>
      <w:r>
        <w:rPr>
          <w:rFonts w:hint="eastAsia" w:ascii="宋体" w:hAnsi="宋体"/>
          <w:color w:val="000000"/>
          <w:sz w:val="24"/>
          <w:u w:val="single"/>
        </w:rPr>
        <w:t xml:space="preserve"> 开工前提供水准点与坐标管制点，按施工图要求由发包人、承包人、监理现场交验。交验后，承包人应妥善保护场内水准点及控制点，任何破坏或遗失应由承包人负责费用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7</w:t>
      </w:r>
      <w:bookmarkStart w:id="143" w:name="_Toc303539125"/>
      <w:bookmarkStart w:id="144" w:name="_Toc312677484"/>
      <w:bookmarkStart w:id="145" w:name="_Toc312678010"/>
      <w:bookmarkStart w:id="146" w:name="_Toc300934968"/>
      <w:bookmarkStart w:id="147" w:name="_Toc304295546"/>
      <w:bookmarkStart w:id="148" w:name="_Toc297123516"/>
      <w:bookmarkStart w:id="149" w:name="_Toc297216175"/>
      <w:r>
        <w:rPr>
          <w:rFonts w:ascii="宋体" w:hAnsi="宋体"/>
          <w:color w:val="000000"/>
          <w:sz w:val="24"/>
        </w:rPr>
        <w:t>.5 工期延误</w:t>
      </w:r>
    </w:p>
    <w:bookmarkEnd w:id="143"/>
    <w:bookmarkEnd w:id="144"/>
    <w:bookmarkEnd w:id="145"/>
    <w:bookmarkEnd w:id="146"/>
    <w:bookmarkEnd w:id="147"/>
    <w:bookmarkEnd w:id="148"/>
    <w:bookmarkEnd w:id="149"/>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7.5.1 因发包人原因导致工期延误</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（7）因发包人原因导致工期延误的其他情形：</w:t>
      </w:r>
      <w:r>
        <w:rPr>
          <w:rFonts w:hint="eastAsia" w:ascii="宋体" w:hAnsi="宋体"/>
          <w:color w:val="000000"/>
          <w:sz w:val="24"/>
          <w:szCs w:val="24"/>
          <w:u w:val="single" w:color="000000"/>
        </w:rPr>
        <w:t xml:space="preserve">因发包人原因造成暂停施工的，发包人于5天前书面通知承包人，承包人应积极配合发包人做好施工计划调整，并合理调整人员和施工机械，工期顺延，发包人不承担误工损失费 </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w:t>
      </w:r>
      <w:bookmarkStart w:id="150" w:name="_Toc318581169"/>
      <w:bookmarkStart w:id="151" w:name="_Toc312677486"/>
      <w:bookmarkStart w:id="152" w:name="_Toc312678012"/>
      <w:bookmarkStart w:id="153" w:name="_Toc297123518"/>
      <w:bookmarkStart w:id="154" w:name="_Toc297216177"/>
      <w:bookmarkStart w:id="155" w:name="_Toc303539127"/>
      <w:bookmarkStart w:id="156" w:name="_Toc304295548"/>
      <w:bookmarkStart w:id="157" w:name="_Toc300934970"/>
      <w:r>
        <w:rPr>
          <w:rFonts w:hint="eastAsia" w:ascii="宋体" w:hAnsi="宋体"/>
          <w:color w:val="000000"/>
          <w:sz w:val="24"/>
        </w:rPr>
        <w:t>.5.2 因承包人原因导致工期延误</w:t>
      </w:r>
    </w:p>
    <w:bookmarkEnd w:id="150"/>
    <w:bookmarkEnd w:id="151"/>
    <w:bookmarkEnd w:id="152"/>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因</w:t>
      </w:r>
      <w:bookmarkStart w:id="158" w:name="_Toc312677487"/>
      <w:bookmarkStart w:id="159" w:name="_Toc312678013"/>
      <w:bookmarkStart w:id="160" w:name="_Toc318581170"/>
      <w:r>
        <w:rPr>
          <w:rFonts w:hint="eastAsia" w:ascii="宋体" w:hAnsi="宋体"/>
          <w:color w:val="000000"/>
          <w:sz w:val="24"/>
        </w:rPr>
        <w:t>承包人原因造成工期延误，逾期竣工违约金的计算方法为：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szCs w:val="24"/>
          <w:u w:val="single" w:color="000000"/>
        </w:rPr>
        <w:t xml:space="preserve">承包人应严格按照投标文件承诺的工期完成所有合同约定工程量，若按合同工期每延误一天向发包人支付违约金每天5000元；超过5天时向发包人支付违约金每天10000元；此项违约金的支付不能解除承包人应完成工程的责任或合同规定的其它责任 </w:t>
      </w:r>
      <w:r>
        <w:rPr>
          <w:rFonts w:hint="eastAsia" w:ascii="宋体" w:hAnsi="宋体"/>
          <w:color w:val="000000"/>
          <w:sz w:val="24"/>
          <w:u w:val="single"/>
        </w:rPr>
        <w:t xml:space="preserve"> </w:t>
      </w:r>
      <w:r>
        <w:rPr>
          <w:rFonts w:hint="eastAsia" w:ascii="宋体" w:hAnsi="宋体"/>
          <w:color w:val="000000"/>
          <w:sz w:val="24"/>
        </w:rPr>
        <w:t>。</w:t>
      </w:r>
      <w:bookmarkEnd w:id="153"/>
      <w:bookmarkEnd w:id="154"/>
      <w:bookmarkEnd w:id="155"/>
      <w:bookmarkEnd w:id="156"/>
      <w:bookmarkEnd w:id="157"/>
      <w:bookmarkEnd w:id="158"/>
      <w:bookmarkEnd w:id="159"/>
    </w:p>
    <w:bookmarkEnd w:id="160"/>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因承包人原因造成工期延误，逾</w:t>
      </w:r>
      <w:bookmarkStart w:id="161" w:name="_Toc318581171"/>
      <w:bookmarkStart w:id="162" w:name="_Toc312678014"/>
      <w:r>
        <w:rPr>
          <w:rFonts w:hint="eastAsia" w:ascii="宋体" w:hAnsi="宋体"/>
          <w:color w:val="000000"/>
          <w:sz w:val="24"/>
        </w:rPr>
        <w:t>期竣工违约金的上限：</w:t>
      </w:r>
      <w:r>
        <w:rPr>
          <w:rFonts w:hint="eastAsia" w:ascii="宋体" w:hAnsi="宋体"/>
          <w:color w:val="000000"/>
          <w:sz w:val="24"/>
          <w:u w:val="single"/>
        </w:rPr>
        <w:t xml:space="preserve"> / </w:t>
      </w:r>
      <w:r>
        <w:rPr>
          <w:rFonts w:hint="eastAsia" w:ascii="宋体" w:hAnsi="宋体"/>
          <w:color w:val="000000"/>
          <w:sz w:val="24"/>
        </w:rPr>
        <w:t>。</w:t>
      </w:r>
    </w:p>
    <w:bookmarkEnd w:id="161"/>
    <w:bookmarkEnd w:id="162"/>
    <w:p>
      <w:pPr>
        <w:spacing w:line="360" w:lineRule="auto"/>
        <w:ind w:firstLine="480" w:firstLineChars="200"/>
        <w:contextualSpacing/>
        <w:rPr>
          <w:rFonts w:ascii="宋体" w:hAnsi="宋体"/>
          <w:color w:val="000000"/>
          <w:sz w:val="24"/>
        </w:rPr>
      </w:pPr>
      <w:r>
        <w:rPr>
          <w:rFonts w:ascii="宋体" w:hAnsi="宋体"/>
          <w:color w:val="000000"/>
          <w:sz w:val="24"/>
        </w:rPr>
        <w:t>7</w:t>
      </w:r>
      <w:bookmarkStart w:id="163" w:name="_Toc303539128"/>
      <w:bookmarkStart w:id="164" w:name="_Toc304295549"/>
      <w:bookmarkStart w:id="165" w:name="_Toc300934971"/>
      <w:bookmarkStart w:id="166" w:name="_Toc297123519"/>
      <w:bookmarkStart w:id="167" w:name="_Toc312678015"/>
      <w:bookmarkStart w:id="168" w:name="_Toc297216178"/>
      <w:r>
        <w:rPr>
          <w:rFonts w:ascii="宋体" w:hAnsi="宋体"/>
          <w:color w:val="000000"/>
          <w:sz w:val="24"/>
        </w:rPr>
        <w:t>.6 不</w:t>
      </w:r>
      <w:bookmarkEnd w:id="163"/>
      <w:bookmarkEnd w:id="164"/>
      <w:bookmarkEnd w:id="165"/>
      <w:bookmarkEnd w:id="166"/>
      <w:bookmarkEnd w:id="167"/>
      <w:bookmarkEnd w:id="168"/>
      <w:r>
        <w:rPr>
          <w:rFonts w:ascii="宋体" w:hAnsi="宋体"/>
          <w:color w:val="000000"/>
          <w:sz w:val="24"/>
        </w:rPr>
        <w:t>利物质条件</w:t>
      </w:r>
    </w:p>
    <w:p>
      <w:pPr>
        <w:spacing w:line="360" w:lineRule="auto"/>
        <w:ind w:firstLine="480" w:firstLineChars="200"/>
        <w:contextualSpacing/>
        <w:rPr>
          <w:rFonts w:hint="eastAsia" w:ascii="宋体" w:hAnsi="宋体"/>
          <w:color w:val="000000"/>
          <w:sz w:val="24"/>
        </w:rPr>
      </w:pPr>
      <w:bookmarkStart w:id="169" w:name="_Toc312678016"/>
      <w:bookmarkStart w:id="170" w:name="_Toc304295550"/>
      <w:bookmarkStart w:id="171" w:name="_Toc297216179"/>
      <w:bookmarkStart w:id="172" w:name="_Toc300934972"/>
      <w:bookmarkStart w:id="173" w:name="_Toc303539129"/>
      <w:bookmarkStart w:id="174" w:name="_Toc297123520"/>
      <w:bookmarkStart w:id="175" w:name="_Toc318581172"/>
      <w:r>
        <w:rPr>
          <w:rFonts w:hint="eastAsia" w:ascii="宋体" w:hAnsi="宋体"/>
          <w:color w:val="000000"/>
          <w:sz w:val="24"/>
        </w:rPr>
        <w:t>不利物质条件的其他情形和有关约定：</w:t>
      </w:r>
      <w:r>
        <w:rPr>
          <w:rFonts w:hint="eastAsia" w:ascii="宋体" w:hAnsi="宋体"/>
          <w:color w:val="000000"/>
          <w:sz w:val="24"/>
          <w:u w:val="single"/>
        </w:rPr>
        <w:t xml:space="preserve">  / </w:t>
      </w:r>
      <w:r>
        <w:rPr>
          <w:rFonts w:hint="eastAsia" w:ascii="宋体" w:hAnsi="宋体"/>
          <w:color w:val="000000"/>
          <w:sz w:val="24"/>
        </w:rPr>
        <w:t>。</w:t>
      </w:r>
    </w:p>
    <w:bookmarkEnd w:id="169"/>
    <w:bookmarkEnd w:id="170"/>
    <w:bookmarkEnd w:id="171"/>
    <w:bookmarkEnd w:id="172"/>
    <w:bookmarkEnd w:id="173"/>
    <w:bookmarkEnd w:id="174"/>
    <w:bookmarkEnd w:id="175"/>
    <w:p>
      <w:pPr>
        <w:spacing w:line="360" w:lineRule="auto"/>
        <w:ind w:firstLine="480" w:firstLineChars="200"/>
        <w:contextualSpacing/>
        <w:rPr>
          <w:rFonts w:ascii="宋体" w:hAnsi="宋体"/>
          <w:color w:val="000000"/>
          <w:sz w:val="24"/>
        </w:rPr>
      </w:pPr>
      <w:r>
        <w:rPr>
          <w:rFonts w:ascii="宋体" w:hAnsi="宋体"/>
          <w:color w:val="000000"/>
          <w:sz w:val="24"/>
        </w:rPr>
        <w:t>7</w:t>
      </w:r>
      <w:bookmarkStart w:id="176" w:name="_Toc297216180"/>
      <w:bookmarkStart w:id="177" w:name="_Toc297123521"/>
      <w:bookmarkStart w:id="178" w:name="_Toc300934973"/>
      <w:bookmarkStart w:id="179" w:name="_Toc312678017"/>
      <w:bookmarkStart w:id="180" w:name="_Toc303539130"/>
      <w:bookmarkStart w:id="181" w:name="_Toc304295551"/>
      <w:r>
        <w:rPr>
          <w:rFonts w:ascii="宋体" w:hAnsi="宋体"/>
          <w:color w:val="000000"/>
          <w:sz w:val="24"/>
        </w:rPr>
        <w:t>.7异常恶劣的气候条件</w:t>
      </w:r>
    </w:p>
    <w:bookmarkEnd w:id="176"/>
    <w:bookmarkEnd w:id="177"/>
    <w:bookmarkEnd w:id="178"/>
    <w:bookmarkEnd w:id="179"/>
    <w:bookmarkEnd w:id="180"/>
    <w:bookmarkEnd w:id="181"/>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发包人和承包人同意以下情形视为异常恶劣的气候条件：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7.9 提前竣工的奖励</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7.9.2提前竣工的奖励：</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bookmarkStart w:id="182" w:name="_Toc351203640"/>
      <w:r>
        <w:rPr>
          <w:rFonts w:ascii="宋体" w:hAnsi="宋体"/>
          <w:color w:val="000000"/>
          <w:sz w:val="24"/>
        </w:rPr>
        <w:t>8. 材料与设备</w:t>
      </w:r>
      <w:bookmarkEnd w:id="182"/>
    </w:p>
    <w:bookmarkEnd w:id="117"/>
    <w:bookmarkEnd w:id="118"/>
    <w:bookmarkEnd w:id="119"/>
    <w:bookmarkEnd w:id="120"/>
    <w:bookmarkEnd w:id="121"/>
    <w:bookmarkEnd w:id="122"/>
    <w:bookmarkEnd w:id="123"/>
    <w:bookmarkEnd w:id="124"/>
    <w:bookmarkEnd w:id="125"/>
    <w:bookmarkEnd w:id="126"/>
    <w:p>
      <w:pPr>
        <w:spacing w:line="360" w:lineRule="auto"/>
        <w:ind w:firstLine="480" w:firstLineChars="200"/>
        <w:contextualSpacing/>
        <w:rPr>
          <w:rFonts w:ascii="宋体" w:hAnsi="宋体"/>
          <w:color w:val="000000"/>
          <w:sz w:val="24"/>
        </w:rPr>
      </w:pPr>
      <w:r>
        <w:rPr>
          <w:rFonts w:ascii="宋体" w:hAnsi="宋体"/>
          <w:color w:val="000000"/>
          <w:sz w:val="24"/>
        </w:rPr>
        <w:t>8</w:t>
      </w:r>
      <w:bookmarkStart w:id="183" w:name="_Toc280868654"/>
      <w:bookmarkStart w:id="184" w:name="_Toc292559372"/>
      <w:bookmarkStart w:id="185" w:name="_Toc296346668"/>
      <w:bookmarkStart w:id="186" w:name="_Toc292559877"/>
      <w:bookmarkStart w:id="187" w:name="_Toc296503167"/>
      <w:bookmarkStart w:id="188" w:name="_Toc296890995"/>
      <w:bookmarkStart w:id="189" w:name="_Toc296891207"/>
      <w:bookmarkStart w:id="190" w:name="_Toc296347166"/>
      <w:bookmarkStart w:id="191" w:name="_Toc296944506"/>
      <w:bookmarkStart w:id="192" w:name="_Toc297048353"/>
      <w:bookmarkStart w:id="193" w:name="_Toc297120467"/>
      <w:bookmarkStart w:id="194" w:name="_Toc297123527"/>
      <w:bookmarkStart w:id="195" w:name="_Toc297216186"/>
      <w:bookmarkStart w:id="196" w:name="_Toc300934979"/>
      <w:bookmarkStart w:id="197" w:name="_Toc303539136"/>
      <w:bookmarkStart w:id="198" w:name="_Toc304295556"/>
      <w:bookmarkStart w:id="199" w:name="_Toc312677493"/>
      <w:bookmarkStart w:id="200" w:name="_Toc312678019"/>
      <w:bookmarkStart w:id="201" w:name="_Toc280868656"/>
      <w:bookmarkStart w:id="202" w:name="_Toc267251424"/>
      <w:bookmarkStart w:id="203" w:name="_Toc280868655"/>
      <w:r>
        <w:rPr>
          <w:rFonts w:ascii="宋体" w:hAnsi="宋体"/>
          <w:color w:val="000000"/>
          <w:sz w:val="24"/>
        </w:rPr>
        <w:t>.4材料与工程设备的保管与使用</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pStyle w:val="14"/>
        <w:adjustRightInd/>
        <w:spacing w:before="0" w:after="0" w:line="360" w:lineRule="auto"/>
        <w:ind w:left="0" w:right="0" w:firstLine="480" w:firstLineChars="200"/>
        <w:contextualSpacing/>
        <w:rPr>
          <w:rFonts w:hint="eastAsia" w:ascii="宋体" w:hAnsi="宋体"/>
          <w:color w:val="000000"/>
        </w:rPr>
      </w:pPr>
      <w:r>
        <w:rPr>
          <w:rFonts w:hint="eastAsia" w:ascii="宋体" w:hAnsi="宋体"/>
          <w:color w:val="000000"/>
        </w:rPr>
        <w:t>8</w:t>
      </w:r>
      <w:bookmarkStart w:id="204" w:name="_Toc292559373"/>
      <w:bookmarkStart w:id="205" w:name="_Toc292559878"/>
      <w:bookmarkStart w:id="206" w:name="_Toc296944507"/>
      <w:bookmarkStart w:id="207" w:name="_Toc297048354"/>
      <w:bookmarkStart w:id="208" w:name="_Toc297120468"/>
      <w:bookmarkStart w:id="209" w:name="_Toc300934980"/>
      <w:bookmarkStart w:id="210" w:name="_Toc297216187"/>
      <w:bookmarkStart w:id="211" w:name="_Toc297123528"/>
      <w:bookmarkStart w:id="212" w:name="_Toc304295557"/>
      <w:bookmarkStart w:id="213" w:name="_Toc303539137"/>
      <w:bookmarkStart w:id="214" w:name="_Toc312677494"/>
      <w:bookmarkStart w:id="215" w:name="_Toc312678020"/>
      <w:bookmarkStart w:id="216" w:name="_Toc318581173"/>
      <w:bookmarkStart w:id="217" w:name="_Toc296346669"/>
      <w:bookmarkStart w:id="218" w:name="_Toc296347167"/>
      <w:bookmarkStart w:id="219" w:name="_Toc296503168"/>
      <w:bookmarkStart w:id="220" w:name="_Toc296890996"/>
      <w:bookmarkStart w:id="221" w:name="_Toc296891208"/>
      <w:r>
        <w:rPr>
          <w:rFonts w:hint="eastAsia" w:ascii="宋体" w:hAnsi="宋体"/>
          <w:color w:val="000000"/>
        </w:rPr>
        <w:t>.4.1发包人供应的材料设备的保管费用的承担：</w:t>
      </w:r>
    </w:p>
    <w:bookmarkEnd w:id="204"/>
    <w:bookmarkEnd w:id="205"/>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szCs w:val="24"/>
          <w:u w:val="single"/>
        </w:rPr>
        <w:t>承包人采购的材料必须符合相关的质量标准，且须提供小样及合格证明并经发包方和监理方的事先认可。材料使用前须按规定进行检测或复试，其结果需报发包方和监理方共同确认。所有未经双方认可的或购进材料与小样不符合的材料均不得使用，已进场的必须无条件退场，否则不予结算。因承包方采购材料的原因而造成的质量问题，承包方应无条件整改、返工、修复，并承担由此产生的经济责任。</w:t>
      </w:r>
    </w:p>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szCs w:val="24"/>
          <w:u w:val="single"/>
        </w:rPr>
        <w:t>承包人自购材料的质量必须符合并不低于设计的质量和品牌及国家有关规范、标准及有关职能部门规定要求并提供产品合格证明，材料实行进场申报制度,约定的承包人供应材料必须向发包人送样，报品牌、价格、供应商供发包人核实，在使用前进行检测或复试、检验或试验,经发包人和监理单位认可后才能用于本工程，所有未经双方认可的或购进材料与小样不符合的材料均不得使用，已进场的必须无条件退场，否则不予结算，造成的损失由承包人负责；发包人和监理方对承包人供应材料的认可并不免除承包人对所采购材料的责任。材料代用时须经发包人和监理方认可,承包人代用材料的采购价格和品牌必须经发包人确认后方可进行采购,并以此作为调整投标报价中材料价格的依据。工程量清单中列出暂定价的材料，若由承包人根据发包人要求进行采购的，按发包人批准的品牌采购并按发包人批准的价格办理结算。发包人有权在项目实施过程中，因工程需要变更承包人采购材料的品牌和规格，发包人变更品牌和规格造成材料费用增减，只调整发包价中材料价格。如非发包人的要求或设计变更，材料代用增加的费用由承包人负担，节省的费用由承包人与发包人共享。</w:t>
      </w:r>
    </w:p>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szCs w:val="24"/>
          <w:u w:val="single"/>
        </w:rPr>
        <w:t>发包人有权对材料供应商进行考察，并保留对不符合要求的材料供应商的否决权；发包人有权在承包人材料采购的任一环节进行监控，并行使最终的质量检验认可权和否决权；如果发包人在监控过程和检验中发现该材料不符合规定的质量要求，此时承包人应督促供应商进行整改直至业主满意为止，否则，发包人有权收回此材料的采购权。由此造成的工期推迟和费用的增加由承包人承担经济责任；因承包方采购材料的原因而造成的质量问题，承包方应无条件整改、返工、修复，并承担由此产生的经济责任。</w:t>
      </w:r>
    </w:p>
    <w:p>
      <w:pPr>
        <w:spacing w:line="360" w:lineRule="auto"/>
        <w:ind w:firstLine="480" w:firstLineChars="200"/>
        <w:contextualSpacing/>
        <w:rPr>
          <w:rFonts w:ascii="宋体" w:hAnsi="宋体"/>
          <w:color w:val="000000"/>
          <w:sz w:val="24"/>
        </w:rPr>
      </w:pPr>
      <w:r>
        <w:rPr>
          <w:rFonts w:ascii="宋体" w:hAnsi="宋体"/>
          <w:color w:val="000000"/>
          <w:sz w:val="24"/>
        </w:rPr>
        <w:t>8.6 样品</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8.6.1样品的报送与封存</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需要承包人报送样品的材料或工程设备，样品的种类、名称、规格、数量要求：</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8.8 施工设备和临时设施</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8.8.1 承包人提供的施工设备和临时设施</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关于修建临时设施费用承担的约定：</w:t>
      </w:r>
      <w:r>
        <w:rPr>
          <w:rFonts w:hint="eastAsia" w:ascii="宋体" w:hAnsi="宋体"/>
          <w:color w:val="000000"/>
          <w:sz w:val="24"/>
          <w:u w:val="single"/>
        </w:rPr>
        <w:t xml:space="preserve">    /              </w:t>
      </w:r>
      <w:r>
        <w:rPr>
          <w:rFonts w:hint="eastAsia" w:ascii="宋体" w:hAnsi="宋体"/>
          <w:color w:val="000000"/>
          <w:sz w:val="24"/>
        </w:rPr>
        <w:t>。</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spacing w:line="360" w:lineRule="auto"/>
        <w:ind w:firstLine="480" w:firstLineChars="200"/>
        <w:contextualSpacing/>
        <w:rPr>
          <w:rFonts w:ascii="宋体" w:hAnsi="宋体"/>
          <w:color w:val="000000"/>
          <w:sz w:val="24"/>
        </w:rPr>
      </w:pPr>
      <w:bookmarkStart w:id="222" w:name="_Toc351203641"/>
      <w:r>
        <w:rPr>
          <w:rFonts w:ascii="宋体" w:hAnsi="宋体"/>
          <w:color w:val="000000"/>
          <w:sz w:val="24"/>
        </w:rPr>
        <w:t>9</w:t>
      </w:r>
      <w:bookmarkEnd w:id="201"/>
      <w:bookmarkEnd w:id="202"/>
      <w:bookmarkEnd w:id="203"/>
      <w:bookmarkStart w:id="223" w:name="_Toc297123533"/>
      <w:bookmarkStart w:id="224" w:name="_Toc297216192"/>
      <w:bookmarkStart w:id="225" w:name="_Toc303539139"/>
      <w:bookmarkStart w:id="226" w:name="_Toc300934982"/>
      <w:bookmarkStart w:id="227" w:name="_Toc312677495"/>
      <w:bookmarkStart w:id="228" w:name="_Toc312678021"/>
      <w:bookmarkStart w:id="229" w:name="_Toc304295559"/>
      <w:bookmarkStart w:id="230" w:name="_Toc296891001"/>
      <w:bookmarkStart w:id="231" w:name="_Toc292559378"/>
      <w:bookmarkStart w:id="232" w:name="_Toc267251427"/>
      <w:bookmarkStart w:id="233" w:name="_Toc296346674"/>
      <w:bookmarkStart w:id="234" w:name="_Toc296347172"/>
      <w:bookmarkStart w:id="235" w:name="_Toc297120473"/>
      <w:bookmarkStart w:id="236" w:name="_Toc296891213"/>
      <w:bookmarkStart w:id="237" w:name="_Toc296944512"/>
      <w:bookmarkStart w:id="238" w:name="_Toc297048359"/>
      <w:bookmarkStart w:id="239" w:name="_Toc296503173"/>
      <w:bookmarkStart w:id="240" w:name="_Toc292559883"/>
      <w:bookmarkStart w:id="241" w:name="_Toc267251428"/>
      <w:r>
        <w:rPr>
          <w:rFonts w:ascii="宋体" w:hAnsi="宋体"/>
          <w:color w:val="000000"/>
          <w:sz w:val="24"/>
        </w:rPr>
        <w:t>. 试验与检验</w:t>
      </w:r>
      <w:bookmarkEnd w:id="222"/>
    </w:p>
    <w:bookmarkEnd w:id="223"/>
    <w:bookmarkEnd w:id="224"/>
    <w:bookmarkEnd w:id="225"/>
    <w:bookmarkEnd w:id="226"/>
    <w:bookmarkEnd w:id="227"/>
    <w:bookmarkEnd w:id="228"/>
    <w:bookmarkEnd w:id="229"/>
    <w:p>
      <w:pPr>
        <w:spacing w:line="360" w:lineRule="auto"/>
        <w:ind w:firstLine="480" w:firstLineChars="200"/>
        <w:contextualSpacing/>
        <w:rPr>
          <w:rFonts w:ascii="宋体" w:hAnsi="宋体"/>
          <w:color w:val="000000"/>
          <w:sz w:val="24"/>
        </w:rPr>
      </w:pPr>
      <w:r>
        <w:rPr>
          <w:rFonts w:ascii="宋体" w:hAnsi="宋体"/>
          <w:color w:val="000000"/>
          <w:sz w:val="24"/>
        </w:rPr>
        <w:t>9</w:t>
      </w:r>
      <w:bookmarkStart w:id="242" w:name="_Toc300934983"/>
      <w:bookmarkStart w:id="243" w:name="_Toc297216193"/>
      <w:bookmarkStart w:id="244" w:name="_Toc312677496"/>
      <w:bookmarkStart w:id="245" w:name="_Toc297123534"/>
      <w:bookmarkStart w:id="246" w:name="_Toc303539140"/>
      <w:bookmarkStart w:id="247" w:name="_Toc312678022"/>
      <w:bookmarkStart w:id="248" w:name="_Toc304295560"/>
      <w:r>
        <w:rPr>
          <w:rFonts w:ascii="宋体" w:hAnsi="宋体"/>
          <w:color w:val="000000"/>
          <w:sz w:val="24"/>
        </w:rPr>
        <w:t>.1试验设备与试验人员</w:t>
      </w:r>
    </w:p>
    <w:bookmarkEnd w:id="242"/>
    <w:bookmarkEnd w:id="243"/>
    <w:bookmarkEnd w:id="244"/>
    <w:bookmarkEnd w:id="245"/>
    <w:bookmarkEnd w:id="246"/>
    <w:bookmarkEnd w:id="247"/>
    <w:bookmarkEnd w:id="248"/>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9</w:t>
      </w:r>
      <w:bookmarkStart w:id="249" w:name="_Toc304295561"/>
      <w:bookmarkStart w:id="250" w:name="_Toc297123535"/>
      <w:bookmarkStart w:id="251" w:name="_Toc312677497"/>
      <w:bookmarkStart w:id="252" w:name="_Toc297216194"/>
      <w:bookmarkStart w:id="253" w:name="_Toc300934984"/>
      <w:bookmarkStart w:id="254" w:name="_Toc303539141"/>
      <w:bookmarkStart w:id="255" w:name="_Toc312678023"/>
      <w:bookmarkStart w:id="256" w:name="_Toc318581174"/>
      <w:r>
        <w:rPr>
          <w:rFonts w:hint="eastAsia" w:ascii="宋体" w:hAnsi="宋体"/>
          <w:color w:val="000000"/>
          <w:sz w:val="24"/>
        </w:rPr>
        <w:t>.1.2 试验设备</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施工现场需要配置的试验场所：</w:t>
      </w:r>
      <w:bookmarkEnd w:id="249"/>
      <w:bookmarkEnd w:id="250"/>
      <w:bookmarkEnd w:id="251"/>
      <w:bookmarkEnd w:id="252"/>
      <w:bookmarkEnd w:id="253"/>
      <w:bookmarkEnd w:id="254"/>
      <w:bookmarkEnd w:id="255"/>
      <w:bookmarkStart w:id="257" w:name="_Toc297123536"/>
      <w:bookmarkStart w:id="258" w:name="_Toc297216195"/>
      <w:bookmarkStart w:id="259" w:name="_Toc300934985"/>
      <w:bookmarkStart w:id="260" w:name="_Toc303539142"/>
      <w:bookmarkStart w:id="261" w:name="_Toc312677498"/>
      <w:bookmarkStart w:id="262" w:name="_Toc304295562"/>
      <w:bookmarkStart w:id="263" w:name="_Toc312678024"/>
      <w:r>
        <w:rPr>
          <w:rFonts w:hint="eastAsia" w:ascii="宋体" w:hAnsi="宋体"/>
          <w:color w:val="000000"/>
          <w:sz w:val="24"/>
          <w:u w:val="single"/>
        </w:rPr>
        <w:t xml:space="preserve"> 无 </w:t>
      </w:r>
      <w:r>
        <w:rPr>
          <w:rFonts w:hint="eastAsia" w:ascii="宋体" w:hAnsi="宋体"/>
          <w:color w:val="000000"/>
          <w:sz w:val="24"/>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施工现场需要配备的试验设备：</w:t>
      </w:r>
      <w:r>
        <w:rPr>
          <w:rFonts w:hint="eastAsia" w:ascii="宋体" w:hAnsi="宋体"/>
          <w:color w:val="000000"/>
          <w:sz w:val="24"/>
          <w:u w:val="single"/>
        </w:rPr>
        <w:t xml:space="preserve"> 水准仪、测量仪等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施工现场需要具备的其他试验条件：</w:t>
      </w:r>
      <w:r>
        <w:rPr>
          <w:rFonts w:hint="eastAsia" w:ascii="宋体" w:hAnsi="宋体"/>
          <w:color w:val="000000"/>
          <w:sz w:val="24"/>
          <w:u w:val="single"/>
        </w:rPr>
        <w:t xml:space="preserve">其他按通用条款执行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9.4 现场工艺试验</w:t>
      </w:r>
      <w:r>
        <w:rPr>
          <w:rFonts w:hint="eastAsia" w:ascii="宋体" w:hAnsi="宋体"/>
          <w:color w:val="000000"/>
          <w:sz w:val="24"/>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现场工艺试验的有关约定：</w:t>
      </w:r>
      <w:r>
        <w:rPr>
          <w:rFonts w:hint="eastAsia" w:ascii="宋体" w:hAnsi="宋体"/>
          <w:color w:val="000000"/>
          <w:sz w:val="24"/>
          <w:u w:val="single"/>
        </w:rPr>
        <w:t xml:space="preserve">  / </w:t>
      </w:r>
      <w:r>
        <w:rPr>
          <w:rFonts w:hint="eastAsia" w:ascii="宋体" w:hAnsi="宋体"/>
          <w:color w:val="000000"/>
          <w:sz w:val="24"/>
        </w:rPr>
        <w:t>。</w:t>
      </w:r>
    </w:p>
    <w:bookmarkEnd w:id="256"/>
    <w:bookmarkEnd w:id="257"/>
    <w:bookmarkEnd w:id="258"/>
    <w:bookmarkEnd w:id="259"/>
    <w:bookmarkEnd w:id="260"/>
    <w:bookmarkEnd w:id="261"/>
    <w:bookmarkEnd w:id="262"/>
    <w:bookmarkEnd w:id="263"/>
    <w:p>
      <w:pPr>
        <w:spacing w:line="360" w:lineRule="auto"/>
        <w:ind w:firstLine="480" w:firstLineChars="200"/>
        <w:contextualSpacing/>
        <w:rPr>
          <w:rFonts w:ascii="宋体" w:hAnsi="宋体"/>
          <w:color w:val="000000"/>
          <w:sz w:val="24"/>
        </w:rPr>
      </w:pPr>
      <w:bookmarkStart w:id="264" w:name="_Toc351203642"/>
      <w:r>
        <w:rPr>
          <w:rFonts w:ascii="宋体" w:hAnsi="宋体"/>
          <w:color w:val="000000"/>
          <w:sz w:val="24"/>
        </w:rPr>
        <w:t>1</w:t>
      </w:r>
      <w:bookmarkEnd w:id="230"/>
      <w:bookmarkEnd w:id="231"/>
      <w:bookmarkEnd w:id="232"/>
      <w:bookmarkEnd w:id="233"/>
      <w:bookmarkEnd w:id="234"/>
      <w:bookmarkEnd w:id="235"/>
      <w:bookmarkEnd w:id="236"/>
      <w:bookmarkEnd w:id="237"/>
      <w:bookmarkEnd w:id="238"/>
      <w:bookmarkEnd w:id="239"/>
      <w:bookmarkEnd w:id="240"/>
      <w:bookmarkEnd w:id="241"/>
      <w:bookmarkStart w:id="265" w:name="_Toc292559398"/>
      <w:bookmarkStart w:id="266" w:name="_Toc292559903"/>
      <w:bookmarkStart w:id="267" w:name="_Toc296347192"/>
      <w:bookmarkStart w:id="268" w:name="_Toc296346694"/>
      <w:bookmarkStart w:id="269" w:name="_Toc296891021"/>
      <w:bookmarkStart w:id="270" w:name="_Toc296891233"/>
      <w:bookmarkStart w:id="271" w:name="_Toc296944532"/>
      <w:bookmarkStart w:id="272" w:name="_Toc296503193"/>
      <w:bookmarkStart w:id="273" w:name="_Toc297048379"/>
      <w:bookmarkStart w:id="274" w:name="_Toc297120493"/>
      <w:bookmarkStart w:id="275" w:name="_Toc297123540"/>
      <w:bookmarkStart w:id="276" w:name="_Toc297216199"/>
      <w:bookmarkStart w:id="277" w:name="_Toc300934989"/>
      <w:bookmarkStart w:id="278" w:name="_Toc303539146"/>
      <w:bookmarkStart w:id="279" w:name="_Toc304295566"/>
      <w:bookmarkStart w:id="280" w:name="_Toc312677499"/>
      <w:bookmarkStart w:id="281" w:name="_Toc312678025"/>
      <w:bookmarkStart w:id="282" w:name="_Toc267251439"/>
      <w:bookmarkStart w:id="283" w:name="_Toc267251437"/>
      <w:bookmarkStart w:id="284" w:name="_Toc267251435"/>
      <w:bookmarkStart w:id="285" w:name="_Toc267251433"/>
      <w:bookmarkStart w:id="286" w:name="_Toc267251441"/>
      <w:bookmarkStart w:id="287" w:name="_Toc267251440"/>
      <w:bookmarkStart w:id="288" w:name="_Toc267251442"/>
      <w:r>
        <w:rPr>
          <w:rFonts w:ascii="宋体" w:hAnsi="宋体"/>
          <w:color w:val="000000"/>
          <w:sz w:val="24"/>
        </w:rPr>
        <w:t>0. 变更</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bookmarkEnd w:id="281"/>
    <w:p>
      <w:pPr>
        <w:spacing w:line="360" w:lineRule="auto"/>
        <w:ind w:firstLine="480" w:firstLineChars="200"/>
        <w:contextualSpacing/>
        <w:rPr>
          <w:rFonts w:ascii="宋体" w:hAnsi="宋体"/>
          <w:color w:val="000000"/>
          <w:sz w:val="24"/>
        </w:rPr>
      </w:pPr>
      <w:r>
        <w:rPr>
          <w:rFonts w:ascii="宋体" w:hAnsi="宋体"/>
          <w:color w:val="000000"/>
          <w:sz w:val="24"/>
        </w:rPr>
        <w:t>1</w:t>
      </w:r>
      <w:bookmarkStart w:id="289" w:name="_Toc303539147"/>
      <w:bookmarkStart w:id="290" w:name="_Toc296503194"/>
      <w:bookmarkStart w:id="291" w:name="_Toc296891234"/>
      <w:bookmarkStart w:id="292" w:name="_Toc296346695"/>
      <w:bookmarkStart w:id="293" w:name="_Toc312678026"/>
      <w:bookmarkStart w:id="294" w:name="_Toc300934990"/>
      <w:bookmarkStart w:id="295" w:name="_Toc296347193"/>
      <w:bookmarkStart w:id="296" w:name="_Toc292559399"/>
      <w:bookmarkStart w:id="297" w:name="_Toc297216200"/>
      <w:bookmarkStart w:id="298" w:name="_Toc296891022"/>
      <w:bookmarkStart w:id="299" w:name="_Toc297120494"/>
      <w:bookmarkStart w:id="300" w:name="_Toc304295567"/>
      <w:bookmarkStart w:id="301" w:name="_Toc312677500"/>
      <w:bookmarkStart w:id="302" w:name="_Toc297048380"/>
      <w:bookmarkStart w:id="303" w:name="_Toc297123541"/>
      <w:bookmarkStart w:id="304" w:name="_Toc296944533"/>
      <w:bookmarkStart w:id="305" w:name="_Toc292559904"/>
      <w:r>
        <w:rPr>
          <w:rFonts w:ascii="宋体" w:hAnsi="宋体"/>
          <w:color w:val="000000"/>
          <w:sz w:val="24"/>
        </w:rPr>
        <w:t>0.1变更的范围</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关于变更的范围的约定：</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（1）设计变更须有设计方的设计变更通知单并经发包人业主代表签字确认；</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（2）现场签证须有发包人业主代表、总监理工程师共同签字确认方为有效；</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（3）承包人不得对原有工程设计进行变更，否则由此造成的一切责任由承包人承担；</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（4）因工程设计变更而引起的工程量增减变化，必须在七日内报请发包人业主代表、总监理工程师人员确认，任何后补签证的请求将受到发包人的拒绝。</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u w:val="single"/>
        </w:rPr>
        <w:t>（5）承包人提出的不改变原有设计品质但方便施工的变更不作为调增款的依据。</w:t>
      </w:r>
    </w:p>
    <w:p>
      <w:pPr>
        <w:spacing w:line="360" w:lineRule="auto"/>
        <w:ind w:firstLine="480" w:firstLineChars="200"/>
        <w:contextualSpacing/>
        <w:rPr>
          <w:rFonts w:ascii="宋体" w:hAnsi="宋体"/>
          <w:color w:val="000000"/>
          <w:sz w:val="24"/>
        </w:rPr>
      </w:pPr>
      <w:r>
        <w:rPr>
          <w:rFonts w:ascii="宋体" w:hAnsi="宋体"/>
          <w:color w:val="000000"/>
          <w:sz w:val="24"/>
        </w:rPr>
        <w:t>10.4 变更估价</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10.4.1 变更估价原则</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 xml:space="preserve">关于变更估价的约定: </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06" w:name="_Toc296347196"/>
      <w:bookmarkStart w:id="307" w:name="_Toc296891237"/>
      <w:bookmarkStart w:id="308" w:name="_Toc300934993"/>
      <w:bookmarkStart w:id="309" w:name="_Toc296944536"/>
      <w:bookmarkStart w:id="310" w:name="_Toc297048383"/>
      <w:bookmarkStart w:id="311" w:name="_Toc292559907"/>
      <w:bookmarkStart w:id="312" w:name="_Toc297216203"/>
      <w:bookmarkStart w:id="313" w:name="_Toc303539150"/>
      <w:bookmarkStart w:id="314" w:name="_Toc297123544"/>
      <w:bookmarkStart w:id="315" w:name="_Toc296891025"/>
      <w:bookmarkStart w:id="316" w:name="_Toc292559402"/>
      <w:bookmarkStart w:id="317" w:name="_Toc297120497"/>
      <w:bookmarkStart w:id="318" w:name="_Toc296503197"/>
      <w:bookmarkStart w:id="319" w:name="_Toc296346698"/>
      <w:bookmarkStart w:id="320" w:name="_Toc304295570"/>
      <w:bookmarkStart w:id="321" w:name="_Toc312677503"/>
      <w:bookmarkStart w:id="322" w:name="_Toc312678029"/>
      <w:r>
        <w:rPr>
          <w:rFonts w:ascii="宋体" w:hAnsi="宋体"/>
          <w:color w:val="000000"/>
          <w:sz w:val="24"/>
        </w:rPr>
        <w:t>0.5承</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3" w:name="_Toc297120503"/>
      <w:bookmarkStart w:id="324" w:name="_Toc292559913"/>
      <w:bookmarkStart w:id="325" w:name="_Toc297048389"/>
      <w:bookmarkStart w:id="326" w:name="_Toc292559408"/>
      <w:bookmarkStart w:id="327" w:name="_Toc296503203"/>
      <w:bookmarkStart w:id="328" w:name="_Toc296891031"/>
      <w:bookmarkStart w:id="329" w:name="_Toc296347202"/>
      <w:bookmarkStart w:id="330" w:name="_Toc296891243"/>
      <w:bookmarkStart w:id="331" w:name="_Toc297123545"/>
      <w:bookmarkStart w:id="332" w:name="_Toc296944542"/>
      <w:bookmarkStart w:id="333" w:name="_Toc296346704"/>
      <w:bookmarkStart w:id="334" w:name="_Toc303539151"/>
      <w:bookmarkStart w:id="335" w:name="_Toc297216204"/>
      <w:bookmarkStart w:id="336" w:name="_Toc300934994"/>
      <w:r>
        <w:rPr>
          <w:rFonts w:ascii="宋体" w:hAnsi="宋体"/>
          <w:color w:val="000000"/>
          <w:sz w:val="24"/>
        </w:rPr>
        <w:t>包人的合理化建议</w:t>
      </w: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监理人审查承包人合理化建议的期限：</w:t>
      </w:r>
      <w:r>
        <w:rPr>
          <w:rFonts w:hint="eastAsia" w:ascii="宋体" w:hAnsi="宋体"/>
          <w:color w:val="000000"/>
          <w:sz w:val="24"/>
          <w:u w:val="single"/>
        </w:rPr>
        <w:t xml:space="preserve">2日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发包人审批承包人合理化建议的期限：</w:t>
      </w:r>
      <w:r>
        <w:rPr>
          <w:rFonts w:hint="eastAsia" w:ascii="宋体" w:hAnsi="宋体"/>
          <w:color w:val="000000"/>
          <w:sz w:val="24"/>
          <w:u w:val="single"/>
        </w:rPr>
        <w:t xml:space="preserve"> 2日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承</w:t>
      </w:r>
      <w:bookmarkStart w:id="337" w:name="_Toc312678030"/>
      <w:bookmarkStart w:id="338" w:name="_Toc296891032"/>
      <w:bookmarkStart w:id="339" w:name="_Toc292559914"/>
      <w:bookmarkStart w:id="340" w:name="_Toc297123546"/>
      <w:bookmarkStart w:id="341" w:name="_Toc297048390"/>
      <w:bookmarkStart w:id="342" w:name="_Toc297120504"/>
      <w:bookmarkStart w:id="343" w:name="_Toc296346705"/>
      <w:bookmarkStart w:id="344" w:name="_Toc296944543"/>
      <w:bookmarkStart w:id="345" w:name="_Toc296347203"/>
      <w:bookmarkStart w:id="346" w:name="_Toc318581175"/>
      <w:bookmarkStart w:id="347" w:name="_Toc292559409"/>
      <w:bookmarkStart w:id="348" w:name="_Toc296891244"/>
      <w:bookmarkStart w:id="349" w:name="_Toc297216205"/>
      <w:bookmarkStart w:id="350" w:name="_Toc300934995"/>
      <w:bookmarkStart w:id="351" w:name="_Toc303539152"/>
      <w:bookmarkStart w:id="352" w:name="_Toc304295571"/>
      <w:bookmarkStart w:id="353" w:name="_Toc312677504"/>
      <w:bookmarkStart w:id="354" w:name="_Toc296503204"/>
      <w:r>
        <w:rPr>
          <w:rFonts w:hint="eastAsia" w:ascii="宋体" w:hAnsi="宋体"/>
          <w:color w:val="000000"/>
          <w:sz w:val="24"/>
        </w:rPr>
        <w:t>包人提出的合理化建议降低了合同价格或者提高了工程经济效益的奖励的方法和金额为：</w:t>
      </w:r>
      <w:r>
        <w:rPr>
          <w:rFonts w:hint="eastAsia" w:ascii="宋体" w:hAnsi="宋体"/>
          <w:color w:val="000000"/>
          <w:sz w:val="24"/>
          <w:u w:val="single"/>
        </w:rPr>
        <w:t xml:space="preserve">  / </w:t>
      </w:r>
      <w:r>
        <w:rPr>
          <w:rFonts w:hint="eastAsia" w:ascii="宋体" w:hAnsi="宋体"/>
          <w:color w:val="000000"/>
          <w:sz w:val="24"/>
        </w:rPr>
        <w:t>。</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Pr>
        <w:spacing w:line="360" w:lineRule="auto"/>
        <w:ind w:firstLine="480" w:firstLineChars="200"/>
        <w:contextualSpacing/>
        <w:rPr>
          <w:rFonts w:ascii="宋体" w:hAnsi="宋体"/>
          <w:color w:val="000000"/>
          <w:sz w:val="24"/>
        </w:rPr>
      </w:pPr>
      <w:r>
        <w:rPr>
          <w:rFonts w:ascii="宋体" w:hAnsi="宋体"/>
          <w:color w:val="000000"/>
          <w:sz w:val="24"/>
        </w:rPr>
        <w:t>1</w:t>
      </w:r>
      <w:bookmarkStart w:id="355" w:name="_Toc297048385"/>
      <w:bookmarkStart w:id="356" w:name="_Toc292559909"/>
      <w:bookmarkStart w:id="357" w:name="_Toc297216207"/>
      <w:bookmarkStart w:id="358" w:name="_Toc297120499"/>
      <w:bookmarkStart w:id="359" w:name="_Toc296891239"/>
      <w:bookmarkStart w:id="360" w:name="_Toc300934997"/>
      <w:bookmarkStart w:id="361" w:name="_Toc312677507"/>
      <w:bookmarkStart w:id="362" w:name="_Toc296347198"/>
      <w:bookmarkStart w:id="363" w:name="_Toc296944538"/>
      <w:bookmarkStart w:id="364" w:name="_Toc312678033"/>
      <w:bookmarkStart w:id="365" w:name="_Toc292559404"/>
      <w:bookmarkStart w:id="366" w:name="_Toc297123548"/>
      <w:bookmarkStart w:id="367" w:name="_Toc296346700"/>
      <w:bookmarkStart w:id="368" w:name="_Toc296891027"/>
      <w:bookmarkStart w:id="369" w:name="_Toc303539154"/>
      <w:bookmarkStart w:id="370" w:name="_Toc304295574"/>
      <w:bookmarkStart w:id="371" w:name="_Toc296503199"/>
      <w:r>
        <w:rPr>
          <w:rFonts w:ascii="宋体" w:hAnsi="宋体"/>
          <w:color w:val="000000"/>
          <w:sz w:val="24"/>
        </w:rPr>
        <w:t>0.7 暂估价</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bookmarkStart w:id="372" w:name="_Toc312677509"/>
      <w:bookmarkStart w:id="373" w:name="_Toc318581177"/>
      <w:bookmarkStart w:id="374" w:name="_Toc312678035"/>
      <w:r>
        <w:rPr>
          <w:rFonts w:hint="eastAsia" w:ascii="宋体" w:hAnsi="宋体"/>
          <w:color w:val="000000"/>
          <w:sz w:val="24"/>
        </w:rPr>
        <w:t>0.7.1 依法必须招标的暂估价项目</w:t>
      </w:r>
    </w:p>
    <w:bookmarkEnd w:id="372"/>
    <w:bookmarkEnd w:id="373"/>
    <w:bookmarkEnd w:id="374"/>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对于依法必须招标的暂估价项目的确认和批准采取第</w:t>
      </w:r>
      <w:r>
        <w:rPr>
          <w:rFonts w:hint="eastAsia" w:ascii="宋体" w:hAnsi="宋体"/>
          <w:color w:val="000000"/>
          <w:sz w:val="24"/>
          <w:u w:val="single"/>
        </w:rPr>
        <w:t>/</w:t>
      </w:r>
      <w:r>
        <w:rPr>
          <w:rFonts w:hint="eastAsia" w:ascii="宋体" w:hAnsi="宋体"/>
          <w:color w:val="000000"/>
          <w:sz w:val="24"/>
        </w:rPr>
        <w:t>种方式确定。</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10.7.2 不属于依法必须招标的暂估价项目</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对于不属于依法必须招标的暂估价项目的确认和批准采取第</w:t>
      </w:r>
      <w:r>
        <w:rPr>
          <w:rFonts w:hint="eastAsia" w:ascii="宋体" w:hAnsi="宋体"/>
          <w:color w:val="000000"/>
          <w:sz w:val="24"/>
          <w:u w:val="single"/>
        </w:rPr>
        <w:t xml:space="preserve"> / </w:t>
      </w:r>
      <w:r>
        <w:rPr>
          <w:rFonts w:hint="eastAsia" w:ascii="宋体" w:hAnsi="宋体"/>
          <w:color w:val="000000"/>
          <w:sz w:val="24"/>
        </w:rPr>
        <w:t>种方式确定。</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第3种方式：承包人直接实施的暂估价项目</w:t>
      </w:r>
    </w:p>
    <w:p>
      <w:pPr>
        <w:pStyle w:val="15"/>
        <w:spacing w:line="360" w:lineRule="auto"/>
        <w:ind w:firstLine="480" w:firstLineChars="200"/>
        <w:contextualSpacing/>
        <w:jc w:val="left"/>
        <w:rPr>
          <w:rFonts w:hint="eastAsia" w:ascii="宋体" w:hAnsi="宋体"/>
          <w:u w:val="single"/>
        </w:rPr>
      </w:pPr>
      <w:r>
        <w:rPr>
          <w:rFonts w:hint="eastAsia" w:ascii="宋体" w:hAnsi="宋体"/>
          <w:color w:val="000000"/>
        </w:rPr>
        <w:t>承包人直接实施的暂估价项目的约定：</w:t>
      </w:r>
      <w:r>
        <w:rPr>
          <w:rFonts w:hint="eastAsia" w:ascii="宋体" w:hAnsi="宋体"/>
          <w:u w:val="single"/>
        </w:rPr>
        <w:t>包人应根据施工进度计划，在直接实施前</w:t>
      </w:r>
      <w:r>
        <w:rPr>
          <w:rFonts w:ascii="宋体" w:hAnsi="宋体"/>
          <w:u w:val="single"/>
        </w:rPr>
        <w:t>28天向监理人提出直接实施书面申请。监理人应当在收到申请后14天内审查并报送发包人，发包人应当在收到申请后14天内给予批准或提出修改意见，发包人逾期未予批准或提出修改意见的，视为该书面申请已获得同意。</w:t>
      </w:r>
    </w:p>
    <w:p>
      <w:pPr>
        <w:spacing w:line="360" w:lineRule="auto"/>
        <w:ind w:firstLine="480" w:firstLineChars="200"/>
        <w:contextualSpacing/>
        <w:rPr>
          <w:rFonts w:ascii="宋体" w:hAnsi="宋体"/>
          <w:color w:val="000000"/>
          <w:sz w:val="24"/>
        </w:rPr>
      </w:pPr>
      <w:r>
        <w:rPr>
          <w:rFonts w:ascii="宋体" w:hAnsi="宋体"/>
          <w:color w:val="000000"/>
          <w:sz w:val="24"/>
        </w:rPr>
        <w:t>10.8 暂列金额</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合同当事人关于暂列金额使用的约定：</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szCs w:val="24"/>
          <w:u w:val="single" w:color="000000"/>
        </w:rPr>
        <w:t>/。</w:t>
      </w:r>
    </w:p>
    <w:p>
      <w:pPr>
        <w:spacing w:line="360" w:lineRule="auto"/>
        <w:ind w:firstLine="480" w:firstLineChars="200"/>
        <w:contextualSpacing/>
        <w:rPr>
          <w:rFonts w:ascii="宋体" w:hAnsi="宋体"/>
          <w:color w:val="000000"/>
          <w:sz w:val="24"/>
        </w:rPr>
      </w:pPr>
      <w:bookmarkStart w:id="375" w:name="_Toc351203643"/>
      <w:r>
        <w:rPr>
          <w:rFonts w:ascii="宋体" w:hAnsi="宋体"/>
          <w:color w:val="000000"/>
          <w:sz w:val="24"/>
        </w:rPr>
        <w:t>11. 价格调整</w:t>
      </w:r>
      <w:bookmarkEnd w:id="375"/>
    </w:p>
    <w:p>
      <w:pPr>
        <w:spacing w:line="360" w:lineRule="auto"/>
        <w:ind w:firstLine="480" w:firstLineChars="200"/>
        <w:contextualSpacing/>
        <w:rPr>
          <w:rFonts w:ascii="宋体" w:hAnsi="宋体"/>
          <w:color w:val="000000"/>
          <w:sz w:val="24"/>
        </w:rPr>
      </w:pPr>
      <w:bookmarkStart w:id="376" w:name="_Toc303539157"/>
      <w:bookmarkStart w:id="377" w:name="_Toc296944540"/>
      <w:bookmarkStart w:id="378" w:name="_Toc304295577"/>
      <w:bookmarkStart w:id="379" w:name="_Toc297216209"/>
      <w:bookmarkStart w:id="380" w:name="_Toc297048387"/>
      <w:bookmarkStart w:id="381" w:name="_Toc296891241"/>
      <w:bookmarkStart w:id="382" w:name="_Toc296503201"/>
      <w:bookmarkStart w:id="383" w:name="_Toc297120501"/>
      <w:bookmarkStart w:id="384" w:name="_Toc292559406"/>
      <w:bookmarkStart w:id="385" w:name="_Toc312678039"/>
      <w:bookmarkStart w:id="386" w:name="_Toc292559911"/>
      <w:bookmarkStart w:id="387" w:name="_Toc300935000"/>
      <w:bookmarkStart w:id="388" w:name="_Toc296891029"/>
      <w:bookmarkStart w:id="389" w:name="_Toc297123550"/>
      <w:bookmarkStart w:id="390" w:name="_Toc296346702"/>
      <w:bookmarkStart w:id="391" w:name="_Toc296347200"/>
      <w:r>
        <w:rPr>
          <w:rFonts w:ascii="宋体" w:hAnsi="宋体"/>
          <w:color w:val="000000"/>
          <w:sz w:val="24"/>
        </w:rPr>
        <w:t>11.1 市场价格波动引起的调整</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市场价格波动是否调整合同价格的约定：</w:t>
      </w:r>
      <w:r>
        <w:rPr>
          <w:rFonts w:hint="eastAsia" w:ascii="宋体" w:hAnsi="宋体"/>
          <w:color w:val="000000"/>
          <w:sz w:val="24"/>
          <w:szCs w:val="24"/>
          <w:u w:val="single" w:color="000000"/>
        </w:rPr>
        <w:t>在建设期内，由国家、省、市等有关政府部门发出的政策性调整文件，按文件要求执行。</w:t>
      </w:r>
    </w:p>
    <w:p>
      <w:pPr>
        <w:spacing w:line="360" w:lineRule="auto"/>
        <w:ind w:firstLine="480" w:firstLineChars="200"/>
        <w:contextualSpacing/>
        <w:rPr>
          <w:rFonts w:hint="eastAsia" w:ascii="宋体" w:hAnsi="宋体"/>
          <w:color w:val="000000"/>
          <w:sz w:val="24"/>
          <w:szCs w:val="24"/>
        </w:rPr>
      </w:pPr>
      <w:r>
        <w:rPr>
          <w:rFonts w:hint="eastAsia" w:ascii="宋体" w:hAnsi="宋体"/>
          <w:color w:val="000000"/>
          <w:sz w:val="24"/>
          <w:szCs w:val="24"/>
        </w:rPr>
        <w:t xml:space="preserve">因市场价格波动调整合同价格，采用以下第 </w:t>
      </w:r>
      <w:r>
        <w:rPr>
          <w:rFonts w:hint="eastAsia" w:ascii="宋体" w:hAnsi="宋体"/>
          <w:color w:val="000000"/>
          <w:sz w:val="24"/>
          <w:szCs w:val="24"/>
          <w:u w:val="single"/>
        </w:rPr>
        <w:t xml:space="preserve">2 </w:t>
      </w:r>
      <w:r>
        <w:rPr>
          <w:rFonts w:hint="eastAsia" w:ascii="宋体" w:hAnsi="宋体"/>
          <w:color w:val="000000"/>
          <w:sz w:val="24"/>
          <w:szCs w:val="24"/>
        </w:rPr>
        <w:t>种方式对合同价格进行调整：</w:t>
      </w:r>
    </w:p>
    <w:p>
      <w:pPr>
        <w:spacing w:line="360" w:lineRule="auto"/>
        <w:ind w:firstLine="480" w:firstLineChars="200"/>
        <w:contextualSpacing/>
        <w:rPr>
          <w:rFonts w:hint="eastAsia" w:ascii="宋体" w:hAnsi="宋体"/>
          <w:color w:val="000000"/>
          <w:sz w:val="24"/>
          <w:szCs w:val="24"/>
        </w:rPr>
      </w:pPr>
      <w:r>
        <w:rPr>
          <w:rFonts w:hint="eastAsia" w:ascii="宋体" w:hAnsi="宋体"/>
          <w:color w:val="000000"/>
          <w:sz w:val="24"/>
          <w:szCs w:val="24"/>
        </w:rPr>
        <w:t>第1种方式：采用价格指数进行价格调整。</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rPr>
        <w:t>关于各可调因子、定值和变值权重，以及基本价格指数及其来源的约定：</w:t>
      </w:r>
      <w:r>
        <w:rPr>
          <w:rFonts w:hint="eastAsia" w:ascii="宋体" w:hAnsi="宋体"/>
          <w:color w:val="000000"/>
          <w:sz w:val="24"/>
          <w:szCs w:val="24"/>
          <w:u w:val="single" w:color="000000"/>
        </w:rPr>
        <w:t xml:space="preserve"> /      ；</w:t>
      </w:r>
    </w:p>
    <w:p>
      <w:pPr>
        <w:spacing w:line="360" w:lineRule="auto"/>
        <w:ind w:firstLine="480" w:firstLineChars="200"/>
        <w:contextualSpacing/>
        <w:rPr>
          <w:rFonts w:hint="eastAsia" w:ascii="宋体" w:hAnsi="宋体"/>
          <w:color w:val="000000"/>
          <w:sz w:val="24"/>
          <w:szCs w:val="24"/>
        </w:rPr>
      </w:pPr>
      <w:r>
        <w:rPr>
          <w:rFonts w:hint="eastAsia" w:ascii="宋体" w:hAnsi="宋体"/>
          <w:color w:val="000000"/>
          <w:sz w:val="24"/>
          <w:szCs w:val="24"/>
        </w:rPr>
        <w:t>第2种方式：采用造价信息进行价格调整。</w:t>
      </w:r>
    </w:p>
    <w:bookmarkEnd w:id="282"/>
    <w:bookmarkEnd w:id="283"/>
    <w:bookmarkEnd w:id="284"/>
    <w:bookmarkEnd w:id="285"/>
    <w:bookmarkEnd w:id="286"/>
    <w:bookmarkEnd w:id="287"/>
    <w:p>
      <w:pPr>
        <w:pStyle w:val="15"/>
        <w:spacing w:line="360" w:lineRule="auto"/>
        <w:ind w:firstLine="480" w:firstLineChars="200"/>
        <w:contextualSpacing/>
        <w:jc w:val="left"/>
        <w:rPr>
          <w:rFonts w:ascii="宋体" w:hAnsi="宋体"/>
          <w:snapToGrid w:val="0"/>
        </w:rPr>
      </w:pPr>
      <w:bookmarkStart w:id="392" w:name="_Toc296346706"/>
      <w:bookmarkStart w:id="393" w:name="_Toc297120505"/>
      <w:bookmarkStart w:id="394" w:name="_Toc292559915"/>
      <w:bookmarkStart w:id="395" w:name="_Toc296503205"/>
      <w:bookmarkStart w:id="396" w:name="_Toc292559410"/>
      <w:bookmarkStart w:id="397" w:name="_Toc296891033"/>
      <w:bookmarkStart w:id="398" w:name="_Toc296891245"/>
      <w:bookmarkStart w:id="399" w:name="_Toc297048391"/>
      <w:bookmarkStart w:id="400" w:name="_Toc296944544"/>
      <w:bookmarkStart w:id="401" w:name="_Toc296347204"/>
      <w:bookmarkStart w:id="402" w:name="_Toc351203644"/>
      <w:bookmarkStart w:id="403" w:name="_Toc312678040"/>
      <w:bookmarkStart w:id="404" w:name="_Toc297123552"/>
      <w:bookmarkStart w:id="405" w:name="_Toc297216211"/>
      <w:bookmarkStart w:id="406" w:name="_Toc300935002"/>
      <w:bookmarkStart w:id="407" w:name="_Toc303539159"/>
      <w:bookmarkStart w:id="408" w:name="_Toc304295579"/>
      <w:r>
        <w:rPr>
          <w:rFonts w:hint="eastAsia" w:ascii="宋体" w:hAnsi="宋体"/>
          <w:snapToGrid w:val="0"/>
        </w:rPr>
        <w:t>第</w:t>
      </w:r>
      <w:r>
        <w:rPr>
          <w:rFonts w:ascii="宋体" w:hAnsi="宋体"/>
          <w:snapToGrid w:val="0"/>
        </w:rPr>
        <w:t>2种方式：采用造价信息进行价格调整。</w:t>
      </w:r>
    </w:p>
    <w:p>
      <w:pPr>
        <w:pStyle w:val="15"/>
        <w:spacing w:line="360" w:lineRule="auto"/>
        <w:ind w:firstLine="480" w:firstLineChars="200"/>
        <w:contextualSpacing/>
        <w:jc w:val="left"/>
        <w:rPr>
          <w:rFonts w:ascii="宋体" w:hAnsi="宋体"/>
          <w:snapToGrid w:val="0"/>
        </w:rPr>
      </w:pPr>
      <w:r>
        <w:rPr>
          <w:rFonts w:hint="eastAsia" w:ascii="宋体" w:hAnsi="宋体"/>
          <w:snapToGrid w:val="0"/>
        </w:rPr>
        <w:t>（</w:t>
      </w:r>
      <w:r>
        <w:rPr>
          <w:rFonts w:ascii="宋体" w:hAnsi="宋体"/>
          <w:snapToGrid w:val="0"/>
        </w:rPr>
        <w:t>2）</w:t>
      </w:r>
      <w:r>
        <w:rPr>
          <w:rFonts w:hint="eastAsia" w:ascii="宋体" w:hAnsi="宋体"/>
          <w:snapToGrid w:val="0"/>
        </w:rPr>
        <w:t>关于基准价格的约定：</w:t>
      </w:r>
      <w:r>
        <w:rPr>
          <w:rFonts w:hint="eastAsia" w:ascii="宋体" w:hAnsi="宋体"/>
          <w:snapToGrid w:val="0"/>
          <w:u w:val="single"/>
        </w:rPr>
        <w:t></w:t>
      </w:r>
      <w:r>
        <w:rPr>
          <w:rFonts w:ascii="宋体" w:hAnsi="宋体"/>
          <w:snapToGrid w:val="0"/>
          <w:u w:val="single"/>
        </w:rPr>
        <w:t>/</w:t>
      </w:r>
      <w:r>
        <w:rPr>
          <w:rFonts w:ascii="宋体" w:hAnsi="宋体"/>
          <w:snapToGrid w:val="0"/>
        </w:rPr>
        <w:t>。</w:t>
      </w:r>
    </w:p>
    <w:p>
      <w:pPr>
        <w:pStyle w:val="15"/>
        <w:spacing w:line="360" w:lineRule="auto"/>
        <w:ind w:firstLine="480" w:firstLineChars="200"/>
        <w:contextualSpacing/>
        <w:jc w:val="left"/>
        <w:rPr>
          <w:rFonts w:ascii="宋体" w:hAnsi="宋体"/>
          <w:snapToGrid w:val="0"/>
        </w:rPr>
      </w:pPr>
      <w:r>
        <w:rPr>
          <w:rFonts w:hint="eastAsia" w:ascii="宋体" w:hAnsi="宋体"/>
          <w:snapToGrid w:val="0"/>
        </w:rPr>
        <w:t>专用合同条款①承包人在已标价工程量清单或预算书中载明的材料单价低于基准价格的：专用合同条款合同履行期间材料单价涨幅以基准价格为基础超过</w:t>
      </w:r>
      <w:r>
        <w:rPr>
          <w:rFonts w:hint="eastAsia" w:ascii="宋体" w:hAnsi="宋体"/>
          <w:snapToGrid w:val="0"/>
          <w:u w:val="single"/>
        </w:rPr>
        <w:t></w:t>
      </w:r>
      <w:r>
        <w:rPr>
          <w:rFonts w:ascii="宋体" w:hAnsi="宋体"/>
          <w:snapToGrid w:val="0"/>
          <w:u w:val="single"/>
        </w:rPr>
        <w:t>/</w:t>
      </w:r>
      <w:r>
        <w:rPr>
          <w:rFonts w:ascii="宋体" w:hAnsi="宋体"/>
          <w:snapToGrid w:val="0"/>
        </w:rPr>
        <w:t>%时，或材料单价跌幅以已标价工程量清单或预算书中载明材料单价为基础超过</w:t>
      </w:r>
      <w:r>
        <w:rPr>
          <w:rFonts w:ascii="宋体" w:hAnsi="宋体"/>
          <w:snapToGrid w:val="0"/>
          <w:u w:val="single"/>
        </w:rPr>
        <w:t>/</w:t>
      </w:r>
      <w:r>
        <w:rPr>
          <w:rFonts w:ascii="宋体" w:hAnsi="宋体"/>
          <w:snapToGrid w:val="0"/>
        </w:rPr>
        <w:t>%时，其超过部分据实调整。</w:t>
      </w:r>
    </w:p>
    <w:p>
      <w:pPr>
        <w:pStyle w:val="15"/>
        <w:spacing w:line="360" w:lineRule="auto"/>
        <w:ind w:firstLine="480" w:firstLineChars="200"/>
        <w:contextualSpacing/>
        <w:jc w:val="left"/>
        <w:rPr>
          <w:rFonts w:ascii="宋体" w:hAnsi="宋体"/>
          <w:snapToGrid w:val="0"/>
        </w:rPr>
      </w:pPr>
      <w:r>
        <w:rPr>
          <w:rFonts w:hint="eastAsia" w:ascii="宋体" w:hAnsi="宋体"/>
          <w:snapToGrid w:val="0"/>
        </w:rPr>
        <w:t>②承包人在已标价工程量清单或预算书中载明的材料单价高于基准价格的：专用合同条款合同履行期间材料单价跌幅以基准价格为基础超过</w:t>
      </w:r>
      <w:r>
        <w:rPr>
          <w:rFonts w:hint="eastAsia" w:ascii="宋体" w:hAnsi="宋体"/>
          <w:snapToGrid w:val="0"/>
          <w:u w:val="single"/>
        </w:rPr>
        <w:t></w:t>
      </w:r>
      <w:r>
        <w:rPr>
          <w:rFonts w:ascii="宋体" w:hAnsi="宋体"/>
          <w:snapToGrid w:val="0"/>
          <w:u w:val="single"/>
        </w:rPr>
        <w:t>/</w:t>
      </w:r>
      <w:r>
        <w:rPr>
          <w:rFonts w:ascii="宋体" w:hAnsi="宋体"/>
          <w:snapToGrid w:val="0"/>
        </w:rPr>
        <w:t>%时，材料单价涨幅以已标价工程量清单或预算书中载明材料单价为基础超过</w:t>
      </w:r>
      <w:r>
        <w:rPr>
          <w:rFonts w:ascii="宋体" w:hAnsi="宋体"/>
          <w:snapToGrid w:val="0"/>
          <w:u w:val="single"/>
        </w:rPr>
        <w:t>/</w:t>
      </w:r>
      <w:r>
        <w:rPr>
          <w:rFonts w:ascii="宋体" w:hAnsi="宋体"/>
          <w:snapToGrid w:val="0"/>
        </w:rPr>
        <w:t>%时，其超过部分据实调整。</w:t>
      </w:r>
    </w:p>
    <w:p>
      <w:pPr>
        <w:pStyle w:val="15"/>
        <w:spacing w:line="360" w:lineRule="auto"/>
        <w:ind w:firstLine="480" w:firstLineChars="200"/>
        <w:contextualSpacing/>
        <w:jc w:val="left"/>
        <w:rPr>
          <w:rFonts w:ascii="宋体" w:hAnsi="宋体"/>
          <w:snapToGrid w:val="0"/>
        </w:rPr>
      </w:pPr>
      <w:r>
        <w:rPr>
          <w:rFonts w:hint="eastAsia" w:ascii="宋体" w:hAnsi="宋体"/>
          <w:snapToGrid w:val="0"/>
        </w:rPr>
        <w:t>③承包人在已标价工程量清单或预算书中载明的材料单价等于基准单价的：专用合同条款合同履行期间材料单价涨跌幅以基准单价为基础超过±</w:t>
      </w:r>
      <w:r>
        <w:rPr>
          <w:rFonts w:hint="eastAsia" w:ascii="宋体" w:hAnsi="宋体"/>
          <w:snapToGrid w:val="0"/>
          <w:u w:val="single"/>
        </w:rPr>
        <w:t></w:t>
      </w:r>
      <w:r>
        <w:rPr>
          <w:rFonts w:ascii="宋体" w:hAnsi="宋体"/>
          <w:snapToGrid w:val="0"/>
          <w:u w:val="single"/>
        </w:rPr>
        <w:t>/</w:t>
      </w:r>
      <w:r>
        <w:rPr>
          <w:rFonts w:ascii="宋体" w:hAnsi="宋体"/>
          <w:snapToGrid w:val="0"/>
        </w:rPr>
        <w:t>%时，其超过部分据实调整。</w:t>
      </w:r>
    </w:p>
    <w:p>
      <w:pPr>
        <w:pStyle w:val="15"/>
        <w:spacing w:line="360" w:lineRule="auto"/>
        <w:ind w:firstLine="480" w:firstLineChars="200"/>
        <w:contextualSpacing/>
        <w:jc w:val="left"/>
        <w:rPr>
          <w:rFonts w:ascii="宋体" w:hAnsi="宋体"/>
          <w:snapToGrid w:val="0"/>
          <w:u w:val="single"/>
        </w:rPr>
      </w:pPr>
      <w:r>
        <w:rPr>
          <w:rFonts w:hint="eastAsia" w:ascii="宋体" w:hAnsi="宋体"/>
          <w:snapToGrid w:val="0"/>
        </w:rPr>
        <w:t>第</w:t>
      </w:r>
      <w:r>
        <w:rPr>
          <w:rFonts w:ascii="宋体" w:hAnsi="宋体"/>
          <w:snapToGrid w:val="0"/>
        </w:rPr>
        <w:t>3种方式：其他价格调整方式：</w:t>
      </w:r>
      <w:r>
        <w:rPr>
          <w:rFonts w:hint="eastAsia" w:ascii="宋体" w:hAnsi="宋体"/>
          <w:snapToGrid w:val="0"/>
          <w:u w:val="single"/>
        </w:rPr>
        <w:t>/</w:t>
      </w:r>
      <w:r>
        <w:rPr>
          <w:rFonts w:ascii="宋体" w:hAnsi="宋体"/>
          <w:snapToGrid w:val="0"/>
          <w:u w:val="single"/>
        </w:rPr>
        <w:t>。</w:t>
      </w:r>
    </w:p>
    <w:p>
      <w:pPr>
        <w:spacing w:line="360" w:lineRule="auto"/>
        <w:ind w:firstLine="480" w:firstLineChars="200"/>
        <w:contextualSpacing/>
        <w:rPr>
          <w:rFonts w:ascii="宋体" w:hAnsi="宋体"/>
          <w:color w:val="000000"/>
          <w:sz w:val="24"/>
        </w:rPr>
      </w:pPr>
      <w:r>
        <w:rPr>
          <w:rFonts w:ascii="宋体" w:hAnsi="宋体"/>
          <w:color w:val="000000"/>
          <w:sz w:val="24"/>
        </w:rPr>
        <w:t xml:space="preserve">12. </w:t>
      </w:r>
      <w:bookmarkEnd w:id="392"/>
      <w:bookmarkEnd w:id="393"/>
      <w:bookmarkEnd w:id="394"/>
      <w:bookmarkEnd w:id="395"/>
      <w:bookmarkEnd w:id="396"/>
      <w:bookmarkEnd w:id="397"/>
      <w:bookmarkEnd w:id="398"/>
      <w:bookmarkEnd w:id="399"/>
      <w:bookmarkEnd w:id="400"/>
      <w:bookmarkEnd w:id="401"/>
      <w:r>
        <w:rPr>
          <w:rFonts w:ascii="宋体" w:hAnsi="宋体"/>
          <w:color w:val="000000"/>
          <w:sz w:val="24"/>
        </w:rPr>
        <w:t>合同价格、计量与支付</w:t>
      </w:r>
      <w:bookmarkEnd w:id="402"/>
    </w:p>
    <w:bookmarkEnd w:id="403"/>
    <w:bookmarkEnd w:id="404"/>
    <w:bookmarkEnd w:id="405"/>
    <w:bookmarkEnd w:id="406"/>
    <w:bookmarkEnd w:id="407"/>
    <w:bookmarkEnd w:id="408"/>
    <w:p>
      <w:pPr>
        <w:spacing w:line="360" w:lineRule="auto"/>
        <w:ind w:firstLine="480" w:firstLineChars="200"/>
        <w:contextualSpacing/>
        <w:rPr>
          <w:rFonts w:ascii="宋体" w:hAnsi="宋体"/>
          <w:color w:val="000000"/>
          <w:sz w:val="24"/>
        </w:rPr>
      </w:pPr>
      <w:bookmarkStart w:id="409" w:name="_Toc292559916"/>
      <w:bookmarkStart w:id="410" w:name="_Toc267251461"/>
      <w:bookmarkStart w:id="411" w:name="_Toc292559411"/>
      <w:bookmarkStart w:id="412" w:name="_Toc296346707"/>
      <w:bookmarkStart w:id="413" w:name="_Toc296347205"/>
      <w:bookmarkStart w:id="414" w:name="_Toc296503206"/>
      <w:bookmarkStart w:id="415" w:name="_Toc296891034"/>
      <w:bookmarkStart w:id="416" w:name="_Toc296891246"/>
      <w:bookmarkStart w:id="417" w:name="_Toc296944545"/>
      <w:bookmarkStart w:id="418" w:name="_Toc297048392"/>
      <w:bookmarkStart w:id="419" w:name="_Toc297120506"/>
      <w:bookmarkStart w:id="420" w:name="_Toc297123553"/>
      <w:bookmarkStart w:id="421" w:name="_Toc297216212"/>
      <w:bookmarkStart w:id="422" w:name="_Toc300935003"/>
      <w:bookmarkStart w:id="423" w:name="_Toc303539160"/>
      <w:bookmarkStart w:id="424" w:name="_Toc304295580"/>
      <w:bookmarkStart w:id="425" w:name="_Toc312678041"/>
      <w:r>
        <w:rPr>
          <w:rFonts w:ascii="宋体" w:hAnsi="宋体"/>
          <w:color w:val="000000"/>
          <w:sz w:val="24"/>
        </w:rPr>
        <w:t>12.1 合</w:t>
      </w:r>
      <w:bookmarkEnd w:id="409"/>
      <w:bookmarkEnd w:id="410"/>
      <w:bookmarkEnd w:id="411"/>
      <w:r>
        <w:rPr>
          <w:rFonts w:ascii="宋体" w:hAnsi="宋体"/>
          <w:color w:val="000000"/>
          <w:sz w:val="24"/>
        </w:rPr>
        <w:t>同价</w:t>
      </w:r>
      <w:bookmarkEnd w:id="412"/>
      <w:bookmarkEnd w:id="413"/>
      <w:bookmarkEnd w:id="414"/>
      <w:bookmarkEnd w:id="415"/>
      <w:bookmarkEnd w:id="416"/>
      <w:bookmarkEnd w:id="417"/>
      <w:bookmarkEnd w:id="418"/>
      <w:bookmarkEnd w:id="419"/>
      <w:r>
        <w:rPr>
          <w:rFonts w:ascii="宋体" w:hAnsi="宋体"/>
          <w:color w:val="000000"/>
          <w:sz w:val="24"/>
        </w:rPr>
        <w:t>格形式</w:t>
      </w:r>
    </w:p>
    <w:bookmarkEnd w:id="420"/>
    <w:bookmarkEnd w:id="421"/>
    <w:bookmarkEnd w:id="422"/>
    <w:bookmarkEnd w:id="423"/>
    <w:bookmarkEnd w:id="424"/>
    <w:bookmarkEnd w:id="425"/>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1、单价合同。</w:t>
      </w:r>
    </w:p>
    <w:p>
      <w:pPr>
        <w:spacing w:line="360" w:lineRule="auto"/>
        <w:ind w:firstLine="480" w:firstLineChars="200"/>
        <w:contextualSpacing/>
        <w:rPr>
          <w:rFonts w:hint="eastAsia" w:ascii="宋体" w:hAnsi="宋体"/>
          <w:color w:val="000000"/>
          <w:sz w:val="24"/>
          <w:szCs w:val="24"/>
        </w:rPr>
      </w:pPr>
      <w:r>
        <w:rPr>
          <w:rFonts w:hint="eastAsia" w:ascii="宋体" w:hAnsi="宋体"/>
          <w:color w:val="000000"/>
          <w:sz w:val="24"/>
          <w:szCs w:val="24"/>
        </w:rPr>
        <w:t>综合单价包含的风险范围：</w:t>
      </w:r>
    </w:p>
    <w:p>
      <w:pPr>
        <w:spacing w:line="360" w:lineRule="auto"/>
        <w:ind w:firstLine="480" w:firstLineChars="200"/>
        <w:contextualSpacing/>
        <w:rPr>
          <w:rFonts w:ascii="宋体" w:hAnsi="宋体"/>
          <w:color w:val="000000"/>
          <w:sz w:val="24"/>
          <w:szCs w:val="24"/>
          <w:u w:val="single"/>
        </w:rPr>
      </w:pPr>
      <w:r>
        <w:rPr>
          <w:rFonts w:hint="eastAsia" w:ascii="宋体" w:hAnsi="宋体"/>
          <w:color w:val="000000"/>
          <w:sz w:val="24"/>
          <w:szCs w:val="24"/>
          <w:u w:val="single"/>
        </w:rPr>
        <w:t>1）法律、行政法规和国家有关工程费用的政策性调整；2）根据有关国家标准或施工验收规范要求对建筑材料、构配件和建筑物工程质量的检测检验等所发生的费用；3）工程量在结算审计时按实调整，综合单价结算审计时不予调整。</w:t>
      </w:r>
    </w:p>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szCs w:val="24"/>
        </w:rPr>
        <w:t>风险费用的计算方法：</w:t>
      </w:r>
      <w:r>
        <w:rPr>
          <w:rFonts w:hint="eastAsia" w:ascii="宋体" w:hAnsi="宋体"/>
          <w:color w:val="000000"/>
          <w:sz w:val="24"/>
          <w:szCs w:val="24"/>
          <w:u w:val="single"/>
        </w:rPr>
        <w:t>发包文件标内工程单价已确定，合同结算时不作调整；工程量按实结算。</w:t>
      </w:r>
    </w:p>
    <w:p>
      <w:pPr>
        <w:spacing w:line="360" w:lineRule="auto"/>
        <w:ind w:firstLine="480" w:firstLineChars="200"/>
        <w:contextualSpacing/>
        <w:rPr>
          <w:rFonts w:hint="eastAsia" w:ascii="宋体" w:hAnsi="宋体"/>
          <w:color w:val="000000"/>
          <w:sz w:val="24"/>
          <w:szCs w:val="24"/>
          <w:u w:val="single"/>
        </w:rPr>
      </w:pPr>
      <w:r>
        <w:rPr>
          <w:rFonts w:ascii="宋体" w:hAnsi="宋体"/>
          <w:color w:val="000000"/>
          <w:sz w:val="24"/>
          <w:szCs w:val="24"/>
          <w:u w:val="single"/>
        </w:rPr>
        <w:t>风险范围以外合同价格的调整方法</w:t>
      </w:r>
      <w:r>
        <w:rPr>
          <w:rFonts w:hint="eastAsia" w:ascii="宋体" w:hAnsi="宋体"/>
          <w:color w:val="000000"/>
          <w:sz w:val="24"/>
          <w:szCs w:val="24"/>
          <w:u w:val="single"/>
        </w:rPr>
        <w:t>：设计、业主方提出的工程变更造成工程增减，原工程量清单有子目单价的，按原有子目单价计算，原工程量清单无子目单价，最终结算价款以区审计局核定为准。</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2、总价合同。</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总价包含的风险范围：</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风险费用的计算方法：</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风险范围以外合同价格的调整方法：</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3、其他价格方式：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bookmarkStart w:id="426" w:name="_Toc300935004"/>
      <w:bookmarkStart w:id="427" w:name="_Toc303539161"/>
      <w:bookmarkStart w:id="428" w:name="_Toc304295581"/>
      <w:bookmarkStart w:id="429" w:name="_Toc312678042"/>
      <w:bookmarkStart w:id="430" w:name="_Toc297123554"/>
      <w:bookmarkStart w:id="431" w:name="_Toc297216213"/>
      <w:bookmarkStart w:id="432" w:name="_Toc292559412"/>
      <w:bookmarkStart w:id="433" w:name="_Toc292559917"/>
      <w:bookmarkStart w:id="434" w:name="_Toc296346708"/>
      <w:bookmarkStart w:id="435" w:name="_Toc296347206"/>
      <w:bookmarkStart w:id="436" w:name="_Toc296503207"/>
      <w:bookmarkStart w:id="437" w:name="_Toc296891035"/>
      <w:bookmarkStart w:id="438" w:name="_Toc296891247"/>
      <w:bookmarkStart w:id="439" w:name="_Toc296944546"/>
      <w:bookmarkStart w:id="440" w:name="_Toc297048393"/>
      <w:bookmarkStart w:id="441" w:name="_Toc297120507"/>
      <w:r>
        <w:rPr>
          <w:rFonts w:ascii="宋体" w:hAnsi="宋体"/>
          <w:color w:val="000000"/>
          <w:sz w:val="24"/>
        </w:rPr>
        <w:t>12.2 预付款</w:t>
      </w:r>
    </w:p>
    <w:bookmarkEnd w:id="426"/>
    <w:bookmarkEnd w:id="427"/>
    <w:bookmarkEnd w:id="428"/>
    <w:bookmarkEnd w:id="429"/>
    <w:bookmarkEnd w:id="430"/>
    <w:bookmarkEnd w:id="431"/>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12.2.1 预付款的支付</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预付款支付比例或金额：</w:t>
      </w:r>
      <w:r>
        <w:rPr>
          <w:rFonts w:hint="eastAsia" w:ascii="宋体" w:hAnsi="宋体"/>
          <w:color w:val="000000"/>
          <w:sz w:val="24"/>
          <w:szCs w:val="24"/>
          <w:u w:val="single" w:color="000000"/>
        </w:rPr>
        <w:t>施工合同签订后发包人支付给承包人合同价（扣除预留金）的10%的预付款。</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预付款支付期限：</w:t>
      </w:r>
      <w:r>
        <w:rPr>
          <w:rFonts w:hint="eastAsia" w:ascii="宋体" w:hAnsi="宋体"/>
          <w:color w:val="000000"/>
          <w:sz w:val="24"/>
          <w:u w:val="single"/>
        </w:rPr>
        <w:t xml:space="preserve"> 施工合同签订后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预付款扣回的方式：</w:t>
      </w:r>
      <w:r>
        <w:rPr>
          <w:rFonts w:hint="eastAsia" w:ascii="宋体" w:hAnsi="宋体"/>
          <w:color w:val="000000"/>
          <w:sz w:val="24"/>
          <w:u w:val="single"/>
        </w:rPr>
        <w:t>第一次付款时扣回，同时退回预付款担保。</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12.2.2 预付款担保</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承包人提交预付款担保的期限：</w:t>
      </w:r>
      <w:r>
        <w:rPr>
          <w:rFonts w:hint="eastAsia" w:ascii="宋体" w:hAnsi="宋体"/>
          <w:color w:val="000000"/>
          <w:sz w:val="24"/>
          <w:u w:val="single"/>
        </w:rPr>
        <w:t xml:space="preserve">施工合同签订后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预付款担保的形式为：</w:t>
      </w:r>
      <w:r>
        <w:rPr>
          <w:rFonts w:hint="eastAsia" w:ascii="宋体" w:hAnsi="宋体"/>
          <w:color w:val="000000"/>
          <w:sz w:val="24"/>
          <w:u w:val="single"/>
        </w:rPr>
        <w:t xml:space="preserve">履约保函 </w:t>
      </w:r>
      <w:r>
        <w:rPr>
          <w:rFonts w:hint="eastAsia" w:ascii="宋体" w:hAnsi="宋体"/>
          <w:color w:val="000000"/>
          <w:sz w:val="24"/>
        </w:rPr>
        <w:t>。</w:t>
      </w:r>
    </w:p>
    <w:bookmarkEnd w:id="432"/>
    <w:bookmarkEnd w:id="433"/>
    <w:bookmarkEnd w:id="434"/>
    <w:bookmarkEnd w:id="435"/>
    <w:bookmarkEnd w:id="436"/>
    <w:bookmarkEnd w:id="437"/>
    <w:bookmarkEnd w:id="438"/>
    <w:bookmarkEnd w:id="439"/>
    <w:bookmarkEnd w:id="440"/>
    <w:bookmarkEnd w:id="441"/>
    <w:p>
      <w:pPr>
        <w:spacing w:line="360" w:lineRule="auto"/>
        <w:ind w:firstLine="480" w:firstLineChars="200"/>
        <w:contextualSpacing/>
        <w:rPr>
          <w:rFonts w:ascii="宋体" w:hAnsi="宋体"/>
          <w:color w:val="000000"/>
          <w:sz w:val="24"/>
        </w:rPr>
      </w:pPr>
      <w:r>
        <w:rPr>
          <w:rFonts w:ascii="宋体" w:hAnsi="宋体"/>
          <w:color w:val="000000"/>
          <w:sz w:val="24"/>
        </w:rPr>
        <w:t>12.3 计量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12.3.1 计量原则</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工程量计算规则：</w:t>
      </w:r>
      <w:r>
        <w:rPr>
          <w:rFonts w:hint="eastAsia" w:ascii="宋体" w:hAnsi="宋体"/>
          <w:color w:val="000000"/>
          <w:sz w:val="24"/>
          <w:u w:val="single"/>
        </w:rPr>
        <w:t xml:space="preserve"> 按相关的国家标准、行业标准等为依据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12.3.2 计量周期</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关于计量周期的约定：</w:t>
      </w:r>
      <w:r>
        <w:rPr>
          <w:rFonts w:hint="eastAsia" w:ascii="宋体" w:hAnsi="宋体"/>
          <w:color w:val="000000"/>
          <w:sz w:val="24"/>
          <w:u w:val="single"/>
        </w:rPr>
        <w:t xml:space="preserve"> 见12.4.1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12.3.3 单价合同的计量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关于单价合同计量的约定：</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12.3.4 总价合同的计量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关于总价合同计量的约定：</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12.3.5总价合同采用支付分解表计量支付的，是否适用第12.3.4 项〔总价合同的计量〕约定进行计量：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12.3.6 其他价格形式合同的计量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其他价格形式的计量方式和程序：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12.4 工程进度款支付</w:t>
      </w:r>
    </w:p>
    <w:p>
      <w:pPr>
        <w:spacing w:line="360" w:lineRule="auto"/>
        <w:ind w:firstLine="480" w:firstLineChars="200"/>
        <w:contextualSpacing/>
        <w:rPr>
          <w:rFonts w:hint="eastAsia" w:ascii="宋体" w:hAnsi="宋体"/>
          <w:color w:val="000000"/>
          <w:sz w:val="24"/>
        </w:rPr>
      </w:pPr>
      <w:bookmarkStart w:id="442" w:name="_Toc297123556"/>
      <w:bookmarkStart w:id="443" w:name="_Toc297216215"/>
      <w:bookmarkStart w:id="444" w:name="_Toc300935006"/>
      <w:bookmarkStart w:id="445" w:name="_Toc303539163"/>
      <w:bookmarkStart w:id="446" w:name="_Toc292559921"/>
      <w:bookmarkStart w:id="447" w:name="_Toc296346712"/>
      <w:bookmarkStart w:id="448" w:name="_Toc296347210"/>
      <w:bookmarkStart w:id="449" w:name="_Toc296503211"/>
      <w:bookmarkStart w:id="450" w:name="_Toc292559416"/>
      <w:bookmarkStart w:id="451" w:name="_Toc296891039"/>
      <w:bookmarkStart w:id="452" w:name="_Toc296891251"/>
      <w:bookmarkStart w:id="453" w:name="_Toc296944550"/>
      <w:bookmarkStart w:id="454" w:name="_Toc297048397"/>
      <w:bookmarkStart w:id="455" w:name="_Toc297120511"/>
      <w:r>
        <w:rPr>
          <w:rFonts w:hint="eastAsia" w:ascii="宋体" w:hAnsi="宋体"/>
          <w:color w:val="000000"/>
          <w:sz w:val="24"/>
        </w:rPr>
        <w:t>12.4.1 付款周期</w:t>
      </w:r>
    </w:p>
    <w:p>
      <w:pPr>
        <w:pStyle w:val="15"/>
        <w:spacing w:line="360" w:lineRule="auto"/>
        <w:ind w:firstLine="480" w:firstLineChars="200"/>
        <w:contextualSpacing/>
        <w:jc w:val="left"/>
        <w:rPr>
          <w:rFonts w:hint="eastAsia" w:ascii="宋体" w:hAnsi="宋体"/>
          <w:snapToGrid w:val="0"/>
          <w:color w:val="000000"/>
          <w:szCs w:val="20"/>
          <w:u w:val="single"/>
        </w:rPr>
      </w:pPr>
      <w:r>
        <w:rPr>
          <w:rFonts w:hint="eastAsia" w:ascii="宋体" w:hAnsi="宋体"/>
          <w:color w:val="000000"/>
        </w:rPr>
        <w:t>关于付款周期的约定：</w:t>
      </w:r>
      <w:r>
        <w:rPr>
          <w:rFonts w:hint="eastAsia" w:ascii="宋体" w:hAnsi="宋体"/>
          <w:snapToGrid w:val="0"/>
          <w:color w:val="000000"/>
          <w:szCs w:val="20"/>
          <w:u w:val="single"/>
        </w:rPr>
        <w:t>工程竣工、经验收合格后付至合同价款（扣除预留金）的70%，工程结算报告经审计通过，完整的工程竣工资料移交后，发包人支付给承包人至审计核定总价的97%的工程款；留总造价（按审计报告审定数额结算）3%的工程保修款（无息），至保修期满后，由发包人付给承包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12.4.2 进度付款申请单的编制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关于进度付款申请单编制的约定：</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宋体" w:hAnsi="宋体"/>
          <w:color w:val="000000"/>
          <w:sz w:val="24"/>
        </w:rPr>
        <w:t>2.4.3 进度付款申请单的提交</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（1）单价合同进度付款申请单提交的约定：</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（2）总价合同进度付款申请单提交的约定：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（3）其他价格形式合同进度付款申请单提交的约定：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12.4.4 进度款审核和支付</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（1）监理人审查并报送发包人的期限：</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发包人完成审批并签发进度款支付证书的期限：</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（2）发包人支付进度款的期限：</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发包人逾期支付进度款的违约金的计算方式：</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12.4.6 支付分解表的编制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2、总价合同支付分解表的编制与审批：</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3、单价合同的总价项目支付分解表的编制与审批：</w:t>
      </w:r>
      <w:r>
        <w:rPr>
          <w:rFonts w:hint="eastAsia" w:ascii="宋体" w:hAnsi="宋体"/>
          <w:color w:val="000000"/>
          <w:sz w:val="24"/>
          <w:u w:val="single"/>
        </w:rPr>
        <w:t xml:space="preserve"> 按通用条款执行 </w:t>
      </w:r>
      <w:r>
        <w:rPr>
          <w:rFonts w:hint="eastAsia" w:ascii="宋体" w:hAnsi="宋体"/>
          <w:color w:val="000000"/>
          <w:sz w:val="24"/>
        </w:rPr>
        <w:t>。</w:t>
      </w:r>
    </w:p>
    <w:bookmarkEnd w:id="288"/>
    <w:p>
      <w:pPr>
        <w:spacing w:line="360" w:lineRule="auto"/>
        <w:ind w:firstLine="480" w:firstLineChars="200"/>
        <w:contextualSpacing/>
        <w:rPr>
          <w:rFonts w:ascii="宋体" w:hAnsi="宋体"/>
          <w:color w:val="000000"/>
          <w:sz w:val="24"/>
        </w:rPr>
      </w:pPr>
      <w:bookmarkStart w:id="456" w:name="_Toc351203645"/>
      <w:bookmarkStart w:id="457" w:name="_Toc292559424"/>
      <w:bookmarkStart w:id="458" w:name="_Toc292559929"/>
      <w:bookmarkStart w:id="459" w:name="_Toc296346720"/>
      <w:bookmarkStart w:id="460" w:name="_Toc296347218"/>
      <w:bookmarkStart w:id="461" w:name="_Toc296503219"/>
      <w:bookmarkStart w:id="462" w:name="_Toc296891047"/>
      <w:bookmarkStart w:id="463" w:name="_Toc296891259"/>
      <w:bookmarkStart w:id="464" w:name="_Toc296944558"/>
      <w:bookmarkStart w:id="465" w:name="_Toc297048405"/>
      <w:bookmarkStart w:id="466" w:name="_Toc297120519"/>
      <w:bookmarkStart w:id="467" w:name="_Toc297123564"/>
      <w:bookmarkStart w:id="468" w:name="_Toc297216223"/>
      <w:bookmarkStart w:id="469" w:name="_Toc300935015"/>
      <w:bookmarkStart w:id="470" w:name="_Toc303539172"/>
      <w:bookmarkStart w:id="471" w:name="_Toc304295593"/>
      <w:bookmarkStart w:id="472" w:name="_Toc312678053"/>
      <w:r>
        <w:rPr>
          <w:rFonts w:ascii="宋体" w:hAnsi="宋体"/>
          <w:color w:val="000000"/>
          <w:sz w:val="24"/>
        </w:rPr>
        <w:t>13.</w:t>
      </w:r>
      <w:r>
        <w:rPr>
          <w:rFonts w:hint="eastAsia" w:ascii="宋体" w:hAnsi="宋体"/>
          <w:color w:val="000000"/>
          <w:sz w:val="24"/>
        </w:rPr>
        <w:t xml:space="preserve"> </w:t>
      </w:r>
      <w:r>
        <w:rPr>
          <w:rFonts w:ascii="宋体" w:hAnsi="宋体"/>
          <w:color w:val="000000"/>
          <w:sz w:val="24"/>
        </w:rPr>
        <w:t>验收和工程试车</w:t>
      </w:r>
      <w:bookmarkEnd w:id="456"/>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Pr>
        <w:spacing w:line="360" w:lineRule="auto"/>
        <w:ind w:firstLine="480" w:firstLineChars="200"/>
        <w:contextualSpacing/>
        <w:rPr>
          <w:rFonts w:ascii="宋体" w:hAnsi="宋体"/>
          <w:color w:val="000000"/>
          <w:sz w:val="24"/>
        </w:rPr>
      </w:pPr>
      <w:r>
        <w:rPr>
          <w:rFonts w:ascii="宋体" w:hAnsi="宋体"/>
          <w:color w:val="000000"/>
          <w:sz w:val="24"/>
        </w:rPr>
        <w:t>13.1 分部分项工程验收</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13.1.2监理人不能按时进行验收时，应提前</w:t>
      </w:r>
      <w:r>
        <w:rPr>
          <w:rFonts w:hint="eastAsia" w:ascii="宋体" w:hAnsi="宋体"/>
          <w:color w:val="000000"/>
          <w:sz w:val="24"/>
          <w:u w:val="single"/>
        </w:rPr>
        <w:t xml:space="preserve"> 24 </w:t>
      </w:r>
      <w:r>
        <w:rPr>
          <w:rFonts w:hint="eastAsia" w:ascii="宋体" w:hAnsi="宋体"/>
          <w:color w:val="000000"/>
          <w:sz w:val="24"/>
        </w:rPr>
        <w:t>小时提交书面延期要求。</w:t>
      </w:r>
    </w:p>
    <w:p>
      <w:pPr>
        <w:spacing w:line="360" w:lineRule="auto"/>
        <w:ind w:firstLine="480" w:firstLineChars="200"/>
        <w:contextualSpacing/>
        <w:rPr>
          <w:rFonts w:hint="eastAsia" w:ascii="宋体" w:hAnsi="宋体"/>
          <w:b/>
          <w:color w:val="000000"/>
          <w:sz w:val="24"/>
        </w:rPr>
      </w:pPr>
      <w:r>
        <w:rPr>
          <w:rFonts w:hint="eastAsia" w:ascii="宋体" w:hAnsi="宋体"/>
          <w:color w:val="000000"/>
          <w:sz w:val="24"/>
        </w:rPr>
        <w:t>关于延期最长不得超过：</w:t>
      </w:r>
      <w:r>
        <w:rPr>
          <w:rFonts w:hint="eastAsia" w:ascii="宋体" w:hAnsi="宋体"/>
          <w:color w:val="000000"/>
          <w:sz w:val="24"/>
          <w:u w:val="single"/>
        </w:rPr>
        <w:t xml:space="preserve"> 48 </w:t>
      </w:r>
      <w:r>
        <w:rPr>
          <w:rFonts w:hint="eastAsia" w:ascii="宋体" w:hAnsi="宋体"/>
          <w:color w:val="000000"/>
          <w:sz w:val="24"/>
        </w:rPr>
        <w:t>小时。</w:t>
      </w:r>
    </w:p>
    <w:p>
      <w:pPr>
        <w:spacing w:line="360" w:lineRule="auto"/>
        <w:ind w:firstLine="480" w:firstLineChars="200"/>
        <w:contextualSpacing/>
        <w:rPr>
          <w:rFonts w:ascii="宋体" w:hAnsi="宋体"/>
          <w:color w:val="000000"/>
          <w:sz w:val="24"/>
        </w:rPr>
      </w:pPr>
      <w:bookmarkStart w:id="473" w:name="_Toc292559933"/>
      <w:bookmarkStart w:id="474" w:name="_Toc296346724"/>
      <w:bookmarkStart w:id="475" w:name="_Toc296347222"/>
      <w:bookmarkStart w:id="476" w:name="_Toc296503223"/>
      <w:bookmarkStart w:id="477" w:name="_Toc296891051"/>
      <w:bookmarkStart w:id="478" w:name="_Toc296891263"/>
      <w:bookmarkStart w:id="479" w:name="_Toc296944562"/>
      <w:bookmarkStart w:id="480" w:name="_Toc297048409"/>
      <w:bookmarkStart w:id="481" w:name="_Toc297120523"/>
      <w:bookmarkStart w:id="482" w:name="_Toc297123565"/>
      <w:bookmarkStart w:id="483" w:name="_Toc297216224"/>
      <w:bookmarkStart w:id="484" w:name="_Toc300935016"/>
      <w:bookmarkStart w:id="485" w:name="_Toc303539173"/>
      <w:bookmarkStart w:id="486" w:name="_Toc304295596"/>
      <w:bookmarkStart w:id="487" w:name="_Toc312678056"/>
      <w:bookmarkStart w:id="488" w:name="_Toc292559428"/>
      <w:bookmarkStart w:id="489" w:name="_Toc267251476"/>
      <w:bookmarkStart w:id="490" w:name="_Toc267251475"/>
      <w:bookmarkStart w:id="491" w:name="_Toc267251474"/>
      <w:bookmarkStart w:id="492" w:name="_Toc267251473"/>
      <w:bookmarkStart w:id="493" w:name="_Toc267251472"/>
      <w:bookmarkStart w:id="494" w:name="_Toc267251471"/>
      <w:bookmarkStart w:id="495" w:name="_Toc267251470"/>
      <w:r>
        <w:rPr>
          <w:rFonts w:ascii="宋体" w:hAnsi="宋体"/>
          <w:color w:val="000000"/>
          <w:sz w:val="24"/>
        </w:rPr>
        <w:t>13.2 竣工验收</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360" w:lineRule="auto"/>
        <w:ind w:firstLine="480" w:firstLineChars="200"/>
        <w:contextualSpacing/>
        <w:rPr>
          <w:rFonts w:hint="eastAsia" w:ascii="宋体" w:hAnsi="宋体"/>
          <w:color w:val="000000"/>
          <w:sz w:val="24"/>
        </w:rPr>
      </w:pPr>
      <w:bookmarkStart w:id="496" w:name="_Toc280868704"/>
      <w:bookmarkStart w:id="497" w:name="_Toc280868705"/>
      <w:bookmarkStart w:id="498" w:name="_Toc280868706"/>
      <w:bookmarkStart w:id="499" w:name="_Toc280868707"/>
      <w:bookmarkStart w:id="500" w:name="_Toc280868708"/>
      <w:bookmarkStart w:id="501" w:name="_Toc280868709"/>
      <w:r>
        <w:rPr>
          <w:rFonts w:hint="eastAsia" w:ascii="宋体" w:hAnsi="宋体"/>
          <w:color w:val="000000"/>
          <w:sz w:val="24"/>
        </w:rPr>
        <w:t>13.2.2竣工验收程序</w:t>
      </w:r>
    </w:p>
    <w:bookmarkEnd w:id="496"/>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关于竣工验收程序的约定：</w:t>
      </w:r>
      <w:r>
        <w:rPr>
          <w:rFonts w:hint="eastAsia" w:ascii="宋体" w:hAnsi="宋体"/>
          <w:color w:val="000000"/>
          <w:sz w:val="24"/>
          <w:u w:val="single"/>
        </w:rPr>
        <w:t>按通用条款</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发包人不按照本项约定组织竣工验收、颁发工程接收证书的违约金的计算方法：</w:t>
      </w:r>
      <w:r>
        <w:rPr>
          <w:rFonts w:hint="eastAsia" w:ascii="宋体" w:hAnsi="宋体"/>
          <w:color w:val="000000"/>
          <w:sz w:val="24"/>
          <w:u w:val="single"/>
        </w:rPr>
        <w:t xml:space="preserve"> /</w:t>
      </w:r>
    </w:p>
    <w:bookmarkEnd w:id="497"/>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13.2.5移交、接收全部与部分工程</w:t>
      </w:r>
    </w:p>
    <w:bookmarkEnd w:id="498"/>
    <w:p>
      <w:pPr>
        <w:pStyle w:val="14"/>
        <w:adjustRightInd/>
        <w:spacing w:before="0" w:after="0" w:line="360" w:lineRule="auto"/>
        <w:ind w:left="0" w:right="0" w:firstLine="480" w:firstLineChars="200"/>
        <w:contextualSpacing/>
        <w:rPr>
          <w:rFonts w:hint="eastAsia" w:ascii="宋体" w:hAnsi="宋体"/>
          <w:color w:val="000000"/>
          <w:szCs w:val="24"/>
          <w:u w:val="single" w:color="000000"/>
        </w:rPr>
      </w:pPr>
      <w:r>
        <w:rPr>
          <w:rFonts w:hint="eastAsia" w:ascii="宋体" w:hAnsi="宋体"/>
          <w:color w:val="000000"/>
        </w:rPr>
        <w:t>承包人向发包人移交工程的期限：</w:t>
      </w:r>
      <w:r>
        <w:rPr>
          <w:rFonts w:hint="eastAsia" w:ascii="宋体" w:hAnsi="宋体"/>
          <w:color w:val="000000"/>
          <w:szCs w:val="24"/>
          <w:u w:val="single" w:color="000000"/>
        </w:rPr>
        <w:t>承包人应在工程竣工后一个月内提供肆套完整的竣工图、一套电子图和全部竣工资料，应符合工程档案管理的要求，同时承担相关费用。如迟一天按日向发包人支付1000元/天违约金。</w:t>
      </w:r>
    </w:p>
    <w:p>
      <w:pPr>
        <w:pStyle w:val="14"/>
        <w:adjustRightInd/>
        <w:spacing w:before="0" w:after="0" w:line="360" w:lineRule="auto"/>
        <w:ind w:left="0" w:right="0" w:firstLine="480" w:firstLineChars="200"/>
        <w:contextualSpacing/>
        <w:rPr>
          <w:rFonts w:ascii="宋体" w:hAnsi="宋体"/>
          <w:color w:val="000000"/>
          <w:szCs w:val="24"/>
          <w:u w:val="single" w:color="000000"/>
        </w:rPr>
      </w:pPr>
      <w:r>
        <w:rPr>
          <w:rFonts w:hint="eastAsia" w:ascii="宋体" w:hAnsi="宋体"/>
          <w:color w:val="000000"/>
          <w:szCs w:val="24"/>
          <w:u w:val="single" w:color="000000"/>
        </w:rPr>
        <w:t>工程结算: 承包人应在工程竣工验收合格后14日内，一次性向发包人提交肆套完整的工程竣工结算资料，在工程结算审计过程中发包人不再接受承包人提交的任何补充材料，所有因缺乏资料或漏算的结算申请均视为承包人做出的优惠措施。由于设计变更和发包方认可的签证增加的工程量，结算价款时按投标让利比例同比例让利。工程量清单报价书中的措施费为包干项目，结算时不做调整，但是若遇措施费控制价编制明显错误，审计部门有权在结算审计过程中进行修正。</w:t>
      </w:r>
    </w:p>
    <w:p>
      <w:pPr>
        <w:pStyle w:val="14"/>
        <w:adjustRightInd/>
        <w:spacing w:before="0" w:after="0" w:line="360" w:lineRule="auto"/>
        <w:ind w:left="0" w:right="0" w:firstLine="480" w:firstLineChars="200"/>
        <w:contextualSpacing/>
        <w:rPr>
          <w:rFonts w:hint="eastAsia" w:ascii="宋体" w:hAnsi="宋体"/>
          <w:color w:val="000000"/>
          <w:u w:val="single"/>
        </w:rPr>
      </w:pPr>
      <w:r>
        <w:rPr>
          <w:rFonts w:hint="eastAsia" w:ascii="宋体" w:hAnsi="宋体"/>
          <w:color w:val="000000"/>
        </w:rPr>
        <w:t>发包人未按本合同约定接收全部或部分工程的，违约金的计算方法为：</w:t>
      </w:r>
      <w:r>
        <w:rPr>
          <w:rFonts w:hint="eastAsia" w:ascii="宋体" w:hAnsi="宋体"/>
          <w:color w:val="000000"/>
          <w:u w:val="single"/>
        </w:rPr>
        <w:t xml:space="preserve"> 无 </w:t>
      </w:r>
      <w:r>
        <w:rPr>
          <w:rFonts w:hint="eastAsia" w:ascii="宋体" w:hAnsi="宋体"/>
          <w:color w:val="000000"/>
        </w:rPr>
        <w:t>。</w:t>
      </w:r>
    </w:p>
    <w:bookmarkEnd w:id="499"/>
    <w:p>
      <w:pPr>
        <w:spacing w:line="360" w:lineRule="auto"/>
        <w:ind w:firstLine="480" w:firstLineChars="200"/>
        <w:contextualSpacing/>
        <w:rPr>
          <w:rFonts w:ascii="宋体" w:hAnsi="宋体"/>
          <w:color w:val="000000"/>
          <w:sz w:val="24"/>
        </w:rPr>
      </w:pPr>
      <w:r>
        <w:rPr>
          <w:rFonts w:hint="eastAsia" w:ascii="宋体" w:hAnsi="宋体"/>
          <w:color w:val="000000"/>
          <w:sz w:val="24"/>
        </w:rPr>
        <w:t>承包人未按时移交工程的，违约金的计算方法为：</w:t>
      </w:r>
      <w:r>
        <w:rPr>
          <w:rFonts w:hint="eastAsia" w:ascii="宋体" w:hAnsi="宋体"/>
          <w:color w:val="000000"/>
          <w:sz w:val="24"/>
          <w:szCs w:val="24"/>
          <w:u w:val="single" w:color="000000"/>
        </w:rPr>
        <w:t>按每滞后一天赔偿5000元违约金。</w:t>
      </w:r>
      <w:r>
        <w:rPr>
          <w:rFonts w:ascii="宋体" w:hAnsi="宋体"/>
          <w:color w:val="000000"/>
          <w:sz w:val="24"/>
        </w:rPr>
        <w:t>13.3 工程试车</w:t>
      </w:r>
    </w:p>
    <w:bookmarkEnd w:id="500"/>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13.3.1 试车程序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工程试车内容：</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（1）单机无负荷试车费用由</w:t>
      </w:r>
      <w:r>
        <w:rPr>
          <w:rFonts w:hint="eastAsia" w:ascii="宋体" w:hAnsi="宋体"/>
          <w:color w:val="000000"/>
          <w:sz w:val="24"/>
          <w:u w:val="single"/>
        </w:rPr>
        <w:t xml:space="preserve"> / </w:t>
      </w:r>
      <w:r>
        <w:rPr>
          <w:rFonts w:hint="eastAsia" w:ascii="宋体" w:hAnsi="宋体"/>
          <w:color w:val="000000"/>
          <w:sz w:val="24"/>
        </w:rPr>
        <w:t>承担；</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（2）无负荷联动试车费用由</w:t>
      </w:r>
      <w:r>
        <w:rPr>
          <w:rFonts w:hint="eastAsia" w:ascii="宋体" w:hAnsi="宋体"/>
          <w:color w:val="000000"/>
          <w:sz w:val="24"/>
          <w:u w:val="single"/>
        </w:rPr>
        <w:t xml:space="preserve"> / </w:t>
      </w:r>
      <w:r>
        <w:rPr>
          <w:rFonts w:hint="eastAsia" w:ascii="宋体" w:hAnsi="宋体"/>
          <w:color w:val="000000"/>
          <w:sz w:val="24"/>
        </w:rPr>
        <w:t>承担。</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13.3.3 投料试车</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关于投料试车相关事项的约定：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13.6 竣工退场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13.6.1 竣工退场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承包人完成竣工退场的期限：</w:t>
      </w:r>
      <w:r>
        <w:rPr>
          <w:rFonts w:hint="eastAsia" w:ascii="宋体" w:hAnsi="宋体"/>
          <w:color w:val="000000"/>
          <w:sz w:val="24"/>
          <w:u w:val="single"/>
        </w:rPr>
        <w:t xml:space="preserve"> 竣工验收合格后28日内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bookmarkStart w:id="502" w:name="_Toc351203646"/>
      <w:r>
        <w:rPr>
          <w:rFonts w:ascii="宋体" w:hAnsi="宋体"/>
          <w:color w:val="000000"/>
          <w:sz w:val="24"/>
        </w:rPr>
        <w:t>14. 竣工结算</w:t>
      </w:r>
      <w:bookmarkEnd w:id="502"/>
    </w:p>
    <w:p>
      <w:pPr>
        <w:spacing w:line="360" w:lineRule="auto"/>
        <w:ind w:firstLine="480" w:firstLineChars="200"/>
        <w:contextualSpacing/>
        <w:rPr>
          <w:rFonts w:ascii="宋体" w:hAnsi="宋体"/>
          <w:color w:val="000000"/>
          <w:sz w:val="24"/>
        </w:rPr>
      </w:pPr>
      <w:r>
        <w:rPr>
          <w:rFonts w:ascii="宋体" w:hAnsi="宋体"/>
          <w:color w:val="000000"/>
          <w:sz w:val="24"/>
        </w:rPr>
        <w:t>14.1 竣工付款申请</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承包人提交竣工付款申请单的期限：</w:t>
      </w:r>
      <w:r>
        <w:rPr>
          <w:rFonts w:hint="eastAsia" w:ascii="宋体" w:hAnsi="宋体"/>
          <w:color w:val="000000"/>
          <w:sz w:val="24"/>
          <w:u w:val="single"/>
        </w:rPr>
        <w:t xml:space="preserve"> 竣工验收合格28天内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竣工付款申请单应包括的内容：</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14.2 竣工结算审核</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发包人审批竣工付款申请单的期限：</w:t>
      </w:r>
      <w:r>
        <w:rPr>
          <w:rFonts w:hint="eastAsia" w:ascii="宋体" w:hAnsi="宋体"/>
          <w:color w:val="000000"/>
          <w:sz w:val="24"/>
          <w:szCs w:val="24"/>
          <w:u w:val="single" w:color="000000"/>
        </w:rPr>
        <w:t>《工程竣工验收证明》提交后28天内，承包人向发包人递交竣工结算报告及完整的、符合要求的结算资料，承包人在规定的期限内未向发包人提供或提供的资料不完整，发包人对延期结算不承担责任。无论工程量增加或减少，结算时投标单价不变。工程量按设计图纸和变更签证及相关规范结算</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szCs w:val="24"/>
        </w:rPr>
      </w:pPr>
      <w:r>
        <w:rPr>
          <w:rFonts w:hint="eastAsia" w:ascii="宋体" w:hAnsi="宋体"/>
          <w:color w:val="000000"/>
          <w:sz w:val="24"/>
          <w:szCs w:val="24"/>
        </w:rPr>
        <w:t>结算资料：</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color="000000"/>
        </w:rPr>
        <w:t>(1)工程竣工结算书的书面及电子版本均需提供，并需提供完整、清晰的书面及电子工程量计算底稿；</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color="000000"/>
        </w:rPr>
        <w:t>(2)合同内工程量及变更增减工程量必须分别计算，不能混淆，并提供变更依据及附上书面计算依据；</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color="000000"/>
        </w:rPr>
        <w:t>(3)因承包方提交资料依据不全，计算书混乱、发生严重错误等原因造成发包方不能有效及准确审核，发包人对延期结算不承担责任。</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rPr>
        <w:t>发包人完成竣工付款的期限：</w:t>
      </w:r>
      <w:r>
        <w:rPr>
          <w:rFonts w:hint="eastAsia" w:ascii="宋体" w:hAnsi="宋体"/>
          <w:color w:val="000000"/>
          <w:sz w:val="24"/>
          <w:szCs w:val="24"/>
          <w:u w:val="single"/>
        </w:rPr>
        <w:t>竣工时间以承包人申请报告提请被批准的竣工验收合格日期为准。</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szCs w:val="24"/>
          <w:u w:val="single"/>
        </w:rPr>
        <w:t>竣工时间以发包人组织的竣工验收合格日期为准。工程竣工验收后，施工单位的施工人员、材料、设备必须在5天内全部退出现场。</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szCs w:val="24"/>
        </w:rPr>
        <w:t>关于竣工付款证书异议部分复核的方式和程序：</w:t>
      </w:r>
      <w:r>
        <w:rPr>
          <w:rFonts w:hint="eastAsia" w:ascii="宋体" w:hAnsi="宋体"/>
          <w:color w:val="000000"/>
          <w:sz w:val="24"/>
          <w:szCs w:val="24"/>
          <w:u w:val="single" w:color="000000"/>
        </w:rPr>
        <w:t>另行约定。</w:t>
      </w:r>
    </w:p>
    <w:p>
      <w:pPr>
        <w:spacing w:line="360" w:lineRule="auto"/>
        <w:ind w:firstLine="480" w:firstLineChars="200"/>
        <w:contextualSpacing/>
        <w:rPr>
          <w:rFonts w:ascii="宋体" w:hAnsi="宋体"/>
          <w:color w:val="000000"/>
          <w:sz w:val="24"/>
        </w:rPr>
      </w:pPr>
      <w:r>
        <w:rPr>
          <w:rFonts w:ascii="宋体" w:hAnsi="宋体"/>
          <w:color w:val="000000"/>
          <w:sz w:val="24"/>
        </w:rPr>
        <w:t>14.4 最终结清</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14.4.1 最终结清申请单</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承包人提交最终结清申请单的份数：</w:t>
      </w:r>
      <w:r>
        <w:rPr>
          <w:rFonts w:hint="eastAsia" w:ascii="宋体" w:hAnsi="宋体"/>
          <w:color w:val="000000"/>
          <w:sz w:val="24"/>
          <w:u w:val="single"/>
        </w:rPr>
        <w:t xml:space="preserve"> 叁份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承包人提交最终结算申请单的期限：</w:t>
      </w:r>
      <w:r>
        <w:rPr>
          <w:rFonts w:hint="eastAsia" w:ascii="宋体" w:hAnsi="宋体"/>
          <w:color w:val="000000"/>
          <w:sz w:val="24"/>
          <w:u w:val="single"/>
        </w:rPr>
        <w:t xml:space="preserve"> 根据进度款支付周期节点时间15日内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14.4.2 最终结清证书和支付</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（1）发包人完成最终结清申请单的审批并颁发最终结清证书的期限：</w:t>
      </w:r>
      <w:r>
        <w:rPr>
          <w:rFonts w:hint="eastAsia" w:ascii="宋体" w:hAnsi="宋体"/>
          <w:color w:val="000000"/>
          <w:sz w:val="24"/>
          <w:u w:val="single"/>
        </w:rPr>
        <w:t xml:space="preserve"> 在缺陷责任期终止证书颁发后15天内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（2）发包人完成支付的期限：</w:t>
      </w:r>
      <w:r>
        <w:rPr>
          <w:rFonts w:hint="eastAsia" w:ascii="宋体" w:hAnsi="宋体"/>
          <w:color w:val="000000"/>
          <w:sz w:val="24"/>
          <w:u w:val="single"/>
        </w:rPr>
        <w:t xml:space="preserve"> 按进度款支付约定 </w:t>
      </w:r>
      <w:r>
        <w:rPr>
          <w:rFonts w:hint="eastAsia" w:ascii="宋体" w:hAnsi="宋体"/>
          <w:color w:val="000000"/>
          <w:sz w:val="24"/>
        </w:rPr>
        <w:t>。</w:t>
      </w:r>
    </w:p>
    <w:bookmarkEnd w:id="489"/>
    <w:bookmarkEnd w:id="490"/>
    <w:bookmarkEnd w:id="491"/>
    <w:bookmarkEnd w:id="492"/>
    <w:bookmarkEnd w:id="493"/>
    <w:bookmarkEnd w:id="494"/>
    <w:bookmarkEnd w:id="495"/>
    <w:bookmarkEnd w:id="501"/>
    <w:p>
      <w:pPr>
        <w:spacing w:line="360" w:lineRule="auto"/>
        <w:ind w:firstLine="480" w:firstLineChars="200"/>
        <w:contextualSpacing/>
        <w:rPr>
          <w:rFonts w:ascii="宋体" w:hAnsi="宋体"/>
          <w:color w:val="000000"/>
          <w:sz w:val="24"/>
        </w:rPr>
      </w:pPr>
      <w:bookmarkStart w:id="503" w:name="_Toc351203647"/>
      <w:bookmarkStart w:id="504" w:name="_Toc267251483"/>
      <w:bookmarkStart w:id="505" w:name="_Toc267251482"/>
      <w:bookmarkStart w:id="506" w:name="_Toc267251484"/>
      <w:bookmarkStart w:id="507" w:name="_Toc267251485"/>
      <w:bookmarkStart w:id="508" w:name="_Toc267251490"/>
      <w:bookmarkStart w:id="509" w:name="_Toc267251489"/>
      <w:bookmarkStart w:id="510" w:name="_Toc267251488"/>
      <w:bookmarkStart w:id="511" w:name="_Toc267251486"/>
      <w:bookmarkStart w:id="512" w:name="_Toc267251491"/>
      <w:bookmarkStart w:id="513" w:name="_Toc267251493"/>
      <w:bookmarkStart w:id="514" w:name="_Toc267251494"/>
      <w:bookmarkStart w:id="515" w:name="_Toc267251495"/>
      <w:bookmarkStart w:id="516" w:name="_Toc267251496"/>
      <w:bookmarkStart w:id="517" w:name="_Toc267251497"/>
      <w:bookmarkStart w:id="518" w:name="_Toc267251498"/>
      <w:bookmarkStart w:id="519" w:name="_Toc267251499"/>
      <w:bookmarkStart w:id="520" w:name="_Toc267251503"/>
      <w:bookmarkStart w:id="521" w:name="_Toc267251502"/>
      <w:bookmarkStart w:id="522" w:name="_Toc267251501"/>
      <w:bookmarkStart w:id="523" w:name="_Toc267251492"/>
      <w:bookmarkStart w:id="524" w:name="_Toc267251506"/>
      <w:bookmarkStart w:id="525" w:name="_Toc267251504"/>
      <w:bookmarkStart w:id="526" w:name="_Toc267251507"/>
      <w:bookmarkStart w:id="527" w:name="_Toc267251508"/>
      <w:bookmarkStart w:id="528" w:name="_Toc267251515"/>
      <w:bookmarkStart w:id="529" w:name="_Toc267251509"/>
      <w:bookmarkStart w:id="530" w:name="_Toc267251511"/>
      <w:bookmarkStart w:id="531" w:name="_Toc267251514"/>
      <w:bookmarkStart w:id="532" w:name="_Toc267251513"/>
      <w:bookmarkStart w:id="533" w:name="_Toc267251510"/>
      <w:r>
        <w:rPr>
          <w:rFonts w:ascii="宋体" w:hAnsi="宋体"/>
          <w:color w:val="000000"/>
          <w:sz w:val="24"/>
        </w:rPr>
        <w:t>15. 缺陷责任期与保修</w:t>
      </w:r>
      <w:bookmarkEnd w:id="503"/>
    </w:p>
    <w:p>
      <w:pPr>
        <w:spacing w:line="360" w:lineRule="auto"/>
        <w:ind w:firstLine="480" w:firstLineChars="200"/>
        <w:contextualSpacing/>
        <w:rPr>
          <w:rFonts w:ascii="宋体" w:hAnsi="宋体"/>
          <w:color w:val="000000"/>
          <w:sz w:val="24"/>
        </w:rPr>
      </w:pPr>
      <w:r>
        <w:rPr>
          <w:rFonts w:ascii="宋体" w:hAnsi="宋体"/>
          <w:color w:val="000000"/>
          <w:sz w:val="24"/>
        </w:rPr>
        <w:t>15.2缺陷责任期</w:t>
      </w:r>
      <w:bookmarkEnd w:id="504"/>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缺陷责任期的具体期限：</w:t>
      </w:r>
      <w:r>
        <w:rPr>
          <w:rFonts w:hint="eastAsia" w:ascii="宋体" w:hAnsi="宋体"/>
          <w:color w:val="000000"/>
          <w:sz w:val="24"/>
          <w:u w:val="single"/>
        </w:rPr>
        <w:t xml:space="preserve"> 按通用条款执行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15.3 质量保证金</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关于是否扣留质量保证金的约定：</w:t>
      </w:r>
      <w:r>
        <w:rPr>
          <w:rFonts w:hint="eastAsia" w:ascii="宋体" w:hAnsi="宋体"/>
          <w:color w:val="000000"/>
          <w:sz w:val="24"/>
          <w:u w:val="single"/>
        </w:rPr>
        <w:t xml:space="preserve"> 是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15.3.1 承包人提供质量保证金的方式</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质量保证金采用以下第</w:t>
      </w:r>
      <w:r>
        <w:rPr>
          <w:rFonts w:hint="eastAsia" w:ascii="宋体" w:hAnsi="宋体"/>
          <w:color w:val="000000"/>
          <w:sz w:val="24"/>
          <w:u w:val="single"/>
        </w:rPr>
        <w:t xml:space="preserve"> (2) </w:t>
      </w:r>
      <w:r>
        <w:rPr>
          <w:rFonts w:hint="eastAsia" w:ascii="宋体" w:hAnsi="宋体"/>
          <w:color w:val="000000"/>
          <w:sz w:val="24"/>
        </w:rPr>
        <w:t>种方式：</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（1）质量保证金保函，保证金额为：</w:t>
      </w:r>
      <w:r>
        <w:rPr>
          <w:rFonts w:hint="eastAsia" w:ascii="宋体" w:hAnsi="宋体"/>
          <w:color w:val="000000"/>
          <w:sz w:val="24"/>
          <w:u w:val="single"/>
        </w:rPr>
        <w:t xml:space="preserve"> / </w:t>
      </w:r>
      <w:r>
        <w:rPr>
          <w:rFonts w:hint="eastAsia" w:ascii="宋体" w:hAnsi="宋体"/>
          <w:color w:val="000000"/>
          <w:sz w:val="24"/>
        </w:rPr>
        <w:t xml:space="preserve">； </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（2）</w:t>
      </w:r>
      <w:r>
        <w:rPr>
          <w:rFonts w:hint="eastAsia" w:ascii="宋体" w:hAnsi="宋体"/>
          <w:sz w:val="24"/>
        </w:rPr>
        <w:t>审定价</w:t>
      </w:r>
      <w:r>
        <w:rPr>
          <w:rFonts w:hint="eastAsia" w:ascii="宋体" w:hAnsi="宋体"/>
          <w:sz w:val="24"/>
          <w:u w:val="single"/>
        </w:rPr>
        <w:t>3</w:t>
      </w:r>
      <w:r>
        <w:rPr>
          <w:rFonts w:hint="eastAsia" w:ascii="宋体" w:hAnsi="宋体"/>
          <w:sz w:val="24"/>
        </w:rPr>
        <w:t>%的工程款</w:t>
      </w:r>
      <w:r>
        <w:rPr>
          <w:rFonts w:hint="eastAsia" w:ascii="宋体" w:hAnsi="宋体"/>
          <w:color w:val="000000"/>
          <w:sz w:val="24"/>
        </w:rPr>
        <w:t>；</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（3）其他方式: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 xml:space="preserve">15.3.2 质量保证金的扣留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质量保证金的扣留采取以下第</w:t>
      </w:r>
      <w:r>
        <w:rPr>
          <w:rFonts w:hint="eastAsia" w:ascii="宋体" w:hAnsi="宋体"/>
          <w:color w:val="000000"/>
          <w:sz w:val="24"/>
          <w:u w:val="single"/>
        </w:rPr>
        <w:t xml:space="preserve">（2） </w:t>
      </w:r>
      <w:r>
        <w:rPr>
          <w:rFonts w:hint="eastAsia" w:ascii="宋体" w:hAnsi="宋体"/>
          <w:color w:val="000000"/>
          <w:sz w:val="24"/>
        </w:rPr>
        <w:t>种方式：</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（2）工程竣工结算时一次性扣留质量保证金；</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（3）其他扣留方式: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关于质量保证金的补充约定：:</w:t>
      </w:r>
      <w:r>
        <w:rPr>
          <w:rFonts w:hint="eastAsia" w:ascii="宋体" w:hAnsi="宋体"/>
          <w:color w:val="000000"/>
          <w:sz w:val="24"/>
          <w:u w:val="single"/>
        </w:rPr>
        <w:t xml:space="preserve"> / </w:t>
      </w:r>
      <w:r>
        <w:rPr>
          <w:rFonts w:hint="eastAsia" w:ascii="宋体" w:hAnsi="宋体"/>
          <w:color w:val="000000"/>
          <w:sz w:val="24"/>
        </w:rPr>
        <w:t>。</w:t>
      </w:r>
    </w:p>
    <w:bookmarkEnd w:id="505"/>
    <w:bookmarkEnd w:id="506"/>
    <w:p>
      <w:pPr>
        <w:spacing w:line="360" w:lineRule="auto"/>
        <w:ind w:firstLine="480" w:firstLineChars="200"/>
        <w:contextualSpacing/>
        <w:rPr>
          <w:rFonts w:ascii="宋体" w:hAnsi="宋体"/>
          <w:color w:val="000000"/>
          <w:sz w:val="24"/>
        </w:rPr>
      </w:pPr>
      <w:r>
        <w:rPr>
          <w:rFonts w:ascii="宋体" w:hAnsi="宋体"/>
          <w:color w:val="000000"/>
          <w:sz w:val="24"/>
        </w:rPr>
        <w:t>15.4保修</w:t>
      </w:r>
    </w:p>
    <w:bookmarkEnd w:id="507"/>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15.4.1 保修责任</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工程保修期为：</w:t>
      </w:r>
      <w:r>
        <w:rPr>
          <w:rFonts w:hint="eastAsia" w:ascii="宋体" w:hAnsi="宋体"/>
          <w:sz w:val="24"/>
          <w:szCs w:val="24"/>
          <w:u w:val="single"/>
        </w:rPr>
        <w:t>详见“附件：工程质量保修书”。</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15.4.3 修复通知</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承包人收到保修通知并到达工程现场的合理时间：</w:t>
      </w:r>
      <w:r>
        <w:rPr>
          <w:rFonts w:hint="eastAsia" w:ascii="宋体" w:hAnsi="宋体"/>
          <w:sz w:val="24"/>
          <w:szCs w:val="24"/>
          <w:u w:val="single"/>
        </w:rPr>
        <w:t>承包人收到保修通知后</w:t>
      </w:r>
      <w:r>
        <w:rPr>
          <w:rFonts w:ascii="宋体" w:hAnsi="宋体"/>
          <w:sz w:val="24"/>
          <w:szCs w:val="24"/>
          <w:u w:val="single"/>
        </w:rPr>
        <w:t>24小时内到达工程现场。</w:t>
      </w:r>
      <w:r>
        <w:rPr>
          <w:rFonts w:hint="eastAsia" w:ascii="宋体" w:hAnsi="宋体"/>
          <w:color w:val="000000"/>
          <w:sz w:val="24"/>
          <w:u w:val="single"/>
        </w:rPr>
        <w:t xml:space="preserve"> </w:t>
      </w:r>
      <w:r>
        <w:rPr>
          <w:rFonts w:hint="eastAsia" w:ascii="宋体" w:hAnsi="宋体"/>
          <w:color w:val="000000"/>
          <w:sz w:val="24"/>
        </w:rPr>
        <w:t>。</w:t>
      </w:r>
    </w:p>
    <w:bookmarkEnd w:id="508"/>
    <w:bookmarkEnd w:id="509"/>
    <w:bookmarkEnd w:id="510"/>
    <w:bookmarkEnd w:id="511"/>
    <w:p>
      <w:pPr>
        <w:spacing w:line="360" w:lineRule="auto"/>
        <w:ind w:firstLine="480" w:firstLineChars="200"/>
        <w:contextualSpacing/>
        <w:rPr>
          <w:rFonts w:ascii="宋体" w:hAnsi="宋体"/>
          <w:color w:val="000000"/>
          <w:sz w:val="24"/>
        </w:rPr>
      </w:pPr>
      <w:bookmarkStart w:id="534" w:name="_Toc351203648"/>
      <w:bookmarkStart w:id="535" w:name="_Toc280868717"/>
      <w:bookmarkStart w:id="536" w:name="_Toc280868718"/>
      <w:r>
        <w:rPr>
          <w:rFonts w:ascii="宋体" w:hAnsi="宋体"/>
          <w:color w:val="000000"/>
          <w:sz w:val="24"/>
        </w:rPr>
        <w:t>16. 违约</w:t>
      </w:r>
      <w:bookmarkEnd w:id="534"/>
    </w:p>
    <w:p>
      <w:pPr>
        <w:spacing w:line="360" w:lineRule="auto"/>
        <w:ind w:firstLine="480" w:firstLineChars="200"/>
        <w:contextualSpacing/>
        <w:rPr>
          <w:rFonts w:ascii="宋体" w:hAnsi="宋体"/>
          <w:color w:val="000000"/>
          <w:sz w:val="24"/>
        </w:rPr>
      </w:pPr>
      <w:r>
        <w:rPr>
          <w:rFonts w:ascii="宋体" w:hAnsi="宋体"/>
          <w:color w:val="000000"/>
          <w:sz w:val="24"/>
        </w:rPr>
        <w:t>16.1 发包人违约</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16.1.1发包人违约的情形</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发包人违约的其他情形：</w:t>
      </w:r>
      <w:r>
        <w:rPr>
          <w:rFonts w:hint="eastAsia" w:ascii="宋体" w:hAnsi="宋体"/>
          <w:color w:val="000000"/>
          <w:sz w:val="24"/>
          <w:u w:val="single"/>
        </w:rPr>
        <w:t xml:space="preserve"> 无</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16.1.2 发包人违约的责任</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发包人违约责任的承担方式和计算方法：</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（1）因发包人原因未能在计划开工日期前7天内下达开工通知的违约责任：</w:t>
      </w:r>
      <w:r>
        <w:rPr>
          <w:rFonts w:ascii="宋体" w:hAnsi="宋体"/>
          <w:sz w:val="24"/>
          <w:szCs w:val="24"/>
          <w:u w:val="single"/>
        </w:rPr>
        <w:t>相应工期顺延。</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（2）因发包人原因未能按合同约定支付合同价款的违约责任：</w:t>
      </w:r>
      <w:r>
        <w:rPr>
          <w:rFonts w:hint="eastAsia" w:ascii="宋体" w:hAnsi="宋体"/>
          <w:color w:val="000000"/>
          <w:sz w:val="24"/>
          <w:u w:val="single"/>
        </w:rPr>
        <w:t xml:space="preserve"> 不计息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（3）发包人违反第10.1款〔变更的范围〕第（2）项约定，自行实施被取消的工作或转由他人实施的违约责任：</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（4）发包人提供的材料、工程设备的规格、数量或质量不符合合同约定，或因发包人原因导致交货日期延误或交货地点变更等情况的违约责任：</w:t>
      </w:r>
      <w:r>
        <w:rPr>
          <w:rFonts w:hint="eastAsia" w:ascii="宋体" w:hAnsi="宋体"/>
          <w:sz w:val="24"/>
          <w:szCs w:val="24"/>
          <w:u w:val="single"/>
        </w:rPr>
        <w:t>如造成工期延误的，工期相应顺延并赔偿给承包人造成的直接经济损失。</w:t>
      </w:r>
      <w:r>
        <w:rPr>
          <w:rFonts w:hint="eastAsia" w:ascii="宋体" w:hAnsi="宋体"/>
          <w:color w:val="000000"/>
          <w:sz w:val="24"/>
          <w:u w:val="single"/>
        </w:rPr>
        <w:t xml:space="preserve">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（5）因发包人违反合同约定造成暂停施工的违约责任：</w:t>
      </w:r>
      <w:r>
        <w:rPr>
          <w:rFonts w:hint="eastAsia" w:ascii="宋体" w:hAnsi="宋体"/>
          <w:sz w:val="24"/>
          <w:szCs w:val="24"/>
          <w:u w:val="single"/>
        </w:rPr>
        <w:t>如造成工期延误的，工期相应顺延并赔偿给承包人造成的直接经济损失。</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（6）发包人无正当理由没有在约定期限内发出复工指示，导致承包人无法复工的违约责任：</w:t>
      </w:r>
      <w:r>
        <w:rPr>
          <w:rFonts w:hint="eastAsia" w:ascii="宋体" w:hAnsi="宋体"/>
          <w:sz w:val="24"/>
          <w:szCs w:val="24"/>
          <w:u w:val="single"/>
        </w:rPr>
        <w:t>如造成工期延误的，工期相应顺延并赔偿给承包人造成的直接经济损失。</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（7）其他：</w:t>
      </w:r>
      <w:r>
        <w:rPr>
          <w:rFonts w:hint="eastAsia" w:ascii="宋体" w:hAnsi="宋体"/>
          <w:color w:val="000000"/>
          <w:sz w:val="24"/>
          <w:u w:val="single"/>
        </w:rPr>
        <w:t xml:space="preserve"> 无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16.1.3 因发包人违约解除合同</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承包人按16.1.1项〔发包人违约的情形〕约定暂停施工满</w:t>
      </w:r>
      <w:r>
        <w:rPr>
          <w:rFonts w:hint="eastAsia" w:ascii="宋体" w:hAnsi="宋体"/>
          <w:color w:val="000000"/>
          <w:sz w:val="24"/>
          <w:u w:val="single"/>
        </w:rPr>
        <w:t xml:space="preserve"> 10 </w:t>
      </w:r>
      <w:r>
        <w:rPr>
          <w:rFonts w:hint="eastAsia" w:ascii="宋体" w:hAnsi="宋体"/>
          <w:color w:val="000000"/>
          <w:sz w:val="24"/>
        </w:rPr>
        <w:t>天后发包人仍不纠正其违约行为并致使合同目的不能实现的，承包人有权解除合同。</w:t>
      </w:r>
    </w:p>
    <w:p>
      <w:pPr>
        <w:spacing w:line="360" w:lineRule="auto"/>
        <w:ind w:firstLine="480" w:firstLineChars="200"/>
        <w:contextualSpacing/>
        <w:rPr>
          <w:rFonts w:ascii="宋体" w:hAnsi="宋体"/>
          <w:color w:val="000000"/>
          <w:sz w:val="24"/>
        </w:rPr>
      </w:pPr>
      <w:r>
        <w:rPr>
          <w:rFonts w:ascii="宋体" w:hAnsi="宋体"/>
          <w:color w:val="000000"/>
          <w:sz w:val="24"/>
        </w:rPr>
        <w:t>16.2 承包人违约</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16.2.1 承包人违约的情形</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承包人违约的其他情形：</w:t>
      </w:r>
      <w:r>
        <w:rPr>
          <w:rFonts w:hint="eastAsia" w:ascii="宋体" w:hAnsi="宋体"/>
          <w:color w:val="000000"/>
          <w:sz w:val="24"/>
          <w:u w:val="single"/>
        </w:rPr>
        <w:t xml:space="preserve"> 工期延误、质量问题、技术文件未按约定时间提交、承包人擅自停要或单方面终止合同等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16.2.2承包人违约的责任</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承包人违约责任的承担方式和计算方法：</w:t>
      </w:r>
      <w:r>
        <w:rPr>
          <w:rFonts w:hint="eastAsia"/>
          <w:sz w:val="24"/>
          <w:szCs w:val="24"/>
          <w:u w:val="single"/>
        </w:rPr>
        <w:t>承包人承包的工程质量必须符合国家质量验收标准及建设单位及相关单位的要求，如不符合国家质量验收标准及建设单位及相关单位的要求，所发生的一切返工费用及由此给发包人造成的经济损失均由承包人承担，并按工程结算价款的2%予以处罚，此项赔偿并不能解除中标单位完成工程的责任及合同规定的其他责任。如因施工质量导致安全事故，承担事故处理的一切费用、工程的恢复费用及因此而造成后续工程延误费用。承包人投标时申报的现场管理人员不到施工现场参与施工管理工作的属于违约，每缺少一名申报的人员（发包人同意更换的施工管理人员除外），承包人向发包人支付违约金2000元。</w:t>
      </w:r>
    </w:p>
    <w:p>
      <w:pPr>
        <w:spacing w:line="360" w:lineRule="auto"/>
        <w:contextualSpacing/>
        <w:rPr>
          <w:rFonts w:hint="eastAsia"/>
          <w:sz w:val="24"/>
          <w:szCs w:val="24"/>
          <w:u w:val="single"/>
        </w:rPr>
      </w:pPr>
      <w:r>
        <w:rPr>
          <w:rFonts w:hint="eastAsia"/>
          <w:sz w:val="24"/>
          <w:szCs w:val="24"/>
        </w:rPr>
        <w:t xml:space="preserve">        </w:t>
      </w:r>
      <w:r>
        <w:rPr>
          <w:rFonts w:hint="eastAsia"/>
          <w:sz w:val="24"/>
          <w:szCs w:val="24"/>
          <w:u w:val="single"/>
        </w:rPr>
        <w:t>工程进度考核，承包人需依据投标时的施工方案及进度表，做适当调整（不得向后拖延工期），向发包人和监理提交详细施工方案和进度表，经监理批准后发包人、监理将以此为依据，按月为单位，分阶段考核。承包人未达到各段计划目标的，属于违约，承包人承担违约责任，工期每延误一天，承包人向发包人支付5000元的违约金；且发包人有权采取任何措施来保证工期。</w:t>
      </w:r>
    </w:p>
    <w:p>
      <w:pPr>
        <w:spacing w:line="360" w:lineRule="auto"/>
        <w:contextualSpacing/>
        <w:rPr>
          <w:rFonts w:hint="eastAsia"/>
          <w:sz w:val="24"/>
          <w:szCs w:val="24"/>
          <w:u w:val="single"/>
        </w:rPr>
      </w:pPr>
      <w:r>
        <w:rPr>
          <w:rFonts w:hint="eastAsia"/>
          <w:sz w:val="24"/>
          <w:szCs w:val="24"/>
        </w:rPr>
        <w:t xml:space="preserve">        </w:t>
      </w:r>
      <w:r>
        <w:rPr>
          <w:rFonts w:hint="eastAsia"/>
          <w:sz w:val="24"/>
          <w:szCs w:val="24"/>
          <w:u w:val="single"/>
        </w:rPr>
        <w:t>未做到投标时承诺条件的，属于违约，承包人承担违约责任，向发包人支付合同总价款2%违约金；情况严重发包人有权将承包人清退出施工场地并向建设行政主管部门报告。</w:t>
      </w:r>
    </w:p>
    <w:p>
      <w:pPr>
        <w:spacing w:line="360" w:lineRule="auto"/>
        <w:ind w:firstLine="480" w:firstLineChars="200"/>
        <w:contextualSpacing/>
        <w:rPr>
          <w:rFonts w:hint="eastAsia" w:ascii="宋体" w:hAnsi="宋体"/>
          <w:color w:val="000000"/>
          <w:sz w:val="24"/>
        </w:rPr>
      </w:pPr>
      <w:r>
        <w:rPr>
          <w:rFonts w:hint="eastAsia"/>
          <w:sz w:val="24"/>
          <w:szCs w:val="24"/>
          <w:u w:val="single"/>
        </w:rPr>
        <w:t>承包人未经发包人和监理认可，擅自购置使用的材料和设备，必须无条件更换，并承担由此造成的一切损失。</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16.2.3 因承包人违约解除合同</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关于承包人违约解除合同的特别约定：</w:t>
      </w:r>
      <w:r>
        <w:rPr>
          <w:rFonts w:hint="eastAsia" w:ascii="宋体" w:hAnsi="宋体"/>
          <w:color w:val="000000"/>
          <w:sz w:val="24"/>
          <w:szCs w:val="24"/>
          <w:u w:val="single" w:color="000000"/>
        </w:rPr>
        <w:t xml:space="preserve">在本合同解除后，承包人必须在5天内无条件退场。发包人将按承包人已完成工程量的50%给予结算，承包人并承担由此而给发包方造成的一切损失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发包人继续使用承包人在施工现场的材料、设备、临时工程、承包人文件和由承包人或以其名义编制的其他文件的费用承担方式：</w:t>
      </w:r>
      <w:r>
        <w:rPr>
          <w:rFonts w:hint="eastAsia" w:ascii="宋体" w:hAnsi="宋体"/>
          <w:color w:val="000000"/>
          <w:sz w:val="24"/>
          <w:u w:val="single"/>
        </w:rPr>
        <w:t xml:space="preserve"> 根据监理、审计出具的报告结算给承包人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bookmarkStart w:id="537" w:name="_Toc351203649"/>
      <w:r>
        <w:rPr>
          <w:rFonts w:ascii="宋体" w:hAnsi="宋体"/>
          <w:color w:val="000000"/>
          <w:sz w:val="24"/>
        </w:rPr>
        <w:t>17. 不可抗力</w:t>
      </w:r>
      <w:bookmarkEnd w:id="537"/>
      <w:r>
        <w:rPr>
          <w:rFonts w:ascii="宋体" w:hAnsi="宋体"/>
          <w:color w:val="000000"/>
          <w:sz w:val="24"/>
        </w:rPr>
        <w:t xml:space="preserve"> </w:t>
      </w:r>
      <w:bookmarkEnd w:id="535"/>
    </w:p>
    <w:p>
      <w:pPr>
        <w:spacing w:line="360" w:lineRule="auto"/>
        <w:ind w:firstLine="480" w:firstLineChars="200"/>
        <w:contextualSpacing/>
        <w:rPr>
          <w:rFonts w:ascii="宋体" w:hAnsi="宋体"/>
          <w:color w:val="000000"/>
          <w:sz w:val="24"/>
        </w:rPr>
      </w:pPr>
      <w:r>
        <w:rPr>
          <w:rFonts w:ascii="宋体" w:hAnsi="宋体"/>
          <w:color w:val="000000"/>
          <w:sz w:val="24"/>
        </w:rPr>
        <w:t>17.1 不可抗力的确认</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 xml:space="preserve">除通用合同条款约定的不可抗力事件之外，视为不可抗力的其他情形： </w:t>
      </w:r>
      <w:r>
        <w:rPr>
          <w:rFonts w:hint="eastAsia" w:ascii="宋体" w:hAnsi="宋体"/>
          <w:color w:val="000000"/>
          <w:sz w:val="24"/>
          <w:u w:val="single"/>
        </w:rPr>
        <w:t xml:space="preserve"> 按省级有关部门的规定执行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17.4 因不可抗力解除合同</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合同解除后，发包人应在商定或确定发包人应支付款项后</w:t>
      </w:r>
      <w:r>
        <w:rPr>
          <w:rFonts w:hint="eastAsia" w:ascii="宋体" w:hAnsi="宋体"/>
          <w:color w:val="000000"/>
          <w:sz w:val="24"/>
          <w:u w:val="single"/>
        </w:rPr>
        <w:t xml:space="preserve"> 28 </w:t>
      </w:r>
      <w:r>
        <w:rPr>
          <w:rFonts w:hint="eastAsia" w:ascii="宋体" w:hAnsi="宋体"/>
          <w:color w:val="000000"/>
          <w:sz w:val="24"/>
        </w:rPr>
        <w:t>天内完成款项的支付。</w:t>
      </w:r>
    </w:p>
    <w:p>
      <w:pPr>
        <w:spacing w:line="360" w:lineRule="auto"/>
        <w:ind w:firstLine="480" w:firstLineChars="200"/>
        <w:contextualSpacing/>
        <w:rPr>
          <w:rFonts w:ascii="宋体" w:hAnsi="宋体"/>
          <w:color w:val="000000"/>
          <w:sz w:val="24"/>
        </w:rPr>
      </w:pPr>
      <w:bookmarkStart w:id="538" w:name="_Toc351203650"/>
      <w:r>
        <w:rPr>
          <w:rFonts w:ascii="宋体" w:hAnsi="宋体"/>
          <w:color w:val="000000"/>
          <w:sz w:val="24"/>
        </w:rPr>
        <w:t>18. 保险</w:t>
      </w:r>
      <w:bookmarkEnd w:id="538"/>
    </w:p>
    <w:bookmarkEnd w:id="536"/>
    <w:p>
      <w:pPr>
        <w:spacing w:line="360" w:lineRule="auto"/>
        <w:ind w:firstLine="480" w:firstLineChars="200"/>
        <w:contextualSpacing/>
        <w:rPr>
          <w:rFonts w:ascii="宋体" w:hAnsi="宋体"/>
          <w:color w:val="000000"/>
          <w:sz w:val="24"/>
        </w:rPr>
      </w:pPr>
      <w:r>
        <w:rPr>
          <w:rFonts w:ascii="宋体" w:hAnsi="宋体"/>
          <w:color w:val="000000"/>
          <w:sz w:val="24"/>
        </w:rPr>
        <w:t>18.1 工程保险</w:t>
      </w:r>
    </w:p>
    <w:p>
      <w:pPr>
        <w:spacing w:line="360" w:lineRule="auto"/>
        <w:ind w:firstLine="480" w:firstLineChars="200"/>
        <w:contextualSpacing/>
        <w:rPr>
          <w:rFonts w:ascii="宋体" w:hAnsi="宋体"/>
          <w:color w:val="000000"/>
          <w:sz w:val="24"/>
          <w:u w:val="single"/>
        </w:rPr>
      </w:pPr>
      <w:r>
        <w:rPr>
          <w:rFonts w:hint="eastAsia" w:ascii="宋体" w:hAnsi="宋体"/>
          <w:color w:val="000000"/>
          <w:sz w:val="24"/>
        </w:rPr>
        <w:t>关于工程保险的特别约定：</w:t>
      </w:r>
      <w:r>
        <w:rPr>
          <w:rFonts w:hint="eastAsia" w:ascii="宋体" w:hAnsi="宋体"/>
          <w:color w:val="000000"/>
          <w:sz w:val="24"/>
          <w:u w:val="single"/>
        </w:rPr>
        <w:t>承包人必须按国家相关规定为从事危险作业的职工办理意外伤害保险；第三方人身险和国家、地方政府规定的其他保险，并为施工现场内工作人员生命财产和施工机械设备办理保险，一切费用由承包人自负。</w:t>
      </w:r>
    </w:p>
    <w:p>
      <w:pPr>
        <w:spacing w:line="360" w:lineRule="auto"/>
        <w:ind w:firstLine="480" w:firstLineChars="200"/>
        <w:contextualSpacing/>
        <w:rPr>
          <w:rFonts w:ascii="宋体" w:hAnsi="宋体"/>
          <w:color w:val="000000"/>
          <w:sz w:val="24"/>
        </w:rPr>
      </w:pPr>
      <w:r>
        <w:rPr>
          <w:rFonts w:ascii="宋体" w:hAnsi="宋体"/>
          <w:color w:val="000000"/>
          <w:sz w:val="24"/>
        </w:rPr>
        <w:t>18.3 其他保险</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关于其他保险的约定：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承包人是否应为其施工设备等办理财产保险：</w:t>
      </w:r>
      <w:r>
        <w:rPr>
          <w:rFonts w:hint="eastAsia" w:ascii="宋体" w:hAnsi="宋体"/>
          <w:color w:val="000000"/>
          <w:sz w:val="24"/>
          <w:u w:val="single"/>
        </w:rPr>
        <w:t xml:space="preserve"> 由承包人自行考虑 </w:t>
      </w:r>
      <w:r>
        <w:rPr>
          <w:rFonts w:hint="eastAsia" w:ascii="宋体" w:hAnsi="宋体"/>
          <w:color w:val="000000"/>
          <w:sz w:val="24"/>
        </w:rPr>
        <w:t>。</w:t>
      </w:r>
    </w:p>
    <w:p>
      <w:pPr>
        <w:spacing w:line="360" w:lineRule="auto"/>
        <w:ind w:firstLine="480" w:firstLineChars="200"/>
        <w:contextualSpacing/>
        <w:rPr>
          <w:rFonts w:ascii="宋体" w:hAnsi="宋体"/>
          <w:color w:val="000000"/>
          <w:sz w:val="24"/>
        </w:rPr>
      </w:pPr>
      <w:r>
        <w:rPr>
          <w:rFonts w:ascii="宋体" w:hAnsi="宋体"/>
          <w:color w:val="000000"/>
          <w:sz w:val="24"/>
        </w:rPr>
        <w:t>18.7 通知义务</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关于变更保险合同时的通知义务的约定：</w:t>
      </w:r>
      <w:r>
        <w:rPr>
          <w:rFonts w:hint="eastAsia" w:ascii="宋体" w:hAnsi="宋体"/>
          <w:color w:val="000000"/>
          <w:sz w:val="24"/>
          <w:u w:val="single"/>
        </w:rPr>
        <w:t xml:space="preserve"> 按通用条款执行 </w:t>
      </w:r>
      <w:r>
        <w:rPr>
          <w:rFonts w:hint="eastAsia" w:ascii="宋体" w:hAnsi="宋体"/>
          <w:color w:val="000000"/>
          <w:sz w:val="24"/>
        </w:rPr>
        <w:t>。</w:t>
      </w:r>
    </w:p>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80" w:firstLineChars="200"/>
        <w:contextualSpacing/>
        <w:rPr>
          <w:rFonts w:ascii="宋体" w:hAnsi="宋体"/>
          <w:color w:val="000000"/>
          <w:sz w:val="24"/>
        </w:rPr>
      </w:pPr>
      <w:bookmarkStart w:id="539" w:name="_Toc351203651"/>
      <w:r>
        <w:rPr>
          <w:rFonts w:ascii="宋体" w:hAnsi="宋体"/>
          <w:color w:val="000000"/>
          <w:sz w:val="24"/>
        </w:rPr>
        <w:t>20. 争议解决</w:t>
      </w:r>
      <w:bookmarkEnd w:id="539"/>
    </w:p>
    <w:bookmarkEnd w:id="524"/>
    <w:bookmarkEnd w:id="525"/>
    <w:p>
      <w:pPr>
        <w:spacing w:line="360" w:lineRule="auto"/>
        <w:ind w:firstLine="480" w:firstLineChars="200"/>
        <w:contextualSpacing/>
        <w:rPr>
          <w:rFonts w:ascii="宋体" w:hAnsi="宋体"/>
          <w:color w:val="000000"/>
          <w:sz w:val="24"/>
        </w:rPr>
      </w:pPr>
      <w:r>
        <w:rPr>
          <w:rFonts w:ascii="宋体" w:hAnsi="宋体"/>
          <w:color w:val="000000"/>
          <w:sz w:val="24"/>
        </w:rPr>
        <w:t>20.3 争</w:t>
      </w:r>
      <w:bookmarkEnd w:id="526"/>
      <w:r>
        <w:rPr>
          <w:rFonts w:ascii="宋体" w:hAnsi="宋体"/>
          <w:color w:val="000000"/>
          <w:sz w:val="24"/>
        </w:rPr>
        <w:t>议评审</w:t>
      </w:r>
    </w:p>
    <w:p>
      <w:pPr>
        <w:spacing w:line="360" w:lineRule="auto"/>
        <w:ind w:firstLine="480" w:firstLineChars="200"/>
        <w:contextualSpacing/>
        <w:rPr>
          <w:rFonts w:hint="eastAsia" w:ascii="宋体" w:hAnsi="宋体"/>
          <w:color w:val="000000"/>
          <w:sz w:val="24"/>
          <w:szCs w:val="24"/>
          <w:u w:val="single" w:color="000000"/>
        </w:rPr>
      </w:pPr>
      <w:r>
        <w:rPr>
          <w:rFonts w:hint="eastAsia" w:ascii="宋体" w:hAnsi="宋体"/>
          <w:color w:val="000000"/>
          <w:sz w:val="24"/>
        </w:rPr>
        <w:t>合同当事人是否同意将工程争议提交争议评审小组决定：</w:t>
      </w:r>
      <w:r>
        <w:rPr>
          <w:rFonts w:hint="eastAsia" w:ascii="宋体" w:hAnsi="宋体"/>
          <w:color w:val="000000"/>
          <w:sz w:val="24"/>
          <w:u w:val="single"/>
        </w:rPr>
        <w:t xml:space="preserve"> 不同意 ，</w:t>
      </w:r>
      <w:r>
        <w:rPr>
          <w:rFonts w:hint="eastAsia" w:ascii="宋体" w:hAnsi="宋体"/>
          <w:color w:val="000000"/>
          <w:sz w:val="24"/>
          <w:szCs w:val="24"/>
          <w:u w:val="single" w:color="000000"/>
        </w:rPr>
        <w:t xml:space="preserve">发生争议时，双方协商解决，协商不成时，任何一方可合同签订地的人民法院提起诉讼。 </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20.3.1 争议评审小组的确定</w:t>
      </w:r>
    </w:p>
    <w:p>
      <w:pPr>
        <w:spacing w:line="360" w:lineRule="auto"/>
        <w:ind w:firstLine="480" w:firstLineChars="200"/>
        <w:contextualSpacing/>
        <w:rPr>
          <w:rFonts w:hint="eastAsia" w:ascii="宋体" w:hAnsi="宋体"/>
          <w:color w:val="000000"/>
          <w:sz w:val="24"/>
          <w:u w:val="single"/>
        </w:rPr>
      </w:pPr>
      <w:r>
        <w:rPr>
          <w:rFonts w:hint="eastAsia" w:ascii="宋体" w:hAnsi="宋体"/>
          <w:color w:val="000000"/>
          <w:sz w:val="24"/>
        </w:rPr>
        <w:t>争议评审小组成员的确定：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选定争议评审员的期限：</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争议评审小组成员的报酬承担方式：</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其他事项的约定：</w:t>
      </w:r>
      <w:r>
        <w:rPr>
          <w:rFonts w:hint="eastAsia" w:ascii="宋体" w:hAnsi="宋体"/>
          <w:color w:val="000000"/>
          <w:sz w:val="24"/>
          <w:u w:val="single"/>
        </w:rPr>
        <w:t xml:space="preserve"> / </w:t>
      </w:r>
      <w:r>
        <w:rPr>
          <w:rFonts w:hint="eastAsia" w:ascii="宋体" w:hAnsi="宋体"/>
          <w:color w:val="000000"/>
          <w:sz w:val="24"/>
        </w:rPr>
        <w:t>。</w:t>
      </w:r>
    </w:p>
    <w:p>
      <w:pPr>
        <w:autoSpaceDE w:val="0"/>
        <w:autoSpaceDN w:val="0"/>
        <w:spacing w:line="360" w:lineRule="auto"/>
        <w:ind w:firstLine="480" w:firstLineChars="200"/>
        <w:contextualSpacing/>
        <w:rPr>
          <w:rFonts w:hint="eastAsia" w:ascii="宋体" w:hAnsi="宋体"/>
          <w:color w:val="000000"/>
          <w:sz w:val="24"/>
        </w:rPr>
      </w:pPr>
      <w:r>
        <w:rPr>
          <w:rFonts w:hint="eastAsia" w:ascii="宋体" w:hAnsi="宋体"/>
          <w:color w:val="000000"/>
          <w:sz w:val="24"/>
        </w:rPr>
        <w:t>20.3.2 争议评审小组的决定</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合同当事人关于本项的约定：</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20.4仲裁或诉讼</w:t>
      </w:r>
      <w:bookmarkEnd w:id="527"/>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因合同及合同有关事项发生的争议，按下列第</w:t>
      </w:r>
      <w:r>
        <w:rPr>
          <w:rFonts w:hint="eastAsia" w:ascii="宋体" w:hAnsi="宋体"/>
          <w:color w:val="000000"/>
          <w:sz w:val="24"/>
          <w:u w:val="single"/>
        </w:rPr>
        <w:t>（2）</w:t>
      </w:r>
      <w:r>
        <w:rPr>
          <w:rFonts w:hint="eastAsia" w:ascii="宋体" w:hAnsi="宋体"/>
          <w:color w:val="000000"/>
          <w:sz w:val="24"/>
        </w:rPr>
        <w:t>种方式解决：</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（1）向</w:t>
      </w:r>
      <w:r>
        <w:rPr>
          <w:rFonts w:hint="eastAsia" w:ascii="宋体" w:hAnsi="宋体"/>
          <w:color w:val="000000"/>
          <w:sz w:val="24"/>
          <w:u w:val="single"/>
        </w:rPr>
        <w:t xml:space="preserve"> / </w:t>
      </w:r>
      <w:r>
        <w:rPr>
          <w:rFonts w:hint="eastAsia" w:ascii="宋体" w:hAnsi="宋体"/>
          <w:color w:val="000000"/>
          <w:sz w:val="24"/>
        </w:rPr>
        <w:t>仲裁委员会申请仲裁；</w:t>
      </w:r>
    </w:p>
    <w:p>
      <w:pPr>
        <w:spacing w:line="360" w:lineRule="auto"/>
        <w:ind w:firstLine="480" w:firstLineChars="200"/>
        <w:contextualSpacing/>
        <w:rPr>
          <w:rFonts w:hint="eastAsia" w:ascii="宋体" w:hAnsi="宋体"/>
          <w:color w:val="000000"/>
          <w:sz w:val="24"/>
        </w:rPr>
      </w:pPr>
      <w:r>
        <w:rPr>
          <w:rFonts w:hint="eastAsia" w:ascii="宋体" w:hAnsi="宋体"/>
          <w:color w:val="000000"/>
          <w:sz w:val="24"/>
        </w:rPr>
        <w:t>（2）向</w:t>
      </w:r>
      <w:r>
        <w:rPr>
          <w:rFonts w:hint="eastAsia" w:ascii="宋体" w:hAnsi="宋体"/>
          <w:color w:val="000000"/>
          <w:sz w:val="24"/>
          <w:u w:val="single"/>
        </w:rPr>
        <w:t xml:space="preserve"> 南京市鼓楼区人民法院 </w:t>
      </w:r>
      <w:r>
        <w:rPr>
          <w:rFonts w:hint="eastAsia" w:ascii="宋体" w:hAnsi="宋体"/>
          <w:color w:val="000000"/>
          <w:sz w:val="24"/>
        </w:rPr>
        <w:t>人民法院起诉。</w:t>
      </w:r>
      <w:bookmarkEnd w:id="528"/>
      <w:bookmarkEnd w:id="529"/>
      <w:bookmarkEnd w:id="530"/>
      <w:bookmarkEnd w:id="531"/>
      <w:bookmarkEnd w:id="532"/>
      <w:bookmarkEnd w:id="533"/>
    </w:p>
    <w:p>
      <w:pPr>
        <w:pStyle w:val="8"/>
        <w:spacing w:before="0" w:beforeAutospacing="0" w:after="0" w:afterAutospacing="0" w:line="360" w:lineRule="auto"/>
        <w:ind w:firstLine="480" w:firstLineChars="200"/>
        <w:contextualSpacing/>
        <w:rPr>
          <w:rFonts w:hint="eastAsia"/>
          <w:color w:val="000000"/>
          <w:u w:val="single"/>
        </w:rPr>
      </w:pPr>
    </w:p>
    <w:p>
      <w:pPr>
        <w:pStyle w:val="15"/>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pStyle w:val="15"/>
        <w:ind w:firstLine="3373" w:firstLineChars="1200"/>
        <w:jc w:val="left"/>
        <w:rPr>
          <w:rStyle w:val="16"/>
          <w:rFonts w:hint="eastAsia" w:ascii="宋体" w:hAnsi="宋体" w:cs="Arial"/>
          <w:color w:val="000000"/>
        </w:rPr>
      </w:pPr>
    </w:p>
    <w:p>
      <w:pPr>
        <w:spacing w:line="360" w:lineRule="auto"/>
        <w:ind w:firstLine="437"/>
        <w:contextualSpacing/>
        <w:rPr>
          <w:rFonts w:hint="eastAsia" w:ascii="宋体" w:hAnsi="宋体"/>
          <w:color w:val="000000"/>
          <w:sz w:val="28"/>
        </w:rPr>
      </w:pPr>
      <w:r>
        <w:rPr>
          <w:rFonts w:hint="eastAsia" w:ascii="宋体" w:hAnsi="宋体"/>
          <w:color w:val="000000"/>
          <w:sz w:val="28"/>
        </w:rPr>
        <w:t>附件1：</w:t>
      </w:r>
    </w:p>
    <w:p>
      <w:pPr>
        <w:spacing w:line="360" w:lineRule="auto"/>
        <w:ind w:firstLine="437"/>
        <w:contextualSpacing/>
        <w:jc w:val="center"/>
        <w:rPr>
          <w:rFonts w:hint="eastAsia" w:ascii="宋体" w:hAnsi="宋体"/>
          <w:color w:val="000000"/>
          <w:sz w:val="28"/>
        </w:rPr>
      </w:pPr>
      <w:r>
        <w:rPr>
          <w:rFonts w:hint="eastAsia" w:ascii="宋体" w:hAnsi="宋体"/>
          <w:color w:val="000000"/>
          <w:sz w:val="28"/>
        </w:rPr>
        <w:t>工 程 质 量 保 修 书</w:t>
      </w:r>
    </w:p>
    <w:p>
      <w:pPr>
        <w:autoSpaceDE w:val="0"/>
        <w:autoSpaceDN w:val="0"/>
        <w:spacing w:line="360" w:lineRule="auto"/>
        <w:contextualSpacing/>
        <w:rPr>
          <w:rFonts w:ascii="宋体" w:hAnsi="宋体" w:cs="宋体"/>
          <w:color w:val="000000"/>
        </w:rPr>
      </w:pPr>
    </w:p>
    <w:p>
      <w:pPr>
        <w:autoSpaceDE w:val="0"/>
        <w:autoSpaceDN w:val="0"/>
        <w:spacing w:line="360" w:lineRule="auto"/>
        <w:ind w:firstLine="480" w:firstLineChars="200"/>
        <w:contextualSpacing/>
        <w:rPr>
          <w:rFonts w:hint="eastAsia" w:ascii="宋体" w:hAnsi="宋体" w:cs="宋体"/>
          <w:color w:val="000000"/>
          <w:sz w:val="24"/>
          <w:u w:val="single"/>
        </w:rPr>
      </w:pPr>
      <w:r>
        <w:rPr>
          <w:rFonts w:hint="eastAsia" w:ascii="宋体" w:hAnsi="宋体" w:cs="宋体"/>
          <w:color w:val="000000"/>
          <w:sz w:val="24"/>
        </w:rPr>
        <w:t>发包人(全称)：</w:t>
      </w:r>
      <w:r>
        <w:rPr>
          <w:rStyle w:val="17"/>
          <w:rFonts w:hint="eastAsia" w:ascii="宋体" w:hAnsi="宋体" w:eastAsia="宋体" w:cs="Arial"/>
          <w:sz w:val="24"/>
          <w:szCs w:val="24"/>
          <w:u w:val="single"/>
          <w:lang w:eastAsia="zh-CN"/>
        </w:rPr>
        <w:t>南京市鼓楼区文化和旅游局</w:t>
      </w:r>
      <w:r>
        <w:rPr>
          <w:rStyle w:val="17"/>
          <w:rFonts w:hint="default" w:ascii="宋体" w:hAnsi="宋体" w:eastAsia="宋体" w:cs="Arial"/>
          <w:sz w:val="24"/>
          <w:szCs w:val="24"/>
          <w:u w:val="single"/>
        </w:rPr>
        <w:t xml:space="preserve"> </w:t>
      </w:r>
      <w:r>
        <w:rPr>
          <w:rStyle w:val="17"/>
          <w:rFonts w:hint="default" w:ascii="宋体" w:hAnsi="宋体" w:eastAsia="宋体" w:cs="Arial"/>
          <w:szCs w:val="24"/>
        </w:rPr>
        <w:t xml:space="preserve">        </w:t>
      </w:r>
      <w:r>
        <w:rPr>
          <w:rFonts w:hint="eastAsia" w:ascii="宋体" w:hAnsi="宋体" w:cs="宋体"/>
          <w:bCs/>
          <w:color w:val="000000"/>
          <w:sz w:val="24"/>
          <w:u w:val="single"/>
        </w:rPr>
        <w:t xml:space="preserve">       </w:t>
      </w:r>
      <w:r>
        <w:rPr>
          <w:rFonts w:hint="eastAsia" w:ascii="宋体" w:hAnsi="宋体" w:cs="宋体"/>
          <w:color w:val="000000"/>
          <w:sz w:val="24"/>
          <w:u w:val="single"/>
        </w:rPr>
        <w:t xml:space="preserve">                 </w:t>
      </w:r>
    </w:p>
    <w:p>
      <w:pPr>
        <w:autoSpaceDE w:val="0"/>
        <w:autoSpaceDN w:val="0"/>
        <w:spacing w:line="360" w:lineRule="auto"/>
        <w:ind w:firstLine="480" w:firstLineChars="200"/>
        <w:contextualSpacing/>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olor w:val="000000"/>
          <w:sz w:val="24"/>
        </w:rPr>
        <w:t>________________________________</w:t>
      </w:r>
    </w:p>
    <w:p>
      <w:pPr>
        <w:autoSpaceDE w:val="0"/>
        <w:autoSpaceDN w:val="0"/>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bCs/>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一、工程质量保修范围和内容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质量保修范围包括地基基础工程、主体结构工程、屋面防水工程和双方约定的其他土建工程，以及电气管线、上下水管线的安装工程，供热、供冷系统工程等项目。具体质量保修内容双方约定如下：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质量保修期依据国务院2000年1月30日颁发的279号令执行，其余按投标书承诺及甲乙双方协商约定。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二、质量保修期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质量保修期从工程实际竣工之日算起。分单项竣工验收的工程，按单项工程分别计算质量保修期。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双方根据国家有关规定，结合具体工程约定质量保修期如下：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质保期为</w:t>
      </w:r>
      <w:r>
        <w:rPr>
          <w:rStyle w:val="17"/>
          <w:rFonts w:hint="default" w:ascii="宋体" w:hAnsi="宋体" w:eastAsia="宋体" w:cs="Arial"/>
          <w:sz w:val="24"/>
          <w:szCs w:val="24"/>
          <w:u w:val="single"/>
        </w:rPr>
        <w:t xml:space="preserve">     5     </w:t>
      </w:r>
      <w:r>
        <w:rPr>
          <w:rStyle w:val="17"/>
          <w:rFonts w:hint="default" w:ascii="宋体" w:hAnsi="宋体" w:eastAsia="宋体" w:cs="Arial"/>
          <w:sz w:val="24"/>
          <w:szCs w:val="24"/>
        </w:rPr>
        <w:t>年</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其他：</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1、屋面防水工程为</w:t>
      </w:r>
      <w:r>
        <w:rPr>
          <w:rStyle w:val="17"/>
          <w:rFonts w:hint="default" w:ascii="宋体" w:hAnsi="宋体" w:eastAsia="宋体" w:cs="Arial"/>
          <w:sz w:val="24"/>
          <w:szCs w:val="24"/>
          <w:u w:val="single"/>
        </w:rPr>
        <w:t xml:space="preserve">    5     </w:t>
      </w:r>
      <w:r>
        <w:rPr>
          <w:rStyle w:val="17"/>
          <w:rFonts w:hint="default" w:ascii="宋体" w:hAnsi="宋体" w:eastAsia="宋体" w:cs="Arial"/>
          <w:sz w:val="24"/>
          <w:szCs w:val="24"/>
        </w:rPr>
        <w:t xml:space="preserve">年；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2、电气管线、上下水管线安装工程为</w:t>
      </w:r>
      <w:r>
        <w:rPr>
          <w:rStyle w:val="17"/>
          <w:rFonts w:hint="default" w:ascii="宋体" w:hAnsi="宋体" w:eastAsia="宋体" w:cs="Arial"/>
          <w:sz w:val="24"/>
          <w:szCs w:val="24"/>
          <w:u w:val="single"/>
        </w:rPr>
        <w:t xml:space="preserve">     2    </w:t>
      </w:r>
      <w:r>
        <w:rPr>
          <w:rStyle w:val="17"/>
          <w:rFonts w:hint="default" w:ascii="宋体" w:hAnsi="宋体" w:eastAsia="宋体" w:cs="Arial"/>
          <w:sz w:val="24"/>
          <w:szCs w:val="24"/>
        </w:rPr>
        <w:t xml:space="preserve">年；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3、供热及供冷为</w:t>
      </w:r>
      <w:r>
        <w:rPr>
          <w:rStyle w:val="17"/>
          <w:rFonts w:hint="default" w:ascii="宋体" w:hAnsi="宋体" w:eastAsia="宋体" w:cs="Arial"/>
          <w:sz w:val="24"/>
          <w:szCs w:val="24"/>
          <w:u w:val="single"/>
        </w:rPr>
        <w:t xml:space="preserve">    2    </w:t>
      </w:r>
      <w:r>
        <w:rPr>
          <w:rStyle w:val="17"/>
          <w:rFonts w:hint="default" w:ascii="宋体" w:hAnsi="宋体" w:eastAsia="宋体" w:cs="Arial"/>
          <w:sz w:val="24"/>
          <w:szCs w:val="24"/>
        </w:rPr>
        <w:t xml:space="preserve">个采暖期及供冷期；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4、室外的上下水等市政公用工程为</w:t>
      </w:r>
      <w:r>
        <w:rPr>
          <w:rStyle w:val="17"/>
          <w:rFonts w:hint="default" w:ascii="宋体" w:hAnsi="宋体" w:eastAsia="宋体" w:cs="Arial"/>
          <w:sz w:val="24"/>
          <w:szCs w:val="24"/>
          <w:u w:val="single"/>
        </w:rPr>
        <w:t xml:space="preserve">    5    </w:t>
      </w:r>
      <w:r>
        <w:rPr>
          <w:rStyle w:val="17"/>
          <w:rFonts w:hint="default" w:ascii="宋体" w:hAnsi="宋体" w:eastAsia="宋体" w:cs="Arial"/>
          <w:sz w:val="24"/>
          <w:szCs w:val="24"/>
        </w:rPr>
        <w:t xml:space="preserve">年;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5、其他约定：。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三、质量保修责任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1、属于保修范围和内容的项目，承包人应在接到修理通知之日后7天内派人修理。承包人不在约定期限内，派人修理，发包人可委托其他人员修理，保修费用从质量保修金内扣除。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2、发生须紧急抢修事故(如上水跑水、暖气漏水漏气、燃气漏气等)，承包人接到事故通知后，应立即到达事故现场抢修。非承包人施工质量引起的事故，抢修费用由发包人承担。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3、在国家规定的工程合理使用期限内，承包人确保地基基础工程和主体结构的质量。因承包人原因致使工程在合理使用期限内造成人身和财产损害的，承包人应承担损害赔偿责任。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四、质量保修金的支付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本工程约定的工程质量保修金为</w:t>
      </w:r>
      <w:r>
        <w:rPr>
          <w:rFonts w:hint="eastAsia" w:ascii="宋体" w:hAnsi="宋体"/>
          <w:sz w:val="24"/>
        </w:rPr>
        <w:t>审定价</w:t>
      </w:r>
      <w:r>
        <w:rPr>
          <w:rFonts w:hint="eastAsia" w:ascii="宋体" w:hAnsi="宋体"/>
          <w:sz w:val="24"/>
          <w:u w:val="single"/>
        </w:rPr>
        <w:t>3</w:t>
      </w:r>
      <w:r>
        <w:rPr>
          <w:rFonts w:hint="eastAsia" w:ascii="宋体" w:hAnsi="宋体"/>
          <w:sz w:val="24"/>
        </w:rPr>
        <w:t>%的工程款</w:t>
      </w:r>
      <w:r>
        <w:rPr>
          <w:rStyle w:val="17"/>
          <w:rFonts w:hint="default" w:ascii="宋体" w:hAnsi="宋体" w:eastAsia="宋体" w:cs="Arial"/>
          <w:sz w:val="24"/>
          <w:szCs w:val="24"/>
        </w:rPr>
        <w:t xml:space="preserve">。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本工程双方约定承包人向发包人支付工程质量保修金金额为</w:t>
      </w:r>
      <w:r>
        <w:rPr>
          <w:rStyle w:val="17"/>
          <w:rFonts w:hint="default" w:ascii="宋体" w:hAnsi="宋体" w:eastAsia="宋体" w:cs="Arial"/>
          <w:sz w:val="24"/>
          <w:szCs w:val="24"/>
          <w:u w:val="single"/>
        </w:rPr>
        <w:t xml:space="preserve">                        </w:t>
      </w:r>
      <w:r>
        <w:rPr>
          <w:rStyle w:val="17"/>
          <w:rFonts w:hint="default" w:ascii="宋体" w:hAnsi="宋体" w:eastAsia="宋体" w:cs="Arial"/>
          <w:sz w:val="24"/>
          <w:szCs w:val="24"/>
        </w:rPr>
        <w:t>（大写）。质量保修金银行利率为</w:t>
      </w:r>
      <w:r>
        <w:rPr>
          <w:rStyle w:val="17"/>
          <w:rFonts w:hint="default" w:ascii="宋体" w:hAnsi="宋体" w:eastAsia="宋体" w:cs="Arial"/>
          <w:sz w:val="24"/>
          <w:szCs w:val="24"/>
          <w:u w:val="single"/>
        </w:rPr>
        <w:t xml:space="preserve">  不计   </w:t>
      </w:r>
      <w:r>
        <w:rPr>
          <w:rStyle w:val="17"/>
          <w:rFonts w:hint="default" w:ascii="宋体" w:hAnsi="宋体" w:eastAsia="宋体" w:cs="Arial"/>
          <w:sz w:val="24"/>
          <w:szCs w:val="24"/>
        </w:rPr>
        <w:t xml:space="preserve">。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五、质量保修金的返还  </w:t>
      </w:r>
    </w:p>
    <w:p>
      <w:pPr>
        <w:spacing w:line="360" w:lineRule="auto"/>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    发包人在质量保修期满后14天内，将剩余保修金返还承包人。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六、其他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双方约定的其他工程质量保修事项：有规定按规定，无规定双方协商解决。   </w:t>
      </w:r>
    </w:p>
    <w:p>
      <w:pPr>
        <w:spacing w:line="360" w:lineRule="auto"/>
        <w:ind w:firstLine="480" w:firstLineChars="200"/>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本工程质量保修书作为施工合同附件，由施工合同发包人承包人双方共同签署。   </w:t>
      </w:r>
    </w:p>
    <w:p>
      <w:pPr>
        <w:spacing w:line="360" w:lineRule="auto"/>
        <w:contextualSpacing/>
        <w:rPr>
          <w:rStyle w:val="17"/>
          <w:rFonts w:hint="default" w:ascii="宋体" w:hAnsi="宋体" w:eastAsia="宋体" w:cs="Arial"/>
          <w:sz w:val="24"/>
          <w:szCs w:val="24"/>
        </w:rPr>
      </w:pPr>
      <w:r>
        <w:rPr>
          <w:rStyle w:val="17"/>
          <w:rFonts w:hint="default" w:ascii="宋体" w:hAnsi="宋体" w:eastAsia="宋体" w:cs="Arial"/>
          <w:sz w:val="24"/>
          <w:szCs w:val="24"/>
        </w:rPr>
        <w:t xml:space="preserve">   </w:t>
      </w:r>
    </w:p>
    <w:p>
      <w:pPr>
        <w:autoSpaceDE w:val="0"/>
        <w:autoSpaceDN w:val="0"/>
        <w:spacing w:line="360" w:lineRule="auto"/>
        <w:ind w:firstLine="480" w:firstLineChars="200"/>
        <w:contextualSpacing/>
        <w:rPr>
          <w:rFonts w:hint="eastAsia" w:ascii="宋体" w:hAnsi="宋体"/>
          <w:color w:val="000000"/>
          <w:sz w:val="24"/>
        </w:rPr>
      </w:pPr>
    </w:p>
    <w:p>
      <w:pPr>
        <w:autoSpaceDE w:val="0"/>
        <w:autoSpaceDN w:val="0"/>
        <w:spacing w:line="360" w:lineRule="auto"/>
        <w:ind w:firstLine="480" w:firstLineChars="200"/>
        <w:contextualSpacing/>
        <w:rPr>
          <w:rFonts w:hint="eastAsia" w:ascii="宋体" w:hAnsi="宋体"/>
          <w:color w:val="000000"/>
          <w:sz w:val="24"/>
        </w:rPr>
      </w:pPr>
    </w:p>
    <w:p>
      <w:pPr>
        <w:autoSpaceDE w:val="0"/>
        <w:autoSpaceDN w:val="0"/>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发  包  人(公章)：                   承  包  人(公章)：</w:t>
      </w:r>
    </w:p>
    <w:p>
      <w:pPr>
        <w:autoSpaceDE w:val="0"/>
        <w:autoSpaceDN w:val="0"/>
        <w:spacing w:line="360" w:lineRule="auto"/>
        <w:ind w:firstLine="480" w:firstLineChars="200"/>
        <w:contextualSpacing/>
        <w:rPr>
          <w:rFonts w:hint="eastAsia" w:ascii="宋体" w:hAnsi="宋体" w:cs="宋体"/>
          <w:color w:val="000000"/>
          <w:sz w:val="24"/>
        </w:rPr>
      </w:pPr>
    </w:p>
    <w:p>
      <w:pPr>
        <w:autoSpaceDE w:val="0"/>
        <w:autoSpaceDN w:val="0"/>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法定代表人(签字)：                   法定代表人(签字)：</w:t>
      </w:r>
    </w:p>
    <w:p>
      <w:pPr>
        <w:autoSpaceDE w:val="0"/>
        <w:autoSpaceDN w:val="0"/>
        <w:spacing w:line="360" w:lineRule="auto"/>
        <w:ind w:firstLine="480" w:firstLineChars="200"/>
        <w:contextualSpacing/>
        <w:rPr>
          <w:rFonts w:hint="eastAsia" w:ascii="宋体" w:hAnsi="宋体" w:cs="宋体"/>
          <w:color w:val="000000"/>
          <w:sz w:val="24"/>
          <w:u w:val="single"/>
        </w:rPr>
      </w:pPr>
    </w:p>
    <w:p>
      <w:pPr>
        <w:autoSpaceDE w:val="0"/>
        <w:autoSpaceDN w:val="0"/>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 xml:space="preserve">日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bookmarkStart w:id="541" w:name="_GoBack"/>
      <w:bookmarkEnd w:id="541"/>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p>
    <w:p>
      <w:pPr>
        <w:tabs>
          <w:tab w:val="left" w:pos="0"/>
          <w:tab w:val="left" w:pos="993"/>
          <w:tab w:val="left" w:pos="1134"/>
        </w:tabs>
        <w:adjustRightInd w:val="0"/>
        <w:snapToGrid w:val="0"/>
        <w:spacing w:line="360" w:lineRule="auto"/>
        <w:contextualSpacing/>
        <w:rPr>
          <w:rFonts w:hint="eastAsia" w:ascii="宋体" w:hAnsi="宋体"/>
          <w:b/>
          <w:color w:val="000000"/>
          <w:sz w:val="24"/>
          <w:szCs w:val="24"/>
        </w:rPr>
      </w:pPr>
      <w:r>
        <w:rPr>
          <w:rFonts w:hint="eastAsia" w:ascii="宋体" w:hAnsi="宋体"/>
          <w:b/>
          <w:color w:val="000000"/>
          <w:sz w:val="24"/>
          <w:szCs w:val="24"/>
        </w:rPr>
        <w:t>附件:2：</w:t>
      </w:r>
    </w:p>
    <w:p>
      <w:pPr>
        <w:tabs>
          <w:tab w:val="left" w:pos="0"/>
          <w:tab w:val="left" w:pos="993"/>
          <w:tab w:val="left" w:pos="1134"/>
        </w:tabs>
        <w:adjustRightInd w:val="0"/>
        <w:snapToGrid w:val="0"/>
        <w:spacing w:line="300" w:lineRule="auto"/>
        <w:jc w:val="center"/>
        <w:rPr>
          <w:rFonts w:hint="eastAsia" w:ascii="宋体" w:hAnsi="宋体"/>
          <w:color w:val="000000"/>
          <w:sz w:val="32"/>
          <w:szCs w:val="32"/>
        </w:rPr>
      </w:pPr>
    </w:p>
    <w:p>
      <w:pPr>
        <w:tabs>
          <w:tab w:val="left" w:pos="0"/>
          <w:tab w:val="left" w:pos="993"/>
          <w:tab w:val="left" w:pos="1134"/>
        </w:tabs>
        <w:adjustRightInd w:val="0"/>
        <w:snapToGrid w:val="0"/>
        <w:spacing w:line="300" w:lineRule="auto"/>
        <w:jc w:val="center"/>
        <w:rPr>
          <w:rFonts w:hint="eastAsia" w:ascii="宋体" w:hAnsi="宋体"/>
          <w:color w:val="000000"/>
          <w:sz w:val="32"/>
          <w:szCs w:val="32"/>
        </w:rPr>
      </w:pPr>
      <w:r>
        <w:rPr>
          <w:rFonts w:hint="eastAsia" w:ascii="宋体" w:hAnsi="宋体"/>
          <w:color w:val="000000"/>
          <w:sz w:val="32"/>
          <w:szCs w:val="32"/>
        </w:rPr>
        <w:t>安 全 生 产 责 任 承 诺 书</w:t>
      </w:r>
    </w:p>
    <w:p>
      <w:pPr>
        <w:tabs>
          <w:tab w:val="left" w:pos="0"/>
          <w:tab w:val="left" w:pos="993"/>
          <w:tab w:val="left" w:pos="1134"/>
        </w:tabs>
        <w:adjustRightInd w:val="0"/>
        <w:snapToGrid w:val="0"/>
        <w:spacing w:line="300" w:lineRule="auto"/>
        <w:jc w:val="center"/>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r>
        <w:rPr>
          <w:rStyle w:val="17"/>
          <w:rFonts w:hint="eastAsia" w:ascii="宋体" w:hAnsi="宋体" w:eastAsia="宋体" w:cs="Arial"/>
          <w:sz w:val="24"/>
          <w:szCs w:val="24"/>
          <w:u w:val="single"/>
          <w:lang w:eastAsia="zh-CN"/>
        </w:rPr>
        <w:t>南京市鼓楼区文化和旅游局</w:t>
      </w:r>
      <w:r>
        <w:rPr>
          <w:rStyle w:val="17"/>
          <w:rFonts w:hint="default" w:ascii="宋体" w:hAnsi="宋体" w:eastAsia="宋体" w:cs="Arial"/>
          <w:sz w:val="24"/>
          <w:szCs w:val="24"/>
          <w:u w:val="single"/>
        </w:rPr>
        <w:t xml:space="preserve"> </w:t>
      </w:r>
      <w:r>
        <w:rPr>
          <w:rFonts w:hint="eastAsia" w:ascii="宋体" w:hAnsi="宋体"/>
          <w:color w:val="000000"/>
          <w:sz w:val="24"/>
          <w:szCs w:val="24"/>
        </w:rPr>
        <w:t>：</w:t>
      </w: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r>
        <w:rPr>
          <w:rFonts w:hint="eastAsia" w:ascii="宋体" w:hAnsi="宋体"/>
          <w:color w:val="000000"/>
          <w:sz w:val="24"/>
          <w:szCs w:val="24"/>
        </w:rPr>
        <w:t>我</w:t>
      </w:r>
      <w:r>
        <w:rPr>
          <w:rFonts w:hint="eastAsia" w:ascii="宋体" w:hAnsi="宋体"/>
          <w:color w:val="000000"/>
          <w:sz w:val="24"/>
          <w:szCs w:val="24"/>
          <w:u w:val="single"/>
        </w:rPr>
        <w:t xml:space="preserve">                      </w:t>
      </w:r>
      <w:r>
        <w:rPr>
          <w:rFonts w:hint="eastAsia" w:ascii="宋体" w:hAnsi="宋体"/>
          <w:color w:val="000000"/>
          <w:sz w:val="24"/>
          <w:szCs w:val="24"/>
        </w:rPr>
        <w:t>公司现向贵公司承诺，我公司在</w:t>
      </w:r>
      <w:r>
        <w:rPr>
          <w:rFonts w:hint="eastAsia"/>
          <w:sz w:val="24"/>
          <w:szCs w:val="24"/>
          <w:u w:val="single"/>
          <w:lang w:eastAsia="zh-CN"/>
        </w:rPr>
        <w:t>颜鲁公祠西厢房修缮工程项目</w:t>
      </w:r>
      <w:r>
        <w:rPr>
          <w:rFonts w:hint="eastAsia"/>
          <w:sz w:val="24"/>
          <w:szCs w:val="24"/>
          <w:u w:val="single"/>
        </w:rPr>
        <w:t xml:space="preserve"> </w:t>
      </w:r>
      <w:r>
        <w:rPr>
          <w:rFonts w:hint="eastAsia" w:ascii="宋体" w:hAnsi="宋体"/>
          <w:color w:val="000000"/>
          <w:sz w:val="24"/>
          <w:szCs w:val="24"/>
        </w:rPr>
        <w:t>过程中，保证不发生重大人员伤亡事故，在此工程施工过程中所发生的一切工伤事故，或安全事故，均由我公司承担一切责任。  </w:t>
      </w: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80" w:firstLineChars="200"/>
        <w:rPr>
          <w:rFonts w:hint="eastAsia" w:ascii="宋体" w:hAnsi="宋体"/>
          <w:color w:val="000000"/>
          <w:sz w:val="24"/>
          <w:szCs w:val="24"/>
        </w:rPr>
      </w:pPr>
    </w:p>
    <w:p>
      <w:pPr>
        <w:tabs>
          <w:tab w:val="left" w:pos="0"/>
          <w:tab w:val="left" w:pos="993"/>
          <w:tab w:val="left" w:pos="1134"/>
        </w:tabs>
        <w:adjustRightInd w:val="0"/>
        <w:snapToGrid w:val="0"/>
        <w:spacing w:line="300" w:lineRule="auto"/>
        <w:ind w:firstLine="4920" w:firstLineChars="2050"/>
        <w:rPr>
          <w:rFonts w:hint="eastAsia" w:ascii="宋体" w:hAnsi="宋体"/>
          <w:color w:val="000000"/>
          <w:sz w:val="24"/>
          <w:szCs w:val="24"/>
        </w:rPr>
      </w:pPr>
      <w:r>
        <w:rPr>
          <w:rFonts w:hint="eastAsia" w:ascii="宋体" w:hAnsi="宋体"/>
          <w:color w:val="000000"/>
          <w:sz w:val="24"/>
          <w:szCs w:val="24"/>
        </w:rPr>
        <w:t>承诺单位（公章）</w:t>
      </w:r>
    </w:p>
    <w:p>
      <w:pPr>
        <w:tabs>
          <w:tab w:val="left" w:pos="0"/>
          <w:tab w:val="left" w:pos="993"/>
          <w:tab w:val="left" w:pos="1134"/>
        </w:tabs>
        <w:adjustRightInd w:val="0"/>
        <w:snapToGrid w:val="0"/>
        <w:spacing w:line="300" w:lineRule="auto"/>
        <w:ind w:firstLine="4920" w:firstLineChars="2050"/>
        <w:rPr>
          <w:rFonts w:hint="eastAsia" w:ascii="宋体" w:hAnsi="宋体"/>
          <w:color w:val="000000"/>
          <w:sz w:val="24"/>
          <w:szCs w:val="24"/>
        </w:rPr>
      </w:pPr>
      <w:r>
        <w:rPr>
          <w:rFonts w:hint="eastAsia" w:ascii="宋体" w:hAnsi="宋体"/>
          <w:color w:val="000000"/>
          <w:sz w:val="24"/>
          <w:szCs w:val="24"/>
        </w:rPr>
        <w:t>法定代表人（签字或盖章）</w:t>
      </w:r>
    </w:p>
    <w:p>
      <w:pPr>
        <w:tabs>
          <w:tab w:val="left" w:pos="0"/>
          <w:tab w:val="left" w:pos="993"/>
          <w:tab w:val="left" w:pos="1134"/>
        </w:tabs>
        <w:adjustRightInd w:val="0"/>
        <w:snapToGrid w:val="0"/>
        <w:spacing w:line="300" w:lineRule="auto"/>
        <w:ind w:firstLine="4920" w:firstLineChars="2050"/>
        <w:rPr>
          <w:rFonts w:hint="eastAsia" w:ascii="宋体" w:hAnsi="宋体"/>
          <w:color w:val="000000"/>
          <w:sz w:val="24"/>
          <w:szCs w:val="24"/>
        </w:rPr>
      </w:pPr>
      <w:r>
        <w:rPr>
          <w:rFonts w:hint="eastAsia" w:ascii="宋体" w:hAnsi="宋体"/>
          <w:color w:val="000000"/>
          <w:sz w:val="24"/>
          <w:szCs w:val="24"/>
        </w:rPr>
        <w:t>代理人（签字或盖章）</w:t>
      </w:r>
    </w:p>
    <w:p>
      <w:pPr>
        <w:adjustRightInd w:val="0"/>
        <w:snapToGrid w:val="0"/>
        <w:spacing w:before="60" w:after="60" w:line="300" w:lineRule="auto"/>
        <w:ind w:firstLine="4920" w:firstLineChars="2050"/>
        <w:rPr>
          <w:rFonts w:hint="eastAsia" w:ascii="宋体" w:hAnsi="宋体"/>
          <w:color w:val="000000"/>
          <w:sz w:val="24"/>
          <w:szCs w:val="24"/>
        </w:rPr>
      </w:pPr>
      <w:r>
        <w:rPr>
          <w:rFonts w:hint="eastAsia" w:ascii="宋体" w:hAnsi="宋体"/>
          <w:color w:val="000000"/>
          <w:sz w:val="24"/>
          <w:szCs w:val="24"/>
        </w:rPr>
        <w:t>日期：</w:t>
      </w:r>
    </w:p>
    <w:p>
      <w:pPr>
        <w:snapToGrid w:val="0"/>
        <w:spacing w:line="300" w:lineRule="auto"/>
        <w:rPr>
          <w:rFonts w:ascii="宋体" w:hAnsi="宋体"/>
          <w:snapToGrid w:val="0"/>
          <w:color w:val="000000"/>
          <w:sz w:val="32"/>
        </w:rPr>
        <w:sectPr>
          <w:pgSz w:w="11907" w:h="16840"/>
          <w:pgMar w:top="1134" w:right="1134" w:bottom="1134" w:left="1134" w:header="567" w:footer="567" w:gutter="0"/>
          <w:pgNumType w:fmt="decimal"/>
          <w:cols w:space="720" w:num="1"/>
          <w:titlePg/>
          <w:docGrid w:linePitch="271" w:charSpace="0"/>
        </w:sectPr>
      </w:pPr>
    </w:p>
    <w:p>
      <w:pPr>
        <w:tabs>
          <w:tab w:val="left" w:pos="0"/>
          <w:tab w:val="left" w:pos="993"/>
          <w:tab w:val="left" w:pos="1134"/>
        </w:tabs>
        <w:adjustRightInd w:val="0"/>
        <w:snapToGrid w:val="0"/>
        <w:spacing w:line="300" w:lineRule="auto"/>
        <w:rPr>
          <w:rFonts w:hint="eastAsia" w:ascii="宋体" w:hAnsi="宋体"/>
          <w:b/>
          <w:color w:val="000000"/>
          <w:sz w:val="24"/>
          <w:szCs w:val="24"/>
        </w:rPr>
      </w:pPr>
      <w:r>
        <w:rPr>
          <w:rFonts w:hint="eastAsia" w:ascii="宋体" w:hAnsi="宋体"/>
          <w:b/>
          <w:color w:val="000000"/>
          <w:sz w:val="24"/>
          <w:szCs w:val="24"/>
        </w:rPr>
        <w:t>附件3：</w:t>
      </w:r>
    </w:p>
    <w:p>
      <w:pPr>
        <w:tabs>
          <w:tab w:val="left" w:pos="0"/>
          <w:tab w:val="left" w:pos="993"/>
          <w:tab w:val="left" w:pos="1134"/>
        </w:tabs>
        <w:spacing w:line="360" w:lineRule="auto"/>
        <w:contextualSpacing/>
        <w:jc w:val="center"/>
        <w:rPr>
          <w:rFonts w:hint="eastAsia" w:ascii="宋体" w:hAnsi="宋体"/>
          <w:color w:val="000000"/>
          <w:sz w:val="32"/>
          <w:szCs w:val="32"/>
        </w:rPr>
      </w:pPr>
      <w:r>
        <w:rPr>
          <w:rFonts w:hint="eastAsia" w:ascii="宋体" w:hAnsi="宋体"/>
          <w:color w:val="000000"/>
          <w:sz w:val="32"/>
          <w:szCs w:val="32"/>
        </w:rPr>
        <w:t>廉 政 协 议 书</w:t>
      </w:r>
    </w:p>
    <w:p>
      <w:pPr>
        <w:spacing w:line="360" w:lineRule="auto"/>
        <w:ind w:firstLine="480" w:firstLineChars="200"/>
        <w:contextualSpacing/>
        <w:rPr>
          <w:rFonts w:hint="eastAsia" w:ascii="宋体" w:hAnsi="宋体"/>
          <w:color w:val="000000"/>
          <w:sz w:val="24"/>
          <w:szCs w:val="24"/>
          <w:u w:val="single"/>
        </w:rPr>
      </w:pPr>
      <w:r>
        <w:rPr>
          <w:rFonts w:hint="eastAsia" w:ascii="宋体" w:hAnsi="宋体"/>
          <w:color w:val="000000"/>
          <w:sz w:val="24"/>
          <w:szCs w:val="24"/>
        </w:rPr>
        <w:t>发包人：</w:t>
      </w:r>
      <w:r>
        <w:rPr>
          <w:rStyle w:val="17"/>
          <w:rFonts w:hint="eastAsia" w:ascii="宋体" w:hAnsi="宋体" w:eastAsia="宋体" w:cs="Arial"/>
          <w:sz w:val="24"/>
          <w:szCs w:val="24"/>
          <w:u w:val="single"/>
          <w:lang w:eastAsia="zh-CN"/>
        </w:rPr>
        <w:t>南京市鼓楼区文化和旅游局</w:t>
      </w:r>
      <w:r>
        <w:rPr>
          <w:rStyle w:val="17"/>
          <w:rFonts w:hint="default" w:ascii="宋体" w:hAnsi="宋体" w:eastAsia="宋体" w:cs="Arial"/>
          <w:sz w:val="24"/>
          <w:szCs w:val="24"/>
          <w:u w:val="single"/>
        </w:rPr>
        <w:t xml:space="preserve"> </w:t>
      </w:r>
    </w:p>
    <w:p>
      <w:pPr>
        <w:autoSpaceDE w:val="0"/>
        <w:autoSpaceDN w:val="0"/>
        <w:spacing w:line="360" w:lineRule="auto"/>
        <w:ind w:firstLine="480" w:firstLineChars="200"/>
        <w:contextualSpacing/>
        <w:rPr>
          <w:rFonts w:hint="eastAsia" w:ascii="宋体" w:hAnsi="宋体"/>
          <w:b/>
          <w:color w:val="000000"/>
          <w:sz w:val="28"/>
          <w:szCs w:val="28"/>
        </w:rPr>
      </w:pPr>
      <w:r>
        <w:rPr>
          <w:rFonts w:hint="eastAsia" w:ascii="宋体" w:hAnsi="宋体"/>
          <w:color w:val="000000"/>
          <w:sz w:val="24"/>
          <w:szCs w:val="24"/>
        </w:rPr>
        <w:t>乙方：</w:t>
      </w:r>
      <w:r>
        <w:rPr>
          <w:rFonts w:hint="eastAsia" w:ascii="宋体" w:hAnsi="宋体"/>
          <w:color w:val="000000"/>
          <w:sz w:val="24"/>
        </w:rPr>
        <w:t>________________________</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为进一步加强</w:t>
      </w:r>
      <w:r>
        <w:rPr>
          <w:rFonts w:hint="eastAsia" w:ascii="宋体" w:hAnsi="宋体"/>
          <w:b/>
          <w:bCs/>
          <w:color w:val="000000"/>
          <w:sz w:val="24"/>
          <w:szCs w:val="24"/>
          <w:u w:val="single"/>
        </w:rPr>
        <w:t xml:space="preserve">                      </w:t>
      </w:r>
      <w:r>
        <w:rPr>
          <w:rFonts w:hint="eastAsia" w:ascii="宋体" w:hAnsi="宋体"/>
          <w:bCs/>
          <w:color w:val="000000"/>
          <w:sz w:val="24"/>
          <w:szCs w:val="24"/>
          <w:u w:val="single"/>
        </w:rPr>
        <w:t xml:space="preserve">项目 </w:t>
      </w:r>
      <w:r>
        <w:rPr>
          <w:rFonts w:hint="eastAsia" w:ascii="宋体" w:hAnsi="宋体"/>
          <w:color w:val="000000"/>
          <w:sz w:val="24"/>
          <w:szCs w:val="24"/>
        </w:rPr>
        <w:t>建设领域党风廉政建设，规范建设项目承发包双方的活动，防止发生谋取不正当利益的违法违纪行为，保护国家、集体和当事人的合法权益，努力实现“投资高效、工程优质、干部优秀”的目标，根据有关工程建设法律法规和廉政建设责任制规定，由甲、乙双方签订以下廉政协议。</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第一条 甲乙双方的权利和义务</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（一）严格遵守国家、省、和市有关工程建设方面的法律、法规和党风廉政建设相关规定，确保依法、高效、廉洁实施工程建设活动。</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（二）严格履行建设工程项目承发包合同。</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（三）甲乙双方的业务活动坚持公开、公正、公平、诚信的原则（除法律认定的商业秘密和合同文件另有规定之外），严禁损害国家和集体利益，违反工程建设管理规章制度。</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（四）建立健全党风廉政建设各项制度，开展党风廉政建设宣传教育，加强对本方工作人员的监督检查。</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（五）发现对方在业务活动中有违反廉政规定和本合同约定的行为时，有及时提醒和督促对方纠正的权利和义务，并严肃查处本方工作人员的违纪违法行为。</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（六）发现对方在业务活动中有违反廉政规定和本合同约定的行为时，有权向对方主管部门或有关机关检举揭发。</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第二条 甲方在廉政建设方面的义务</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（一）甲方及其工作人员不得以任何形式向乙方索要和收受回扣等好处费。</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（二）甲方工作人员应当保持与乙方的正常业务交往，不得接受乙方的礼金、有价证券和贵重物品，不得在乙方报销任何应由个人支付的费用。</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（三）甲方工作人员不准参加乙方可能对项目的招标有影响的宴请和娱乐活动。</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（四）甲方工作人员不准要求或者接受乙方为其住房装修、婚丧嫁娶及配偶、子女、亲友出国（境）旅游提供方便和利益。</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（五）甲方及其工作人员不准要求乙方为其配偶、子女及其他有利害关系的人员安排工作或劳务。</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第三条 乙方在廉政建设方面义务</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（一）乙方不准以任何形式向甲方及其工作人员馈赠礼金、礼品、有价证券等财物。</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（二）乙方不准以任何名义为甲方及其工作人员报销应由甲方或个人支付的费用。</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（三）乙方不准以任何理由邀请甲方工作人员参加可能对项目的招标有影响的宴请、娱乐活动；不准为其提供交通工具、通讯工具、家电、高档办公用品等。</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（四）乙方不准为甲方工作人员住房装修、婚丧嫁娶及配偶、子女、亲友出国（境）旅游提供方便；不准为甲方工作人员的配偶、子女及有利害关系的人员安排工作或劳务。</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（五）乙方不得为谋取私利擅自与甲方工作人员就工程承包、工程费用、材料设备供应、工程量变动、工程验收、工程质量问题等进行私下商谈或者达成默契。</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（六）乙方及其工作人员不准与投标单位串通，违反国家或地方等关于招投标的有关规定和程序，影响招投标结果，损害政府利益。</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第四条 违约责任</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（一）甲方若违反本《廉政协议》有关规定的，对违纪人员，由甲方主管部门依据有关规定查处，给乙方造成的损失，按有关规定予以赔偿。</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二）乙方若违反本《廉政协议》有关规定的，甲方根据具体情节和造成的后果追究乙方工程合同造价1－5％的违约金。由此给甲方单位造成的损失均有乙方承担，乙方用不正当手段获取的非法所得由甲方单位予以追缴。</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第五条 督查单位</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双方约定：自愿接受鼓楼区相关部门对合同执行情况的监督检查，接受提出本协议规定范围内的裁定意见。</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第六条 本协议书经甲乙双方代表签字后生效。</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第七条 本协议书的有效期为双方签订之日起至该工程竣工验收合格时止。</w:t>
      </w:r>
    </w:p>
    <w:p>
      <w:pPr>
        <w:spacing w:line="360" w:lineRule="auto"/>
        <w:contextualSpacing/>
        <w:rPr>
          <w:rFonts w:hint="eastAsia" w:ascii="宋体" w:hAnsi="宋体"/>
          <w:color w:val="000000"/>
          <w:sz w:val="24"/>
          <w:szCs w:val="24"/>
        </w:rPr>
      </w:pPr>
      <w:r>
        <w:rPr>
          <w:rFonts w:hint="eastAsia" w:ascii="宋体" w:hAnsi="宋体"/>
          <w:color w:val="000000"/>
          <w:sz w:val="24"/>
          <w:szCs w:val="24"/>
        </w:rPr>
        <w:t xml:space="preserve">    第八条 本合同一式两份，甲、乙双方各一份。</w:t>
      </w: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r>
        <w:rPr>
          <w:rFonts w:hint="eastAsia" w:ascii="宋体" w:hAnsi="宋体"/>
          <w:color w:val="000000"/>
          <w:sz w:val="24"/>
          <w:szCs w:val="24"/>
        </w:rPr>
        <w:t>甲方单位（公章）                      乙方单位（公章）</w:t>
      </w: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r>
        <w:rPr>
          <w:rFonts w:hint="eastAsia" w:ascii="宋体" w:hAnsi="宋体"/>
          <w:color w:val="000000"/>
          <w:sz w:val="24"/>
          <w:szCs w:val="24"/>
        </w:rPr>
        <w:t>负责人（或授权代理人）签字：          法定代表人（或授权代理人）签字：</w:t>
      </w:r>
    </w:p>
    <w:p>
      <w:pPr>
        <w:spacing w:line="360" w:lineRule="auto"/>
        <w:contextualSpacing/>
        <w:rPr>
          <w:rFonts w:hint="eastAsia" w:ascii="宋体" w:hAnsi="宋体"/>
          <w:color w:val="000000"/>
          <w:sz w:val="24"/>
          <w:szCs w:val="24"/>
        </w:rPr>
      </w:pPr>
    </w:p>
    <w:p>
      <w:pPr>
        <w:spacing w:line="360" w:lineRule="auto"/>
        <w:contextualSpacing/>
        <w:rPr>
          <w:rFonts w:hint="eastAsia" w:ascii="宋体" w:hAnsi="宋体"/>
          <w:color w:val="000000"/>
          <w:sz w:val="24"/>
          <w:szCs w:val="24"/>
        </w:rPr>
      </w:pPr>
    </w:p>
    <w:p>
      <w:pPr>
        <w:tabs>
          <w:tab w:val="left" w:pos="0"/>
          <w:tab w:val="left" w:pos="993"/>
          <w:tab w:val="left" w:pos="1134"/>
        </w:tabs>
        <w:adjustRightInd w:val="0"/>
        <w:snapToGrid w:val="0"/>
        <w:spacing w:line="300" w:lineRule="auto"/>
        <w:rPr>
          <w:rFonts w:hint="eastAsia" w:ascii="宋体" w:hAnsi="宋体"/>
          <w:color w:val="000000"/>
          <w:sz w:val="24"/>
          <w:szCs w:val="24"/>
        </w:rPr>
      </w:pPr>
      <w:r>
        <w:rPr>
          <w:rFonts w:hint="eastAsia" w:ascii="宋体" w:hAnsi="宋体"/>
          <w:color w:val="000000"/>
          <w:sz w:val="24"/>
          <w:szCs w:val="24"/>
        </w:rPr>
        <w:t>签订日期：       年      月      日</w:t>
      </w:r>
    </w:p>
    <w:p>
      <w:pPr>
        <w:tabs>
          <w:tab w:val="left" w:pos="0"/>
          <w:tab w:val="left" w:pos="993"/>
          <w:tab w:val="left" w:pos="1134"/>
        </w:tabs>
        <w:adjustRightInd w:val="0"/>
        <w:snapToGrid w:val="0"/>
        <w:spacing w:line="300" w:lineRule="auto"/>
        <w:rPr>
          <w:rFonts w:hint="eastAsia" w:ascii="宋体" w:hAnsi="宋体"/>
          <w:b/>
          <w:color w:val="000000"/>
          <w:sz w:val="24"/>
          <w:szCs w:val="24"/>
        </w:rPr>
      </w:pPr>
      <w:r>
        <w:rPr>
          <w:rFonts w:hint="eastAsia" w:ascii="宋体" w:hAnsi="宋体"/>
          <w:b/>
          <w:color w:val="000000"/>
          <w:sz w:val="24"/>
          <w:szCs w:val="24"/>
        </w:rPr>
        <w:t>附件4：</w:t>
      </w:r>
    </w:p>
    <w:p>
      <w:pPr>
        <w:tabs>
          <w:tab w:val="left" w:pos="0"/>
          <w:tab w:val="left" w:pos="993"/>
          <w:tab w:val="left" w:pos="1134"/>
        </w:tabs>
        <w:adjustRightInd w:val="0"/>
        <w:snapToGrid w:val="0"/>
        <w:spacing w:line="300" w:lineRule="auto"/>
        <w:jc w:val="center"/>
        <w:rPr>
          <w:rFonts w:hint="eastAsia" w:ascii="宋体" w:hAnsi="宋体"/>
          <w:b/>
          <w:color w:val="000000"/>
          <w:sz w:val="24"/>
          <w:szCs w:val="24"/>
        </w:rPr>
      </w:pPr>
      <w:r>
        <w:rPr>
          <w:rFonts w:hint="eastAsia" w:ascii="宋体" w:hAnsi="宋体"/>
          <w:color w:val="000000"/>
          <w:sz w:val="32"/>
          <w:szCs w:val="32"/>
        </w:rPr>
        <w:t>工 期 承 诺 书</w:t>
      </w:r>
    </w:p>
    <w:p>
      <w:pPr>
        <w:spacing w:line="400" w:lineRule="exact"/>
        <w:ind w:right="1680"/>
        <w:jc w:val="center"/>
        <w:rPr>
          <w:rFonts w:hint="eastAsia" w:ascii="宋体" w:hAnsi="宋体" w:cs="宋体"/>
          <w:b/>
          <w:color w:val="000000"/>
          <w:sz w:val="18"/>
          <w:szCs w:val="18"/>
        </w:rPr>
      </w:pPr>
    </w:p>
    <w:p>
      <w:pPr>
        <w:pStyle w:val="8"/>
        <w:spacing w:before="0" w:beforeAutospacing="0" w:after="0" w:afterAutospacing="0" w:line="300" w:lineRule="auto"/>
        <w:rPr>
          <w:rFonts w:hint="eastAsia"/>
          <w:color w:val="000000"/>
        </w:rPr>
      </w:pPr>
      <w:r>
        <w:rPr>
          <w:rStyle w:val="17"/>
          <w:rFonts w:hint="eastAsia" w:eastAsia="宋体" w:cs="Arial"/>
          <w:szCs w:val="24"/>
          <w:u w:val="single"/>
          <w:lang w:eastAsia="zh-CN"/>
        </w:rPr>
        <w:t>南京市鼓楼区文化和旅游局</w:t>
      </w:r>
      <w:r>
        <w:rPr>
          <w:rStyle w:val="17"/>
          <w:rFonts w:hint="default" w:ascii="宋体" w:hAnsi="宋体" w:eastAsia="宋体" w:cs="Arial"/>
          <w:szCs w:val="24"/>
          <w:u w:val="single"/>
        </w:rPr>
        <w:t xml:space="preserve"> </w:t>
      </w:r>
      <w:r>
        <w:rPr>
          <w:rFonts w:hint="eastAsia"/>
          <w:color w:val="000000"/>
        </w:rPr>
        <w:t>：</w:t>
      </w:r>
    </w:p>
    <w:p>
      <w:pPr>
        <w:pStyle w:val="8"/>
        <w:spacing w:before="0" w:beforeAutospacing="0" w:after="0" w:afterAutospacing="0" w:line="300" w:lineRule="auto"/>
        <w:rPr>
          <w:rFonts w:hint="eastAsia"/>
          <w:snapToGrid w:val="0"/>
          <w:color w:val="000000"/>
          <w:sz w:val="21"/>
          <w:szCs w:val="21"/>
        </w:rPr>
      </w:pPr>
    </w:p>
    <w:p>
      <w:pPr>
        <w:wordWrap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根据贵单位在《发包文件》中的要求，我公司将确保本工程质量达到</w:t>
      </w:r>
      <w:r>
        <w:rPr>
          <w:rFonts w:hint="eastAsia" w:ascii="宋体" w:hAnsi="宋体" w:cs="宋体"/>
          <w:color w:val="000000"/>
          <w:sz w:val="24"/>
          <w:szCs w:val="24"/>
          <w:u w:val="single"/>
        </w:rPr>
        <w:t xml:space="preserve">            </w:t>
      </w:r>
      <w:r>
        <w:rPr>
          <w:rFonts w:hint="eastAsia" w:ascii="宋体" w:hAnsi="宋体" w:cs="宋体"/>
          <w:color w:val="000000"/>
          <w:sz w:val="24"/>
          <w:szCs w:val="24"/>
        </w:rPr>
        <w:t>标准，承诺在</w:t>
      </w:r>
      <w:r>
        <w:rPr>
          <w:rFonts w:hint="eastAsia" w:ascii="宋体" w:hAnsi="宋体" w:cs="宋体"/>
          <w:color w:val="000000"/>
          <w:sz w:val="24"/>
          <w:szCs w:val="24"/>
          <w:u w:val="single"/>
        </w:rPr>
        <w:t xml:space="preserve">      </w:t>
      </w:r>
      <w:r>
        <w:rPr>
          <w:rFonts w:hint="eastAsia" w:ascii="宋体" w:hAnsi="宋体" w:cs="宋体"/>
          <w:color w:val="000000"/>
          <w:sz w:val="24"/>
          <w:szCs w:val="24"/>
        </w:rPr>
        <w:t>天按期完工。</w:t>
      </w:r>
    </w:p>
    <w:p>
      <w:pPr>
        <w:wordWrap w:val="0"/>
        <w:spacing w:line="500" w:lineRule="exact"/>
        <w:rPr>
          <w:rFonts w:hint="eastAsia" w:ascii="宋体" w:hAnsi="宋体" w:cs="宋体"/>
          <w:color w:val="000000"/>
          <w:sz w:val="24"/>
          <w:szCs w:val="24"/>
        </w:rPr>
      </w:pPr>
    </w:p>
    <w:p>
      <w:pPr>
        <w:wordWrap w:val="0"/>
        <w:spacing w:line="500" w:lineRule="exact"/>
        <w:rPr>
          <w:rFonts w:hint="eastAsia" w:ascii="宋体" w:hAnsi="宋体" w:cs="宋体"/>
          <w:color w:val="000000"/>
          <w:sz w:val="24"/>
          <w:szCs w:val="24"/>
        </w:rPr>
      </w:pPr>
    </w:p>
    <w:p>
      <w:pPr>
        <w:wordWrap w:val="0"/>
        <w:spacing w:line="500" w:lineRule="exact"/>
        <w:rPr>
          <w:rFonts w:hint="eastAsia" w:ascii="宋体" w:hAnsi="宋体" w:cs="宋体"/>
          <w:color w:val="000000"/>
          <w:sz w:val="24"/>
          <w:szCs w:val="24"/>
        </w:rPr>
      </w:pPr>
    </w:p>
    <w:p>
      <w:pPr>
        <w:wordWrap w:val="0"/>
        <w:spacing w:line="500" w:lineRule="exact"/>
        <w:ind w:firstLine="5892" w:firstLineChars="2455"/>
        <w:rPr>
          <w:rFonts w:hint="eastAsia" w:ascii="宋体" w:hAnsi="宋体" w:cs="宋体"/>
          <w:color w:val="000000"/>
          <w:sz w:val="24"/>
          <w:szCs w:val="24"/>
        </w:rPr>
      </w:pPr>
      <w:r>
        <w:rPr>
          <w:rFonts w:hint="eastAsia" w:ascii="宋体" w:hAnsi="宋体" w:cs="宋体"/>
          <w:color w:val="000000"/>
          <w:sz w:val="24"/>
          <w:szCs w:val="24"/>
        </w:rPr>
        <w:t>投标单位（公章）：</w:t>
      </w:r>
    </w:p>
    <w:p>
      <w:pPr>
        <w:wordWrap w:val="0"/>
        <w:spacing w:line="500" w:lineRule="exact"/>
        <w:ind w:firstLine="6076" w:firstLineChars="2532"/>
        <w:rPr>
          <w:rFonts w:ascii="宋体" w:hAnsi="宋体" w:cs="宋体"/>
          <w:color w:val="000000"/>
          <w:sz w:val="24"/>
          <w:szCs w:val="24"/>
          <w:u w:val="single"/>
          <w:bdr w:val="single" w:color="auto" w:sz="4" w:space="0"/>
        </w:rPr>
        <w:sectPr>
          <w:type w:val="nextColumn"/>
          <w:pgSz w:w="11907" w:h="16840"/>
          <w:pgMar w:top="1134" w:right="1134" w:bottom="1134" w:left="1134" w:header="567" w:footer="567" w:gutter="0"/>
          <w:pgNumType w:fmt="decimal"/>
          <w:cols w:space="720" w:num="1"/>
          <w:titlePg/>
          <w:docGrid w:linePitch="271" w:charSpace="0"/>
        </w:sectPr>
      </w:pPr>
      <w:r>
        <w:rPr>
          <w:rFonts w:hint="eastAsia" w:ascii="宋体" w:hAnsi="宋体" w:cs="宋体"/>
          <w:color w:val="000000"/>
          <w:sz w:val="24"/>
          <w:szCs w:val="24"/>
        </w:rPr>
        <w:t>年    月   日</w:t>
      </w:r>
    </w:p>
    <w:p>
      <w:pPr>
        <w:pStyle w:val="2"/>
        <w:tabs>
          <w:tab w:val="left" w:pos="1279"/>
        </w:tabs>
      </w:pPr>
      <w:r>
        <w:t>第六章</w:t>
      </w:r>
      <w:r>
        <w:tab/>
      </w:r>
      <w:r>
        <w:t>响应文件格式</w:t>
      </w:r>
    </w:p>
    <w:p>
      <w:pPr>
        <w:pStyle w:val="3"/>
        <w:spacing w:before="210" w:after="4"/>
        <w:ind w:left="7"/>
        <w:jc w:val="center"/>
      </w:pPr>
      <w:r>
        <w:t>评分索引表（可按需调整）</w:t>
      </w:r>
    </w:p>
    <w:tbl>
      <w:tblPr>
        <w:tblStyle w:val="9"/>
        <w:tblW w:w="9240" w:type="dxa"/>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spacing w:before="120"/>
              <w:ind w:left="2693" w:right="1962"/>
              <w:jc w:val="center"/>
              <w:rPr>
                <w:b/>
                <w:sz w:val="24"/>
              </w:rPr>
            </w:pPr>
            <w:r>
              <w:rPr>
                <w:b/>
                <w:sz w:val="24"/>
              </w:rPr>
              <w:t>评分项目</w:t>
            </w:r>
          </w:p>
        </w:tc>
        <w:tc>
          <w:tcPr>
            <w:tcW w:w="3570" w:type="dxa"/>
          </w:tcPr>
          <w:p>
            <w:pPr>
              <w:pStyle w:val="13"/>
              <w:spacing w:before="120"/>
              <w:ind w:left="464"/>
              <w:rPr>
                <w:b/>
                <w:sz w:val="24"/>
              </w:rPr>
            </w:pPr>
            <w:r>
              <w:rPr>
                <w:b/>
                <w:sz w:val="24"/>
              </w:rPr>
              <w:t>在响应文件中的页码位置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240" w:type="dxa"/>
            <w:gridSpan w:val="2"/>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40" w:type="dxa"/>
            <w:gridSpan w:val="2"/>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240" w:type="dxa"/>
            <w:gridSpan w:val="2"/>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670" w:type="dxa"/>
          </w:tcPr>
          <w:p>
            <w:pPr>
              <w:pStyle w:val="13"/>
              <w:rPr>
                <w:rFonts w:ascii="Times New Roman"/>
                <w:sz w:val="22"/>
              </w:rPr>
            </w:pPr>
          </w:p>
        </w:tc>
        <w:tc>
          <w:tcPr>
            <w:tcW w:w="357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70" w:type="dxa"/>
          </w:tcPr>
          <w:p>
            <w:pPr>
              <w:pStyle w:val="13"/>
              <w:rPr>
                <w:rFonts w:ascii="Times New Roman"/>
                <w:sz w:val="22"/>
              </w:rPr>
            </w:pPr>
          </w:p>
        </w:tc>
        <w:tc>
          <w:tcPr>
            <w:tcW w:w="3570" w:type="dxa"/>
          </w:tcPr>
          <w:p>
            <w:pPr>
              <w:pStyle w:val="13"/>
              <w:rPr>
                <w:rFonts w:ascii="Times New Roman"/>
                <w:sz w:val="22"/>
              </w:rPr>
            </w:pPr>
          </w:p>
        </w:tc>
      </w:tr>
    </w:tbl>
    <w:p>
      <w:pPr>
        <w:pStyle w:val="4"/>
        <w:ind w:left="0"/>
        <w:rPr>
          <w:b/>
        </w:rPr>
      </w:pPr>
    </w:p>
    <w:p>
      <w:pPr>
        <w:pStyle w:val="4"/>
        <w:ind w:left="0"/>
        <w:rPr>
          <w:b/>
        </w:rPr>
      </w:pPr>
    </w:p>
    <w:p>
      <w:pPr>
        <w:pStyle w:val="4"/>
        <w:ind w:left="0"/>
        <w:rPr>
          <w:b/>
        </w:rPr>
      </w:pPr>
    </w:p>
    <w:p>
      <w:pPr>
        <w:pStyle w:val="4"/>
        <w:spacing w:before="4"/>
        <w:ind w:left="0"/>
        <w:rPr>
          <w:b/>
          <w:sz w:val="25"/>
        </w:rPr>
      </w:pPr>
    </w:p>
    <w:p>
      <w:pPr>
        <w:pStyle w:val="4"/>
        <w:spacing w:line="362" w:lineRule="auto"/>
        <w:ind w:right="617" w:firstLine="480"/>
      </w:pPr>
      <w:r>
        <w:rPr>
          <w:spacing w:val="-9"/>
        </w:rPr>
        <w:t>注：各供应商可根据企业自身实际情况以及对磋商文件的响应程度进行编制响应文</w:t>
      </w:r>
      <w:r>
        <w:t>件，以下各格式及表格仅供参考，可按需调整。</w:t>
      </w:r>
    </w:p>
    <w:p>
      <w:pPr>
        <w:spacing w:after="0" w:line="362" w:lineRule="auto"/>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spacing w:before="62"/>
        <w:ind w:left="0" w:right="616" w:firstLine="0"/>
        <w:jc w:val="right"/>
        <w:rPr>
          <w:rFonts w:hint="eastAsia" w:ascii="黑体" w:eastAsia="黑体"/>
          <w:sz w:val="32"/>
        </w:rPr>
      </w:pPr>
      <w:r>
        <w:rPr>
          <w:rFonts w:hint="eastAsia" w:ascii="黑体" w:eastAsia="黑体"/>
          <w:w w:val="95"/>
          <w:sz w:val="32"/>
        </w:rPr>
        <w:t>正本（副本）</w:t>
      </w:r>
    </w:p>
    <w:p>
      <w:pPr>
        <w:pStyle w:val="4"/>
        <w:ind w:left="0"/>
        <w:rPr>
          <w:rFonts w:ascii="黑体"/>
          <w:sz w:val="32"/>
        </w:rPr>
      </w:pPr>
    </w:p>
    <w:p>
      <w:pPr>
        <w:pStyle w:val="4"/>
        <w:spacing w:before="3"/>
        <w:ind w:left="0"/>
        <w:rPr>
          <w:rFonts w:ascii="黑体"/>
          <w:sz w:val="33"/>
        </w:rPr>
      </w:pPr>
    </w:p>
    <w:p>
      <w:pPr>
        <w:spacing w:before="0"/>
        <w:ind w:left="0" w:right="616" w:firstLine="0"/>
        <w:jc w:val="right"/>
        <w:rPr>
          <w:rFonts w:hint="eastAsia" w:ascii="黑体" w:eastAsia="黑体"/>
          <w:sz w:val="32"/>
          <w:lang w:eastAsia="zh-CN"/>
        </w:rPr>
      </w:pPr>
      <w:r>
        <w:rPr>
          <w:rFonts w:hint="eastAsia" w:ascii="黑体" w:eastAsia="黑体"/>
          <w:spacing w:val="3"/>
          <w:sz w:val="32"/>
          <w:lang w:eastAsia="zh-CN"/>
        </w:rPr>
        <w:t>颜鲁公祠西厢房修缮工程项目</w:t>
      </w:r>
    </w:p>
    <w:p>
      <w:pPr>
        <w:spacing w:before="215"/>
        <w:ind w:left="0" w:right="1" w:firstLine="0"/>
        <w:jc w:val="center"/>
        <w:rPr>
          <w:rFonts w:hint="eastAsia" w:ascii="黑体" w:eastAsia="黑体"/>
          <w:sz w:val="72"/>
        </w:rPr>
      </w:pPr>
      <w:r>
        <w:rPr>
          <w:rFonts w:hint="eastAsia" w:ascii="黑体" w:eastAsia="黑体"/>
          <w:sz w:val="72"/>
        </w:rPr>
        <w:t>响应文件</w:t>
      </w:r>
    </w:p>
    <w:p>
      <w:pPr>
        <w:pStyle w:val="4"/>
        <w:ind w:left="0"/>
        <w:rPr>
          <w:rFonts w:ascii="黑体"/>
          <w:sz w:val="72"/>
        </w:rPr>
      </w:pPr>
    </w:p>
    <w:p>
      <w:pPr>
        <w:pStyle w:val="4"/>
        <w:ind w:left="0"/>
        <w:rPr>
          <w:rFonts w:ascii="黑体"/>
          <w:sz w:val="72"/>
        </w:rPr>
      </w:pPr>
    </w:p>
    <w:p>
      <w:pPr>
        <w:pStyle w:val="4"/>
        <w:ind w:left="0"/>
        <w:rPr>
          <w:rFonts w:ascii="黑体"/>
          <w:sz w:val="72"/>
        </w:rPr>
      </w:pPr>
    </w:p>
    <w:p>
      <w:pPr>
        <w:pStyle w:val="4"/>
        <w:ind w:left="0"/>
        <w:rPr>
          <w:rFonts w:ascii="黑体"/>
          <w:sz w:val="72"/>
        </w:rPr>
      </w:pPr>
    </w:p>
    <w:p>
      <w:pPr>
        <w:pStyle w:val="4"/>
        <w:spacing w:before="3"/>
        <w:ind w:left="0"/>
        <w:rPr>
          <w:rFonts w:ascii="黑体"/>
          <w:sz w:val="101"/>
        </w:rPr>
      </w:pPr>
    </w:p>
    <w:p>
      <w:pPr>
        <w:tabs>
          <w:tab w:val="left" w:pos="6937"/>
        </w:tabs>
        <w:spacing w:before="1"/>
        <w:ind w:left="1897" w:right="0" w:firstLine="0"/>
        <w:jc w:val="left"/>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s>
        <w:spacing w:before="211"/>
        <w:ind w:left="1897" w:right="0" w:firstLine="0"/>
        <w:jc w:val="left"/>
        <w:rPr>
          <w:rFonts w:hint="eastAsia" w:ascii="黑体" w:eastAsia="黑体"/>
          <w:sz w:val="32"/>
        </w:rPr>
      </w:pPr>
      <w:r>
        <w:rPr>
          <w:rFonts w:hint="eastAsia" w:ascii="黑体" w:eastAsia="黑体"/>
          <w:sz w:val="32"/>
        </w:rPr>
        <w:t>供 应 人：</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（单位公章）</w:t>
      </w:r>
    </w:p>
    <w:p>
      <w:pPr>
        <w:tabs>
          <w:tab w:val="left" w:pos="847"/>
          <w:tab w:val="left" w:pos="1648"/>
          <w:tab w:val="left" w:pos="2448"/>
        </w:tabs>
        <w:spacing w:before="214"/>
        <w:ind w:left="47" w:right="0" w:firstLine="0"/>
        <w:jc w:val="center"/>
        <w:rPr>
          <w:rFonts w:hint="eastAsia" w:ascii="黑体" w:eastAsia="黑体"/>
          <w:sz w:val="32"/>
        </w:rPr>
      </w:pPr>
      <w:r>
        <w:rPr>
          <w:rFonts w:ascii="Times New Roman" w:eastAsia="Times New Roman"/>
          <w:w w:val="99"/>
          <w:sz w:val="32"/>
          <w:u w:val="single"/>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spacing w:after="0"/>
        <w:jc w:val="center"/>
        <w:rPr>
          <w:rFonts w:hint="eastAsia" w:ascii="黑体" w:eastAsia="黑体"/>
          <w:sz w:val="32"/>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7"/>
        <w:ind w:left="0"/>
        <w:rPr>
          <w:rFonts w:ascii="黑体"/>
          <w:sz w:val="22"/>
        </w:rPr>
      </w:pPr>
    </w:p>
    <w:p>
      <w:pPr>
        <w:tabs>
          <w:tab w:val="left" w:pos="640"/>
        </w:tabs>
        <w:spacing w:before="54"/>
        <w:ind w:left="0" w:right="0" w:firstLine="0"/>
        <w:jc w:val="center"/>
        <w:rPr>
          <w:rFonts w:hint="eastAsia"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p>
      <w:pPr>
        <w:tabs>
          <w:tab w:val="right" w:leader="dot" w:pos="9686"/>
        </w:tabs>
        <w:spacing w:before="283"/>
        <w:ind w:left="618" w:right="0" w:firstLine="0"/>
        <w:jc w:val="left"/>
        <w:rPr>
          <w:sz w:val="21"/>
        </w:rPr>
      </w:pPr>
      <w:r>
        <w:rPr>
          <w:sz w:val="21"/>
        </w:rPr>
        <w:t>一</w:t>
      </w:r>
      <w:r>
        <w:rPr>
          <w:spacing w:val="-63"/>
          <w:sz w:val="21"/>
        </w:rPr>
        <w:t>、</w:t>
      </w:r>
      <w:r>
        <w:rPr>
          <w:sz w:val="21"/>
        </w:rPr>
        <w:t>磋商申请及声明</w:t>
      </w:r>
      <w:r>
        <w:rPr>
          <w:sz w:val="21"/>
        </w:rPr>
        <w:tab/>
      </w:r>
      <w:r>
        <w:rPr>
          <w:sz w:val="21"/>
        </w:rPr>
        <w:t>X</w:t>
      </w:r>
    </w:p>
    <w:p>
      <w:pPr>
        <w:tabs>
          <w:tab w:val="right" w:leader="dot" w:pos="9686"/>
        </w:tabs>
        <w:spacing w:before="139"/>
        <w:ind w:left="618" w:right="0" w:firstLine="0"/>
        <w:jc w:val="left"/>
        <w:rPr>
          <w:sz w:val="21"/>
        </w:rPr>
      </w:pPr>
      <w:r>
        <w:rPr>
          <w:sz w:val="21"/>
        </w:rPr>
        <w:t>二</w:t>
      </w:r>
      <w:r>
        <w:rPr>
          <w:spacing w:val="-63"/>
          <w:sz w:val="21"/>
        </w:rPr>
        <w:t>、</w:t>
      </w:r>
      <w:r>
        <w:rPr>
          <w:sz w:val="21"/>
        </w:rPr>
        <w:t>法定代表人授权委托书及委托代理人的身份证明文件的复印件</w:t>
      </w:r>
      <w:r>
        <w:rPr>
          <w:sz w:val="21"/>
        </w:rPr>
        <w:tab/>
      </w:r>
      <w:r>
        <w:rPr>
          <w:sz w:val="21"/>
        </w:rPr>
        <w:t>X</w:t>
      </w:r>
    </w:p>
    <w:p>
      <w:pPr>
        <w:tabs>
          <w:tab w:val="right" w:leader="dot" w:pos="9686"/>
        </w:tabs>
        <w:spacing w:before="139"/>
        <w:ind w:left="618" w:right="0" w:firstLine="0"/>
        <w:jc w:val="left"/>
        <w:rPr>
          <w:sz w:val="21"/>
        </w:rPr>
      </w:pPr>
      <w:r>
        <w:rPr>
          <w:sz w:val="21"/>
        </w:rPr>
        <w:t>三</w:t>
      </w:r>
      <w:r>
        <w:rPr>
          <w:spacing w:val="-63"/>
          <w:sz w:val="21"/>
        </w:rPr>
        <w:t>、</w:t>
      </w:r>
      <w:r>
        <w:rPr>
          <w:sz w:val="21"/>
        </w:rPr>
        <w:t>磋商保证金交纳相关证明材料</w:t>
      </w:r>
      <w:r>
        <w:rPr>
          <w:sz w:val="21"/>
        </w:rPr>
        <w:tab/>
      </w:r>
      <w:r>
        <w:rPr>
          <w:sz w:val="21"/>
        </w:rPr>
        <w:t>X</w:t>
      </w:r>
    </w:p>
    <w:p>
      <w:pPr>
        <w:tabs>
          <w:tab w:val="right" w:leader="dot" w:pos="9689"/>
        </w:tabs>
        <w:spacing w:before="139"/>
        <w:ind w:left="618" w:right="0" w:firstLine="0"/>
        <w:jc w:val="left"/>
        <w:rPr>
          <w:sz w:val="21"/>
        </w:rPr>
      </w:pPr>
      <w:r>
        <w:rPr>
          <w:sz w:val="21"/>
        </w:rPr>
        <w:t>四</w:t>
      </w:r>
      <w:r>
        <w:rPr>
          <w:spacing w:val="-63"/>
          <w:sz w:val="21"/>
        </w:rPr>
        <w:t>、</w:t>
      </w:r>
      <w:r>
        <w:rPr>
          <w:sz w:val="21"/>
        </w:rPr>
        <w:t>第一章竞争性磋商邀请</w:t>
      </w:r>
      <w:r>
        <w:rPr>
          <w:spacing w:val="-56"/>
          <w:sz w:val="21"/>
        </w:rPr>
        <w:t xml:space="preserve"> </w:t>
      </w:r>
      <w:r>
        <w:rPr>
          <w:sz w:val="21"/>
        </w:rPr>
        <w:t>3.1</w:t>
      </w:r>
      <w:r>
        <w:rPr>
          <w:spacing w:val="-52"/>
          <w:sz w:val="21"/>
        </w:rPr>
        <w:t xml:space="preserve"> </w:t>
      </w:r>
      <w:r>
        <w:rPr>
          <w:sz w:val="21"/>
        </w:rPr>
        <w:t>供应商的基本条件规定的证明文件</w:t>
      </w:r>
      <w:r>
        <w:rPr>
          <w:sz w:val="21"/>
        </w:rPr>
        <w:tab/>
      </w:r>
      <w:r>
        <w:rPr>
          <w:sz w:val="21"/>
        </w:rPr>
        <w:t>X</w:t>
      </w:r>
    </w:p>
    <w:p>
      <w:pPr>
        <w:tabs>
          <w:tab w:val="right" w:leader="dot" w:pos="9689"/>
        </w:tabs>
        <w:spacing w:before="139"/>
        <w:ind w:left="618" w:right="0" w:firstLine="0"/>
        <w:jc w:val="left"/>
        <w:rPr>
          <w:sz w:val="21"/>
        </w:rPr>
      </w:pPr>
      <w:r>
        <w:rPr>
          <w:sz w:val="21"/>
        </w:rPr>
        <w:t>五</w:t>
      </w:r>
      <w:r>
        <w:rPr>
          <w:spacing w:val="-63"/>
          <w:sz w:val="21"/>
        </w:rPr>
        <w:t>、</w:t>
      </w:r>
      <w:r>
        <w:rPr>
          <w:sz w:val="21"/>
        </w:rPr>
        <w:t>第一章竞争性磋商邀请</w:t>
      </w:r>
      <w:r>
        <w:rPr>
          <w:spacing w:val="-57"/>
          <w:sz w:val="21"/>
        </w:rPr>
        <w:t xml:space="preserve"> </w:t>
      </w:r>
      <w:r>
        <w:rPr>
          <w:sz w:val="21"/>
        </w:rPr>
        <w:t>3.2</w:t>
      </w:r>
      <w:r>
        <w:rPr>
          <w:spacing w:val="-53"/>
          <w:sz w:val="21"/>
        </w:rPr>
        <w:t xml:space="preserve"> </w:t>
      </w:r>
      <w:r>
        <w:rPr>
          <w:sz w:val="21"/>
        </w:rPr>
        <w:t>采购人根据磋商项目的特殊要求规定的特定条件的证明文件</w:t>
      </w:r>
      <w:r>
        <w:rPr>
          <w:sz w:val="21"/>
        </w:rPr>
        <w:tab/>
      </w:r>
      <w:r>
        <w:rPr>
          <w:sz w:val="21"/>
        </w:rPr>
        <w:t>X</w:t>
      </w:r>
    </w:p>
    <w:p>
      <w:pPr>
        <w:tabs>
          <w:tab w:val="right" w:leader="dot" w:pos="9686"/>
        </w:tabs>
        <w:spacing w:before="139"/>
        <w:ind w:left="618" w:right="0" w:firstLine="0"/>
        <w:jc w:val="left"/>
        <w:rPr>
          <w:sz w:val="21"/>
        </w:rPr>
      </w:pPr>
      <w:r>
        <w:rPr>
          <w:sz w:val="21"/>
        </w:rPr>
        <w:t>六</w:t>
      </w:r>
      <w:r>
        <w:rPr>
          <w:spacing w:val="-63"/>
          <w:sz w:val="21"/>
        </w:rPr>
        <w:t>、</w:t>
      </w:r>
      <w:r>
        <w:rPr>
          <w:sz w:val="21"/>
        </w:rPr>
        <w:t>第三章成交标准要求提供的方案或相关证明材料等</w:t>
      </w:r>
      <w:r>
        <w:rPr>
          <w:sz w:val="21"/>
        </w:rPr>
        <w:tab/>
      </w:r>
      <w:r>
        <w:rPr>
          <w:sz w:val="21"/>
        </w:rPr>
        <w:t>X</w:t>
      </w:r>
    </w:p>
    <w:p>
      <w:pPr>
        <w:tabs>
          <w:tab w:val="right" w:leader="dot" w:pos="9686"/>
        </w:tabs>
        <w:spacing w:before="141"/>
        <w:ind w:left="618" w:right="0" w:firstLine="0"/>
        <w:jc w:val="left"/>
        <w:rPr>
          <w:sz w:val="21"/>
        </w:rPr>
      </w:pPr>
      <w:r>
        <w:rPr>
          <w:sz w:val="21"/>
        </w:rPr>
        <w:t>七</w:t>
      </w:r>
      <w:r>
        <w:rPr>
          <w:spacing w:val="-63"/>
          <w:sz w:val="21"/>
        </w:rPr>
        <w:t>、</w:t>
      </w:r>
      <w:r>
        <w:rPr>
          <w:rFonts w:hint="eastAsia"/>
          <w:sz w:val="21"/>
          <w:lang w:eastAsia="zh-CN"/>
        </w:rPr>
        <w:t>施工</w:t>
      </w:r>
      <w:r>
        <w:rPr>
          <w:sz w:val="21"/>
        </w:rPr>
        <w:t>方案</w:t>
      </w:r>
      <w:r>
        <w:rPr>
          <w:sz w:val="21"/>
        </w:rPr>
        <w:tab/>
      </w:r>
      <w:r>
        <w:rPr>
          <w:sz w:val="21"/>
        </w:rPr>
        <w:t>X</w:t>
      </w:r>
    </w:p>
    <w:p>
      <w:pPr>
        <w:tabs>
          <w:tab w:val="right" w:leader="dot" w:pos="9686"/>
        </w:tabs>
        <w:spacing w:before="139"/>
        <w:ind w:left="618" w:right="0" w:firstLine="0"/>
        <w:jc w:val="left"/>
        <w:rPr>
          <w:sz w:val="21"/>
        </w:rPr>
      </w:pPr>
      <w:r>
        <w:rPr>
          <w:sz w:val="21"/>
        </w:rPr>
        <w:t>八</w:t>
      </w:r>
      <w:r>
        <w:rPr>
          <w:spacing w:val="-63"/>
          <w:sz w:val="21"/>
        </w:rPr>
        <w:t>、</w:t>
      </w:r>
      <w:r>
        <w:rPr>
          <w:sz w:val="21"/>
        </w:rPr>
        <w:t>表格格式</w:t>
      </w:r>
      <w:r>
        <w:rPr>
          <w:sz w:val="21"/>
        </w:rPr>
        <w:tab/>
      </w:r>
      <w:r>
        <w:rPr>
          <w:sz w:val="21"/>
        </w:rPr>
        <w:t>X</w:t>
      </w:r>
    </w:p>
    <w:p>
      <w:pPr>
        <w:spacing w:after="0"/>
        <w:jc w:val="left"/>
        <w:rPr>
          <w:sz w:val="21"/>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rPr>
          <w:rFonts w:hint="eastAsia" w:ascii="黑体" w:eastAsia="黑体"/>
        </w:rPr>
      </w:pPr>
      <w:r>
        <w:rPr>
          <w:rFonts w:hint="eastAsia" w:ascii="黑体" w:eastAsia="黑体"/>
        </w:rPr>
        <w:t>一、磋商申请及声明格式</w:t>
      </w:r>
    </w:p>
    <w:p>
      <w:pPr>
        <w:pStyle w:val="4"/>
        <w:ind w:left="0"/>
        <w:rPr>
          <w:rFonts w:ascii="黑体"/>
        </w:rPr>
      </w:pPr>
    </w:p>
    <w:p>
      <w:pPr>
        <w:pStyle w:val="4"/>
        <w:spacing w:before="10"/>
        <w:ind w:left="0"/>
        <w:rPr>
          <w:rFonts w:ascii="黑体"/>
        </w:rPr>
      </w:pPr>
    </w:p>
    <w:p>
      <w:pPr>
        <w:pStyle w:val="3"/>
        <w:spacing w:before="1"/>
        <w:ind w:left="2"/>
        <w:jc w:val="center"/>
      </w:pPr>
      <w:r>
        <w:t>磋商申请及声明</w:t>
      </w:r>
    </w:p>
    <w:p>
      <w:pPr>
        <w:pStyle w:val="4"/>
        <w:spacing w:before="160"/>
        <w:rPr>
          <w:rFonts w:hint="eastAsia" w:eastAsia="宋体"/>
          <w:lang w:eastAsia="zh-CN"/>
        </w:rPr>
      </w:pPr>
      <w:r>
        <w:t>致：</w:t>
      </w:r>
      <w:r>
        <w:rPr>
          <w:rFonts w:hint="eastAsia"/>
          <w:lang w:eastAsia="zh-CN"/>
        </w:rPr>
        <w:t>南京市鼓楼区文化和旅游局</w:t>
      </w:r>
    </w:p>
    <w:p>
      <w:pPr>
        <w:pStyle w:val="4"/>
        <w:spacing w:before="158"/>
        <w:ind w:left="1098"/>
        <w:rPr>
          <w:rFonts w:hint="eastAsia" w:eastAsia="宋体"/>
          <w:lang w:eastAsia="zh-CN"/>
        </w:rPr>
      </w:pPr>
      <w:r>
        <w:rPr>
          <w:rFonts w:hint="eastAsia"/>
          <w:lang w:eastAsia="zh-CN"/>
        </w:rPr>
        <w:t>江苏骏通建设项目管理咨询有限公司</w:t>
      </w:r>
    </w:p>
    <w:p>
      <w:pPr>
        <w:pStyle w:val="4"/>
        <w:ind w:left="0"/>
        <w:rPr>
          <w:sz w:val="20"/>
        </w:rPr>
      </w:pPr>
    </w:p>
    <w:p>
      <w:pPr>
        <w:pStyle w:val="4"/>
        <w:spacing w:before="9"/>
        <w:ind w:left="0"/>
        <w:rPr>
          <w:sz w:val="23"/>
        </w:rPr>
      </w:pPr>
    </w:p>
    <w:p>
      <w:pPr>
        <w:pStyle w:val="4"/>
        <w:tabs>
          <w:tab w:val="left" w:pos="5401"/>
          <w:tab w:val="left" w:pos="7458"/>
          <w:tab w:val="left" w:pos="8727"/>
        </w:tabs>
        <w:spacing w:before="66" w:line="364" w:lineRule="auto"/>
        <w:ind w:right="617" w:firstLine="480"/>
      </w:pPr>
      <w:r>
        <w:t>根据贵方</w:t>
      </w:r>
      <w:r>
        <w:rPr>
          <w:u w:val="single"/>
        </w:rPr>
        <w:t xml:space="preserve"> </w:t>
      </w:r>
      <w:r>
        <w:rPr>
          <w:u w:val="single"/>
        </w:rPr>
        <w:tab/>
      </w:r>
      <w:r>
        <w:t>（项目名称</w:t>
      </w:r>
      <w:r>
        <w:rPr>
          <w:spacing w:val="-18"/>
        </w:rPr>
        <w:t>）</w:t>
      </w:r>
      <w:r>
        <w:rPr>
          <w:spacing w:val="-18"/>
          <w:u w:val="single"/>
        </w:rPr>
        <w:t xml:space="preserve"> </w:t>
      </w:r>
      <w:r>
        <w:rPr>
          <w:spacing w:val="-18"/>
          <w:u w:val="single"/>
        </w:rPr>
        <w:tab/>
      </w:r>
      <w:r>
        <w:rPr>
          <w:spacing w:val="-18"/>
          <w:u w:val="single"/>
        </w:rPr>
        <w:tab/>
      </w:r>
      <w:r>
        <w:t>（项目</w:t>
      </w:r>
      <w:r>
        <w:rPr>
          <w:spacing w:val="-18"/>
        </w:rPr>
        <w:t>编</w:t>
      </w:r>
      <w:r>
        <w:t>号）磋商邀请，正式授权下述签字人</w:t>
      </w:r>
      <w:r>
        <w:rPr>
          <w:u w:val="single"/>
        </w:rPr>
        <w:t xml:space="preserve"> </w:t>
      </w:r>
      <w:r>
        <w:rPr>
          <w:u w:val="single"/>
        </w:rPr>
        <w:tab/>
      </w:r>
      <w:r>
        <w:rPr>
          <w:u w:val="single"/>
        </w:rPr>
        <w:tab/>
      </w:r>
      <w:r>
        <w:t>(姓名和职务)代表</w:t>
      </w:r>
    </w:p>
    <w:p>
      <w:pPr>
        <w:pStyle w:val="4"/>
        <w:tabs>
          <w:tab w:val="left" w:pos="4338"/>
        </w:tabs>
        <w:spacing w:line="364" w:lineRule="auto"/>
        <w:ind w:left="1098" w:right="1165" w:hanging="1"/>
      </w:pPr>
      <w:r>
        <w:rPr>
          <w:rFonts w:ascii="Times New Roman" w:eastAsia="Times New Roman"/>
          <w:u w:val="single"/>
        </w:rPr>
        <w:t xml:space="preserve"> </w:t>
      </w:r>
      <w:r>
        <w:rPr>
          <w:rFonts w:ascii="Times New Roman" w:eastAsia="Times New Roman"/>
          <w:u w:val="single"/>
        </w:rPr>
        <w:tab/>
      </w:r>
      <w:r>
        <w:t>（供应商名称），</w:t>
      </w:r>
      <w:r>
        <w:rPr>
          <w:spacing w:val="-2"/>
        </w:rPr>
        <w:t>提交响应文件并参加磋商。</w:t>
      </w:r>
      <w:r>
        <w:t>据此函，签字人兹宣布同意如下：</w:t>
      </w:r>
    </w:p>
    <w:p>
      <w:pPr>
        <w:pStyle w:val="4"/>
        <w:spacing w:line="364" w:lineRule="auto"/>
        <w:ind w:right="616" w:firstLine="480"/>
      </w:pPr>
      <w:r>
        <w:t>1、我们的资格条件完全符合相关法律法规和本次磋商要求，我们同意并向贵方提供了与本次磋商活动有关的所有证据和资料。</w:t>
      </w:r>
    </w:p>
    <w:p>
      <w:pPr>
        <w:pStyle w:val="4"/>
        <w:tabs>
          <w:tab w:val="left" w:pos="8058"/>
        </w:tabs>
        <w:spacing w:line="306" w:lineRule="exact"/>
        <w:ind w:left="1098"/>
      </w:pPr>
      <w:r>
        <w:t>2、项目名称：</w:t>
      </w:r>
      <w:r>
        <w:rPr>
          <w:u w:val="single"/>
        </w:rPr>
        <w:t xml:space="preserve"> </w:t>
      </w:r>
      <w:r>
        <w:rPr>
          <w:u w:val="single"/>
        </w:rPr>
        <w:tab/>
      </w:r>
      <w:r>
        <w:t>。</w:t>
      </w:r>
    </w:p>
    <w:p>
      <w:pPr>
        <w:pStyle w:val="4"/>
        <w:tabs>
          <w:tab w:val="left" w:pos="7587"/>
        </w:tabs>
        <w:spacing w:before="158"/>
        <w:ind w:left="1098"/>
      </w:pPr>
      <w:r>
        <w:t>3、我们的首次总报价为（大写）</w:t>
      </w:r>
      <w:r>
        <w:rPr>
          <w:u w:val="single"/>
        </w:rPr>
        <w:t xml:space="preserve"> </w:t>
      </w:r>
      <w:r>
        <w:rPr>
          <w:u w:val="single"/>
        </w:rPr>
        <w:tab/>
      </w:r>
      <w:r>
        <w:t>元人民币。</w:t>
      </w:r>
    </w:p>
    <w:p>
      <w:pPr>
        <w:pStyle w:val="4"/>
        <w:spacing w:before="161" w:line="364" w:lineRule="auto"/>
        <w:ind w:right="617" w:firstLine="480"/>
        <w:jc w:val="both"/>
      </w:pPr>
      <w:r>
        <w:t>4、我们已详细审核全部磋商文件及其有效补充文件，我们放弃对磋商文件任何误</w:t>
      </w:r>
      <w:r>
        <w:rPr>
          <w:spacing w:val="-7"/>
        </w:rPr>
        <w:t>解的权利，提交响应文件后，不对磋商文件本身提出质疑。否则，属于不诚信和故意扰</w:t>
      </w:r>
      <w:r>
        <w:t>乱磋商活动行为，我们将无条件接受处罚。</w:t>
      </w:r>
    </w:p>
    <w:p>
      <w:pPr>
        <w:pStyle w:val="4"/>
        <w:spacing w:line="362" w:lineRule="auto"/>
        <w:ind w:right="616" w:firstLine="480"/>
      </w:pPr>
      <w:r>
        <w:t>5、一旦我方成交，我方将根据磋商文件的规定，严格履行合同，保证于承诺的时间内完成本项目规定的服务内容。</w:t>
      </w:r>
    </w:p>
    <w:p>
      <w:pPr>
        <w:pStyle w:val="4"/>
        <w:spacing w:before="2" w:line="364" w:lineRule="auto"/>
        <w:ind w:right="497" w:firstLine="480"/>
      </w:pPr>
      <w:r>
        <w:t>6</w:t>
      </w:r>
      <w:r>
        <w:rPr>
          <w:spacing w:val="-7"/>
        </w:rPr>
        <w:t>、我方决不提供虚假材料谋取成交、决不采取不正当手段诋毁、排挤其他供应商、</w:t>
      </w:r>
      <w:r>
        <w:rPr>
          <w:spacing w:val="-5"/>
        </w:rPr>
        <w:t>决不与采购人、其它供应商或者采购代理机构恶意串通、决不向采购人、采购代理机构</w:t>
      </w:r>
      <w:r>
        <w:rPr>
          <w:spacing w:val="-8"/>
        </w:rPr>
        <w:t>工作人员和磋商小组进行商业贿赂、决不拒绝有关部门监督检查或提供虚假情况，如有违反，无条件接受贵方及相关管理部门的处罚。</w:t>
      </w:r>
    </w:p>
    <w:p>
      <w:pPr>
        <w:pStyle w:val="4"/>
        <w:spacing w:line="305" w:lineRule="exact"/>
        <w:ind w:left="1098"/>
      </w:pPr>
      <w:r>
        <w:t>7、我方正式通讯方式为：</w:t>
      </w:r>
    </w:p>
    <w:p>
      <w:pPr>
        <w:pStyle w:val="4"/>
        <w:tabs>
          <w:tab w:val="left" w:pos="4997"/>
        </w:tabs>
        <w:spacing w:before="160" w:line="364" w:lineRule="auto"/>
        <w:ind w:left="1098" w:right="5306"/>
        <w:jc w:val="both"/>
      </w:pPr>
      <w:r>
        <w:t xml:space="preserve">地 </w:t>
      </w:r>
      <w:r>
        <w:rPr>
          <w:spacing w:val="119"/>
        </w:rPr>
        <w:t xml:space="preserve"> </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电 </w:t>
      </w:r>
      <w:r>
        <w:rPr>
          <w:spacing w:val="119"/>
        </w:rPr>
        <w:t xml:space="preserve"> </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传 </w:t>
      </w:r>
      <w:r>
        <w:rPr>
          <w:spacing w:val="119"/>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8、我方正式开户银行和帐号为：</w:t>
      </w:r>
    </w:p>
    <w:p>
      <w:pPr>
        <w:pStyle w:val="4"/>
        <w:tabs>
          <w:tab w:val="left" w:pos="5117"/>
        </w:tabs>
        <w:spacing w:line="362" w:lineRule="auto"/>
        <w:ind w:left="1098" w:right="5186"/>
        <w:jc w:val="both"/>
        <w:rPr>
          <w:rFonts w:ascii="Times New Roman" w:eastAsia="Times New Roman"/>
        </w:rPr>
      </w:pP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帐 </w:t>
      </w:r>
      <w:r>
        <w:rPr>
          <w:spacing w:val="119"/>
        </w:rPr>
        <w:t xml:space="preserve"> </w:t>
      </w:r>
      <w:r>
        <w:t>号 ：</w:t>
      </w:r>
      <w:r>
        <w:rPr>
          <w:rFonts w:ascii="Times New Roman" w:eastAsia="Times New Roman"/>
          <w:u w:val="single"/>
        </w:rPr>
        <w:t xml:space="preserve"> </w:t>
      </w:r>
      <w:r>
        <w:rPr>
          <w:rFonts w:ascii="Times New Roman" w:eastAsia="Times New Roman"/>
          <w:u w:val="single"/>
        </w:rPr>
        <w:tab/>
      </w:r>
    </w:p>
    <w:p>
      <w:pPr>
        <w:spacing w:after="0" w:line="362" w:lineRule="auto"/>
        <w:jc w:val="both"/>
        <w:rPr>
          <w:rFonts w:ascii="Times New Roman" w:eastAsia="Times New Roman"/>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tabs>
          <w:tab w:val="left" w:pos="3138"/>
          <w:tab w:val="left" w:pos="5597"/>
        </w:tabs>
        <w:spacing w:before="61" w:line="364" w:lineRule="auto"/>
        <w:ind w:left="1098" w:right="4706"/>
        <w:jc w:val="both"/>
      </w:pPr>
      <w:r>
        <w:rPr>
          <w:spacing w:val="-1"/>
        </w:rPr>
        <w:t>供</w:t>
      </w:r>
      <w:r>
        <w:t>应商授权代表姓名（签字）：</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7"/>
          <w:u w:val="single"/>
        </w:rPr>
        <w:t xml:space="preserve"> </w:t>
      </w:r>
      <w:r>
        <w:rPr>
          <w:spacing w:val="-1"/>
        </w:rPr>
        <w:t>供</w:t>
      </w:r>
      <w:r>
        <w:t>应商名称（公章）：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日  </w:t>
      </w:r>
      <w:r>
        <w:rPr>
          <w:spacing w:val="119"/>
        </w:rPr>
        <w:t xml:space="preserve"> </w:t>
      </w:r>
      <w:r>
        <w:t>期：</w:t>
      </w:r>
      <w:r>
        <w:rPr>
          <w:u w:val="single"/>
        </w:rPr>
        <w:t xml:space="preserve"> </w:t>
      </w:r>
      <w:r>
        <w:rPr>
          <w:u w:val="single"/>
        </w:rPr>
        <w:tab/>
      </w:r>
      <w:r>
        <w:t>年</w:t>
      </w:r>
      <w:r>
        <w:rPr>
          <w:u w:val="single"/>
        </w:rPr>
        <w:t xml:space="preserve"> </w:t>
      </w:r>
      <w:r>
        <w:t>月</w:t>
      </w:r>
      <w:r>
        <w:rPr>
          <w:spacing w:val="119"/>
          <w:u w:val="single"/>
        </w:rPr>
        <w:t xml:space="preserve"> </w:t>
      </w:r>
      <w:r>
        <w:t>日</w:t>
      </w:r>
    </w:p>
    <w:p>
      <w:pPr>
        <w:spacing w:after="0" w:line="364" w:lineRule="auto"/>
        <w:jc w:val="both"/>
        <w:sectPr>
          <w:footerReference r:id="rId8" w:type="default"/>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rPr>
          <w:rFonts w:hint="eastAsia" w:ascii="黑体" w:eastAsia="黑体"/>
        </w:rPr>
      </w:pPr>
      <w:r>
        <w:rPr>
          <w:rFonts w:hint="eastAsia" w:ascii="黑体" w:eastAsia="黑体"/>
        </w:rPr>
        <w:t>二、法定代表人授权委托书及委托代理人的身份证明文件的复印件</w:t>
      </w:r>
    </w:p>
    <w:p>
      <w:pPr>
        <w:pStyle w:val="4"/>
        <w:ind w:left="0"/>
        <w:rPr>
          <w:rFonts w:ascii="黑体"/>
        </w:rPr>
      </w:pPr>
    </w:p>
    <w:p>
      <w:pPr>
        <w:pStyle w:val="4"/>
        <w:spacing w:before="10"/>
        <w:ind w:left="0"/>
        <w:rPr>
          <w:rFonts w:ascii="黑体"/>
        </w:rPr>
      </w:pPr>
    </w:p>
    <w:p>
      <w:pPr>
        <w:pStyle w:val="3"/>
        <w:spacing w:before="1"/>
        <w:ind w:left="727"/>
        <w:jc w:val="center"/>
      </w:pPr>
      <w:r>
        <w:t>法定代表人授权委托书</w:t>
      </w:r>
    </w:p>
    <w:p>
      <w:pPr>
        <w:pStyle w:val="4"/>
        <w:ind w:left="0"/>
        <w:rPr>
          <w:b/>
        </w:rPr>
      </w:pPr>
    </w:p>
    <w:p>
      <w:pPr>
        <w:pStyle w:val="4"/>
        <w:spacing w:before="11"/>
        <w:ind w:left="0"/>
        <w:rPr>
          <w:b/>
        </w:rPr>
      </w:pPr>
    </w:p>
    <w:p>
      <w:pPr>
        <w:pStyle w:val="4"/>
        <w:rPr>
          <w:rFonts w:hint="eastAsia" w:eastAsia="宋体"/>
          <w:lang w:eastAsia="zh-CN"/>
        </w:rPr>
      </w:pPr>
      <w:r>
        <w:t>致：</w:t>
      </w:r>
      <w:r>
        <w:rPr>
          <w:rFonts w:hint="eastAsia"/>
          <w:lang w:eastAsia="zh-CN"/>
        </w:rPr>
        <w:t>南京市鼓楼区文化和旅游局</w:t>
      </w:r>
    </w:p>
    <w:p>
      <w:pPr>
        <w:pStyle w:val="4"/>
        <w:spacing w:before="160"/>
        <w:ind w:left="1098"/>
        <w:rPr>
          <w:rFonts w:hint="eastAsia" w:eastAsia="宋体"/>
          <w:lang w:eastAsia="zh-CN"/>
        </w:rPr>
      </w:pPr>
      <w:r>
        <w:rPr>
          <w:rFonts w:hint="eastAsia"/>
          <w:lang w:eastAsia="zh-CN"/>
        </w:rPr>
        <w:t>江苏骏通建设项目管理咨询有限公司</w:t>
      </w:r>
    </w:p>
    <w:p>
      <w:pPr>
        <w:pStyle w:val="4"/>
        <w:ind w:left="0"/>
      </w:pPr>
    </w:p>
    <w:p>
      <w:pPr>
        <w:pStyle w:val="4"/>
        <w:spacing w:before="11"/>
        <w:ind w:left="0"/>
      </w:pPr>
    </w:p>
    <w:p>
      <w:pPr>
        <w:pStyle w:val="4"/>
        <w:tabs>
          <w:tab w:val="left" w:pos="6978"/>
        </w:tabs>
        <w:ind w:left="1098"/>
      </w:pPr>
      <w:r>
        <w:t>本授权书声明：注册于</w:t>
      </w:r>
      <w:r>
        <w:rPr>
          <w:u w:val="single"/>
        </w:rPr>
        <w:t xml:space="preserve"> </w:t>
      </w:r>
      <w:r>
        <w:rPr>
          <w:u w:val="single"/>
        </w:rPr>
        <w:tab/>
      </w:r>
      <w:r>
        <w:t>（供应商住址）的</w:t>
      </w:r>
    </w:p>
    <w:p>
      <w:pPr>
        <w:pStyle w:val="4"/>
        <w:tabs>
          <w:tab w:val="left" w:pos="2987"/>
          <w:tab w:val="left" w:pos="3618"/>
          <w:tab w:val="left" w:pos="7647"/>
          <w:tab w:val="left" w:pos="8670"/>
          <w:tab w:val="left" w:pos="8898"/>
        </w:tabs>
        <w:spacing w:before="158" w:line="364" w:lineRule="auto"/>
        <w:ind w:right="497" w:firstLine="479"/>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（供应商名称）法定代表人</w:t>
      </w:r>
      <w:r>
        <w:rPr>
          <w:u w:val="single"/>
        </w:rPr>
        <w:t xml:space="preserve"> </w:t>
      </w:r>
      <w:r>
        <w:rPr>
          <w:u w:val="single"/>
        </w:rPr>
        <w:tab/>
      </w:r>
      <w:r>
        <w:rPr>
          <w:u w:val="single"/>
        </w:rPr>
        <w:tab/>
      </w:r>
      <w:r>
        <w:rPr>
          <w:u w:val="single"/>
        </w:rPr>
        <w:tab/>
      </w:r>
      <w:r>
        <w:t>（法定代表人姓名</w:t>
      </w:r>
      <w:r>
        <w:rPr>
          <w:spacing w:val="-17"/>
        </w:rPr>
        <w:t>、</w:t>
      </w:r>
      <w:r>
        <w:t>职务</w:t>
      </w:r>
      <w:r>
        <w:rPr>
          <w:spacing w:val="-17"/>
        </w:rPr>
        <w:t>）</w:t>
      </w:r>
      <w:r>
        <w:t>代表本公司授权在下面签字的</w:t>
      </w:r>
      <w:r>
        <w:rPr>
          <w:u w:val="single"/>
        </w:rPr>
        <w:t xml:space="preserve"> </w:t>
      </w:r>
      <w:r>
        <w:rPr>
          <w:u w:val="single"/>
        </w:rPr>
        <w:tab/>
      </w:r>
      <w:r>
        <w:t>（供应商代表姓名</w:t>
      </w:r>
      <w:r>
        <w:rPr>
          <w:spacing w:val="-18"/>
        </w:rPr>
        <w:t>、</w:t>
      </w:r>
      <w:r>
        <w:t>职务）为本公司的合法代理人，就贵方组织的</w:t>
      </w:r>
      <w:r>
        <w:rPr>
          <w:u w:val="single"/>
        </w:rPr>
        <w:t xml:space="preserve"> </w:t>
      </w:r>
      <w:r>
        <w:rPr>
          <w:u w:val="single"/>
        </w:rPr>
        <w:tab/>
      </w:r>
      <w:r>
        <w:rPr>
          <w:u w:val="single"/>
        </w:rPr>
        <w:tab/>
      </w:r>
      <w:r>
        <w:t>（项目名称</w:t>
      </w:r>
      <w:r>
        <w:rPr>
          <w:spacing w:val="-12"/>
        </w:rPr>
        <w:t>），</w:t>
      </w:r>
      <w:r>
        <w:rPr>
          <w:spacing w:val="-12"/>
          <w:u w:val="single"/>
        </w:rPr>
        <w:t xml:space="preserve"> </w:t>
      </w:r>
      <w:r>
        <w:rPr>
          <w:spacing w:val="-12"/>
          <w:u w:val="single"/>
        </w:rPr>
        <w:tab/>
      </w:r>
      <w:r>
        <w:t>（项目编号</w:t>
      </w:r>
      <w:r>
        <w:rPr>
          <w:spacing w:val="-10"/>
        </w:rPr>
        <w:t>）</w:t>
      </w:r>
      <w:r>
        <w:t>进行磋商报价</w:t>
      </w:r>
      <w:r>
        <w:rPr>
          <w:spacing w:val="-10"/>
        </w:rPr>
        <w:t>，</w:t>
      </w:r>
      <w:r>
        <w:t>以本公司名义处理一切与之有关的事务。</w:t>
      </w:r>
    </w:p>
    <w:p>
      <w:pPr>
        <w:pStyle w:val="4"/>
        <w:tabs>
          <w:tab w:val="left" w:pos="2778"/>
          <w:tab w:val="left" w:pos="3258"/>
          <w:tab w:val="left" w:pos="3738"/>
        </w:tabs>
        <w:spacing w:line="364" w:lineRule="auto"/>
        <w:ind w:left="1098" w:right="3925"/>
      </w:pPr>
      <w:r>
        <w:t>本授权书于</w:t>
      </w:r>
      <w:r>
        <w:tab/>
      </w:r>
      <w:r>
        <w:t>年</w:t>
      </w:r>
      <w:r>
        <w:tab/>
      </w:r>
      <w:r>
        <w:t>月</w:t>
      </w:r>
      <w:r>
        <w:tab/>
      </w:r>
      <w:r>
        <w:t>日签字生效，特此声明</w:t>
      </w:r>
      <w:r>
        <w:rPr>
          <w:spacing w:val="-17"/>
        </w:rPr>
        <w:t>。</w:t>
      </w:r>
      <w:r>
        <w:t>法定代表人签字：</w:t>
      </w:r>
    </w:p>
    <w:p>
      <w:pPr>
        <w:pStyle w:val="4"/>
        <w:spacing w:line="306" w:lineRule="exact"/>
        <w:ind w:left="1098"/>
      </w:pPr>
      <w:r>
        <w:t>授权委托人签字：</w:t>
      </w:r>
    </w:p>
    <w:p>
      <w:pPr>
        <w:pStyle w:val="4"/>
        <w:tabs>
          <w:tab w:val="left" w:pos="2538"/>
          <w:tab w:val="left" w:pos="3978"/>
          <w:tab w:val="left" w:pos="4698"/>
          <w:tab w:val="left" w:pos="5418"/>
        </w:tabs>
        <w:spacing w:before="159"/>
        <w:ind w:left="1098"/>
      </w:pPr>
      <w:r>
        <w:t>日</w:t>
      </w:r>
      <w:r>
        <w:tab/>
      </w:r>
      <w:r>
        <w:t>期：</w:t>
      </w:r>
      <w:r>
        <w:tab/>
      </w:r>
      <w:r>
        <w:t>年</w:t>
      </w:r>
      <w:r>
        <w:tab/>
      </w:r>
      <w:r>
        <w:t>月</w:t>
      </w:r>
      <w:r>
        <w:tab/>
      </w:r>
      <w:r>
        <w:t>日</w:t>
      </w:r>
    </w:p>
    <w:p>
      <w:pPr>
        <w:pStyle w:val="4"/>
        <w:ind w:left="0"/>
      </w:pPr>
    </w:p>
    <w:p>
      <w:pPr>
        <w:pStyle w:val="4"/>
        <w:ind w:left="0"/>
      </w:pPr>
    </w:p>
    <w:p>
      <w:pPr>
        <w:pStyle w:val="4"/>
        <w:ind w:left="0"/>
      </w:pPr>
    </w:p>
    <w:p>
      <w:pPr>
        <w:pStyle w:val="3"/>
        <w:spacing w:before="169"/>
        <w:ind w:left="12"/>
        <w:jc w:val="center"/>
      </w:pPr>
      <w:r>
        <w:t>委托代理人的身份证明文件的复印件：</w:t>
      </w:r>
    </w:p>
    <w:p>
      <w:pPr>
        <w:spacing w:after="0"/>
        <w:jc w:val="cente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rPr>
          <w:rFonts w:hint="eastAsia" w:ascii="黑体" w:eastAsia="黑体"/>
        </w:rPr>
      </w:pPr>
      <w:r>
        <w:rPr>
          <w:rFonts w:hint="eastAsia" w:ascii="黑体" w:eastAsia="黑体"/>
        </w:rPr>
        <w:t>三、磋商保证金交纳相关证明材料</w:t>
      </w:r>
    </w:p>
    <w:p>
      <w:pPr>
        <w:pStyle w:val="4"/>
        <w:ind w:left="0"/>
        <w:rPr>
          <w:rFonts w:ascii="黑体"/>
        </w:rPr>
      </w:pPr>
    </w:p>
    <w:p>
      <w:pPr>
        <w:pStyle w:val="4"/>
        <w:spacing w:before="10"/>
        <w:ind w:left="0"/>
        <w:rPr>
          <w:rFonts w:ascii="黑体"/>
        </w:rPr>
      </w:pPr>
    </w:p>
    <w:p>
      <w:pPr>
        <w:pStyle w:val="3"/>
        <w:spacing w:before="1"/>
        <w:ind w:left="618"/>
      </w:pPr>
      <w:r>
        <w:t>（一）磋商保证金电汇底单复印件</w:t>
      </w:r>
    </w:p>
    <w:p>
      <w:pPr>
        <w:pStyle w:val="4"/>
        <w:ind w:left="0"/>
        <w:rPr>
          <w:b/>
        </w:rPr>
      </w:pPr>
    </w:p>
    <w:p>
      <w:pPr>
        <w:pStyle w:val="4"/>
        <w:ind w:left="0"/>
        <w:rPr>
          <w:b/>
          <w:sz w:val="31"/>
        </w:rPr>
      </w:pPr>
    </w:p>
    <w:p>
      <w:pPr>
        <w:pStyle w:val="4"/>
        <w:spacing w:line="362" w:lineRule="auto"/>
        <w:ind w:right="617" w:firstLine="480"/>
      </w:pPr>
      <w:r>
        <w:t>磋商保证金电汇底单复印件一式两份，一份装订在响应文件中，一份单独封装(如未按竞争性磋商邀请规定单独封装,响应文件将被拒绝接收)，随响应文件一并递交。</w:t>
      </w:r>
    </w:p>
    <w:p>
      <w:pPr>
        <w:pStyle w:val="4"/>
        <w:ind w:left="0"/>
      </w:pPr>
    </w:p>
    <w:p>
      <w:pPr>
        <w:pStyle w:val="3"/>
        <w:spacing w:before="163"/>
        <w:ind w:left="618"/>
      </w:pPr>
      <w:r>
        <w:t>（二）磋商保证金转账退还信息函</w:t>
      </w:r>
    </w:p>
    <w:p>
      <w:pPr>
        <w:pStyle w:val="4"/>
        <w:ind w:left="0"/>
        <w:rPr>
          <w:b/>
        </w:rPr>
      </w:pPr>
    </w:p>
    <w:p>
      <w:pPr>
        <w:pStyle w:val="4"/>
        <w:spacing w:before="11"/>
        <w:ind w:left="0"/>
        <w:rPr>
          <w:b/>
        </w:rPr>
      </w:pPr>
    </w:p>
    <w:p>
      <w:pPr>
        <w:pStyle w:val="4"/>
        <w:rPr>
          <w:rFonts w:hint="eastAsia" w:eastAsia="宋体"/>
          <w:lang w:eastAsia="zh-CN"/>
        </w:rPr>
      </w:pPr>
      <w:r>
        <w:t>致：</w:t>
      </w:r>
      <w:r>
        <w:rPr>
          <w:rFonts w:hint="eastAsia"/>
          <w:lang w:eastAsia="zh-CN"/>
        </w:rPr>
        <w:t>江苏骏通建设项目管理咨询有限公司</w:t>
      </w:r>
    </w:p>
    <w:p>
      <w:pPr>
        <w:pStyle w:val="4"/>
        <w:tabs>
          <w:tab w:val="left" w:pos="2538"/>
          <w:tab w:val="left" w:pos="6731"/>
        </w:tabs>
        <w:spacing w:before="161" w:line="362" w:lineRule="auto"/>
        <w:ind w:right="618" w:firstLine="480"/>
      </w:pPr>
      <w:r>
        <w:rPr>
          <w:spacing w:val="7"/>
        </w:rPr>
        <w:t>我公司</w:t>
      </w:r>
      <w:r>
        <w:rPr>
          <w:spacing w:val="4"/>
        </w:rPr>
        <w:t>参</w:t>
      </w:r>
      <w:r>
        <w:rPr>
          <w:spacing w:val="7"/>
        </w:rPr>
        <w:t>加贵公司代理</w:t>
      </w:r>
      <w:r>
        <w:rPr>
          <w:spacing w:val="4"/>
        </w:rPr>
        <w:t>的</w:t>
      </w:r>
      <w:r>
        <w:rPr>
          <w:spacing w:val="4"/>
          <w:u w:val="single"/>
        </w:rPr>
        <w:t xml:space="preserve"> </w:t>
      </w:r>
      <w:r>
        <w:rPr>
          <w:spacing w:val="4"/>
          <w:u w:val="single"/>
        </w:rPr>
        <w:tab/>
      </w:r>
      <w:r>
        <w:rPr>
          <w:spacing w:val="7"/>
          <w:u w:val="single"/>
        </w:rPr>
        <w:t>（项目</w:t>
      </w:r>
      <w:r>
        <w:rPr>
          <w:spacing w:val="4"/>
          <w:u w:val="single"/>
        </w:rPr>
        <w:t>名</w:t>
      </w:r>
      <w:r>
        <w:rPr>
          <w:spacing w:val="7"/>
          <w:u w:val="single"/>
        </w:rPr>
        <w:t>称）</w:t>
      </w:r>
      <w:r>
        <w:rPr>
          <w:spacing w:val="7"/>
        </w:rPr>
        <w:t>采购（</w:t>
      </w:r>
      <w:r>
        <w:rPr>
          <w:spacing w:val="4"/>
        </w:rPr>
        <w:t>项</w:t>
      </w:r>
      <w:r>
        <w:rPr>
          <w:spacing w:val="7"/>
        </w:rPr>
        <w:t>目</w:t>
      </w:r>
      <w:r>
        <w:rPr>
          <w:spacing w:val="-14"/>
        </w:rPr>
        <w:t>编</w:t>
      </w:r>
      <w:r>
        <w:t>号：</w:t>
      </w:r>
      <w:r>
        <w:rPr>
          <w:u w:val="single"/>
        </w:rPr>
        <w:t xml:space="preserve"> </w:t>
      </w:r>
      <w:r>
        <w:rPr>
          <w:u w:val="single"/>
        </w:rPr>
        <w:tab/>
      </w:r>
      <w:r>
        <w:t>）的投标，磋商保证金请退还至：</w:t>
      </w:r>
    </w:p>
    <w:p>
      <w:pPr>
        <w:pStyle w:val="4"/>
        <w:spacing w:before="5" w:line="362" w:lineRule="auto"/>
        <w:ind w:left="1098" w:right="6565"/>
      </w:pPr>
      <w:r>
        <w:t>供应商（收款人）</w:t>
      </w:r>
      <w:r>
        <w:rPr>
          <w:spacing w:val="-6"/>
        </w:rPr>
        <w:t xml:space="preserve">名称： </w:t>
      </w:r>
      <w:r>
        <w:t>开户银行：</w:t>
      </w:r>
    </w:p>
    <w:p>
      <w:pPr>
        <w:pStyle w:val="4"/>
        <w:spacing w:before="5"/>
        <w:ind w:left="1098"/>
      </w:pPr>
      <w:r>
        <w:t>银行帐号：</w:t>
      </w:r>
    </w:p>
    <w:p>
      <w:pPr>
        <w:pStyle w:val="4"/>
        <w:tabs>
          <w:tab w:val="left" w:pos="2898"/>
          <w:tab w:val="left" w:pos="4938"/>
        </w:tabs>
        <w:spacing w:before="158" w:line="364" w:lineRule="auto"/>
        <w:ind w:left="1098" w:right="4405"/>
      </w:pPr>
      <w:r>
        <w:t>汇入地点：</w:t>
      </w:r>
      <w:r>
        <w:rPr>
          <w:u w:val="single"/>
        </w:rPr>
        <w:t xml:space="preserve"> </w:t>
      </w:r>
      <w:r>
        <w:rPr>
          <w:u w:val="single"/>
        </w:rPr>
        <w:tab/>
      </w:r>
      <w:r>
        <w:t>省（市、区）</w:t>
      </w:r>
      <w:r>
        <w:rPr>
          <w:u w:val="single"/>
        </w:rPr>
        <w:t xml:space="preserve"> </w:t>
      </w:r>
      <w:r>
        <w:rPr>
          <w:u w:val="single"/>
        </w:rPr>
        <w:tab/>
      </w:r>
      <w:r>
        <w:t>市（县</w:t>
      </w:r>
      <w:r>
        <w:rPr>
          <w:spacing w:val="-17"/>
        </w:rPr>
        <w:t xml:space="preserve">） </w:t>
      </w:r>
      <w:r>
        <w:t>联系人：</w:t>
      </w:r>
    </w:p>
    <w:p>
      <w:pPr>
        <w:pStyle w:val="4"/>
        <w:spacing w:line="364" w:lineRule="auto"/>
        <w:ind w:left="1098" w:right="8005"/>
      </w:pPr>
      <w:r>
        <w:t>联系电话： 传真：</w:t>
      </w:r>
    </w:p>
    <w:p>
      <w:pPr>
        <w:pStyle w:val="4"/>
        <w:ind w:left="1098"/>
      </w:pPr>
      <w:r>
        <w:t>特此函告。</w:t>
      </w:r>
    </w:p>
    <w:p>
      <w:pPr>
        <w:pStyle w:val="4"/>
        <w:ind w:left="0"/>
      </w:pPr>
    </w:p>
    <w:p>
      <w:pPr>
        <w:pStyle w:val="4"/>
        <w:spacing w:before="11"/>
        <w:ind w:left="0"/>
      </w:pPr>
    </w:p>
    <w:p>
      <w:pPr>
        <w:pStyle w:val="4"/>
        <w:tabs>
          <w:tab w:val="left" w:pos="6258"/>
          <w:tab w:val="left" w:pos="7098"/>
        </w:tabs>
        <w:spacing w:line="362" w:lineRule="auto"/>
        <w:ind w:left="5418" w:right="2965"/>
      </w:pPr>
      <w:r>
        <w:t>供应商（盖章</w:t>
      </w:r>
      <w:r>
        <w:rPr>
          <w:spacing w:val="-9"/>
        </w:rPr>
        <w:t xml:space="preserve">）： </w:t>
      </w:r>
      <w:r>
        <w:t>年</w:t>
      </w:r>
      <w:r>
        <w:tab/>
      </w:r>
      <w:r>
        <w:t>月</w:t>
      </w:r>
      <w:r>
        <w:tab/>
      </w:r>
      <w:r>
        <w:rPr>
          <w:spacing w:val="-17"/>
        </w:rPr>
        <w:t>日</w:t>
      </w:r>
    </w:p>
    <w:p>
      <w:pPr>
        <w:pStyle w:val="4"/>
        <w:ind w:left="0"/>
      </w:pPr>
    </w:p>
    <w:p>
      <w:pPr>
        <w:pStyle w:val="4"/>
        <w:spacing w:before="163" w:line="364" w:lineRule="auto"/>
        <w:ind w:right="554"/>
      </w:pPr>
      <w:r>
        <w:t>备注：上格式适用于以电汇形式交纳的磋商保证金的退还。本“（二）磋商保证金转账退还信息函”，请随同磋商保证金电汇底单复印件一起密封、递交。</w:t>
      </w:r>
    </w:p>
    <w:p>
      <w:pPr>
        <w:spacing w:after="0" w:line="364" w:lineRule="auto"/>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rPr>
          <w:rFonts w:hint="eastAsia" w:ascii="黑体" w:eastAsia="黑体"/>
        </w:rPr>
      </w:pPr>
      <w:r>
        <w:rPr>
          <w:rFonts w:hint="eastAsia" w:ascii="黑体" w:eastAsia="黑体"/>
        </w:rPr>
        <w:t>四、第一章竞争性磋商邀请 3.1 供应商的基本条件规定的证明文件</w:t>
      </w:r>
    </w:p>
    <w:p>
      <w:pPr>
        <w:pStyle w:val="4"/>
        <w:ind w:left="0"/>
        <w:rPr>
          <w:rFonts w:ascii="黑体"/>
        </w:rPr>
      </w:pPr>
    </w:p>
    <w:p>
      <w:pPr>
        <w:pStyle w:val="4"/>
        <w:spacing w:before="10"/>
        <w:ind w:left="0"/>
        <w:rPr>
          <w:rFonts w:ascii="黑体"/>
        </w:rPr>
      </w:pPr>
    </w:p>
    <w:p>
      <w:pPr>
        <w:pStyle w:val="3"/>
        <w:spacing w:before="1"/>
        <w:ind w:left="618"/>
      </w:pPr>
      <w:r>
        <w:t>（一）具有独立承担民事责任的能力：</w:t>
      </w:r>
    </w:p>
    <w:p>
      <w:pPr>
        <w:pStyle w:val="4"/>
        <w:spacing w:before="160" w:line="364" w:lineRule="auto"/>
        <w:ind w:right="613" w:firstLine="480"/>
        <w:jc w:val="both"/>
      </w:pPr>
      <w:r>
        <w:t>1、如供应商是企业（包括合作企业）的，应提供在工商部门注册的有效“企业法</w:t>
      </w:r>
      <w:r>
        <w:rPr>
          <w:spacing w:val="-5"/>
        </w:rPr>
        <w:t>人营业执照”或“营业执照”</w:t>
      </w:r>
      <w:r>
        <w:rPr>
          <w:spacing w:val="-10"/>
        </w:rPr>
        <w:t>（</w:t>
      </w:r>
      <w:r>
        <w:rPr>
          <w:spacing w:val="-2"/>
        </w:rPr>
        <w:t>法人分支机构由于不能独立承担民事责任，不能以分支</w:t>
      </w:r>
      <w:r>
        <w:rPr>
          <w:spacing w:val="-7"/>
        </w:rPr>
        <w:t>机构的身份参加磋商活动，只能以法人身份参加，银行、保险、石油石化、电力、电信</w:t>
      </w:r>
      <w:r>
        <w:t>等特殊行业的除外）；</w:t>
      </w:r>
    </w:p>
    <w:p>
      <w:pPr>
        <w:pStyle w:val="4"/>
        <w:spacing w:line="305" w:lineRule="exact"/>
        <w:ind w:left="1098"/>
      </w:pPr>
      <w:r>
        <w:t>2、如供应商是事业单位的，应提供有效的“事业单位法人证书”；</w:t>
      </w:r>
    </w:p>
    <w:p>
      <w:pPr>
        <w:pStyle w:val="4"/>
        <w:spacing w:before="158"/>
        <w:ind w:left="1098"/>
      </w:pPr>
      <w:r>
        <w:t>3、如供应商是非企业专业服务机构的，应提供有效的执业许可证等证明文件；</w:t>
      </w:r>
    </w:p>
    <w:p>
      <w:pPr>
        <w:pStyle w:val="4"/>
        <w:spacing w:before="161"/>
        <w:ind w:left="1098"/>
      </w:pPr>
      <w:r>
        <w:t>4、如供应商是个体工商户的，应提供有效的“个体工商户营业执照”；</w:t>
      </w:r>
    </w:p>
    <w:p>
      <w:pPr>
        <w:pStyle w:val="4"/>
        <w:spacing w:before="158"/>
        <w:ind w:left="1098"/>
      </w:pPr>
      <w:r>
        <w:t>5、如供应商是自然人的，应提供有效的自然人身份证明。</w:t>
      </w:r>
    </w:p>
    <w:p>
      <w:pPr>
        <w:pStyle w:val="3"/>
        <w:spacing w:before="160"/>
        <w:ind w:left="618"/>
      </w:pPr>
      <w:r>
        <w:t>（二）具有良好的商业信誉和健全的财务会计制度：</w:t>
      </w:r>
    </w:p>
    <w:p>
      <w:pPr>
        <w:pStyle w:val="4"/>
        <w:spacing w:before="158" w:line="364" w:lineRule="auto"/>
        <w:ind w:right="616" w:firstLine="480"/>
      </w:pPr>
      <w:r>
        <w:t>1、健全的财务会计制度指供应商能够严格执行现行的财务会计管理制度，财务管理制度清晰，能够按规定真实、全面地反映企业的生产经营活动；</w:t>
      </w:r>
    </w:p>
    <w:p>
      <w:pPr>
        <w:pStyle w:val="4"/>
        <w:spacing w:before="2" w:line="362" w:lineRule="auto"/>
        <w:ind w:right="616" w:firstLine="480"/>
      </w:pPr>
      <w:r>
        <w:t>2、依法作出的财务状况报告包括经审计的财务报告或银行出具的资信证明或其他会计报表等，能够清晰反映供应商的商业信誉情况；</w:t>
      </w:r>
    </w:p>
    <w:p>
      <w:pPr>
        <w:pStyle w:val="4"/>
        <w:spacing w:before="5"/>
        <w:ind w:left="1098"/>
      </w:pPr>
      <w:r>
        <w:t>3、供应商成立不满一个月的则可以不需要提供其他财务状况报告。</w:t>
      </w:r>
    </w:p>
    <w:p>
      <w:pPr>
        <w:pStyle w:val="3"/>
        <w:spacing w:before="158"/>
        <w:ind w:left="618"/>
      </w:pPr>
      <w:r>
        <w:t>（三）具有履行合同所必需的设备和专业技术能力：</w:t>
      </w:r>
    </w:p>
    <w:p>
      <w:pPr>
        <w:pStyle w:val="4"/>
        <w:spacing w:before="158"/>
        <w:ind w:left="1098"/>
      </w:pPr>
      <w:r>
        <w:t>1、根据项目需求提供履行合同所必需的设备和专业技术能力的证明材料；</w:t>
      </w:r>
    </w:p>
    <w:p>
      <w:pPr>
        <w:pStyle w:val="4"/>
        <w:spacing w:before="160" w:line="364" w:lineRule="auto"/>
        <w:ind w:right="617" w:firstLine="480"/>
        <w:jc w:val="both"/>
      </w:pPr>
      <w:r>
        <w:t>2、可提供与项目实施有关的相关设备购置或租赁票据，或者相关服务人员用工合</w:t>
      </w:r>
      <w:r>
        <w:rPr>
          <w:spacing w:val="-7"/>
        </w:rPr>
        <w:t>同，也可以提供具有履行合同所必需的设备和专业技术能力承诺函</w:t>
      </w:r>
      <w:r>
        <w:t>（</w:t>
      </w:r>
      <w:r>
        <w:rPr>
          <w:spacing w:val="-3"/>
        </w:rPr>
        <w:t>格式自拟并加盖公</w:t>
      </w:r>
      <w:r>
        <w:t>章）。</w:t>
      </w:r>
    </w:p>
    <w:p>
      <w:pPr>
        <w:pStyle w:val="3"/>
        <w:spacing w:line="307" w:lineRule="exact"/>
        <w:ind w:left="618"/>
      </w:pPr>
      <w:r>
        <w:t>（四）有依法缴纳税收和社会保障资金的良好记录：</w:t>
      </w:r>
    </w:p>
    <w:p>
      <w:pPr>
        <w:pStyle w:val="4"/>
        <w:spacing w:before="158" w:line="364" w:lineRule="auto"/>
        <w:ind w:right="618" w:firstLine="480"/>
      </w:pPr>
      <w:r>
        <w:t>1、缴纳税收证明材料：供应商参加磋商活动前六个月内（至少一个月）内缴纳增值税或营业税或企业所得税凭据；</w:t>
      </w:r>
    </w:p>
    <w:p>
      <w:pPr>
        <w:pStyle w:val="4"/>
        <w:spacing w:line="364" w:lineRule="auto"/>
        <w:ind w:right="616" w:firstLine="480"/>
      </w:pPr>
      <w:r>
        <w:t>2、缴纳社会保障资金证明材料：供应商参加磋商活动前六个月内（至少一个月） 内缴纳社会保险的凭据（专用收据或社会保障缴纳清单）；</w:t>
      </w:r>
    </w:p>
    <w:p>
      <w:pPr>
        <w:pStyle w:val="4"/>
        <w:spacing w:line="306" w:lineRule="exact"/>
        <w:ind w:left="1098"/>
      </w:pPr>
      <w:r>
        <w:t>3、依法免税或不需要缴纳社会保障资金的供应商应提供相关证明材料。</w:t>
      </w:r>
    </w:p>
    <w:p>
      <w:pPr>
        <w:spacing w:before="160" w:line="362" w:lineRule="auto"/>
        <w:ind w:left="618" w:right="528" w:firstLine="0"/>
        <w:jc w:val="left"/>
        <w:rPr>
          <w:sz w:val="24"/>
        </w:rPr>
      </w:pPr>
      <w:r>
        <w:rPr>
          <w:b/>
          <w:sz w:val="24"/>
        </w:rPr>
        <w:t>（五）参加磋商活动前三年内，在经营活动中没有重大违法记录</w:t>
      </w:r>
      <w:r>
        <w:rPr>
          <w:sz w:val="24"/>
        </w:rPr>
        <w:t>（提供参加本次磋商活动前3年内在经营活动中没有重大违法记录的书面声明）。</w:t>
      </w:r>
    </w:p>
    <w:p>
      <w:pPr>
        <w:spacing w:after="0" w:line="362" w:lineRule="auto"/>
        <w:jc w:val="left"/>
        <w:rPr>
          <w:sz w:val="24"/>
        </w:rP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pPr>
      <w:r>
        <w:t>无重大违法记录声明格式</w:t>
      </w:r>
    </w:p>
    <w:p>
      <w:pPr>
        <w:pStyle w:val="4"/>
        <w:ind w:left="0"/>
      </w:pPr>
    </w:p>
    <w:p>
      <w:pPr>
        <w:pStyle w:val="4"/>
        <w:spacing w:before="10"/>
        <w:ind w:left="0"/>
      </w:pPr>
    </w:p>
    <w:p>
      <w:pPr>
        <w:pStyle w:val="4"/>
        <w:spacing w:before="1"/>
        <w:rPr>
          <w:rFonts w:hint="eastAsia" w:eastAsia="宋体"/>
          <w:lang w:eastAsia="zh-CN"/>
        </w:rPr>
      </w:pPr>
      <w:r>
        <w:t>致：</w:t>
      </w:r>
      <w:r>
        <w:rPr>
          <w:rFonts w:hint="eastAsia"/>
          <w:lang w:eastAsia="zh-CN"/>
        </w:rPr>
        <w:t>南京市鼓楼区文化和旅游局</w:t>
      </w:r>
    </w:p>
    <w:p>
      <w:pPr>
        <w:pStyle w:val="4"/>
        <w:spacing w:before="160"/>
        <w:ind w:left="1158"/>
        <w:rPr>
          <w:rFonts w:hint="eastAsia" w:eastAsia="宋体"/>
          <w:lang w:eastAsia="zh-CN"/>
        </w:rPr>
      </w:pPr>
      <w:r>
        <w:rPr>
          <w:rFonts w:hint="eastAsia"/>
          <w:lang w:eastAsia="zh-CN"/>
        </w:rPr>
        <w:t>江苏骏通建设项目管理咨询有限公司</w:t>
      </w:r>
    </w:p>
    <w:p>
      <w:pPr>
        <w:pStyle w:val="4"/>
        <w:tabs>
          <w:tab w:val="left" w:pos="4578"/>
        </w:tabs>
        <w:spacing w:before="158"/>
        <w:ind w:left="1098"/>
      </w:pPr>
      <w:r>
        <w:t>我单位</w:t>
      </w:r>
      <w:r>
        <w:rPr>
          <w:u w:val="single"/>
        </w:rPr>
        <w:t xml:space="preserve"> </w:t>
      </w:r>
      <w:r>
        <w:rPr>
          <w:u w:val="single"/>
        </w:rPr>
        <w:tab/>
      </w:r>
      <w:r>
        <w:t>（供应商名称）郑重声明：</w:t>
      </w:r>
    </w:p>
    <w:p>
      <w:pPr>
        <w:pStyle w:val="4"/>
        <w:tabs>
          <w:tab w:val="left" w:pos="5898"/>
        </w:tabs>
        <w:spacing w:before="161" w:line="362" w:lineRule="auto"/>
        <w:ind w:right="565" w:firstLine="480"/>
      </w:pPr>
      <w:r>
        <w:t>参加磋商活动前</w:t>
      </w:r>
      <w:r>
        <w:rPr>
          <w:spacing w:val="-61"/>
        </w:rPr>
        <w:t xml:space="preserve"> </w:t>
      </w:r>
      <w:r>
        <w:t>3</w:t>
      </w:r>
      <w:r>
        <w:rPr>
          <w:spacing w:val="-60"/>
        </w:rPr>
        <w:t xml:space="preserve"> </w:t>
      </w:r>
      <w:r>
        <w:t>年内在经营活动中</w:t>
      </w:r>
      <w:r>
        <w:rPr>
          <w:u w:val="single"/>
        </w:rPr>
        <w:t xml:space="preserve"> </w:t>
      </w:r>
      <w:r>
        <w:rPr>
          <w:u w:val="single"/>
        </w:rPr>
        <w:tab/>
      </w:r>
      <w:r>
        <w:t>（在下划线上如实填写：有或没有</w:t>
      </w:r>
      <w:r>
        <w:rPr>
          <w:spacing w:val="-16"/>
        </w:rPr>
        <w:t xml:space="preserve">） </w:t>
      </w:r>
      <w:r>
        <w:t>重大违法记录。</w:t>
      </w:r>
    </w:p>
    <w:p>
      <w:pPr>
        <w:pStyle w:val="4"/>
        <w:spacing w:before="5" w:line="362" w:lineRule="auto"/>
        <w:ind w:right="617" w:firstLine="480"/>
      </w:pPr>
      <w:r>
        <w:t>（</w:t>
      </w:r>
      <w:r>
        <w:rPr>
          <w:spacing w:val="-7"/>
        </w:rPr>
        <w:t>说明：重大违法记录是指供应商因违法经营受到刑事处罚或者责令停产停业、吊</w:t>
      </w:r>
      <w:r>
        <w:t>销许可证或者执照、较大数额罚款等行政处罚。）</w:t>
      </w:r>
    </w:p>
    <w:p>
      <w:pPr>
        <w:pStyle w:val="4"/>
        <w:tabs>
          <w:tab w:val="left" w:pos="5298"/>
          <w:tab w:val="left" w:pos="6018"/>
        </w:tabs>
        <w:spacing w:before="5" w:line="362" w:lineRule="auto"/>
        <w:ind w:left="4458" w:right="3925"/>
      </w:pPr>
      <w:r>
        <w:t>声明人：（盖章</w:t>
      </w:r>
      <w:r>
        <w:rPr>
          <w:spacing w:val="-17"/>
        </w:rPr>
        <w:t xml:space="preserve">） </w:t>
      </w:r>
      <w:r>
        <w:t>年</w:t>
      </w:r>
      <w:r>
        <w:tab/>
      </w:r>
      <w:r>
        <w:t>月</w:t>
      </w:r>
      <w:r>
        <w:tab/>
      </w:r>
      <w:r>
        <w:t>日</w:t>
      </w:r>
    </w:p>
    <w:p>
      <w:pPr>
        <w:pStyle w:val="4"/>
        <w:ind w:left="0"/>
      </w:pPr>
    </w:p>
    <w:p>
      <w:pPr>
        <w:pStyle w:val="4"/>
        <w:ind w:left="0"/>
      </w:pPr>
    </w:p>
    <w:p>
      <w:pPr>
        <w:pStyle w:val="4"/>
        <w:ind w:left="0"/>
      </w:pPr>
    </w:p>
    <w:p>
      <w:pPr>
        <w:pStyle w:val="4"/>
        <w:ind w:left="0"/>
      </w:pPr>
    </w:p>
    <w:p>
      <w:pPr>
        <w:pStyle w:val="4"/>
        <w:spacing w:before="176" w:line="362" w:lineRule="auto"/>
        <w:ind w:left="832" w:right="833"/>
        <w:jc w:val="center"/>
        <w:rPr>
          <w:rFonts w:hint="eastAsia" w:ascii="黑体" w:eastAsia="黑体"/>
        </w:rPr>
      </w:pPr>
      <w:r>
        <w:rPr>
          <w:rFonts w:hint="eastAsia" w:ascii="黑体" w:eastAsia="黑体"/>
          <w:spacing w:val="-5"/>
        </w:rPr>
        <w:t xml:space="preserve">五、第一章竞争性磋商邀请 </w:t>
      </w:r>
      <w:r>
        <w:rPr>
          <w:rFonts w:hint="eastAsia" w:ascii="黑体" w:eastAsia="黑体"/>
        </w:rPr>
        <w:t>3.2</w:t>
      </w:r>
      <w:r>
        <w:rPr>
          <w:rFonts w:hint="eastAsia" w:ascii="黑体" w:eastAsia="黑体"/>
          <w:spacing w:val="-9"/>
        </w:rPr>
        <w:t xml:space="preserve"> 采购人根据磋商项目的特殊要求规定的特定条件的</w:t>
      </w:r>
      <w:r>
        <w:rPr>
          <w:rFonts w:hint="eastAsia" w:ascii="黑体" w:eastAsia="黑体"/>
        </w:rPr>
        <w:t>证明文件</w:t>
      </w:r>
    </w:p>
    <w:p>
      <w:pPr>
        <w:pStyle w:val="4"/>
        <w:ind w:left="0"/>
        <w:rPr>
          <w:rFonts w:ascii="黑体"/>
        </w:rPr>
      </w:pPr>
    </w:p>
    <w:p>
      <w:pPr>
        <w:pStyle w:val="4"/>
        <w:spacing w:before="163" w:line="362" w:lineRule="auto"/>
        <w:ind w:right="617" w:firstLine="480"/>
      </w:pPr>
      <w:r>
        <w:rPr>
          <w:spacing w:val="-7"/>
        </w:rPr>
        <w:t>注：供应商应当按照磋商文件规定的要求提供相关证明材料，如未做要求，则可以</w:t>
      </w:r>
      <w:r>
        <w:t>不予提供。</w:t>
      </w:r>
    </w:p>
    <w:p>
      <w:pPr>
        <w:spacing w:after="0" w:line="362" w:lineRule="auto"/>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ind w:left="0"/>
        <w:rPr>
          <w:sz w:val="20"/>
        </w:rPr>
      </w:pPr>
    </w:p>
    <w:p>
      <w:pPr>
        <w:pStyle w:val="4"/>
        <w:spacing w:before="11"/>
        <w:ind w:left="0"/>
        <w:rPr>
          <w:sz w:val="15"/>
        </w:rPr>
      </w:pPr>
    </w:p>
    <w:p>
      <w:pPr>
        <w:pStyle w:val="4"/>
        <w:spacing w:before="67"/>
        <w:ind w:left="0" w:right="1"/>
        <w:jc w:val="center"/>
        <w:rPr>
          <w:rFonts w:hint="eastAsia" w:ascii="黑体" w:eastAsia="黑体"/>
        </w:rPr>
      </w:pPr>
      <w:r>
        <w:rPr>
          <w:rFonts w:hint="eastAsia" w:ascii="黑体" w:eastAsia="黑体"/>
        </w:rPr>
        <w:t>六、第三章成交标准要求提供的方案或相关证明材料等</w:t>
      </w:r>
    </w:p>
    <w:p>
      <w:pPr>
        <w:pStyle w:val="4"/>
        <w:ind w:left="0"/>
        <w:rPr>
          <w:rFonts w:ascii="黑体"/>
        </w:rPr>
      </w:pPr>
    </w:p>
    <w:p>
      <w:pPr>
        <w:pStyle w:val="4"/>
        <w:ind w:left="0"/>
        <w:rPr>
          <w:rFonts w:ascii="黑体"/>
          <w:sz w:val="25"/>
        </w:rPr>
      </w:pPr>
    </w:p>
    <w:p>
      <w:pPr>
        <w:pStyle w:val="4"/>
        <w:spacing w:line="364" w:lineRule="auto"/>
        <w:ind w:right="497" w:firstLine="480"/>
      </w:pPr>
      <w:r>
        <w:rPr>
          <w:spacing w:val="-7"/>
        </w:rPr>
        <w:t>注：各供应商根据企业自身实际情况以及对本项目的理解，并结合磋商文件第三章</w:t>
      </w:r>
      <w:r>
        <w:rPr>
          <w:spacing w:val="-16"/>
        </w:rPr>
        <w:t xml:space="preserve">成交标准中各评审因素提供相关证明文件，格式自拟，证明文件包括但不限于以下内容： </w:t>
      </w:r>
      <w:r>
        <w:t>各方案要求、相关业绩、荣誉，以及成交标准要求的其他相关证明文件。</w:t>
      </w:r>
    </w:p>
    <w:p>
      <w:pPr>
        <w:pStyle w:val="4"/>
        <w:ind w:left="0"/>
      </w:pPr>
    </w:p>
    <w:p>
      <w:pPr>
        <w:pStyle w:val="4"/>
        <w:ind w:left="0"/>
      </w:pPr>
    </w:p>
    <w:p>
      <w:pPr>
        <w:pStyle w:val="4"/>
        <w:ind w:left="0"/>
      </w:pPr>
    </w:p>
    <w:p>
      <w:pPr>
        <w:pStyle w:val="4"/>
        <w:ind w:left="0"/>
      </w:pPr>
    </w:p>
    <w:p>
      <w:pPr>
        <w:pStyle w:val="4"/>
        <w:spacing w:before="169"/>
        <w:ind w:left="0" w:right="1"/>
        <w:jc w:val="center"/>
        <w:rPr>
          <w:rFonts w:hint="eastAsia" w:ascii="黑体" w:eastAsia="黑体"/>
        </w:rPr>
      </w:pPr>
      <w:r>
        <w:rPr>
          <w:rFonts w:hint="eastAsia" w:ascii="黑体" w:eastAsia="黑体"/>
        </w:rPr>
        <w:t>七、</w:t>
      </w:r>
      <w:r>
        <w:rPr>
          <w:rFonts w:hint="eastAsia" w:ascii="黑体" w:eastAsia="黑体"/>
          <w:lang w:eastAsia="zh-CN"/>
        </w:rPr>
        <w:t>服务</w:t>
      </w:r>
      <w:r>
        <w:rPr>
          <w:rFonts w:hint="eastAsia" w:ascii="黑体" w:eastAsia="黑体"/>
        </w:rPr>
        <w:t>方案</w:t>
      </w:r>
    </w:p>
    <w:p>
      <w:pPr>
        <w:pStyle w:val="4"/>
        <w:ind w:left="0"/>
        <w:rPr>
          <w:rFonts w:ascii="黑体"/>
        </w:rPr>
      </w:pPr>
    </w:p>
    <w:p>
      <w:pPr>
        <w:pStyle w:val="4"/>
        <w:spacing w:before="11"/>
        <w:ind w:left="0"/>
        <w:rPr>
          <w:rFonts w:ascii="黑体"/>
        </w:rPr>
      </w:pPr>
    </w:p>
    <w:p>
      <w:pPr>
        <w:pStyle w:val="4"/>
        <w:spacing w:line="364" w:lineRule="auto"/>
        <w:ind w:right="497" w:firstLine="480"/>
      </w:pPr>
      <w:r>
        <w:rPr>
          <w:spacing w:val="-15"/>
        </w:rPr>
        <w:t xml:space="preserve">注：服务方案是证明供应商提供的服务是合格的、并符合磋商文件要求的证明文件， </w:t>
      </w:r>
      <w:r>
        <w:t>服务方案包括但不限于：服务内容的详细说明、项目实施方案、验收标准、技术资料、</w:t>
      </w:r>
      <w:r>
        <w:rPr>
          <w:spacing w:val="-4"/>
        </w:rPr>
        <w:t>服务承诺等，这些文件可以是文字资料方案、图纸</w:t>
      </w:r>
      <w:r>
        <w:t>（表</w:t>
      </w:r>
      <w:r>
        <w:rPr>
          <w:spacing w:val="-10"/>
        </w:rPr>
        <w:t>）</w:t>
      </w:r>
      <w:r>
        <w:rPr>
          <w:spacing w:val="-2"/>
        </w:rPr>
        <w:t>和数据等。各供应商根据企业自身情况及对磋商文件响应程度进行编制响应文件，格式自拟。</w:t>
      </w:r>
    </w:p>
    <w:p>
      <w:pPr>
        <w:spacing w:after="0" w:line="364" w:lineRule="auto"/>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4"/>
        <w:spacing w:before="61"/>
        <w:ind w:left="0" w:right="1"/>
        <w:jc w:val="center"/>
        <w:rPr>
          <w:rFonts w:hint="eastAsia" w:ascii="黑体" w:eastAsia="黑体"/>
        </w:rPr>
      </w:pPr>
      <w:bookmarkStart w:id="540" w:name="（三）商务条款偏离表格式"/>
      <w:bookmarkEnd w:id="540"/>
      <w:r>
        <w:rPr>
          <w:rFonts w:hint="eastAsia" w:ascii="黑体" w:eastAsia="黑体"/>
        </w:rPr>
        <w:t>八、表格格式（仅供参考，可按需调整或删除）</w:t>
      </w:r>
    </w:p>
    <w:p>
      <w:pPr>
        <w:pStyle w:val="3"/>
        <w:spacing w:before="158"/>
        <w:ind w:left="9"/>
        <w:jc w:val="center"/>
      </w:pPr>
      <w:r>
        <w:t>（一）报价表格式（首次报价）</w:t>
      </w:r>
    </w:p>
    <w:p>
      <w:pPr>
        <w:pStyle w:val="4"/>
        <w:tabs>
          <w:tab w:val="left" w:pos="6697"/>
        </w:tabs>
        <w:spacing w:before="160"/>
        <w:ind w:left="716"/>
      </w:pPr>
      <w:r>
        <w:t>项目名称：</w:t>
      </w:r>
      <w:r>
        <w:tab/>
      </w:r>
      <w:r>
        <w:t>项目编号:</w:t>
      </w:r>
    </w:p>
    <w:p>
      <w:pPr>
        <w:pStyle w:val="4"/>
        <w:spacing w:before="5"/>
        <w:ind w:left="0"/>
        <w:rPr>
          <w:sz w:val="12"/>
        </w:rPr>
      </w:pPr>
    </w:p>
    <w:tbl>
      <w:tblPr>
        <w:tblStyle w:val="9"/>
        <w:tblW w:w="9243" w:type="dxa"/>
        <w:tblInd w:w="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0"/>
        <w:gridCol w:w="2125"/>
        <w:gridCol w:w="2302"/>
        <w:gridCol w:w="2122"/>
        <w:gridCol w:w="1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090" w:type="dxa"/>
          </w:tcPr>
          <w:p>
            <w:pPr>
              <w:pStyle w:val="13"/>
              <w:spacing w:before="1"/>
              <w:ind w:left="303"/>
              <w:rPr>
                <w:sz w:val="24"/>
              </w:rPr>
            </w:pPr>
            <w:r>
              <w:rPr>
                <w:sz w:val="24"/>
              </w:rPr>
              <w:t>序号</w:t>
            </w:r>
          </w:p>
        </w:tc>
        <w:tc>
          <w:tcPr>
            <w:tcW w:w="4427" w:type="dxa"/>
            <w:gridSpan w:val="2"/>
          </w:tcPr>
          <w:p>
            <w:pPr>
              <w:pStyle w:val="13"/>
              <w:tabs>
                <w:tab w:val="left" w:pos="3113"/>
              </w:tabs>
              <w:spacing w:before="1"/>
              <w:ind w:left="1073"/>
              <w:rPr>
                <w:sz w:val="24"/>
              </w:rPr>
            </w:pPr>
            <w:r>
              <w:rPr>
                <w:sz w:val="24"/>
              </w:rPr>
              <w:t>名</w:t>
            </w:r>
            <w:r>
              <w:rPr>
                <w:sz w:val="24"/>
              </w:rPr>
              <w:tab/>
            </w:r>
            <w:r>
              <w:rPr>
                <w:sz w:val="24"/>
              </w:rPr>
              <w:t>称</w:t>
            </w:r>
          </w:p>
        </w:tc>
        <w:tc>
          <w:tcPr>
            <w:tcW w:w="2122" w:type="dxa"/>
          </w:tcPr>
          <w:p>
            <w:pPr>
              <w:pStyle w:val="13"/>
              <w:spacing w:before="1"/>
              <w:ind w:left="460"/>
              <w:rPr>
                <w:sz w:val="24"/>
              </w:rPr>
            </w:pPr>
            <w:r>
              <w:rPr>
                <w:sz w:val="24"/>
              </w:rPr>
              <w:t>报价（元）</w:t>
            </w:r>
          </w:p>
        </w:tc>
        <w:tc>
          <w:tcPr>
            <w:tcW w:w="1604" w:type="dxa"/>
          </w:tcPr>
          <w:p>
            <w:pPr>
              <w:pStyle w:val="13"/>
              <w:spacing w:before="1"/>
              <w:ind w:left="540" w:right="528"/>
              <w:jc w:val="center"/>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090" w:type="dxa"/>
          </w:tcPr>
          <w:p>
            <w:pPr>
              <w:pStyle w:val="13"/>
              <w:rPr>
                <w:rFonts w:ascii="Times New Roman"/>
                <w:sz w:val="22"/>
              </w:rPr>
            </w:pPr>
          </w:p>
        </w:tc>
        <w:tc>
          <w:tcPr>
            <w:tcW w:w="4427" w:type="dxa"/>
            <w:gridSpan w:val="2"/>
          </w:tcPr>
          <w:p>
            <w:pPr>
              <w:pStyle w:val="13"/>
              <w:rPr>
                <w:rFonts w:ascii="Times New Roman"/>
                <w:sz w:val="22"/>
              </w:rPr>
            </w:pPr>
          </w:p>
        </w:tc>
        <w:tc>
          <w:tcPr>
            <w:tcW w:w="2122" w:type="dxa"/>
          </w:tcPr>
          <w:p>
            <w:pPr>
              <w:pStyle w:val="13"/>
              <w:rPr>
                <w:rFonts w:ascii="Times New Roman"/>
                <w:sz w:val="22"/>
              </w:rPr>
            </w:pPr>
          </w:p>
        </w:tc>
        <w:tc>
          <w:tcPr>
            <w:tcW w:w="1604"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090" w:type="dxa"/>
          </w:tcPr>
          <w:p>
            <w:pPr>
              <w:pStyle w:val="13"/>
              <w:rPr>
                <w:rFonts w:ascii="Times New Roman"/>
                <w:sz w:val="22"/>
              </w:rPr>
            </w:pPr>
          </w:p>
        </w:tc>
        <w:tc>
          <w:tcPr>
            <w:tcW w:w="4427" w:type="dxa"/>
            <w:gridSpan w:val="2"/>
          </w:tcPr>
          <w:p>
            <w:pPr>
              <w:pStyle w:val="13"/>
              <w:rPr>
                <w:rFonts w:ascii="Times New Roman"/>
                <w:sz w:val="22"/>
              </w:rPr>
            </w:pPr>
          </w:p>
        </w:tc>
        <w:tc>
          <w:tcPr>
            <w:tcW w:w="2122" w:type="dxa"/>
          </w:tcPr>
          <w:p>
            <w:pPr>
              <w:pStyle w:val="13"/>
              <w:rPr>
                <w:rFonts w:ascii="Times New Roman"/>
                <w:sz w:val="22"/>
              </w:rPr>
            </w:pPr>
          </w:p>
        </w:tc>
        <w:tc>
          <w:tcPr>
            <w:tcW w:w="1604"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3215" w:type="dxa"/>
            <w:gridSpan w:val="2"/>
          </w:tcPr>
          <w:p>
            <w:pPr>
              <w:pStyle w:val="13"/>
              <w:spacing w:before="1"/>
              <w:ind w:left="406"/>
              <w:rPr>
                <w:sz w:val="24"/>
              </w:rPr>
            </w:pPr>
            <w:r>
              <w:rPr>
                <w:sz w:val="24"/>
              </w:rPr>
              <w:t>总价（人民币，大写）</w:t>
            </w:r>
          </w:p>
        </w:tc>
        <w:tc>
          <w:tcPr>
            <w:tcW w:w="6028" w:type="dxa"/>
            <w:gridSpan w:val="3"/>
          </w:tcPr>
          <w:p>
            <w:pPr>
              <w:pStyle w:val="13"/>
              <w:spacing w:before="1"/>
              <w:ind w:right="596"/>
              <w:jc w:val="right"/>
              <w:rPr>
                <w:sz w:val="24"/>
              </w:rPr>
            </w:pPr>
            <w:r>
              <w:rPr>
                <w:sz w:val="24"/>
              </w:rPr>
              <w:t>元</w:t>
            </w:r>
          </w:p>
        </w:tc>
      </w:tr>
    </w:tbl>
    <w:p>
      <w:pPr>
        <w:pStyle w:val="4"/>
        <w:ind w:left="0"/>
      </w:pPr>
    </w:p>
    <w:p>
      <w:pPr>
        <w:pStyle w:val="4"/>
        <w:tabs>
          <w:tab w:val="left" w:pos="7578"/>
        </w:tabs>
        <w:spacing w:before="162"/>
      </w:pPr>
      <w:r>
        <w:t>供应商名称:</w:t>
      </w:r>
      <w:r>
        <w:rPr>
          <w:u w:val="single"/>
        </w:rPr>
        <w:t xml:space="preserve"> </w:t>
      </w:r>
      <w:r>
        <w:rPr>
          <w:u w:val="single"/>
        </w:rPr>
        <w:tab/>
      </w:r>
      <w:r>
        <w:t>（盖章）</w:t>
      </w:r>
    </w:p>
    <w:p>
      <w:pPr>
        <w:pStyle w:val="4"/>
        <w:ind w:left="0"/>
        <w:rPr>
          <w:sz w:val="26"/>
        </w:rPr>
      </w:pPr>
    </w:p>
    <w:p>
      <w:pPr>
        <w:pStyle w:val="4"/>
        <w:spacing w:before="9"/>
        <w:ind w:left="0"/>
        <w:rPr>
          <w:sz w:val="22"/>
        </w:rPr>
      </w:pPr>
    </w:p>
    <w:p>
      <w:pPr>
        <w:pStyle w:val="3"/>
        <w:ind w:left="5"/>
        <w:jc w:val="center"/>
      </w:pPr>
      <w:r>
        <w:t>（二）分项报价表格式</w:t>
      </w:r>
    </w:p>
    <w:p>
      <w:pPr>
        <w:spacing w:after="0"/>
        <w:jc w:val="center"/>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spacing w:before="160"/>
        <w:ind w:left="618" w:right="0" w:firstLine="0"/>
        <w:jc w:val="left"/>
        <w:rPr>
          <w:rFonts w:hint="eastAsia" w:eastAsia="宋体"/>
          <w:b/>
          <w:sz w:val="20"/>
          <w:lang w:eastAsia="zh-CN"/>
        </w:rPr>
      </w:pPr>
      <w:r>
        <w:rPr>
          <w:b/>
          <w:sz w:val="20"/>
        </w:rPr>
        <w:t>附件四：分项报价表格式</w:t>
      </w:r>
      <w:r>
        <w:rPr>
          <w:rFonts w:hint="eastAsia"/>
          <w:b/>
          <w:sz w:val="20"/>
          <w:lang w:eastAsia="zh-CN"/>
        </w:rPr>
        <w:t>（详见工程量清单）</w:t>
      </w:r>
    </w:p>
    <w:p>
      <w:pPr>
        <w:pStyle w:val="4"/>
        <w:spacing w:before="10"/>
        <w:ind w:left="0"/>
        <w:rPr>
          <w:b/>
          <w:sz w:val="32"/>
        </w:rPr>
      </w:pPr>
      <w:r>
        <w:br w:type="column"/>
      </w:r>
    </w:p>
    <w:p>
      <w:pPr>
        <w:spacing w:before="0"/>
        <w:ind w:left="618" w:right="0" w:firstLine="0"/>
        <w:jc w:val="left"/>
        <w:rPr>
          <w:rFonts w:hint="eastAsia" w:ascii="黑体" w:eastAsia="黑体"/>
          <w:sz w:val="36"/>
        </w:rPr>
      </w:pPr>
      <w:r>
        <w:rPr>
          <w:rFonts w:hint="eastAsia" w:ascii="黑体" w:eastAsia="黑体"/>
          <w:sz w:val="36"/>
        </w:rPr>
        <w:t>分项报价表</w:t>
      </w:r>
    </w:p>
    <w:p>
      <w:pPr>
        <w:spacing w:after="0"/>
        <w:jc w:val="left"/>
        <w:rPr>
          <w:rFonts w:hint="eastAsia" w:ascii="黑体" w:eastAsia="黑体"/>
          <w:sz w:val="36"/>
        </w:rPr>
        <w:sectPr>
          <w:type w:val="continuous"/>
          <w:pgSz w:w="11910" w:h="16840"/>
          <w:pgMar w:top="1580" w:right="800" w:bottom="280" w:left="800" w:header="720" w:footer="720" w:gutter="0"/>
          <w:pgBorders>
            <w:top w:val="none" w:sz="0" w:space="0"/>
            <w:left w:val="none" w:sz="0" w:space="0"/>
            <w:bottom w:val="none" w:sz="0" w:space="0"/>
            <w:right w:val="none" w:sz="0" w:space="0"/>
          </w:pgBorders>
          <w:pgNumType w:fmt="decimal"/>
          <w:cols w:equalWidth="0" w:num="2">
            <w:col w:w="2867" w:space="748"/>
            <w:col w:w="6695"/>
          </w:cols>
        </w:sectPr>
      </w:pPr>
    </w:p>
    <w:p>
      <w:pPr>
        <w:tabs>
          <w:tab w:val="left" w:pos="7352"/>
        </w:tabs>
        <w:spacing w:before="30" w:line="156" w:lineRule="auto"/>
        <w:ind w:left="618" w:right="0" w:firstLine="0"/>
        <w:jc w:val="left"/>
        <w:rPr>
          <w:sz w:val="20"/>
        </w:rPr>
      </w:pPr>
      <w:r>
        <w:rPr>
          <w:position w:val="-12"/>
          <w:sz w:val="20"/>
        </w:rPr>
        <w:t>项目名称：</w:t>
      </w:r>
      <w:r>
        <w:rPr>
          <w:position w:val="-12"/>
          <w:sz w:val="20"/>
        </w:rPr>
        <w:tab/>
      </w:r>
      <w:r>
        <w:rPr>
          <w:sz w:val="20"/>
        </w:rPr>
        <w:t>项目编号：</w:t>
      </w:r>
    </w:p>
    <w:p>
      <w:pPr>
        <w:spacing w:before="0" w:after="2" w:line="193" w:lineRule="exact"/>
        <w:ind w:left="0" w:right="1351" w:firstLine="0"/>
        <w:jc w:val="right"/>
        <w:rPr>
          <w:rFonts w:hint="eastAsia" w:eastAsia="宋体"/>
          <w:sz w:val="20"/>
          <w:lang w:eastAsia="zh-CN"/>
        </w:rPr>
      </w:pPr>
      <w:r>
        <w:rPr>
          <w:rFonts w:hint="eastAsia"/>
          <w:w w:val="95"/>
          <w:sz w:val="20"/>
          <w:lang w:eastAsia="zh-CN"/>
        </w:rPr>
        <w:t>STZ2019123</w:t>
      </w:r>
    </w:p>
    <w:tbl>
      <w:tblPr>
        <w:tblStyle w:val="9"/>
        <w:tblW w:w="9286"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996"/>
        <w:gridCol w:w="3786"/>
        <w:gridCol w:w="170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39" w:type="dxa"/>
          </w:tcPr>
          <w:p>
            <w:pPr>
              <w:pStyle w:val="13"/>
              <w:spacing w:before="130"/>
              <w:ind w:left="117"/>
              <w:rPr>
                <w:sz w:val="20"/>
              </w:rPr>
            </w:pPr>
            <w:r>
              <w:rPr>
                <w:sz w:val="20"/>
              </w:rPr>
              <w:t>序号</w:t>
            </w:r>
          </w:p>
        </w:tc>
        <w:tc>
          <w:tcPr>
            <w:tcW w:w="1996" w:type="dxa"/>
          </w:tcPr>
          <w:p>
            <w:pPr>
              <w:pStyle w:val="13"/>
              <w:spacing w:before="130"/>
              <w:ind w:left="777" w:right="768"/>
              <w:jc w:val="center"/>
              <w:rPr>
                <w:sz w:val="20"/>
              </w:rPr>
            </w:pPr>
            <w:r>
              <w:rPr>
                <w:sz w:val="20"/>
              </w:rPr>
              <w:t>名称</w:t>
            </w:r>
          </w:p>
        </w:tc>
        <w:tc>
          <w:tcPr>
            <w:tcW w:w="3786" w:type="dxa"/>
          </w:tcPr>
          <w:p>
            <w:pPr>
              <w:pStyle w:val="13"/>
              <w:spacing w:before="130"/>
              <w:ind w:left="691"/>
              <w:rPr>
                <w:sz w:val="20"/>
              </w:rPr>
            </w:pPr>
            <w:r>
              <w:rPr>
                <w:sz w:val="20"/>
              </w:rPr>
              <w:t>品牌、规格或型号或分项目</w:t>
            </w:r>
          </w:p>
        </w:tc>
        <w:tc>
          <w:tcPr>
            <w:tcW w:w="1702" w:type="dxa"/>
          </w:tcPr>
          <w:p>
            <w:pPr>
              <w:pStyle w:val="13"/>
              <w:ind w:left="129" w:right="117"/>
              <w:jc w:val="center"/>
              <w:rPr>
                <w:b/>
                <w:sz w:val="20"/>
              </w:rPr>
            </w:pPr>
            <w:r>
              <w:rPr>
                <w:b/>
                <w:sz w:val="20"/>
              </w:rPr>
              <w:t>是否属于小、微</w:t>
            </w:r>
          </w:p>
          <w:p>
            <w:pPr>
              <w:pStyle w:val="13"/>
              <w:spacing w:before="3" w:line="238" w:lineRule="exact"/>
              <w:ind w:left="129" w:right="117"/>
              <w:jc w:val="center"/>
              <w:rPr>
                <w:b/>
                <w:sz w:val="20"/>
              </w:rPr>
            </w:pPr>
            <w:r>
              <w:rPr>
                <w:b/>
                <w:sz w:val="20"/>
              </w:rPr>
              <w:t>型企业的产品</w:t>
            </w:r>
          </w:p>
        </w:tc>
        <w:tc>
          <w:tcPr>
            <w:tcW w:w="1163" w:type="dxa"/>
          </w:tcPr>
          <w:p>
            <w:pPr>
              <w:pStyle w:val="13"/>
              <w:spacing w:before="130"/>
              <w:ind w:left="109"/>
              <w:rPr>
                <w:b/>
                <w:sz w:val="20"/>
              </w:rPr>
            </w:pPr>
            <w:r>
              <w:rPr>
                <w:sz w:val="20"/>
              </w:rPr>
              <w:t>单价</w:t>
            </w:r>
            <w:r>
              <w:rPr>
                <w:b/>
                <w:sz w:val="20"/>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39" w:type="dxa"/>
          </w:tcPr>
          <w:p>
            <w:pPr>
              <w:pStyle w:val="13"/>
              <w:rPr>
                <w:rFonts w:ascii="Times New Roman"/>
                <w:sz w:val="18"/>
              </w:rPr>
            </w:pPr>
          </w:p>
        </w:tc>
        <w:tc>
          <w:tcPr>
            <w:tcW w:w="1996" w:type="dxa"/>
          </w:tcPr>
          <w:p>
            <w:pPr>
              <w:pStyle w:val="13"/>
              <w:rPr>
                <w:rFonts w:ascii="Times New Roman"/>
                <w:sz w:val="18"/>
              </w:rPr>
            </w:pPr>
          </w:p>
        </w:tc>
        <w:tc>
          <w:tcPr>
            <w:tcW w:w="3786" w:type="dxa"/>
          </w:tcPr>
          <w:p>
            <w:pPr>
              <w:pStyle w:val="13"/>
              <w:rPr>
                <w:rFonts w:ascii="Times New Roman"/>
                <w:sz w:val="18"/>
              </w:rPr>
            </w:pPr>
          </w:p>
        </w:tc>
        <w:tc>
          <w:tcPr>
            <w:tcW w:w="1702" w:type="dxa"/>
          </w:tcPr>
          <w:p>
            <w:pPr>
              <w:pStyle w:val="13"/>
              <w:rPr>
                <w:rFonts w:ascii="Times New Roman"/>
                <w:sz w:val="18"/>
              </w:rPr>
            </w:pPr>
          </w:p>
        </w:tc>
        <w:tc>
          <w:tcPr>
            <w:tcW w:w="1163" w:type="dxa"/>
          </w:tcPr>
          <w:p>
            <w:pPr>
              <w:pStyle w:val="13"/>
              <w:rPr>
                <w:rFonts w:ascii="Times New Roman"/>
                <w:sz w:val="18"/>
              </w:rPr>
            </w:pPr>
          </w:p>
        </w:tc>
      </w:tr>
    </w:tbl>
    <w:p>
      <w:pPr>
        <w:tabs>
          <w:tab w:val="left" w:pos="7218"/>
        </w:tabs>
        <w:spacing w:before="0"/>
        <w:ind w:left="618" w:right="0" w:firstLine="0"/>
        <w:jc w:val="left"/>
        <w:rPr>
          <w:sz w:val="20"/>
        </w:rPr>
      </w:pPr>
      <w:r>
        <w:rPr>
          <w:sz w:val="20"/>
        </w:rPr>
        <w:t>供应商名称：</w:t>
      </w:r>
      <w:r>
        <w:rPr>
          <w:sz w:val="20"/>
          <w:u w:val="single"/>
        </w:rPr>
        <w:t xml:space="preserve"> </w:t>
      </w:r>
      <w:r>
        <w:rPr>
          <w:sz w:val="20"/>
          <w:u w:val="single"/>
        </w:rPr>
        <w:tab/>
      </w:r>
      <w:r>
        <w:rPr>
          <w:sz w:val="20"/>
        </w:rPr>
        <w:t>（盖章）</w:t>
      </w:r>
    </w:p>
    <w:p>
      <w:pPr>
        <w:pStyle w:val="4"/>
        <w:spacing w:before="4"/>
      </w:pPr>
      <w:r>
        <w:t>说明：1、如果行数不够，请自行增加。</w:t>
      </w:r>
    </w:p>
    <w:p>
      <w:pPr>
        <w:pStyle w:val="4"/>
        <w:spacing w:before="158" w:line="364" w:lineRule="auto"/>
        <w:ind w:right="685" w:firstLine="720"/>
      </w:pPr>
      <w:r>
        <w:t>2、经磋商后，如果成交价高于或低于投标人在响应文件首次报价的，分项报价同比例调整。</w:t>
      </w:r>
    </w:p>
    <w:p>
      <w:pPr>
        <w:pStyle w:val="4"/>
        <w:tabs>
          <w:tab w:val="left" w:pos="8538"/>
        </w:tabs>
        <w:spacing w:before="1"/>
      </w:pPr>
      <w:r>
        <w:t>投标人名称：</w:t>
      </w:r>
      <w:r>
        <w:rPr>
          <w:u w:val="single"/>
        </w:rPr>
        <w:t xml:space="preserve"> </w:t>
      </w:r>
      <w:r>
        <w:rPr>
          <w:u w:val="single"/>
        </w:rPr>
        <w:tab/>
      </w:r>
      <w:r>
        <w:t>（盖章）</w:t>
      </w:r>
    </w:p>
    <w:p>
      <w:pPr>
        <w:spacing w:after="0"/>
        <w:sectPr>
          <w:type w:val="continuous"/>
          <w:pgSz w:w="11910" w:h="16840"/>
          <w:pgMar w:top="1580" w:right="800" w:bottom="280" w:left="800" w:header="720" w:footer="720" w:gutter="0"/>
          <w:pgBorders>
            <w:top w:val="none" w:sz="0" w:space="0"/>
            <w:left w:val="none" w:sz="0" w:space="0"/>
            <w:bottom w:val="none" w:sz="0" w:space="0"/>
            <w:right w:val="none" w:sz="0" w:space="0"/>
          </w:pgBorders>
          <w:pgNumType w:fmt="decimal"/>
        </w:sectPr>
      </w:pPr>
    </w:p>
    <w:p>
      <w:pPr>
        <w:pStyle w:val="3"/>
        <w:spacing w:before="61"/>
        <w:ind w:left="429"/>
        <w:jc w:val="center"/>
      </w:pPr>
      <w:r>
        <w:t>（三）商务条款偏离表格式</w:t>
      </w:r>
    </w:p>
    <w:p>
      <w:pPr>
        <w:pStyle w:val="4"/>
        <w:tabs>
          <w:tab w:val="left" w:pos="6882"/>
        </w:tabs>
        <w:spacing w:before="158"/>
        <w:ind w:left="544"/>
      </w:pPr>
      <w:r>
        <w:t>项目名称：</w:t>
      </w:r>
      <w:r>
        <w:tab/>
      </w:r>
      <w:r>
        <w:t>项目编号：</w:t>
      </w:r>
    </w:p>
    <w:p>
      <w:pPr>
        <w:pStyle w:val="4"/>
        <w:spacing w:before="5"/>
        <w:ind w:left="0"/>
        <w:rPr>
          <w:sz w:val="12"/>
        </w:rPr>
      </w:pPr>
    </w:p>
    <w:tbl>
      <w:tblPr>
        <w:tblStyle w:val="9"/>
        <w:tblW w:w="9216" w:type="dxa"/>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1620"/>
        <w:gridCol w:w="2700"/>
        <w:gridCol w:w="322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51" w:type="dxa"/>
          </w:tcPr>
          <w:p>
            <w:pPr>
              <w:pStyle w:val="13"/>
              <w:spacing w:before="2"/>
              <w:rPr>
                <w:sz w:val="18"/>
              </w:rPr>
            </w:pPr>
          </w:p>
          <w:p>
            <w:pPr>
              <w:pStyle w:val="13"/>
              <w:spacing w:before="1"/>
              <w:ind w:left="85"/>
              <w:rPr>
                <w:sz w:val="24"/>
              </w:rPr>
            </w:pPr>
            <w:r>
              <w:rPr>
                <w:sz w:val="24"/>
              </w:rPr>
              <w:t>序号</w:t>
            </w:r>
          </w:p>
        </w:tc>
        <w:tc>
          <w:tcPr>
            <w:tcW w:w="1620" w:type="dxa"/>
          </w:tcPr>
          <w:p>
            <w:pPr>
              <w:pStyle w:val="13"/>
              <w:ind w:left="69" w:right="61"/>
              <w:jc w:val="center"/>
              <w:rPr>
                <w:sz w:val="24"/>
              </w:rPr>
            </w:pPr>
            <w:r>
              <w:rPr>
                <w:sz w:val="24"/>
              </w:rPr>
              <w:t>竞争性磋商文</w:t>
            </w:r>
          </w:p>
          <w:p>
            <w:pPr>
              <w:pStyle w:val="13"/>
              <w:spacing w:before="159"/>
              <w:ind w:left="69" w:right="61"/>
              <w:jc w:val="center"/>
              <w:rPr>
                <w:sz w:val="24"/>
              </w:rPr>
            </w:pPr>
            <w:r>
              <w:rPr>
                <w:sz w:val="24"/>
              </w:rPr>
              <w:t>件条目号</w:t>
            </w:r>
          </w:p>
        </w:tc>
        <w:tc>
          <w:tcPr>
            <w:tcW w:w="2700" w:type="dxa"/>
          </w:tcPr>
          <w:p>
            <w:pPr>
              <w:pStyle w:val="13"/>
              <w:ind w:left="129" w:right="121"/>
              <w:jc w:val="center"/>
              <w:rPr>
                <w:sz w:val="24"/>
              </w:rPr>
            </w:pPr>
            <w:r>
              <w:rPr>
                <w:sz w:val="24"/>
              </w:rPr>
              <w:t>竞争性磋商文件要求的</w:t>
            </w:r>
          </w:p>
          <w:p>
            <w:pPr>
              <w:pStyle w:val="13"/>
              <w:spacing w:before="159"/>
              <w:ind w:left="129" w:right="121"/>
              <w:jc w:val="center"/>
              <w:rPr>
                <w:sz w:val="24"/>
              </w:rPr>
            </w:pPr>
            <w:r>
              <w:rPr>
                <w:sz w:val="24"/>
              </w:rPr>
              <w:t>商务条款</w:t>
            </w:r>
          </w:p>
        </w:tc>
        <w:tc>
          <w:tcPr>
            <w:tcW w:w="3225" w:type="dxa"/>
          </w:tcPr>
          <w:p>
            <w:pPr>
              <w:pStyle w:val="13"/>
              <w:spacing w:before="2"/>
              <w:rPr>
                <w:sz w:val="18"/>
              </w:rPr>
            </w:pPr>
          </w:p>
          <w:p>
            <w:pPr>
              <w:pStyle w:val="13"/>
              <w:spacing w:before="1"/>
              <w:ind w:left="1010"/>
              <w:rPr>
                <w:sz w:val="24"/>
              </w:rPr>
            </w:pPr>
            <w:r>
              <w:rPr>
                <w:sz w:val="24"/>
              </w:rPr>
              <w:t>供应商响应</w:t>
            </w:r>
          </w:p>
        </w:tc>
        <w:tc>
          <w:tcPr>
            <w:tcW w:w="1020" w:type="dxa"/>
          </w:tcPr>
          <w:p>
            <w:pPr>
              <w:pStyle w:val="13"/>
              <w:spacing w:before="2"/>
              <w:rPr>
                <w:sz w:val="18"/>
              </w:rPr>
            </w:pPr>
          </w:p>
          <w:p>
            <w:pPr>
              <w:pStyle w:val="13"/>
              <w:spacing w:before="1"/>
              <w:ind w:left="269"/>
              <w:rPr>
                <w:sz w:val="24"/>
              </w:rPr>
            </w:pPr>
            <w:r>
              <w:rPr>
                <w:sz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51"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25" w:type="dxa"/>
          </w:tcPr>
          <w:p>
            <w:pPr>
              <w:pStyle w:val="13"/>
              <w:rPr>
                <w:rFonts w:ascii="Times New Roman"/>
                <w:sz w:val="22"/>
              </w:rPr>
            </w:pPr>
          </w:p>
        </w:tc>
        <w:tc>
          <w:tcPr>
            <w:tcW w:w="1020" w:type="dxa"/>
          </w:tcPr>
          <w:p>
            <w:pPr>
              <w:pStyle w:val="13"/>
              <w:rPr>
                <w:rFonts w:ascii="Times New Roman"/>
                <w:sz w:val="22"/>
              </w:rPr>
            </w:pPr>
          </w:p>
        </w:tc>
      </w:tr>
    </w:tbl>
    <w:p>
      <w:pPr>
        <w:pStyle w:val="4"/>
        <w:spacing w:before="2"/>
      </w:pPr>
      <w:r>
        <w:t>说明：</w:t>
      </w:r>
    </w:p>
    <w:p>
      <w:pPr>
        <w:pStyle w:val="4"/>
        <w:spacing w:before="158"/>
        <w:ind w:left="1098"/>
      </w:pPr>
      <w:r>
        <w:t>1、如果行数不够，请自行增加。</w:t>
      </w:r>
    </w:p>
    <w:p>
      <w:pPr>
        <w:pStyle w:val="4"/>
        <w:spacing w:before="160" w:line="364" w:lineRule="auto"/>
        <w:ind w:right="497" w:firstLine="480"/>
      </w:pPr>
      <w:r>
        <w:t>2</w:t>
      </w:r>
      <w:r>
        <w:rPr>
          <w:spacing w:val="-9"/>
        </w:rPr>
        <w:t xml:space="preserve">、供应商应在上表中明确响应文件商务部分与磋商文件要求的商务条款偏离情况， </w:t>
      </w:r>
      <w:r>
        <w:rPr>
          <w:spacing w:val="-5"/>
        </w:rPr>
        <w:t>未在上表中说明的，如在响应文件其他内容中已有文字说明或相关证明材料的，则以已</w:t>
      </w:r>
      <w:r>
        <w:rPr>
          <w:spacing w:val="-9"/>
        </w:rPr>
        <w:t>有文字说明或相关证明材料为准，但该表不作为供应商对所投项目关于商务条款等详细描述和说明的替代。</w:t>
      </w:r>
    </w:p>
    <w:p>
      <w:pPr>
        <w:pStyle w:val="4"/>
        <w:tabs>
          <w:tab w:val="left" w:pos="6978"/>
        </w:tabs>
        <w:spacing w:line="305" w:lineRule="exact"/>
        <w:ind w:left="1098"/>
      </w:pPr>
      <w:r>
        <w:t>供应商名称：</w:t>
      </w:r>
      <w:r>
        <w:rPr>
          <w:u w:val="single"/>
        </w:rPr>
        <w:t xml:space="preserve"> </w:t>
      </w:r>
      <w:r>
        <w:rPr>
          <w:u w:val="single"/>
        </w:rPr>
        <w:tab/>
      </w:r>
      <w:r>
        <w:t>（盖章）</w:t>
      </w:r>
    </w:p>
    <w:p>
      <w:pPr>
        <w:spacing w:after="0" w:line="305" w:lineRule="exact"/>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ind w:left="7"/>
        <w:jc w:val="center"/>
      </w:pPr>
      <w:r>
        <w:t>（四）技术条款偏离表格式</w:t>
      </w:r>
    </w:p>
    <w:p>
      <w:pPr>
        <w:pStyle w:val="4"/>
        <w:tabs>
          <w:tab w:val="left" w:pos="7002"/>
        </w:tabs>
        <w:spacing w:before="158"/>
        <w:ind w:left="435"/>
      </w:pPr>
      <w:r>
        <w:t>项目名称：</w:t>
      </w:r>
      <w:r>
        <w:tab/>
      </w:r>
      <w:r>
        <w:t>项目编号：</w:t>
      </w:r>
    </w:p>
    <w:p>
      <w:pPr>
        <w:pStyle w:val="4"/>
        <w:spacing w:before="5"/>
        <w:ind w:left="0"/>
        <w:rPr>
          <w:sz w:val="12"/>
        </w:rPr>
      </w:pPr>
    </w:p>
    <w:tbl>
      <w:tblPr>
        <w:tblStyle w:val="9"/>
        <w:tblW w:w="9435" w:type="dxa"/>
        <w:tblInd w:w="4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620"/>
        <w:gridCol w:w="2700"/>
        <w:gridCol w:w="3240"/>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765" w:type="dxa"/>
          </w:tcPr>
          <w:p>
            <w:pPr>
              <w:pStyle w:val="13"/>
              <w:spacing w:before="2"/>
              <w:rPr>
                <w:sz w:val="18"/>
              </w:rPr>
            </w:pPr>
          </w:p>
          <w:p>
            <w:pPr>
              <w:pStyle w:val="13"/>
              <w:spacing w:before="1"/>
              <w:ind w:left="142"/>
              <w:rPr>
                <w:sz w:val="24"/>
              </w:rPr>
            </w:pPr>
            <w:r>
              <w:rPr>
                <w:sz w:val="24"/>
              </w:rPr>
              <w:t>序号</w:t>
            </w:r>
          </w:p>
        </w:tc>
        <w:tc>
          <w:tcPr>
            <w:tcW w:w="1620" w:type="dxa"/>
          </w:tcPr>
          <w:p>
            <w:pPr>
              <w:pStyle w:val="13"/>
              <w:ind w:left="70" w:right="55"/>
              <w:jc w:val="center"/>
              <w:rPr>
                <w:sz w:val="24"/>
              </w:rPr>
            </w:pPr>
            <w:r>
              <w:rPr>
                <w:sz w:val="24"/>
              </w:rPr>
              <w:t>竞争性磋商文</w:t>
            </w:r>
          </w:p>
          <w:p>
            <w:pPr>
              <w:pStyle w:val="13"/>
              <w:spacing w:before="158"/>
              <w:ind w:left="70" w:right="55"/>
              <w:jc w:val="center"/>
              <w:rPr>
                <w:sz w:val="24"/>
              </w:rPr>
            </w:pPr>
            <w:r>
              <w:rPr>
                <w:sz w:val="24"/>
              </w:rPr>
              <w:t>件条目号</w:t>
            </w:r>
          </w:p>
        </w:tc>
        <w:tc>
          <w:tcPr>
            <w:tcW w:w="2700" w:type="dxa"/>
          </w:tcPr>
          <w:p>
            <w:pPr>
              <w:pStyle w:val="13"/>
              <w:ind w:left="130" w:right="115"/>
              <w:jc w:val="center"/>
              <w:rPr>
                <w:sz w:val="24"/>
              </w:rPr>
            </w:pPr>
            <w:r>
              <w:rPr>
                <w:sz w:val="24"/>
              </w:rPr>
              <w:t>竞争性磋商文件要求的</w:t>
            </w:r>
          </w:p>
          <w:p>
            <w:pPr>
              <w:pStyle w:val="13"/>
              <w:spacing w:before="158"/>
              <w:ind w:left="130" w:right="115"/>
              <w:jc w:val="center"/>
              <w:rPr>
                <w:sz w:val="24"/>
              </w:rPr>
            </w:pPr>
            <w:r>
              <w:rPr>
                <w:sz w:val="24"/>
              </w:rPr>
              <w:t>技术、服务条款</w:t>
            </w:r>
          </w:p>
        </w:tc>
        <w:tc>
          <w:tcPr>
            <w:tcW w:w="3240" w:type="dxa"/>
          </w:tcPr>
          <w:p>
            <w:pPr>
              <w:pStyle w:val="13"/>
              <w:spacing w:before="2"/>
              <w:rPr>
                <w:sz w:val="18"/>
              </w:rPr>
            </w:pPr>
          </w:p>
          <w:p>
            <w:pPr>
              <w:pStyle w:val="13"/>
              <w:spacing w:before="1"/>
              <w:ind w:left="1018"/>
              <w:rPr>
                <w:sz w:val="24"/>
              </w:rPr>
            </w:pPr>
            <w:r>
              <w:rPr>
                <w:sz w:val="24"/>
              </w:rPr>
              <w:t>供应商响应</w:t>
            </w:r>
          </w:p>
        </w:tc>
        <w:tc>
          <w:tcPr>
            <w:tcW w:w="1110" w:type="dxa"/>
          </w:tcPr>
          <w:p>
            <w:pPr>
              <w:pStyle w:val="13"/>
              <w:spacing w:before="2"/>
              <w:rPr>
                <w:sz w:val="18"/>
              </w:rPr>
            </w:pPr>
          </w:p>
          <w:p>
            <w:pPr>
              <w:pStyle w:val="13"/>
              <w:spacing w:before="1"/>
              <w:ind w:left="315"/>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65" w:type="dxa"/>
          </w:tcPr>
          <w:p>
            <w:pPr>
              <w:pStyle w:val="13"/>
              <w:rPr>
                <w:rFonts w:ascii="Times New Roman"/>
                <w:sz w:val="22"/>
              </w:rPr>
            </w:pPr>
          </w:p>
        </w:tc>
        <w:tc>
          <w:tcPr>
            <w:tcW w:w="1620" w:type="dxa"/>
          </w:tcPr>
          <w:p>
            <w:pPr>
              <w:pStyle w:val="13"/>
              <w:rPr>
                <w:rFonts w:ascii="Times New Roman"/>
                <w:sz w:val="22"/>
              </w:rPr>
            </w:pPr>
          </w:p>
        </w:tc>
        <w:tc>
          <w:tcPr>
            <w:tcW w:w="2700" w:type="dxa"/>
          </w:tcPr>
          <w:p>
            <w:pPr>
              <w:pStyle w:val="13"/>
              <w:rPr>
                <w:rFonts w:ascii="Times New Roman"/>
                <w:sz w:val="22"/>
              </w:rPr>
            </w:pPr>
          </w:p>
        </w:tc>
        <w:tc>
          <w:tcPr>
            <w:tcW w:w="3240" w:type="dxa"/>
          </w:tcPr>
          <w:p>
            <w:pPr>
              <w:pStyle w:val="13"/>
              <w:rPr>
                <w:rFonts w:ascii="Times New Roman"/>
                <w:sz w:val="22"/>
              </w:rPr>
            </w:pPr>
          </w:p>
        </w:tc>
        <w:tc>
          <w:tcPr>
            <w:tcW w:w="1110" w:type="dxa"/>
          </w:tcPr>
          <w:p>
            <w:pPr>
              <w:pStyle w:val="13"/>
              <w:rPr>
                <w:rFonts w:ascii="Times New Roman"/>
                <w:sz w:val="22"/>
              </w:rPr>
            </w:pPr>
          </w:p>
        </w:tc>
      </w:tr>
    </w:tbl>
    <w:p>
      <w:pPr>
        <w:pStyle w:val="4"/>
        <w:spacing w:before="2"/>
      </w:pPr>
      <w:r>
        <w:t>说明：</w:t>
      </w:r>
    </w:p>
    <w:p>
      <w:pPr>
        <w:pStyle w:val="4"/>
        <w:spacing w:before="158"/>
        <w:ind w:left="1098"/>
      </w:pPr>
      <w:r>
        <w:t>1、如果行数不够，请自行增加。</w:t>
      </w:r>
    </w:p>
    <w:p>
      <w:pPr>
        <w:pStyle w:val="4"/>
        <w:spacing w:before="160" w:line="364" w:lineRule="auto"/>
        <w:ind w:right="617" w:firstLine="480"/>
        <w:jc w:val="both"/>
      </w:pPr>
      <w:r>
        <w:t xml:space="preserve">2、供应商应在上表中明确响应文件与磋商文件要求的技术或服务要求偏离情况， </w:t>
      </w:r>
      <w:r>
        <w:rPr>
          <w:spacing w:val="-6"/>
        </w:rPr>
        <w:t>未在上表中说明的，如在响应文件其他内容中已有文字说明或相关证明材料的，则以已</w:t>
      </w:r>
      <w:r>
        <w:rPr>
          <w:spacing w:val="-5"/>
        </w:rPr>
        <w:t>有文字说明或相关证明材料为准，但该表不作为供应商对所投项目关于技术或服务要求</w:t>
      </w:r>
      <w:r>
        <w:t>等详细描述和说明的替代。</w:t>
      </w:r>
    </w:p>
    <w:p>
      <w:pPr>
        <w:pStyle w:val="4"/>
        <w:tabs>
          <w:tab w:val="left" w:pos="6978"/>
        </w:tabs>
        <w:spacing w:line="305" w:lineRule="exact"/>
        <w:ind w:left="1098"/>
      </w:pPr>
      <w:r>
        <w:t>供应商名称：</w:t>
      </w:r>
      <w:r>
        <w:rPr>
          <w:u w:val="single"/>
        </w:rPr>
        <w:t xml:space="preserve"> </w:t>
      </w:r>
      <w:r>
        <w:rPr>
          <w:u w:val="single"/>
        </w:rPr>
        <w:tab/>
      </w:r>
      <w:r>
        <w:t>（盖章）</w:t>
      </w:r>
    </w:p>
    <w:p>
      <w:pPr>
        <w:spacing w:after="0" w:line="305" w:lineRule="exact"/>
        <w:sectPr>
          <w:pgSz w:w="11910" w:h="16840"/>
          <w:pgMar w:top="1340" w:right="800" w:bottom="920" w:left="800" w:header="880" w:footer="726" w:gutter="0"/>
          <w:pgBorders>
            <w:top w:val="none" w:sz="0" w:space="0"/>
            <w:left w:val="none" w:sz="0" w:space="0"/>
            <w:bottom w:val="none" w:sz="0" w:space="0"/>
            <w:right w:val="none" w:sz="0" w:space="0"/>
          </w:pgBorders>
          <w:pgNumType w:fmt="decimal"/>
        </w:sectPr>
      </w:pPr>
    </w:p>
    <w:p>
      <w:pPr>
        <w:pStyle w:val="3"/>
        <w:spacing w:before="61"/>
        <w:ind w:left="7"/>
        <w:jc w:val="center"/>
      </w:pPr>
      <w:r>
        <w:t>（五）项目负责人简介表</w:t>
      </w:r>
    </w:p>
    <w:p>
      <w:pPr>
        <w:pStyle w:val="4"/>
        <w:spacing w:before="5"/>
        <w:ind w:left="0"/>
        <w:rPr>
          <w:b/>
          <w:sz w:val="22"/>
        </w:rPr>
      </w:pPr>
    </w:p>
    <w:p>
      <w:pPr>
        <w:pStyle w:val="4"/>
        <w:tabs>
          <w:tab w:val="left" w:pos="7136"/>
        </w:tabs>
        <w:ind w:left="364"/>
      </w:pPr>
      <w:r>
        <w:t>项目名称：</w:t>
      </w:r>
      <w:r>
        <w:tab/>
      </w:r>
      <w:r>
        <w:t>项目编号：</w:t>
      </w:r>
    </w:p>
    <w:p>
      <w:pPr>
        <w:pStyle w:val="4"/>
        <w:spacing w:before="5"/>
        <w:ind w:left="0"/>
        <w:rPr>
          <w:sz w:val="10"/>
        </w:rPr>
      </w:pPr>
    </w:p>
    <w:tbl>
      <w:tblPr>
        <w:tblStyle w:val="9"/>
        <w:tblW w:w="9605"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993"/>
        <w:gridCol w:w="1275"/>
        <w:gridCol w:w="1276"/>
        <w:gridCol w:w="1456"/>
        <w:gridCol w:w="1804"/>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3" w:type="dxa"/>
          </w:tcPr>
          <w:p>
            <w:pPr>
              <w:pStyle w:val="13"/>
              <w:spacing w:before="130"/>
              <w:ind w:left="256"/>
              <w:rPr>
                <w:sz w:val="24"/>
              </w:rPr>
            </w:pPr>
            <w:r>
              <w:rPr>
                <w:sz w:val="24"/>
              </w:rPr>
              <w:t>姓名</w:t>
            </w:r>
          </w:p>
        </w:tc>
        <w:tc>
          <w:tcPr>
            <w:tcW w:w="993" w:type="dxa"/>
          </w:tcPr>
          <w:p>
            <w:pPr>
              <w:pStyle w:val="13"/>
              <w:spacing w:before="130"/>
              <w:ind w:left="256"/>
              <w:rPr>
                <w:sz w:val="24"/>
              </w:rPr>
            </w:pPr>
            <w:r>
              <w:rPr>
                <w:sz w:val="24"/>
              </w:rPr>
              <w:t>性别</w:t>
            </w:r>
          </w:p>
        </w:tc>
        <w:tc>
          <w:tcPr>
            <w:tcW w:w="1275" w:type="dxa"/>
          </w:tcPr>
          <w:p>
            <w:pPr>
              <w:pStyle w:val="13"/>
              <w:spacing w:before="130"/>
              <w:ind w:left="396"/>
              <w:rPr>
                <w:sz w:val="24"/>
              </w:rPr>
            </w:pPr>
            <w:r>
              <w:rPr>
                <w:sz w:val="24"/>
              </w:rPr>
              <w:t>年龄</w:t>
            </w:r>
          </w:p>
        </w:tc>
        <w:tc>
          <w:tcPr>
            <w:tcW w:w="1276" w:type="dxa"/>
          </w:tcPr>
          <w:p>
            <w:pPr>
              <w:pStyle w:val="13"/>
              <w:spacing w:before="130"/>
              <w:ind w:left="398"/>
              <w:rPr>
                <w:sz w:val="24"/>
              </w:rPr>
            </w:pPr>
            <w:r>
              <w:rPr>
                <w:sz w:val="24"/>
              </w:rPr>
              <w:t>专业</w:t>
            </w:r>
          </w:p>
        </w:tc>
        <w:tc>
          <w:tcPr>
            <w:tcW w:w="1456" w:type="dxa"/>
          </w:tcPr>
          <w:p>
            <w:pPr>
              <w:pStyle w:val="13"/>
              <w:spacing w:before="130"/>
              <w:ind w:left="487"/>
              <w:rPr>
                <w:sz w:val="24"/>
              </w:rPr>
            </w:pPr>
            <w:r>
              <w:rPr>
                <w:sz w:val="24"/>
              </w:rPr>
              <w:t>职称</w:t>
            </w:r>
          </w:p>
        </w:tc>
        <w:tc>
          <w:tcPr>
            <w:tcW w:w="1804" w:type="dxa"/>
          </w:tcPr>
          <w:p>
            <w:pPr>
              <w:pStyle w:val="13"/>
              <w:spacing w:before="130"/>
              <w:ind w:left="181"/>
              <w:rPr>
                <w:sz w:val="24"/>
              </w:rPr>
            </w:pPr>
            <w:r>
              <w:rPr>
                <w:sz w:val="24"/>
              </w:rPr>
              <w:t>工作经验年限</w:t>
            </w:r>
          </w:p>
        </w:tc>
        <w:tc>
          <w:tcPr>
            <w:tcW w:w="1808" w:type="dxa"/>
          </w:tcPr>
          <w:p>
            <w:pPr>
              <w:pStyle w:val="13"/>
              <w:spacing w:before="130"/>
              <w:ind w:left="644" w:right="63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93" w:type="dxa"/>
          </w:tcPr>
          <w:p>
            <w:pPr>
              <w:pStyle w:val="13"/>
              <w:rPr>
                <w:rFonts w:ascii="Times New Roman"/>
                <w:sz w:val="22"/>
              </w:rPr>
            </w:pPr>
          </w:p>
        </w:tc>
        <w:tc>
          <w:tcPr>
            <w:tcW w:w="993" w:type="dxa"/>
          </w:tcPr>
          <w:p>
            <w:pPr>
              <w:pStyle w:val="13"/>
              <w:rPr>
                <w:rFonts w:ascii="Times New Roman"/>
                <w:sz w:val="22"/>
              </w:rPr>
            </w:pPr>
          </w:p>
        </w:tc>
        <w:tc>
          <w:tcPr>
            <w:tcW w:w="1275" w:type="dxa"/>
          </w:tcPr>
          <w:p>
            <w:pPr>
              <w:pStyle w:val="13"/>
              <w:rPr>
                <w:rFonts w:ascii="Times New Roman"/>
                <w:sz w:val="22"/>
              </w:rPr>
            </w:pPr>
          </w:p>
        </w:tc>
        <w:tc>
          <w:tcPr>
            <w:tcW w:w="1276" w:type="dxa"/>
          </w:tcPr>
          <w:p>
            <w:pPr>
              <w:pStyle w:val="13"/>
              <w:rPr>
                <w:rFonts w:ascii="Times New Roman"/>
                <w:sz w:val="22"/>
              </w:rPr>
            </w:pPr>
          </w:p>
        </w:tc>
        <w:tc>
          <w:tcPr>
            <w:tcW w:w="1456" w:type="dxa"/>
          </w:tcPr>
          <w:p>
            <w:pPr>
              <w:pStyle w:val="13"/>
              <w:rPr>
                <w:rFonts w:ascii="Times New Roman"/>
                <w:sz w:val="22"/>
              </w:rPr>
            </w:pPr>
          </w:p>
        </w:tc>
        <w:tc>
          <w:tcPr>
            <w:tcW w:w="1804" w:type="dxa"/>
          </w:tcPr>
          <w:p>
            <w:pPr>
              <w:pStyle w:val="13"/>
              <w:rPr>
                <w:rFonts w:ascii="Times New Roman"/>
                <w:sz w:val="22"/>
              </w:rPr>
            </w:pPr>
          </w:p>
        </w:tc>
        <w:tc>
          <w:tcPr>
            <w:tcW w:w="1808" w:type="dxa"/>
          </w:tcPr>
          <w:p>
            <w:pPr>
              <w:pStyle w:val="13"/>
              <w:rPr>
                <w:rFonts w:ascii="Times New Roman"/>
                <w:sz w:val="22"/>
              </w:rPr>
            </w:pPr>
          </w:p>
        </w:tc>
      </w:tr>
    </w:tbl>
    <w:p>
      <w:pPr>
        <w:pStyle w:val="4"/>
        <w:ind w:left="0"/>
      </w:pPr>
    </w:p>
    <w:p>
      <w:pPr>
        <w:pStyle w:val="4"/>
        <w:spacing w:before="8"/>
        <w:ind w:left="0"/>
        <w:rPr>
          <w:sz w:val="18"/>
        </w:rPr>
      </w:pPr>
    </w:p>
    <w:p>
      <w:pPr>
        <w:pStyle w:val="4"/>
        <w:tabs>
          <w:tab w:val="left" w:pos="6618"/>
        </w:tabs>
      </w:pPr>
      <w:r>
        <w:t>供应商名称：</w:t>
      </w:r>
      <w:r>
        <w:rPr>
          <w:u w:val="single"/>
        </w:rPr>
        <w:t xml:space="preserve"> </w:t>
      </w:r>
      <w:r>
        <w:rPr>
          <w:u w:val="single"/>
        </w:rPr>
        <w:tab/>
      </w:r>
      <w:r>
        <w:t>（盖章）</w:t>
      </w:r>
    </w:p>
    <w:p>
      <w:pPr>
        <w:pStyle w:val="4"/>
        <w:spacing w:before="6"/>
        <w:ind w:left="0"/>
        <w:rPr>
          <w:sz w:val="18"/>
        </w:rPr>
      </w:pPr>
    </w:p>
    <w:p>
      <w:pPr>
        <w:pStyle w:val="3"/>
        <w:spacing w:before="1"/>
        <w:ind w:left="7"/>
        <w:jc w:val="center"/>
      </w:pPr>
      <w:r>
        <w:t>（六）技术团队配置表</w:t>
      </w:r>
    </w:p>
    <w:p>
      <w:pPr>
        <w:pStyle w:val="4"/>
        <w:spacing w:before="5"/>
        <w:ind w:left="0"/>
        <w:rPr>
          <w:b/>
          <w:sz w:val="18"/>
        </w:rPr>
      </w:pPr>
    </w:p>
    <w:tbl>
      <w:tblPr>
        <w:tblStyle w:val="9"/>
        <w:tblW w:w="9224" w:type="dxa"/>
        <w:tblInd w:w="5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327"/>
        <w:gridCol w:w="840"/>
        <w:gridCol w:w="855"/>
        <w:gridCol w:w="1725"/>
        <w:gridCol w:w="1544"/>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spacing w:before="131"/>
              <w:ind w:left="180"/>
              <w:rPr>
                <w:sz w:val="24"/>
              </w:rPr>
            </w:pPr>
            <w:r>
              <w:rPr>
                <w:sz w:val="24"/>
              </w:rPr>
              <w:t>序号</w:t>
            </w:r>
          </w:p>
        </w:tc>
        <w:tc>
          <w:tcPr>
            <w:tcW w:w="1327" w:type="dxa"/>
          </w:tcPr>
          <w:p>
            <w:pPr>
              <w:pStyle w:val="13"/>
              <w:spacing w:before="131"/>
              <w:ind w:left="422"/>
              <w:rPr>
                <w:sz w:val="24"/>
              </w:rPr>
            </w:pPr>
            <w:r>
              <w:rPr>
                <w:sz w:val="24"/>
              </w:rPr>
              <w:t>姓名</w:t>
            </w:r>
          </w:p>
        </w:tc>
        <w:tc>
          <w:tcPr>
            <w:tcW w:w="840" w:type="dxa"/>
          </w:tcPr>
          <w:p>
            <w:pPr>
              <w:pStyle w:val="13"/>
              <w:spacing w:before="131"/>
              <w:ind w:left="180"/>
              <w:rPr>
                <w:sz w:val="24"/>
              </w:rPr>
            </w:pPr>
            <w:r>
              <w:rPr>
                <w:sz w:val="24"/>
              </w:rPr>
              <w:t>性别</w:t>
            </w:r>
          </w:p>
        </w:tc>
        <w:tc>
          <w:tcPr>
            <w:tcW w:w="855" w:type="dxa"/>
          </w:tcPr>
          <w:p>
            <w:pPr>
              <w:pStyle w:val="13"/>
              <w:spacing w:before="131"/>
              <w:ind w:left="187"/>
              <w:rPr>
                <w:sz w:val="24"/>
              </w:rPr>
            </w:pPr>
            <w:r>
              <w:rPr>
                <w:sz w:val="24"/>
              </w:rPr>
              <w:t>年龄</w:t>
            </w:r>
          </w:p>
        </w:tc>
        <w:tc>
          <w:tcPr>
            <w:tcW w:w="1725" w:type="dxa"/>
          </w:tcPr>
          <w:p>
            <w:pPr>
              <w:pStyle w:val="13"/>
              <w:spacing w:before="131"/>
              <w:ind w:left="601" w:right="593"/>
              <w:jc w:val="center"/>
              <w:rPr>
                <w:sz w:val="24"/>
              </w:rPr>
            </w:pPr>
            <w:r>
              <w:rPr>
                <w:sz w:val="24"/>
              </w:rPr>
              <w:t>专业</w:t>
            </w:r>
          </w:p>
        </w:tc>
        <w:tc>
          <w:tcPr>
            <w:tcW w:w="1544" w:type="dxa"/>
          </w:tcPr>
          <w:p>
            <w:pPr>
              <w:pStyle w:val="13"/>
              <w:spacing w:before="131"/>
              <w:ind w:left="510" w:right="503"/>
              <w:jc w:val="center"/>
              <w:rPr>
                <w:sz w:val="24"/>
              </w:rPr>
            </w:pPr>
            <w:r>
              <w:rPr>
                <w:sz w:val="24"/>
              </w:rPr>
              <w:t>职称</w:t>
            </w:r>
          </w:p>
        </w:tc>
        <w:tc>
          <w:tcPr>
            <w:tcW w:w="2093" w:type="dxa"/>
          </w:tcPr>
          <w:p>
            <w:pPr>
              <w:pStyle w:val="13"/>
              <w:spacing w:before="131"/>
              <w:ind w:left="326"/>
              <w:rPr>
                <w:sz w:val="24"/>
              </w:rPr>
            </w:pPr>
            <w:r>
              <w:rPr>
                <w:sz w:val="24"/>
              </w:rPr>
              <w:t>工作经验年限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0" w:type="dxa"/>
          </w:tcPr>
          <w:p>
            <w:pPr>
              <w:pStyle w:val="13"/>
              <w:rPr>
                <w:rFonts w:ascii="Times New Roman"/>
                <w:sz w:val="22"/>
              </w:rPr>
            </w:pPr>
          </w:p>
        </w:tc>
        <w:tc>
          <w:tcPr>
            <w:tcW w:w="1327" w:type="dxa"/>
          </w:tcPr>
          <w:p>
            <w:pPr>
              <w:pStyle w:val="13"/>
              <w:rPr>
                <w:rFonts w:ascii="Times New Roman"/>
                <w:sz w:val="22"/>
              </w:rPr>
            </w:pPr>
          </w:p>
        </w:tc>
        <w:tc>
          <w:tcPr>
            <w:tcW w:w="840" w:type="dxa"/>
          </w:tcPr>
          <w:p>
            <w:pPr>
              <w:pStyle w:val="13"/>
              <w:rPr>
                <w:rFonts w:ascii="Times New Roman"/>
                <w:sz w:val="22"/>
              </w:rPr>
            </w:pPr>
          </w:p>
        </w:tc>
        <w:tc>
          <w:tcPr>
            <w:tcW w:w="855" w:type="dxa"/>
          </w:tcPr>
          <w:p>
            <w:pPr>
              <w:pStyle w:val="13"/>
              <w:rPr>
                <w:rFonts w:ascii="Times New Roman"/>
                <w:sz w:val="22"/>
              </w:rPr>
            </w:pPr>
          </w:p>
        </w:tc>
        <w:tc>
          <w:tcPr>
            <w:tcW w:w="1725" w:type="dxa"/>
          </w:tcPr>
          <w:p>
            <w:pPr>
              <w:pStyle w:val="13"/>
              <w:rPr>
                <w:rFonts w:ascii="Times New Roman"/>
                <w:sz w:val="22"/>
              </w:rPr>
            </w:pPr>
          </w:p>
        </w:tc>
        <w:tc>
          <w:tcPr>
            <w:tcW w:w="1544" w:type="dxa"/>
          </w:tcPr>
          <w:p>
            <w:pPr>
              <w:pStyle w:val="13"/>
              <w:rPr>
                <w:rFonts w:ascii="Times New Roman"/>
                <w:sz w:val="22"/>
              </w:rPr>
            </w:pPr>
          </w:p>
        </w:tc>
        <w:tc>
          <w:tcPr>
            <w:tcW w:w="2093" w:type="dxa"/>
          </w:tcPr>
          <w:p>
            <w:pPr>
              <w:pStyle w:val="13"/>
              <w:rPr>
                <w:rFonts w:ascii="Times New Roman"/>
                <w:sz w:val="22"/>
              </w:rPr>
            </w:pPr>
          </w:p>
        </w:tc>
      </w:tr>
    </w:tbl>
    <w:p>
      <w:pPr>
        <w:pStyle w:val="4"/>
        <w:spacing w:before="2"/>
      </w:pPr>
      <w:r>
        <w:t>说明：如果行数不够，请自行增加。</w:t>
      </w:r>
    </w:p>
    <w:p>
      <w:pPr>
        <w:pStyle w:val="4"/>
        <w:spacing w:before="7"/>
        <w:ind w:left="0"/>
        <w:rPr>
          <w:sz w:val="18"/>
        </w:rPr>
      </w:pPr>
    </w:p>
    <w:p>
      <w:pPr>
        <w:pStyle w:val="4"/>
        <w:tabs>
          <w:tab w:val="left" w:pos="6618"/>
        </w:tabs>
      </w:pPr>
      <w:r>
        <w:t>供应商名称：</w:t>
      </w:r>
      <w:r>
        <w:rPr>
          <w:u w:val="single"/>
        </w:rPr>
        <w:t xml:space="preserve"> </w:t>
      </w:r>
      <w:r>
        <w:rPr>
          <w:u w:val="single"/>
        </w:rPr>
        <w:tab/>
      </w:r>
      <w:r>
        <w:t>（盖章）</w:t>
      </w:r>
    </w:p>
    <w:p>
      <w:pPr>
        <w:pStyle w:val="4"/>
        <w:spacing w:before="6"/>
        <w:ind w:left="0"/>
        <w:rPr>
          <w:sz w:val="18"/>
        </w:rPr>
      </w:pPr>
    </w:p>
    <w:p>
      <w:pPr>
        <w:pStyle w:val="3"/>
        <w:ind w:left="9"/>
        <w:jc w:val="center"/>
      </w:pPr>
      <w:r>
        <w:t>（七）供应商类似业绩情况表格式</w:t>
      </w:r>
    </w:p>
    <w:p>
      <w:pPr>
        <w:pStyle w:val="4"/>
        <w:spacing w:before="3" w:after="1"/>
        <w:ind w:left="0"/>
        <w:rPr>
          <w:b/>
          <w:sz w:val="12"/>
        </w:rPr>
      </w:pPr>
    </w:p>
    <w:tbl>
      <w:tblPr>
        <w:tblStyle w:val="9"/>
        <w:tblW w:w="100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310"/>
        <w:gridCol w:w="2257"/>
        <w:gridCol w:w="1255"/>
        <w:gridCol w:w="1418"/>
        <w:gridCol w:w="1134"/>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33" w:type="dxa"/>
          </w:tcPr>
          <w:p>
            <w:pPr>
              <w:pStyle w:val="13"/>
              <w:spacing w:before="5"/>
              <w:rPr>
                <w:b/>
                <w:sz w:val="18"/>
              </w:rPr>
            </w:pPr>
          </w:p>
          <w:p>
            <w:pPr>
              <w:pStyle w:val="13"/>
              <w:ind w:left="126"/>
              <w:rPr>
                <w:sz w:val="24"/>
              </w:rPr>
            </w:pPr>
            <w:r>
              <w:rPr>
                <w:sz w:val="24"/>
              </w:rPr>
              <w:t>序号</w:t>
            </w:r>
          </w:p>
        </w:tc>
        <w:tc>
          <w:tcPr>
            <w:tcW w:w="2310" w:type="dxa"/>
          </w:tcPr>
          <w:p>
            <w:pPr>
              <w:pStyle w:val="13"/>
              <w:spacing w:before="5"/>
              <w:rPr>
                <w:b/>
                <w:sz w:val="18"/>
              </w:rPr>
            </w:pPr>
          </w:p>
          <w:p>
            <w:pPr>
              <w:pStyle w:val="13"/>
              <w:ind w:left="674"/>
              <w:rPr>
                <w:sz w:val="24"/>
              </w:rPr>
            </w:pPr>
            <w:r>
              <w:rPr>
                <w:sz w:val="24"/>
              </w:rPr>
              <w:t>项目名称</w:t>
            </w:r>
          </w:p>
        </w:tc>
        <w:tc>
          <w:tcPr>
            <w:tcW w:w="2257" w:type="dxa"/>
          </w:tcPr>
          <w:p>
            <w:pPr>
              <w:pStyle w:val="13"/>
              <w:spacing w:before="5"/>
              <w:rPr>
                <w:b/>
                <w:sz w:val="18"/>
              </w:rPr>
            </w:pPr>
          </w:p>
          <w:p>
            <w:pPr>
              <w:pStyle w:val="13"/>
              <w:ind w:left="647"/>
              <w:rPr>
                <w:sz w:val="24"/>
              </w:rPr>
            </w:pPr>
            <w:r>
              <w:rPr>
                <w:sz w:val="24"/>
              </w:rPr>
              <w:t>采购单位</w:t>
            </w:r>
          </w:p>
        </w:tc>
        <w:tc>
          <w:tcPr>
            <w:tcW w:w="1255" w:type="dxa"/>
          </w:tcPr>
          <w:p>
            <w:pPr>
              <w:pStyle w:val="13"/>
              <w:spacing w:before="1"/>
              <w:ind w:left="387"/>
              <w:rPr>
                <w:sz w:val="24"/>
              </w:rPr>
            </w:pPr>
            <w:r>
              <w:rPr>
                <w:sz w:val="24"/>
              </w:rPr>
              <w:t>合同</w:t>
            </w:r>
          </w:p>
          <w:p>
            <w:pPr>
              <w:pStyle w:val="13"/>
              <w:spacing w:before="160"/>
              <w:ind w:left="387"/>
              <w:rPr>
                <w:sz w:val="24"/>
              </w:rPr>
            </w:pPr>
            <w:r>
              <w:rPr>
                <w:sz w:val="24"/>
              </w:rPr>
              <w:t>金额</w:t>
            </w:r>
          </w:p>
        </w:tc>
        <w:tc>
          <w:tcPr>
            <w:tcW w:w="1418" w:type="dxa"/>
          </w:tcPr>
          <w:p>
            <w:pPr>
              <w:pStyle w:val="13"/>
              <w:spacing w:before="1"/>
              <w:ind w:left="208" w:right="199"/>
              <w:jc w:val="center"/>
              <w:rPr>
                <w:sz w:val="24"/>
              </w:rPr>
            </w:pPr>
            <w:r>
              <w:rPr>
                <w:sz w:val="24"/>
              </w:rPr>
              <w:t>合同签定</w:t>
            </w:r>
          </w:p>
          <w:p>
            <w:pPr>
              <w:pStyle w:val="13"/>
              <w:spacing w:before="160"/>
              <w:ind w:left="208" w:right="199"/>
              <w:jc w:val="center"/>
              <w:rPr>
                <w:sz w:val="24"/>
              </w:rPr>
            </w:pPr>
            <w:r>
              <w:rPr>
                <w:sz w:val="24"/>
              </w:rPr>
              <w:t>时间</w:t>
            </w:r>
          </w:p>
        </w:tc>
        <w:tc>
          <w:tcPr>
            <w:tcW w:w="1134" w:type="dxa"/>
          </w:tcPr>
          <w:p>
            <w:pPr>
              <w:pStyle w:val="13"/>
              <w:spacing w:before="1"/>
              <w:ind w:left="207"/>
              <w:rPr>
                <w:sz w:val="24"/>
              </w:rPr>
            </w:pPr>
            <w:r>
              <w:rPr>
                <w:sz w:val="24"/>
              </w:rPr>
              <w:t>联系人</w:t>
            </w:r>
          </w:p>
          <w:p>
            <w:pPr>
              <w:pStyle w:val="13"/>
              <w:spacing w:before="160"/>
              <w:ind w:left="207"/>
              <w:rPr>
                <w:sz w:val="24"/>
              </w:rPr>
            </w:pPr>
            <w:r>
              <w:rPr>
                <w:sz w:val="24"/>
              </w:rPr>
              <w:t>及电话</w:t>
            </w:r>
          </w:p>
        </w:tc>
        <w:tc>
          <w:tcPr>
            <w:tcW w:w="969" w:type="dxa"/>
          </w:tcPr>
          <w:p>
            <w:pPr>
              <w:pStyle w:val="13"/>
              <w:spacing w:before="5"/>
              <w:rPr>
                <w:b/>
                <w:sz w:val="18"/>
              </w:rPr>
            </w:pPr>
          </w:p>
          <w:p>
            <w:pPr>
              <w:pStyle w:val="13"/>
              <w:ind w:left="24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3" w:type="dxa"/>
          </w:tcPr>
          <w:p>
            <w:pPr>
              <w:pStyle w:val="13"/>
              <w:rPr>
                <w:rFonts w:ascii="Times New Roman"/>
                <w:sz w:val="22"/>
              </w:rPr>
            </w:pPr>
          </w:p>
        </w:tc>
        <w:tc>
          <w:tcPr>
            <w:tcW w:w="2310" w:type="dxa"/>
          </w:tcPr>
          <w:p>
            <w:pPr>
              <w:pStyle w:val="13"/>
              <w:rPr>
                <w:rFonts w:ascii="Times New Roman"/>
                <w:sz w:val="22"/>
              </w:rPr>
            </w:pPr>
          </w:p>
        </w:tc>
        <w:tc>
          <w:tcPr>
            <w:tcW w:w="2257" w:type="dxa"/>
          </w:tcPr>
          <w:p>
            <w:pPr>
              <w:pStyle w:val="13"/>
              <w:rPr>
                <w:rFonts w:ascii="Times New Roman"/>
                <w:sz w:val="22"/>
              </w:rPr>
            </w:pPr>
          </w:p>
        </w:tc>
        <w:tc>
          <w:tcPr>
            <w:tcW w:w="1255" w:type="dxa"/>
          </w:tcPr>
          <w:p>
            <w:pPr>
              <w:pStyle w:val="13"/>
              <w:rPr>
                <w:rFonts w:ascii="Times New Roman"/>
                <w:sz w:val="22"/>
              </w:rPr>
            </w:pPr>
          </w:p>
        </w:tc>
        <w:tc>
          <w:tcPr>
            <w:tcW w:w="1418" w:type="dxa"/>
          </w:tcPr>
          <w:p>
            <w:pPr>
              <w:pStyle w:val="13"/>
              <w:rPr>
                <w:rFonts w:ascii="Times New Roman"/>
                <w:sz w:val="22"/>
              </w:rPr>
            </w:pPr>
          </w:p>
        </w:tc>
        <w:tc>
          <w:tcPr>
            <w:tcW w:w="1134" w:type="dxa"/>
          </w:tcPr>
          <w:p>
            <w:pPr>
              <w:pStyle w:val="13"/>
              <w:rPr>
                <w:rFonts w:ascii="Times New Roman"/>
                <w:sz w:val="22"/>
              </w:rPr>
            </w:pPr>
          </w:p>
        </w:tc>
        <w:tc>
          <w:tcPr>
            <w:tcW w:w="969"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3" w:type="dxa"/>
          </w:tcPr>
          <w:p>
            <w:pPr>
              <w:pStyle w:val="13"/>
              <w:rPr>
                <w:rFonts w:ascii="Times New Roman"/>
                <w:sz w:val="22"/>
              </w:rPr>
            </w:pPr>
          </w:p>
        </w:tc>
        <w:tc>
          <w:tcPr>
            <w:tcW w:w="2310" w:type="dxa"/>
          </w:tcPr>
          <w:p>
            <w:pPr>
              <w:pStyle w:val="13"/>
              <w:rPr>
                <w:rFonts w:ascii="Times New Roman"/>
                <w:sz w:val="22"/>
              </w:rPr>
            </w:pPr>
          </w:p>
        </w:tc>
        <w:tc>
          <w:tcPr>
            <w:tcW w:w="2257" w:type="dxa"/>
          </w:tcPr>
          <w:p>
            <w:pPr>
              <w:pStyle w:val="13"/>
              <w:rPr>
                <w:rFonts w:ascii="Times New Roman"/>
                <w:sz w:val="22"/>
              </w:rPr>
            </w:pPr>
          </w:p>
        </w:tc>
        <w:tc>
          <w:tcPr>
            <w:tcW w:w="1255" w:type="dxa"/>
          </w:tcPr>
          <w:p>
            <w:pPr>
              <w:pStyle w:val="13"/>
              <w:rPr>
                <w:rFonts w:ascii="Times New Roman"/>
                <w:sz w:val="22"/>
              </w:rPr>
            </w:pPr>
          </w:p>
        </w:tc>
        <w:tc>
          <w:tcPr>
            <w:tcW w:w="1418" w:type="dxa"/>
          </w:tcPr>
          <w:p>
            <w:pPr>
              <w:pStyle w:val="13"/>
              <w:rPr>
                <w:rFonts w:ascii="Times New Roman"/>
                <w:sz w:val="22"/>
              </w:rPr>
            </w:pPr>
          </w:p>
        </w:tc>
        <w:tc>
          <w:tcPr>
            <w:tcW w:w="1134" w:type="dxa"/>
          </w:tcPr>
          <w:p>
            <w:pPr>
              <w:pStyle w:val="13"/>
              <w:rPr>
                <w:rFonts w:ascii="Times New Roman"/>
                <w:sz w:val="22"/>
              </w:rPr>
            </w:pPr>
          </w:p>
        </w:tc>
        <w:tc>
          <w:tcPr>
            <w:tcW w:w="969"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3" w:type="dxa"/>
          </w:tcPr>
          <w:p>
            <w:pPr>
              <w:pStyle w:val="13"/>
              <w:rPr>
                <w:rFonts w:ascii="Times New Roman"/>
                <w:sz w:val="22"/>
              </w:rPr>
            </w:pPr>
          </w:p>
        </w:tc>
        <w:tc>
          <w:tcPr>
            <w:tcW w:w="2310" w:type="dxa"/>
          </w:tcPr>
          <w:p>
            <w:pPr>
              <w:pStyle w:val="13"/>
              <w:rPr>
                <w:rFonts w:ascii="Times New Roman"/>
                <w:sz w:val="22"/>
              </w:rPr>
            </w:pPr>
          </w:p>
        </w:tc>
        <w:tc>
          <w:tcPr>
            <w:tcW w:w="2257" w:type="dxa"/>
          </w:tcPr>
          <w:p>
            <w:pPr>
              <w:pStyle w:val="13"/>
              <w:rPr>
                <w:rFonts w:ascii="Times New Roman"/>
                <w:sz w:val="22"/>
              </w:rPr>
            </w:pPr>
          </w:p>
        </w:tc>
        <w:tc>
          <w:tcPr>
            <w:tcW w:w="1255" w:type="dxa"/>
          </w:tcPr>
          <w:p>
            <w:pPr>
              <w:pStyle w:val="13"/>
              <w:rPr>
                <w:rFonts w:ascii="Times New Roman"/>
                <w:sz w:val="22"/>
              </w:rPr>
            </w:pPr>
          </w:p>
        </w:tc>
        <w:tc>
          <w:tcPr>
            <w:tcW w:w="1418" w:type="dxa"/>
          </w:tcPr>
          <w:p>
            <w:pPr>
              <w:pStyle w:val="13"/>
              <w:rPr>
                <w:rFonts w:ascii="Times New Roman"/>
                <w:sz w:val="22"/>
              </w:rPr>
            </w:pPr>
          </w:p>
        </w:tc>
        <w:tc>
          <w:tcPr>
            <w:tcW w:w="1134" w:type="dxa"/>
          </w:tcPr>
          <w:p>
            <w:pPr>
              <w:pStyle w:val="13"/>
              <w:rPr>
                <w:rFonts w:ascii="Times New Roman"/>
                <w:sz w:val="22"/>
              </w:rPr>
            </w:pPr>
          </w:p>
        </w:tc>
        <w:tc>
          <w:tcPr>
            <w:tcW w:w="969" w:type="dxa"/>
          </w:tcPr>
          <w:p>
            <w:pPr>
              <w:pStyle w:val="13"/>
              <w:rPr>
                <w:rFonts w:ascii="Times New Roman"/>
                <w:sz w:val="22"/>
              </w:rPr>
            </w:pPr>
          </w:p>
        </w:tc>
      </w:tr>
    </w:tbl>
    <w:p>
      <w:pPr>
        <w:pStyle w:val="4"/>
        <w:tabs>
          <w:tab w:val="left" w:pos="6618"/>
        </w:tabs>
        <w:spacing w:before="2" w:line="362" w:lineRule="auto"/>
        <w:ind w:right="1765"/>
      </w:pPr>
      <w:r>
        <w:t>说明：供应商根据本格式要求如实填写业绩情况表，并附业绩合同复印件</w:t>
      </w:r>
      <w:r>
        <w:rPr>
          <w:spacing w:val="-17"/>
        </w:rPr>
        <w:t>。</w:t>
      </w:r>
      <w:r>
        <w:t>供应商名称：</w:t>
      </w:r>
      <w:r>
        <w:rPr>
          <w:u w:val="single"/>
        </w:rPr>
        <w:t xml:space="preserve"> </w:t>
      </w:r>
      <w:r>
        <w:rPr>
          <w:u w:val="single"/>
        </w:rPr>
        <w:tab/>
      </w:r>
      <w:r>
        <w:t>（盖章）</w:t>
      </w:r>
    </w:p>
    <w:sectPr>
      <w:pgSz w:w="11910" w:h="16840"/>
      <w:pgMar w:top="1340" w:right="800" w:bottom="920" w:left="800" w:header="880" w:footer="726"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e_gb2312">
    <w:altName w:val="Times New Roman"/>
    <w:panose1 w:val="00000000000000000000"/>
    <w:charset w:val="00"/>
    <w:family w:val="roman"/>
    <w:pitch w:val="default"/>
    <w:sig w:usb0="00000000" w:usb1="00000000" w:usb2="00000000" w:usb3="00000000" w:csb0="00040001" w:csb1="00000000"/>
  </w:font>
  <w:font w:name="KNL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w:pict>
        <v:shape id="_x0000_s4117" o:spid="_x0000_s4117" o:spt="202" type="#_x0000_t202" style="position:absolute;left:0pt;margin-top:0pt;height:144pt;width:144pt;mso-position-horizontal:center;mso-position-horizontal-relative:margin;mso-wrap-style:none;z-index:24898355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4"/>
      </w:rPr>
      <w:pict>
        <v:shape id="_x0000_s4118" o:spid="_x0000_s4118" o:spt="202" type="#_x0000_t202" style="position:absolute;left:0pt;margin-top:0pt;height:144pt;width:144pt;mso-position-horizontal:center;mso-position-horizontal-relative:margin;mso-wrap-style:none;z-index:24898457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r>
      <w:pict>
        <v:shape id="_x0000_s4100" o:spid="_x0000_s4100" o:spt="202" type="#_x0000_t202" style="position:absolute;left:0pt;margin-left:449.1pt;margin-top:794.7pt;height:11pt;width:11pt;mso-position-horizontal-relative:page;mso-position-vertical-relative:page;z-index:-25434419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第</w:t>
                </w:r>
              </w:p>
            </w:txbxContent>
          </v:textbox>
        </v:shape>
      </w:pict>
    </w:r>
    <w:r>
      <w:pict>
        <v:shape id="_x0000_s4102" o:spid="_x0000_s4102" o:spt="202" type="#_x0000_t202" style="position:absolute;left:0pt;margin-left:476.1pt;margin-top:794.7pt;height:11pt;width:49.3pt;mso-position-horizontal-relative:page;mso-position-vertical-relative:page;z-index:-254342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 共 40</w:t>
                </w:r>
                <w:r>
                  <w:rPr>
                    <w:spacing w:val="-24"/>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4"/>
      </w:rPr>
      <w:pict>
        <v:shape id="_x0000_s4119" o:spid="_x0000_s4119" o:spt="202" type="#_x0000_t202" style="position:absolute;left:0pt;margin-top:0pt;height:144pt;width:144pt;mso-position-horizontal:center;mso-position-horizontal-relative:margin;mso-wrap-style:none;z-index:24898560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w:r>
    <w:r>
      <w:pict>
        <v:shape id="_x0000_s4106" o:spid="_x0000_s4106" o:spt="202" type="#_x0000_t202" style="position:absolute;left:0pt;margin-left:449.1pt;margin-top:794.7pt;height:11pt;width:11pt;mso-position-horizontal-relative:page;mso-position-vertical-relative:page;z-index:-254336000;mso-width-relative:page;mso-height-relative:page;" filled="f" stroked="f" coordsize="21600,21600">
          <v:path/>
          <v:fill on="f" focussize="0,0"/>
          <v:stroke on="f" joinstyle="miter"/>
          <v:imagedata o:title=""/>
          <o:lock v:ext="edit"/>
          <v:textbox inset="0mm,0mm,0mm,0mm">
            <w:txbxContent>
              <w:p/>
            </w:txbxContent>
          </v:textbox>
        </v:shape>
      </w:pict>
    </w:r>
    <w:r>
      <w:pict>
        <v:shape id="_x0000_s4108" o:spid="_x0000_s4108" o:spt="202" type="#_x0000_t202" style="position:absolute;left:0pt;margin-left:476.1pt;margin-top:794.7pt;height:11pt;width:49.3pt;mso-position-horizontal-relative:page;mso-position-vertical-relative:page;z-index:-25433395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w:pict>
        <v:shape id="_x0000_s4120" o:spid="_x0000_s4120" o:spt="202" type="#_x0000_t202" style="position:absolute;left:0pt;margin-top:0pt;height:144pt;width:144pt;mso-position-horizontal:center;mso-position-horizontal-relative:margin;mso-wrap-style:none;z-index:24898662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22"/>
      <w:numFmt w:val="decimal"/>
      <w:lvlText w:val="%1"/>
      <w:lvlJc w:val="left"/>
      <w:pPr>
        <w:ind w:left="618" w:hanging="481"/>
        <w:jc w:val="left"/>
      </w:pPr>
      <w:rPr>
        <w:rFonts w:hint="default"/>
        <w:lang w:val="zh-CN" w:eastAsia="zh-CN" w:bidi="zh-CN"/>
      </w:rPr>
    </w:lvl>
    <w:lvl w:ilvl="1" w:tentative="0">
      <w:start w:val="1"/>
      <w:numFmt w:val="decimal"/>
      <w:lvlText w:val="%1.%2"/>
      <w:lvlJc w:val="left"/>
      <w:pPr>
        <w:ind w:left="618" w:hanging="481"/>
        <w:jc w:val="left"/>
      </w:pPr>
      <w:rPr>
        <w:rFonts w:hint="default" w:ascii="宋体" w:hAnsi="宋体" w:eastAsia="宋体" w:cs="宋体"/>
        <w:spacing w:val="-27"/>
        <w:w w:val="100"/>
        <w:sz w:val="22"/>
        <w:szCs w:val="22"/>
        <w:lang w:val="zh-CN" w:eastAsia="zh-CN" w:bidi="zh-CN"/>
      </w:rPr>
    </w:lvl>
    <w:lvl w:ilvl="2" w:tentative="0">
      <w:start w:val="0"/>
      <w:numFmt w:val="bullet"/>
      <w:lvlText w:val="•"/>
      <w:lvlJc w:val="left"/>
      <w:pPr>
        <w:ind w:left="2557" w:hanging="481"/>
      </w:pPr>
      <w:rPr>
        <w:rFonts w:hint="default"/>
        <w:lang w:val="zh-CN" w:eastAsia="zh-CN" w:bidi="zh-CN"/>
      </w:rPr>
    </w:lvl>
    <w:lvl w:ilvl="3" w:tentative="0">
      <w:start w:val="0"/>
      <w:numFmt w:val="bullet"/>
      <w:lvlText w:val="•"/>
      <w:lvlJc w:val="left"/>
      <w:pPr>
        <w:ind w:left="3525" w:hanging="481"/>
      </w:pPr>
      <w:rPr>
        <w:rFonts w:hint="default"/>
        <w:lang w:val="zh-CN" w:eastAsia="zh-CN" w:bidi="zh-CN"/>
      </w:rPr>
    </w:lvl>
    <w:lvl w:ilvl="4" w:tentative="0">
      <w:start w:val="0"/>
      <w:numFmt w:val="bullet"/>
      <w:lvlText w:val="•"/>
      <w:lvlJc w:val="left"/>
      <w:pPr>
        <w:ind w:left="4494" w:hanging="481"/>
      </w:pPr>
      <w:rPr>
        <w:rFonts w:hint="default"/>
        <w:lang w:val="zh-CN" w:eastAsia="zh-CN" w:bidi="zh-CN"/>
      </w:rPr>
    </w:lvl>
    <w:lvl w:ilvl="5" w:tentative="0">
      <w:start w:val="0"/>
      <w:numFmt w:val="bullet"/>
      <w:lvlText w:val="•"/>
      <w:lvlJc w:val="left"/>
      <w:pPr>
        <w:ind w:left="5463" w:hanging="481"/>
      </w:pPr>
      <w:rPr>
        <w:rFonts w:hint="default"/>
        <w:lang w:val="zh-CN" w:eastAsia="zh-CN" w:bidi="zh-CN"/>
      </w:rPr>
    </w:lvl>
    <w:lvl w:ilvl="6" w:tentative="0">
      <w:start w:val="0"/>
      <w:numFmt w:val="bullet"/>
      <w:lvlText w:val="•"/>
      <w:lvlJc w:val="left"/>
      <w:pPr>
        <w:ind w:left="6431" w:hanging="481"/>
      </w:pPr>
      <w:rPr>
        <w:rFonts w:hint="default"/>
        <w:lang w:val="zh-CN" w:eastAsia="zh-CN" w:bidi="zh-CN"/>
      </w:rPr>
    </w:lvl>
    <w:lvl w:ilvl="7" w:tentative="0">
      <w:start w:val="0"/>
      <w:numFmt w:val="bullet"/>
      <w:lvlText w:val="•"/>
      <w:lvlJc w:val="left"/>
      <w:pPr>
        <w:ind w:left="7400" w:hanging="481"/>
      </w:pPr>
      <w:rPr>
        <w:rFonts w:hint="default"/>
        <w:lang w:val="zh-CN" w:eastAsia="zh-CN" w:bidi="zh-CN"/>
      </w:rPr>
    </w:lvl>
    <w:lvl w:ilvl="8" w:tentative="0">
      <w:start w:val="0"/>
      <w:numFmt w:val="bullet"/>
      <w:lvlText w:val="•"/>
      <w:lvlJc w:val="left"/>
      <w:pPr>
        <w:ind w:left="8368" w:hanging="481"/>
      </w:pPr>
      <w:rPr>
        <w:rFonts w:hint="default"/>
        <w:lang w:val="zh-CN" w:eastAsia="zh-CN" w:bidi="zh-CN"/>
      </w:rPr>
    </w:lvl>
  </w:abstractNum>
  <w:abstractNum w:abstractNumId="1">
    <w:nsid w:val="8461FADE"/>
    <w:multiLevelType w:val="multilevel"/>
    <w:tmpl w:val="8461FADE"/>
    <w:lvl w:ilvl="0" w:tentative="0">
      <w:start w:val="18"/>
      <w:numFmt w:val="decimal"/>
      <w:lvlText w:val="%1"/>
      <w:lvlJc w:val="left"/>
      <w:pPr>
        <w:ind w:left="618" w:hanging="485"/>
        <w:jc w:val="left"/>
      </w:pPr>
      <w:rPr>
        <w:rFonts w:hint="default"/>
        <w:lang w:val="zh-CN" w:eastAsia="zh-CN" w:bidi="zh-CN"/>
      </w:rPr>
    </w:lvl>
    <w:lvl w:ilvl="1" w:tentative="0">
      <w:start w:val="1"/>
      <w:numFmt w:val="decimal"/>
      <w:lvlText w:val="%1.%2"/>
      <w:lvlJc w:val="left"/>
      <w:pPr>
        <w:ind w:left="618" w:hanging="485"/>
        <w:jc w:val="left"/>
      </w:pPr>
      <w:rPr>
        <w:rFonts w:hint="default"/>
        <w:w w:val="100"/>
        <w:lang w:val="zh-CN" w:eastAsia="zh-CN" w:bidi="zh-CN"/>
      </w:rPr>
    </w:lvl>
    <w:lvl w:ilvl="2" w:tentative="0">
      <w:start w:val="0"/>
      <w:numFmt w:val="bullet"/>
      <w:lvlText w:val="•"/>
      <w:lvlJc w:val="left"/>
      <w:pPr>
        <w:ind w:left="2557" w:hanging="485"/>
      </w:pPr>
      <w:rPr>
        <w:rFonts w:hint="default"/>
        <w:lang w:val="zh-CN" w:eastAsia="zh-CN" w:bidi="zh-CN"/>
      </w:rPr>
    </w:lvl>
    <w:lvl w:ilvl="3" w:tentative="0">
      <w:start w:val="0"/>
      <w:numFmt w:val="bullet"/>
      <w:lvlText w:val="•"/>
      <w:lvlJc w:val="left"/>
      <w:pPr>
        <w:ind w:left="3525" w:hanging="485"/>
      </w:pPr>
      <w:rPr>
        <w:rFonts w:hint="default"/>
        <w:lang w:val="zh-CN" w:eastAsia="zh-CN" w:bidi="zh-CN"/>
      </w:rPr>
    </w:lvl>
    <w:lvl w:ilvl="4" w:tentative="0">
      <w:start w:val="0"/>
      <w:numFmt w:val="bullet"/>
      <w:lvlText w:val="•"/>
      <w:lvlJc w:val="left"/>
      <w:pPr>
        <w:ind w:left="4494" w:hanging="485"/>
      </w:pPr>
      <w:rPr>
        <w:rFonts w:hint="default"/>
        <w:lang w:val="zh-CN" w:eastAsia="zh-CN" w:bidi="zh-CN"/>
      </w:rPr>
    </w:lvl>
    <w:lvl w:ilvl="5" w:tentative="0">
      <w:start w:val="0"/>
      <w:numFmt w:val="bullet"/>
      <w:lvlText w:val="•"/>
      <w:lvlJc w:val="left"/>
      <w:pPr>
        <w:ind w:left="5463" w:hanging="485"/>
      </w:pPr>
      <w:rPr>
        <w:rFonts w:hint="default"/>
        <w:lang w:val="zh-CN" w:eastAsia="zh-CN" w:bidi="zh-CN"/>
      </w:rPr>
    </w:lvl>
    <w:lvl w:ilvl="6" w:tentative="0">
      <w:start w:val="0"/>
      <w:numFmt w:val="bullet"/>
      <w:lvlText w:val="•"/>
      <w:lvlJc w:val="left"/>
      <w:pPr>
        <w:ind w:left="6431" w:hanging="485"/>
      </w:pPr>
      <w:rPr>
        <w:rFonts w:hint="default"/>
        <w:lang w:val="zh-CN" w:eastAsia="zh-CN" w:bidi="zh-CN"/>
      </w:rPr>
    </w:lvl>
    <w:lvl w:ilvl="7" w:tentative="0">
      <w:start w:val="0"/>
      <w:numFmt w:val="bullet"/>
      <w:lvlText w:val="•"/>
      <w:lvlJc w:val="left"/>
      <w:pPr>
        <w:ind w:left="7400" w:hanging="485"/>
      </w:pPr>
      <w:rPr>
        <w:rFonts w:hint="default"/>
        <w:lang w:val="zh-CN" w:eastAsia="zh-CN" w:bidi="zh-CN"/>
      </w:rPr>
    </w:lvl>
    <w:lvl w:ilvl="8" w:tentative="0">
      <w:start w:val="0"/>
      <w:numFmt w:val="bullet"/>
      <w:lvlText w:val="•"/>
      <w:lvlJc w:val="left"/>
      <w:pPr>
        <w:ind w:left="8368" w:hanging="485"/>
      </w:pPr>
      <w:rPr>
        <w:rFonts w:hint="default"/>
        <w:lang w:val="zh-CN" w:eastAsia="zh-CN" w:bidi="zh-CN"/>
      </w:rPr>
    </w:lvl>
  </w:abstractNum>
  <w:abstractNum w:abstractNumId="2">
    <w:nsid w:val="9239341B"/>
    <w:multiLevelType w:val="multilevel"/>
    <w:tmpl w:val="9239341B"/>
    <w:lvl w:ilvl="0" w:tentative="0">
      <w:start w:val="15"/>
      <w:numFmt w:val="decimal"/>
      <w:lvlText w:val="%1"/>
      <w:lvlJc w:val="left"/>
      <w:pPr>
        <w:ind w:left="1398" w:hanging="540"/>
        <w:jc w:val="left"/>
      </w:pPr>
      <w:rPr>
        <w:rFonts w:hint="default"/>
        <w:lang w:val="zh-CN" w:eastAsia="zh-CN" w:bidi="zh-CN"/>
      </w:rPr>
    </w:lvl>
    <w:lvl w:ilvl="1" w:tentative="0">
      <w:start w:val="1"/>
      <w:numFmt w:val="decimal"/>
      <w:lvlText w:val="%1.%2"/>
      <w:lvlJc w:val="left"/>
      <w:pPr>
        <w:ind w:left="139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81" w:hanging="540"/>
      </w:pPr>
      <w:rPr>
        <w:rFonts w:hint="default"/>
        <w:lang w:val="zh-CN" w:eastAsia="zh-CN" w:bidi="zh-CN"/>
      </w:rPr>
    </w:lvl>
    <w:lvl w:ilvl="3" w:tentative="0">
      <w:start w:val="0"/>
      <w:numFmt w:val="bullet"/>
      <w:lvlText w:val="•"/>
      <w:lvlJc w:val="left"/>
      <w:pPr>
        <w:ind w:left="4071" w:hanging="540"/>
      </w:pPr>
      <w:rPr>
        <w:rFonts w:hint="default"/>
        <w:lang w:val="zh-CN" w:eastAsia="zh-CN" w:bidi="zh-CN"/>
      </w:rPr>
    </w:lvl>
    <w:lvl w:ilvl="4" w:tentative="0">
      <w:start w:val="0"/>
      <w:numFmt w:val="bullet"/>
      <w:lvlText w:val="•"/>
      <w:lvlJc w:val="left"/>
      <w:pPr>
        <w:ind w:left="4962" w:hanging="540"/>
      </w:pPr>
      <w:rPr>
        <w:rFonts w:hint="default"/>
        <w:lang w:val="zh-CN" w:eastAsia="zh-CN" w:bidi="zh-CN"/>
      </w:rPr>
    </w:lvl>
    <w:lvl w:ilvl="5" w:tentative="0">
      <w:start w:val="0"/>
      <w:numFmt w:val="bullet"/>
      <w:lvlText w:val="•"/>
      <w:lvlJc w:val="left"/>
      <w:pPr>
        <w:ind w:left="5853" w:hanging="540"/>
      </w:pPr>
      <w:rPr>
        <w:rFonts w:hint="default"/>
        <w:lang w:val="zh-CN" w:eastAsia="zh-CN" w:bidi="zh-CN"/>
      </w:rPr>
    </w:lvl>
    <w:lvl w:ilvl="6" w:tentative="0">
      <w:start w:val="0"/>
      <w:numFmt w:val="bullet"/>
      <w:lvlText w:val="•"/>
      <w:lvlJc w:val="left"/>
      <w:pPr>
        <w:ind w:left="6743" w:hanging="540"/>
      </w:pPr>
      <w:rPr>
        <w:rFonts w:hint="default"/>
        <w:lang w:val="zh-CN" w:eastAsia="zh-CN" w:bidi="zh-CN"/>
      </w:rPr>
    </w:lvl>
    <w:lvl w:ilvl="7" w:tentative="0">
      <w:start w:val="0"/>
      <w:numFmt w:val="bullet"/>
      <w:lvlText w:val="•"/>
      <w:lvlJc w:val="left"/>
      <w:pPr>
        <w:ind w:left="7634" w:hanging="540"/>
      </w:pPr>
      <w:rPr>
        <w:rFonts w:hint="default"/>
        <w:lang w:val="zh-CN" w:eastAsia="zh-CN" w:bidi="zh-CN"/>
      </w:rPr>
    </w:lvl>
    <w:lvl w:ilvl="8" w:tentative="0">
      <w:start w:val="0"/>
      <w:numFmt w:val="bullet"/>
      <w:lvlText w:val="•"/>
      <w:lvlJc w:val="left"/>
      <w:pPr>
        <w:ind w:left="8524" w:hanging="540"/>
      </w:pPr>
      <w:rPr>
        <w:rFonts w:hint="default"/>
        <w:lang w:val="zh-CN" w:eastAsia="zh-CN" w:bidi="zh-CN"/>
      </w:rPr>
    </w:lvl>
  </w:abstractNum>
  <w:abstractNum w:abstractNumId="3">
    <w:nsid w:val="9288B902"/>
    <w:multiLevelType w:val="multilevel"/>
    <w:tmpl w:val="9288B902"/>
    <w:lvl w:ilvl="0" w:tentative="0">
      <w:start w:val="16"/>
      <w:numFmt w:val="decimal"/>
      <w:lvlText w:val="%1"/>
      <w:lvlJc w:val="left"/>
      <w:pPr>
        <w:ind w:left="618" w:hanging="540"/>
        <w:jc w:val="left"/>
      </w:pPr>
      <w:rPr>
        <w:rFonts w:hint="default"/>
        <w:lang w:val="zh-CN" w:eastAsia="zh-CN" w:bidi="zh-CN"/>
      </w:rPr>
    </w:lvl>
    <w:lvl w:ilvl="1" w:tentative="0">
      <w:start w:val="1"/>
      <w:numFmt w:val="decimal"/>
      <w:lvlText w:val="%1.%2"/>
      <w:lvlJc w:val="left"/>
      <w:pPr>
        <w:ind w:left="61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57" w:hanging="540"/>
      </w:pPr>
      <w:rPr>
        <w:rFonts w:hint="default"/>
        <w:lang w:val="zh-CN" w:eastAsia="zh-CN" w:bidi="zh-CN"/>
      </w:rPr>
    </w:lvl>
    <w:lvl w:ilvl="3" w:tentative="0">
      <w:start w:val="0"/>
      <w:numFmt w:val="bullet"/>
      <w:lvlText w:val="•"/>
      <w:lvlJc w:val="left"/>
      <w:pPr>
        <w:ind w:left="3525" w:hanging="540"/>
      </w:pPr>
      <w:rPr>
        <w:rFonts w:hint="default"/>
        <w:lang w:val="zh-CN" w:eastAsia="zh-CN" w:bidi="zh-CN"/>
      </w:rPr>
    </w:lvl>
    <w:lvl w:ilvl="4" w:tentative="0">
      <w:start w:val="0"/>
      <w:numFmt w:val="bullet"/>
      <w:lvlText w:val="•"/>
      <w:lvlJc w:val="left"/>
      <w:pPr>
        <w:ind w:left="4494" w:hanging="540"/>
      </w:pPr>
      <w:rPr>
        <w:rFonts w:hint="default"/>
        <w:lang w:val="zh-CN" w:eastAsia="zh-CN" w:bidi="zh-CN"/>
      </w:rPr>
    </w:lvl>
    <w:lvl w:ilvl="5" w:tentative="0">
      <w:start w:val="0"/>
      <w:numFmt w:val="bullet"/>
      <w:lvlText w:val="•"/>
      <w:lvlJc w:val="left"/>
      <w:pPr>
        <w:ind w:left="5463" w:hanging="540"/>
      </w:pPr>
      <w:rPr>
        <w:rFonts w:hint="default"/>
        <w:lang w:val="zh-CN" w:eastAsia="zh-CN" w:bidi="zh-CN"/>
      </w:rPr>
    </w:lvl>
    <w:lvl w:ilvl="6" w:tentative="0">
      <w:start w:val="0"/>
      <w:numFmt w:val="bullet"/>
      <w:lvlText w:val="•"/>
      <w:lvlJc w:val="left"/>
      <w:pPr>
        <w:ind w:left="6431" w:hanging="540"/>
      </w:pPr>
      <w:rPr>
        <w:rFonts w:hint="default"/>
        <w:lang w:val="zh-CN" w:eastAsia="zh-CN" w:bidi="zh-CN"/>
      </w:rPr>
    </w:lvl>
    <w:lvl w:ilvl="7" w:tentative="0">
      <w:start w:val="0"/>
      <w:numFmt w:val="bullet"/>
      <w:lvlText w:val="•"/>
      <w:lvlJc w:val="left"/>
      <w:pPr>
        <w:ind w:left="7400" w:hanging="540"/>
      </w:pPr>
      <w:rPr>
        <w:rFonts w:hint="default"/>
        <w:lang w:val="zh-CN" w:eastAsia="zh-CN" w:bidi="zh-CN"/>
      </w:rPr>
    </w:lvl>
    <w:lvl w:ilvl="8" w:tentative="0">
      <w:start w:val="0"/>
      <w:numFmt w:val="bullet"/>
      <w:lvlText w:val="•"/>
      <w:lvlJc w:val="left"/>
      <w:pPr>
        <w:ind w:left="8368" w:hanging="540"/>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459" w:hanging="601"/>
        <w:jc w:val="left"/>
      </w:pPr>
      <w:rPr>
        <w:rFonts w:hint="default"/>
        <w:w w:val="100"/>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5">
    <w:nsid w:val="B0F1ACD9"/>
    <w:multiLevelType w:val="multilevel"/>
    <w:tmpl w:val="B0F1ACD9"/>
    <w:lvl w:ilvl="0" w:tentative="0">
      <w:start w:val="13"/>
      <w:numFmt w:val="decimal"/>
      <w:lvlText w:val="%1"/>
      <w:lvlJc w:val="left"/>
      <w:pPr>
        <w:ind w:left="618" w:hanging="481"/>
        <w:jc w:val="left"/>
      </w:pPr>
      <w:rPr>
        <w:rFonts w:hint="default"/>
        <w:lang w:val="zh-CN" w:eastAsia="zh-CN" w:bidi="zh-CN"/>
      </w:rPr>
    </w:lvl>
    <w:lvl w:ilvl="1" w:tentative="0">
      <w:start w:val="1"/>
      <w:numFmt w:val="decimal"/>
      <w:lvlText w:val="%1.%2"/>
      <w:lvlJc w:val="left"/>
      <w:pPr>
        <w:ind w:left="618" w:hanging="481"/>
        <w:jc w:val="left"/>
      </w:pPr>
      <w:rPr>
        <w:rFonts w:hint="default" w:ascii="宋体" w:hAnsi="宋体" w:eastAsia="宋体" w:cs="宋体"/>
        <w:spacing w:val="-51"/>
        <w:w w:val="100"/>
        <w:sz w:val="22"/>
        <w:szCs w:val="22"/>
        <w:lang w:val="zh-CN" w:eastAsia="zh-CN" w:bidi="zh-CN"/>
      </w:rPr>
    </w:lvl>
    <w:lvl w:ilvl="2" w:tentative="0">
      <w:start w:val="0"/>
      <w:numFmt w:val="bullet"/>
      <w:lvlText w:val="•"/>
      <w:lvlJc w:val="left"/>
      <w:pPr>
        <w:ind w:left="2557" w:hanging="481"/>
      </w:pPr>
      <w:rPr>
        <w:rFonts w:hint="default"/>
        <w:lang w:val="zh-CN" w:eastAsia="zh-CN" w:bidi="zh-CN"/>
      </w:rPr>
    </w:lvl>
    <w:lvl w:ilvl="3" w:tentative="0">
      <w:start w:val="0"/>
      <w:numFmt w:val="bullet"/>
      <w:lvlText w:val="•"/>
      <w:lvlJc w:val="left"/>
      <w:pPr>
        <w:ind w:left="3525" w:hanging="481"/>
      </w:pPr>
      <w:rPr>
        <w:rFonts w:hint="default"/>
        <w:lang w:val="zh-CN" w:eastAsia="zh-CN" w:bidi="zh-CN"/>
      </w:rPr>
    </w:lvl>
    <w:lvl w:ilvl="4" w:tentative="0">
      <w:start w:val="0"/>
      <w:numFmt w:val="bullet"/>
      <w:lvlText w:val="•"/>
      <w:lvlJc w:val="left"/>
      <w:pPr>
        <w:ind w:left="4494" w:hanging="481"/>
      </w:pPr>
      <w:rPr>
        <w:rFonts w:hint="default"/>
        <w:lang w:val="zh-CN" w:eastAsia="zh-CN" w:bidi="zh-CN"/>
      </w:rPr>
    </w:lvl>
    <w:lvl w:ilvl="5" w:tentative="0">
      <w:start w:val="0"/>
      <w:numFmt w:val="bullet"/>
      <w:lvlText w:val="•"/>
      <w:lvlJc w:val="left"/>
      <w:pPr>
        <w:ind w:left="5463" w:hanging="481"/>
      </w:pPr>
      <w:rPr>
        <w:rFonts w:hint="default"/>
        <w:lang w:val="zh-CN" w:eastAsia="zh-CN" w:bidi="zh-CN"/>
      </w:rPr>
    </w:lvl>
    <w:lvl w:ilvl="6" w:tentative="0">
      <w:start w:val="0"/>
      <w:numFmt w:val="bullet"/>
      <w:lvlText w:val="•"/>
      <w:lvlJc w:val="left"/>
      <w:pPr>
        <w:ind w:left="6431" w:hanging="481"/>
      </w:pPr>
      <w:rPr>
        <w:rFonts w:hint="default"/>
        <w:lang w:val="zh-CN" w:eastAsia="zh-CN" w:bidi="zh-CN"/>
      </w:rPr>
    </w:lvl>
    <w:lvl w:ilvl="7" w:tentative="0">
      <w:start w:val="0"/>
      <w:numFmt w:val="bullet"/>
      <w:lvlText w:val="•"/>
      <w:lvlJc w:val="left"/>
      <w:pPr>
        <w:ind w:left="7400" w:hanging="481"/>
      </w:pPr>
      <w:rPr>
        <w:rFonts w:hint="default"/>
        <w:lang w:val="zh-CN" w:eastAsia="zh-CN" w:bidi="zh-CN"/>
      </w:rPr>
    </w:lvl>
    <w:lvl w:ilvl="8" w:tentative="0">
      <w:start w:val="0"/>
      <w:numFmt w:val="bullet"/>
      <w:lvlText w:val="•"/>
      <w:lvlJc w:val="left"/>
      <w:pPr>
        <w:ind w:left="8368" w:hanging="481"/>
      </w:pPr>
      <w:rPr>
        <w:rFonts w:hint="default"/>
        <w:lang w:val="zh-CN" w:eastAsia="zh-CN" w:bidi="zh-CN"/>
      </w:rPr>
    </w:lvl>
  </w:abstractNum>
  <w:abstractNum w:abstractNumId="6">
    <w:nsid w:val="B5E306ED"/>
    <w:multiLevelType w:val="multilevel"/>
    <w:tmpl w:val="B5E306ED"/>
    <w:lvl w:ilvl="0" w:tentative="0">
      <w:start w:val="1"/>
      <w:numFmt w:val="decimal"/>
      <w:lvlText w:val="（%1）"/>
      <w:lvlJc w:val="left"/>
      <w:pPr>
        <w:ind w:left="618" w:hanging="60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459" w:hanging="601"/>
        <w:jc w:val="left"/>
      </w:pPr>
      <w:rPr>
        <w:rFonts w:hint="default" w:ascii="微软雅黑" w:hAnsi="微软雅黑" w:eastAsia="微软雅黑" w:cs="微软雅黑"/>
        <w:b/>
        <w:bCs/>
        <w:w w:val="81"/>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8">
    <w:nsid w:val="BF205925"/>
    <w:multiLevelType w:val="multilevel"/>
    <w:tmpl w:val="BF205925"/>
    <w:lvl w:ilvl="0" w:tentative="0">
      <w:start w:val="4"/>
      <w:numFmt w:val="decimal"/>
      <w:lvlText w:val="%1"/>
      <w:lvlJc w:val="left"/>
      <w:pPr>
        <w:ind w:left="618" w:hanging="423"/>
        <w:jc w:val="left"/>
      </w:pPr>
      <w:rPr>
        <w:rFonts w:hint="default"/>
        <w:lang w:val="zh-CN" w:eastAsia="zh-CN" w:bidi="zh-CN"/>
      </w:rPr>
    </w:lvl>
    <w:lvl w:ilvl="1" w:tentative="0">
      <w:start w:val="1"/>
      <w:numFmt w:val="decimal"/>
      <w:lvlText w:val="%1.%2"/>
      <w:lvlJc w:val="left"/>
      <w:pPr>
        <w:ind w:left="618" w:hanging="423"/>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557" w:hanging="423"/>
      </w:pPr>
      <w:rPr>
        <w:rFonts w:hint="default"/>
        <w:lang w:val="zh-CN" w:eastAsia="zh-CN" w:bidi="zh-CN"/>
      </w:rPr>
    </w:lvl>
    <w:lvl w:ilvl="3" w:tentative="0">
      <w:start w:val="0"/>
      <w:numFmt w:val="bullet"/>
      <w:lvlText w:val="•"/>
      <w:lvlJc w:val="left"/>
      <w:pPr>
        <w:ind w:left="3525" w:hanging="423"/>
      </w:pPr>
      <w:rPr>
        <w:rFonts w:hint="default"/>
        <w:lang w:val="zh-CN" w:eastAsia="zh-CN" w:bidi="zh-CN"/>
      </w:rPr>
    </w:lvl>
    <w:lvl w:ilvl="4" w:tentative="0">
      <w:start w:val="0"/>
      <w:numFmt w:val="bullet"/>
      <w:lvlText w:val="•"/>
      <w:lvlJc w:val="left"/>
      <w:pPr>
        <w:ind w:left="4494" w:hanging="423"/>
      </w:pPr>
      <w:rPr>
        <w:rFonts w:hint="default"/>
        <w:lang w:val="zh-CN" w:eastAsia="zh-CN" w:bidi="zh-CN"/>
      </w:rPr>
    </w:lvl>
    <w:lvl w:ilvl="5" w:tentative="0">
      <w:start w:val="0"/>
      <w:numFmt w:val="bullet"/>
      <w:lvlText w:val="•"/>
      <w:lvlJc w:val="left"/>
      <w:pPr>
        <w:ind w:left="5463" w:hanging="423"/>
      </w:pPr>
      <w:rPr>
        <w:rFonts w:hint="default"/>
        <w:lang w:val="zh-CN" w:eastAsia="zh-CN" w:bidi="zh-CN"/>
      </w:rPr>
    </w:lvl>
    <w:lvl w:ilvl="6" w:tentative="0">
      <w:start w:val="0"/>
      <w:numFmt w:val="bullet"/>
      <w:lvlText w:val="•"/>
      <w:lvlJc w:val="left"/>
      <w:pPr>
        <w:ind w:left="6431" w:hanging="423"/>
      </w:pPr>
      <w:rPr>
        <w:rFonts w:hint="default"/>
        <w:lang w:val="zh-CN" w:eastAsia="zh-CN" w:bidi="zh-CN"/>
      </w:rPr>
    </w:lvl>
    <w:lvl w:ilvl="7" w:tentative="0">
      <w:start w:val="0"/>
      <w:numFmt w:val="bullet"/>
      <w:lvlText w:val="•"/>
      <w:lvlJc w:val="left"/>
      <w:pPr>
        <w:ind w:left="7400" w:hanging="423"/>
      </w:pPr>
      <w:rPr>
        <w:rFonts w:hint="default"/>
        <w:lang w:val="zh-CN" w:eastAsia="zh-CN" w:bidi="zh-CN"/>
      </w:rPr>
    </w:lvl>
    <w:lvl w:ilvl="8" w:tentative="0">
      <w:start w:val="0"/>
      <w:numFmt w:val="bullet"/>
      <w:lvlText w:val="•"/>
      <w:lvlJc w:val="left"/>
      <w:pPr>
        <w:ind w:left="8368" w:hanging="423"/>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80" w:hanging="527"/>
      </w:pPr>
      <w:rPr>
        <w:rFonts w:hint="default"/>
        <w:lang w:val="zh-CN" w:eastAsia="zh-CN" w:bidi="zh-CN"/>
      </w:rPr>
    </w:lvl>
    <w:lvl w:ilvl="2" w:tentative="0">
      <w:start w:val="0"/>
      <w:numFmt w:val="bullet"/>
      <w:lvlText w:val="•"/>
      <w:lvlJc w:val="left"/>
      <w:pPr>
        <w:ind w:left="1920" w:hanging="527"/>
      </w:pPr>
      <w:rPr>
        <w:rFonts w:hint="default"/>
        <w:lang w:val="zh-CN" w:eastAsia="zh-CN" w:bidi="zh-CN"/>
      </w:rPr>
    </w:lvl>
    <w:lvl w:ilvl="3" w:tentative="0">
      <w:start w:val="0"/>
      <w:numFmt w:val="bullet"/>
      <w:lvlText w:val="•"/>
      <w:lvlJc w:val="left"/>
      <w:pPr>
        <w:ind w:left="2561" w:hanging="527"/>
      </w:pPr>
      <w:rPr>
        <w:rFonts w:hint="default"/>
        <w:lang w:val="zh-CN" w:eastAsia="zh-CN" w:bidi="zh-CN"/>
      </w:rPr>
    </w:lvl>
    <w:lvl w:ilvl="4" w:tentative="0">
      <w:start w:val="0"/>
      <w:numFmt w:val="bullet"/>
      <w:lvlText w:val="•"/>
      <w:lvlJc w:val="left"/>
      <w:pPr>
        <w:ind w:left="3201" w:hanging="527"/>
      </w:pPr>
      <w:rPr>
        <w:rFonts w:hint="default"/>
        <w:lang w:val="zh-CN" w:eastAsia="zh-CN" w:bidi="zh-CN"/>
      </w:rPr>
    </w:lvl>
    <w:lvl w:ilvl="5" w:tentative="0">
      <w:start w:val="0"/>
      <w:numFmt w:val="bullet"/>
      <w:lvlText w:val="•"/>
      <w:lvlJc w:val="left"/>
      <w:pPr>
        <w:ind w:left="3842" w:hanging="527"/>
      </w:pPr>
      <w:rPr>
        <w:rFonts w:hint="default"/>
        <w:lang w:val="zh-CN" w:eastAsia="zh-CN" w:bidi="zh-CN"/>
      </w:rPr>
    </w:lvl>
    <w:lvl w:ilvl="6" w:tentative="0">
      <w:start w:val="0"/>
      <w:numFmt w:val="bullet"/>
      <w:lvlText w:val="•"/>
      <w:lvlJc w:val="left"/>
      <w:pPr>
        <w:ind w:left="4482" w:hanging="527"/>
      </w:pPr>
      <w:rPr>
        <w:rFonts w:hint="default"/>
        <w:lang w:val="zh-CN" w:eastAsia="zh-CN" w:bidi="zh-CN"/>
      </w:rPr>
    </w:lvl>
    <w:lvl w:ilvl="7" w:tentative="0">
      <w:start w:val="0"/>
      <w:numFmt w:val="bullet"/>
      <w:lvlText w:val="•"/>
      <w:lvlJc w:val="left"/>
      <w:pPr>
        <w:ind w:left="5122" w:hanging="527"/>
      </w:pPr>
      <w:rPr>
        <w:rFonts w:hint="default"/>
        <w:lang w:val="zh-CN" w:eastAsia="zh-CN" w:bidi="zh-CN"/>
      </w:rPr>
    </w:lvl>
    <w:lvl w:ilvl="8" w:tentative="0">
      <w:start w:val="0"/>
      <w:numFmt w:val="bullet"/>
      <w:lvlText w:val="•"/>
      <w:lvlJc w:val="left"/>
      <w:pPr>
        <w:ind w:left="5763" w:hanging="527"/>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618" w:hanging="60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460" w:hanging="603"/>
        <w:jc w:val="left"/>
      </w:pPr>
      <w:rPr>
        <w:rFonts w:hint="default"/>
        <w:b/>
        <w:bCs/>
        <w:w w:val="81"/>
        <w:lang w:val="zh-CN" w:eastAsia="zh-CN" w:bidi="zh-CN"/>
      </w:rPr>
    </w:lvl>
    <w:lvl w:ilvl="1" w:tentative="0">
      <w:start w:val="0"/>
      <w:numFmt w:val="bullet"/>
      <w:lvlText w:val="•"/>
      <w:lvlJc w:val="left"/>
      <w:pPr>
        <w:ind w:left="2344" w:hanging="603"/>
      </w:pPr>
      <w:rPr>
        <w:rFonts w:hint="default"/>
        <w:lang w:val="zh-CN" w:eastAsia="zh-CN" w:bidi="zh-CN"/>
      </w:rPr>
    </w:lvl>
    <w:lvl w:ilvl="2" w:tentative="0">
      <w:start w:val="0"/>
      <w:numFmt w:val="bullet"/>
      <w:lvlText w:val="•"/>
      <w:lvlJc w:val="left"/>
      <w:pPr>
        <w:ind w:left="3229" w:hanging="603"/>
      </w:pPr>
      <w:rPr>
        <w:rFonts w:hint="default"/>
        <w:lang w:val="zh-CN" w:eastAsia="zh-CN" w:bidi="zh-CN"/>
      </w:rPr>
    </w:lvl>
    <w:lvl w:ilvl="3" w:tentative="0">
      <w:start w:val="0"/>
      <w:numFmt w:val="bullet"/>
      <w:lvlText w:val="•"/>
      <w:lvlJc w:val="left"/>
      <w:pPr>
        <w:ind w:left="4113" w:hanging="603"/>
      </w:pPr>
      <w:rPr>
        <w:rFonts w:hint="default"/>
        <w:lang w:val="zh-CN" w:eastAsia="zh-CN" w:bidi="zh-CN"/>
      </w:rPr>
    </w:lvl>
    <w:lvl w:ilvl="4" w:tentative="0">
      <w:start w:val="0"/>
      <w:numFmt w:val="bullet"/>
      <w:lvlText w:val="•"/>
      <w:lvlJc w:val="left"/>
      <w:pPr>
        <w:ind w:left="4998" w:hanging="603"/>
      </w:pPr>
      <w:rPr>
        <w:rFonts w:hint="default"/>
        <w:lang w:val="zh-CN" w:eastAsia="zh-CN" w:bidi="zh-CN"/>
      </w:rPr>
    </w:lvl>
    <w:lvl w:ilvl="5" w:tentative="0">
      <w:start w:val="0"/>
      <w:numFmt w:val="bullet"/>
      <w:lvlText w:val="•"/>
      <w:lvlJc w:val="left"/>
      <w:pPr>
        <w:ind w:left="5883" w:hanging="603"/>
      </w:pPr>
      <w:rPr>
        <w:rFonts w:hint="default"/>
        <w:lang w:val="zh-CN" w:eastAsia="zh-CN" w:bidi="zh-CN"/>
      </w:rPr>
    </w:lvl>
    <w:lvl w:ilvl="6" w:tentative="0">
      <w:start w:val="0"/>
      <w:numFmt w:val="bullet"/>
      <w:lvlText w:val="•"/>
      <w:lvlJc w:val="left"/>
      <w:pPr>
        <w:ind w:left="6767" w:hanging="603"/>
      </w:pPr>
      <w:rPr>
        <w:rFonts w:hint="default"/>
        <w:lang w:val="zh-CN" w:eastAsia="zh-CN" w:bidi="zh-CN"/>
      </w:rPr>
    </w:lvl>
    <w:lvl w:ilvl="7" w:tentative="0">
      <w:start w:val="0"/>
      <w:numFmt w:val="bullet"/>
      <w:lvlText w:val="•"/>
      <w:lvlJc w:val="left"/>
      <w:pPr>
        <w:ind w:left="7652" w:hanging="603"/>
      </w:pPr>
      <w:rPr>
        <w:rFonts w:hint="default"/>
        <w:lang w:val="zh-CN" w:eastAsia="zh-CN" w:bidi="zh-CN"/>
      </w:rPr>
    </w:lvl>
    <w:lvl w:ilvl="8" w:tentative="0">
      <w:start w:val="0"/>
      <w:numFmt w:val="bullet"/>
      <w:lvlText w:val="•"/>
      <w:lvlJc w:val="left"/>
      <w:pPr>
        <w:ind w:left="8536" w:hanging="603"/>
      </w:pPr>
      <w:rPr>
        <w:rFonts w:hint="default"/>
        <w:lang w:val="zh-CN" w:eastAsia="zh-CN" w:bidi="zh-CN"/>
      </w:rPr>
    </w:lvl>
  </w:abstractNum>
  <w:abstractNum w:abstractNumId="12">
    <w:nsid w:val="DCBA6B53"/>
    <w:multiLevelType w:val="multilevel"/>
    <w:tmpl w:val="DCBA6B53"/>
    <w:lvl w:ilvl="0" w:tentative="0">
      <w:start w:val="7"/>
      <w:numFmt w:val="decimal"/>
      <w:lvlText w:val="%1"/>
      <w:lvlJc w:val="left"/>
      <w:pPr>
        <w:ind w:left="618" w:hanging="363"/>
        <w:jc w:val="left"/>
      </w:pPr>
      <w:rPr>
        <w:rFonts w:hint="default"/>
        <w:lang w:val="zh-CN" w:eastAsia="zh-CN" w:bidi="zh-CN"/>
      </w:rPr>
    </w:lvl>
    <w:lvl w:ilvl="1" w:tentative="0">
      <w:start w:val="1"/>
      <w:numFmt w:val="decimal"/>
      <w:lvlText w:val="%1.%2"/>
      <w:lvlJc w:val="left"/>
      <w:pPr>
        <w:ind w:left="618" w:hanging="363"/>
        <w:jc w:val="left"/>
      </w:pPr>
      <w:rPr>
        <w:rFonts w:hint="default"/>
        <w:w w:val="100"/>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13">
    <w:nsid w:val="F4B5D9F5"/>
    <w:multiLevelType w:val="multilevel"/>
    <w:tmpl w:val="F4B5D9F5"/>
    <w:lvl w:ilvl="0" w:tentative="0">
      <w:start w:val="4"/>
      <w:numFmt w:val="decimal"/>
      <w:lvlText w:val="%1"/>
      <w:lvlJc w:val="left"/>
      <w:pPr>
        <w:ind w:left="618" w:hanging="363"/>
        <w:jc w:val="left"/>
      </w:pPr>
      <w:rPr>
        <w:rFonts w:hint="default"/>
        <w:lang w:val="zh-CN" w:eastAsia="zh-CN" w:bidi="zh-CN"/>
      </w:rPr>
    </w:lvl>
    <w:lvl w:ilvl="1" w:tentative="0">
      <w:start w:val="1"/>
      <w:numFmt w:val="decimal"/>
      <w:lvlText w:val="%1.%2"/>
      <w:lvlJc w:val="left"/>
      <w:pPr>
        <w:ind w:left="618" w:hanging="363"/>
        <w:jc w:val="left"/>
      </w:pPr>
      <w:rPr>
        <w:rFonts w:hint="default"/>
        <w:w w:val="100"/>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14">
    <w:nsid w:val="F7735DC9"/>
    <w:multiLevelType w:val="multilevel"/>
    <w:tmpl w:val="F7735DC9"/>
    <w:lvl w:ilvl="0" w:tentative="0">
      <w:start w:val="1"/>
      <w:numFmt w:val="decimal"/>
      <w:lvlText w:val="（%1）"/>
      <w:lvlJc w:val="left"/>
      <w:pPr>
        <w:ind w:left="1354" w:hanging="527"/>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562" w:hanging="525"/>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531" w:hanging="525"/>
      </w:pPr>
      <w:rPr>
        <w:rFonts w:hint="default"/>
        <w:lang w:val="zh-CN" w:eastAsia="zh-CN" w:bidi="zh-CN"/>
      </w:rPr>
    </w:lvl>
    <w:lvl w:ilvl="3" w:tentative="0">
      <w:start w:val="0"/>
      <w:numFmt w:val="bullet"/>
      <w:lvlText w:val="•"/>
      <w:lvlJc w:val="left"/>
      <w:pPr>
        <w:ind w:left="3503" w:hanging="525"/>
      </w:pPr>
      <w:rPr>
        <w:rFonts w:hint="default"/>
        <w:lang w:val="zh-CN" w:eastAsia="zh-CN" w:bidi="zh-CN"/>
      </w:rPr>
    </w:lvl>
    <w:lvl w:ilvl="4" w:tentative="0">
      <w:start w:val="0"/>
      <w:numFmt w:val="bullet"/>
      <w:lvlText w:val="•"/>
      <w:lvlJc w:val="left"/>
      <w:pPr>
        <w:ind w:left="4475" w:hanging="525"/>
      </w:pPr>
      <w:rPr>
        <w:rFonts w:hint="default"/>
        <w:lang w:val="zh-CN" w:eastAsia="zh-CN" w:bidi="zh-CN"/>
      </w:rPr>
    </w:lvl>
    <w:lvl w:ilvl="5" w:tentative="0">
      <w:start w:val="0"/>
      <w:numFmt w:val="bullet"/>
      <w:lvlText w:val="•"/>
      <w:lvlJc w:val="left"/>
      <w:pPr>
        <w:ind w:left="5447" w:hanging="525"/>
      </w:pPr>
      <w:rPr>
        <w:rFonts w:hint="default"/>
        <w:lang w:val="zh-CN" w:eastAsia="zh-CN" w:bidi="zh-CN"/>
      </w:rPr>
    </w:lvl>
    <w:lvl w:ilvl="6" w:tentative="0">
      <w:start w:val="0"/>
      <w:numFmt w:val="bullet"/>
      <w:lvlText w:val="•"/>
      <w:lvlJc w:val="left"/>
      <w:pPr>
        <w:ind w:left="6418" w:hanging="525"/>
      </w:pPr>
      <w:rPr>
        <w:rFonts w:hint="default"/>
        <w:lang w:val="zh-CN" w:eastAsia="zh-CN" w:bidi="zh-CN"/>
      </w:rPr>
    </w:lvl>
    <w:lvl w:ilvl="7" w:tentative="0">
      <w:start w:val="0"/>
      <w:numFmt w:val="bullet"/>
      <w:lvlText w:val="•"/>
      <w:lvlJc w:val="left"/>
      <w:pPr>
        <w:ind w:left="7390" w:hanging="525"/>
      </w:pPr>
      <w:rPr>
        <w:rFonts w:hint="default"/>
        <w:lang w:val="zh-CN" w:eastAsia="zh-CN" w:bidi="zh-CN"/>
      </w:rPr>
    </w:lvl>
    <w:lvl w:ilvl="8" w:tentative="0">
      <w:start w:val="0"/>
      <w:numFmt w:val="bullet"/>
      <w:lvlText w:val="•"/>
      <w:lvlJc w:val="left"/>
      <w:pPr>
        <w:ind w:left="8362" w:hanging="525"/>
      </w:pPr>
      <w:rPr>
        <w:rFonts w:hint="default"/>
        <w:lang w:val="zh-CN" w:eastAsia="zh-CN" w:bidi="zh-CN"/>
      </w:rPr>
    </w:lvl>
  </w:abstractNum>
  <w:abstractNum w:abstractNumId="15">
    <w:nsid w:val="0053208E"/>
    <w:multiLevelType w:val="multilevel"/>
    <w:tmpl w:val="0053208E"/>
    <w:lvl w:ilvl="0" w:tentative="0">
      <w:start w:val="3"/>
      <w:numFmt w:val="decimal"/>
      <w:lvlText w:val="%1"/>
      <w:lvlJc w:val="left"/>
      <w:pPr>
        <w:ind w:left="1221" w:hanging="364"/>
        <w:jc w:val="left"/>
      </w:pPr>
      <w:rPr>
        <w:rFonts w:hint="default"/>
        <w:lang w:val="zh-CN" w:eastAsia="zh-CN" w:bidi="zh-CN"/>
      </w:rPr>
    </w:lvl>
    <w:lvl w:ilvl="1" w:tentative="0">
      <w:start w:val="1"/>
      <w:numFmt w:val="decimal"/>
      <w:lvlText w:val="%1.%2"/>
      <w:lvlJc w:val="left"/>
      <w:pPr>
        <w:ind w:left="1221" w:hanging="364"/>
        <w:jc w:val="left"/>
      </w:pPr>
      <w:rPr>
        <w:rFonts w:hint="default" w:ascii="宋体" w:hAnsi="宋体" w:eastAsia="宋体" w:cs="宋体"/>
        <w:b/>
        <w:bCs/>
        <w:spacing w:val="0"/>
        <w:w w:val="99"/>
        <w:sz w:val="22"/>
        <w:szCs w:val="22"/>
        <w:lang w:val="zh-CN" w:eastAsia="zh-CN" w:bidi="zh-CN"/>
      </w:rPr>
    </w:lvl>
    <w:lvl w:ilvl="2" w:tentative="0">
      <w:start w:val="0"/>
      <w:numFmt w:val="bullet"/>
      <w:lvlText w:val="•"/>
      <w:lvlJc w:val="left"/>
      <w:pPr>
        <w:ind w:left="3037" w:hanging="364"/>
      </w:pPr>
      <w:rPr>
        <w:rFonts w:hint="default"/>
        <w:lang w:val="zh-CN" w:eastAsia="zh-CN" w:bidi="zh-CN"/>
      </w:rPr>
    </w:lvl>
    <w:lvl w:ilvl="3" w:tentative="0">
      <w:start w:val="0"/>
      <w:numFmt w:val="bullet"/>
      <w:lvlText w:val="•"/>
      <w:lvlJc w:val="left"/>
      <w:pPr>
        <w:ind w:left="3945" w:hanging="364"/>
      </w:pPr>
      <w:rPr>
        <w:rFonts w:hint="default"/>
        <w:lang w:val="zh-CN" w:eastAsia="zh-CN" w:bidi="zh-CN"/>
      </w:rPr>
    </w:lvl>
    <w:lvl w:ilvl="4" w:tentative="0">
      <w:start w:val="0"/>
      <w:numFmt w:val="bullet"/>
      <w:lvlText w:val="•"/>
      <w:lvlJc w:val="left"/>
      <w:pPr>
        <w:ind w:left="4854" w:hanging="364"/>
      </w:pPr>
      <w:rPr>
        <w:rFonts w:hint="default"/>
        <w:lang w:val="zh-CN" w:eastAsia="zh-CN" w:bidi="zh-CN"/>
      </w:rPr>
    </w:lvl>
    <w:lvl w:ilvl="5" w:tentative="0">
      <w:start w:val="0"/>
      <w:numFmt w:val="bullet"/>
      <w:lvlText w:val="•"/>
      <w:lvlJc w:val="left"/>
      <w:pPr>
        <w:ind w:left="5763" w:hanging="364"/>
      </w:pPr>
      <w:rPr>
        <w:rFonts w:hint="default"/>
        <w:lang w:val="zh-CN" w:eastAsia="zh-CN" w:bidi="zh-CN"/>
      </w:rPr>
    </w:lvl>
    <w:lvl w:ilvl="6" w:tentative="0">
      <w:start w:val="0"/>
      <w:numFmt w:val="bullet"/>
      <w:lvlText w:val="•"/>
      <w:lvlJc w:val="left"/>
      <w:pPr>
        <w:ind w:left="6671" w:hanging="364"/>
      </w:pPr>
      <w:rPr>
        <w:rFonts w:hint="default"/>
        <w:lang w:val="zh-CN" w:eastAsia="zh-CN" w:bidi="zh-CN"/>
      </w:rPr>
    </w:lvl>
    <w:lvl w:ilvl="7" w:tentative="0">
      <w:start w:val="0"/>
      <w:numFmt w:val="bullet"/>
      <w:lvlText w:val="•"/>
      <w:lvlJc w:val="left"/>
      <w:pPr>
        <w:ind w:left="7580" w:hanging="364"/>
      </w:pPr>
      <w:rPr>
        <w:rFonts w:hint="default"/>
        <w:lang w:val="zh-CN" w:eastAsia="zh-CN" w:bidi="zh-CN"/>
      </w:rPr>
    </w:lvl>
    <w:lvl w:ilvl="8" w:tentative="0">
      <w:start w:val="0"/>
      <w:numFmt w:val="bullet"/>
      <w:lvlText w:val="•"/>
      <w:lvlJc w:val="left"/>
      <w:pPr>
        <w:ind w:left="8488" w:hanging="364"/>
      </w:pPr>
      <w:rPr>
        <w:rFonts w:hint="default"/>
        <w:lang w:val="zh-CN" w:eastAsia="zh-CN" w:bidi="zh-CN"/>
      </w:rPr>
    </w:lvl>
  </w:abstractNum>
  <w:abstractNum w:abstractNumId="16">
    <w:nsid w:val="0248C179"/>
    <w:multiLevelType w:val="multilevel"/>
    <w:tmpl w:val="0248C179"/>
    <w:lvl w:ilvl="0" w:tentative="0">
      <w:start w:val="1"/>
      <w:numFmt w:val="decimal"/>
      <w:lvlText w:val="（%1）"/>
      <w:lvlJc w:val="left"/>
      <w:pPr>
        <w:ind w:left="618" w:hanging="601"/>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588" w:hanging="601"/>
      </w:pPr>
      <w:rPr>
        <w:rFonts w:hint="default"/>
        <w:lang w:val="zh-CN" w:eastAsia="zh-CN" w:bidi="zh-CN"/>
      </w:rPr>
    </w:lvl>
    <w:lvl w:ilvl="2" w:tentative="0">
      <w:start w:val="0"/>
      <w:numFmt w:val="bullet"/>
      <w:lvlText w:val="•"/>
      <w:lvlJc w:val="left"/>
      <w:pPr>
        <w:ind w:left="2557" w:hanging="601"/>
      </w:pPr>
      <w:rPr>
        <w:rFonts w:hint="default"/>
        <w:lang w:val="zh-CN" w:eastAsia="zh-CN" w:bidi="zh-CN"/>
      </w:rPr>
    </w:lvl>
    <w:lvl w:ilvl="3" w:tentative="0">
      <w:start w:val="0"/>
      <w:numFmt w:val="bullet"/>
      <w:lvlText w:val="•"/>
      <w:lvlJc w:val="left"/>
      <w:pPr>
        <w:ind w:left="3525" w:hanging="601"/>
      </w:pPr>
      <w:rPr>
        <w:rFonts w:hint="default"/>
        <w:lang w:val="zh-CN" w:eastAsia="zh-CN" w:bidi="zh-CN"/>
      </w:rPr>
    </w:lvl>
    <w:lvl w:ilvl="4" w:tentative="0">
      <w:start w:val="0"/>
      <w:numFmt w:val="bullet"/>
      <w:lvlText w:val="•"/>
      <w:lvlJc w:val="left"/>
      <w:pPr>
        <w:ind w:left="4494" w:hanging="601"/>
      </w:pPr>
      <w:rPr>
        <w:rFonts w:hint="default"/>
        <w:lang w:val="zh-CN" w:eastAsia="zh-CN" w:bidi="zh-CN"/>
      </w:rPr>
    </w:lvl>
    <w:lvl w:ilvl="5" w:tentative="0">
      <w:start w:val="0"/>
      <w:numFmt w:val="bullet"/>
      <w:lvlText w:val="•"/>
      <w:lvlJc w:val="left"/>
      <w:pPr>
        <w:ind w:left="5463" w:hanging="601"/>
      </w:pPr>
      <w:rPr>
        <w:rFonts w:hint="default"/>
        <w:lang w:val="zh-CN" w:eastAsia="zh-CN" w:bidi="zh-CN"/>
      </w:rPr>
    </w:lvl>
    <w:lvl w:ilvl="6" w:tentative="0">
      <w:start w:val="0"/>
      <w:numFmt w:val="bullet"/>
      <w:lvlText w:val="•"/>
      <w:lvlJc w:val="left"/>
      <w:pPr>
        <w:ind w:left="6431" w:hanging="601"/>
      </w:pPr>
      <w:rPr>
        <w:rFonts w:hint="default"/>
        <w:lang w:val="zh-CN" w:eastAsia="zh-CN" w:bidi="zh-CN"/>
      </w:rPr>
    </w:lvl>
    <w:lvl w:ilvl="7" w:tentative="0">
      <w:start w:val="0"/>
      <w:numFmt w:val="bullet"/>
      <w:lvlText w:val="•"/>
      <w:lvlJc w:val="left"/>
      <w:pPr>
        <w:ind w:left="7400" w:hanging="601"/>
      </w:pPr>
      <w:rPr>
        <w:rFonts w:hint="default"/>
        <w:lang w:val="zh-CN" w:eastAsia="zh-CN" w:bidi="zh-CN"/>
      </w:rPr>
    </w:lvl>
    <w:lvl w:ilvl="8" w:tentative="0">
      <w:start w:val="0"/>
      <w:numFmt w:val="bullet"/>
      <w:lvlText w:val="•"/>
      <w:lvlJc w:val="left"/>
      <w:pPr>
        <w:ind w:left="8368" w:hanging="601"/>
      </w:pPr>
      <w:rPr>
        <w:rFonts w:hint="default"/>
        <w:lang w:val="zh-CN" w:eastAsia="zh-CN" w:bidi="zh-CN"/>
      </w:rPr>
    </w:lvl>
  </w:abstractNum>
  <w:abstractNum w:abstractNumId="17">
    <w:nsid w:val="03D62ECE"/>
    <w:multiLevelType w:val="multilevel"/>
    <w:tmpl w:val="03D62ECE"/>
    <w:lvl w:ilvl="0" w:tentative="0">
      <w:start w:val="1"/>
      <w:numFmt w:val="decimal"/>
      <w:lvlText w:val="（%1）"/>
      <w:lvlJc w:val="left"/>
      <w:pPr>
        <w:ind w:left="1459"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8">
    <w:nsid w:val="0E640482"/>
    <w:multiLevelType w:val="multilevel"/>
    <w:tmpl w:val="0E640482"/>
    <w:lvl w:ilvl="0" w:tentative="0">
      <w:start w:val="1"/>
      <w:numFmt w:val="decimal"/>
      <w:lvlText w:val="（%1）"/>
      <w:lvlJc w:val="left"/>
      <w:pPr>
        <w:ind w:left="145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9">
    <w:nsid w:val="2470EC97"/>
    <w:multiLevelType w:val="multilevel"/>
    <w:tmpl w:val="2470EC97"/>
    <w:lvl w:ilvl="0" w:tentative="0">
      <w:start w:val="6"/>
      <w:numFmt w:val="decimal"/>
      <w:lvlText w:val="%1"/>
      <w:lvlJc w:val="left"/>
      <w:pPr>
        <w:ind w:left="618" w:hanging="363"/>
        <w:jc w:val="left"/>
      </w:pPr>
      <w:rPr>
        <w:rFonts w:hint="default"/>
        <w:lang w:val="zh-CN" w:eastAsia="zh-CN" w:bidi="zh-CN"/>
      </w:rPr>
    </w:lvl>
    <w:lvl w:ilvl="1" w:tentative="0">
      <w:start w:val="1"/>
      <w:numFmt w:val="decimal"/>
      <w:lvlText w:val="%1.%2"/>
      <w:lvlJc w:val="left"/>
      <w:pPr>
        <w:ind w:left="618" w:hanging="36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20">
    <w:nsid w:val="25B654F3"/>
    <w:multiLevelType w:val="multilevel"/>
    <w:tmpl w:val="25B654F3"/>
    <w:lvl w:ilvl="0" w:tentative="0">
      <w:start w:val="13"/>
      <w:numFmt w:val="decimal"/>
      <w:lvlText w:val="%1"/>
      <w:lvlJc w:val="left"/>
      <w:pPr>
        <w:ind w:left="1398" w:hanging="540"/>
        <w:jc w:val="left"/>
      </w:pPr>
      <w:rPr>
        <w:rFonts w:hint="default"/>
        <w:lang w:val="zh-CN" w:eastAsia="zh-CN" w:bidi="zh-CN"/>
      </w:rPr>
    </w:lvl>
    <w:lvl w:ilvl="1" w:tentative="0">
      <w:start w:val="1"/>
      <w:numFmt w:val="decimal"/>
      <w:lvlText w:val="%1.%2"/>
      <w:lvlJc w:val="left"/>
      <w:pPr>
        <w:ind w:left="139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81" w:hanging="540"/>
      </w:pPr>
      <w:rPr>
        <w:rFonts w:hint="default"/>
        <w:lang w:val="zh-CN" w:eastAsia="zh-CN" w:bidi="zh-CN"/>
      </w:rPr>
    </w:lvl>
    <w:lvl w:ilvl="3" w:tentative="0">
      <w:start w:val="0"/>
      <w:numFmt w:val="bullet"/>
      <w:lvlText w:val="•"/>
      <w:lvlJc w:val="left"/>
      <w:pPr>
        <w:ind w:left="4071" w:hanging="540"/>
      </w:pPr>
      <w:rPr>
        <w:rFonts w:hint="default"/>
        <w:lang w:val="zh-CN" w:eastAsia="zh-CN" w:bidi="zh-CN"/>
      </w:rPr>
    </w:lvl>
    <w:lvl w:ilvl="4" w:tentative="0">
      <w:start w:val="0"/>
      <w:numFmt w:val="bullet"/>
      <w:lvlText w:val="•"/>
      <w:lvlJc w:val="left"/>
      <w:pPr>
        <w:ind w:left="4962" w:hanging="540"/>
      </w:pPr>
      <w:rPr>
        <w:rFonts w:hint="default"/>
        <w:lang w:val="zh-CN" w:eastAsia="zh-CN" w:bidi="zh-CN"/>
      </w:rPr>
    </w:lvl>
    <w:lvl w:ilvl="5" w:tentative="0">
      <w:start w:val="0"/>
      <w:numFmt w:val="bullet"/>
      <w:lvlText w:val="•"/>
      <w:lvlJc w:val="left"/>
      <w:pPr>
        <w:ind w:left="5853" w:hanging="540"/>
      </w:pPr>
      <w:rPr>
        <w:rFonts w:hint="default"/>
        <w:lang w:val="zh-CN" w:eastAsia="zh-CN" w:bidi="zh-CN"/>
      </w:rPr>
    </w:lvl>
    <w:lvl w:ilvl="6" w:tentative="0">
      <w:start w:val="0"/>
      <w:numFmt w:val="bullet"/>
      <w:lvlText w:val="•"/>
      <w:lvlJc w:val="left"/>
      <w:pPr>
        <w:ind w:left="6743" w:hanging="540"/>
      </w:pPr>
      <w:rPr>
        <w:rFonts w:hint="default"/>
        <w:lang w:val="zh-CN" w:eastAsia="zh-CN" w:bidi="zh-CN"/>
      </w:rPr>
    </w:lvl>
    <w:lvl w:ilvl="7" w:tentative="0">
      <w:start w:val="0"/>
      <w:numFmt w:val="bullet"/>
      <w:lvlText w:val="•"/>
      <w:lvlJc w:val="left"/>
      <w:pPr>
        <w:ind w:left="7634" w:hanging="540"/>
      </w:pPr>
      <w:rPr>
        <w:rFonts w:hint="default"/>
        <w:lang w:val="zh-CN" w:eastAsia="zh-CN" w:bidi="zh-CN"/>
      </w:rPr>
    </w:lvl>
    <w:lvl w:ilvl="8" w:tentative="0">
      <w:start w:val="0"/>
      <w:numFmt w:val="bullet"/>
      <w:lvlText w:val="•"/>
      <w:lvlJc w:val="left"/>
      <w:pPr>
        <w:ind w:left="8524" w:hanging="540"/>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80" w:hanging="527"/>
      </w:pPr>
      <w:rPr>
        <w:rFonts w:hint="default"/>
        <w:lang w:val="zh-CN" w:eastAsia="zh-CN" w:bidi="zh-CN"/>
      </w:rPr>
    </w:lvl>
    <w:lvl w:ilvl="2" w:tentative="0">
      <w:start w:val="0"/>
      <w:numFmt w:val="bullet"/>
      <w:lvlText w:val="•"/>
      <w:lvlJc w:val="left"/>
      <w:pPr>
        <w:ind w:left="1920" w:hanging="527"/>
      </w:pPr>
      <w:rPr>
        <w:rFonts w:hint="default"/>
        <w:lang w:val="zh-CN" w:eastAsia="zh-CN" w:bidi="zh-CN"/>
      </w:rPr>
    </w:lvl>
    <w:lvl w:ilvl="3" w:tentative="0">
      <w:start w:val="0"/>
      <w:numFmt w:val="bullet"/>
      <w:lvlText w:val="•"/>
      <w:lvlJc w:val="left"/>
      <w:pPr>
        <w:ind w:left="2561" w:hanging="527"/>
      </w:pPr>
      <w:rPr>
        <w:rFonts w:hint="default"/>
        <w:lang w:val="zh-CN" w:eastAsia="zh-CN" w:bidi="zh-CN"/>
      </w:rPr>
    </w:lvl>
    <w:lvl w:ilvl="4" w:tentative="0">
      <w:start w:val="0"/>
      <w:numFmt w:val="bullet"/>
      <w:lvlText w:val="•"/>
      <w:lvlJc w:val="left"/>
      <w:pPr>
        <w:ind w:left="3201" w:hanging="527"/>
      </w:pPr>
      <w:rPr>
        <w:rFonts w:hint="default"/>
        <w:lang w:val="zh-CN" w:eastAsia="zh-CN" w:bidi="zh-CN"/>
      </w:rPr>
    </w:lvl>
    <w:lvl w:ilvl="5" w:tentative="0">
      <w:start w:val="0"/>
      <w:numFmt w:val="bullet"/>
      <w:lvlText w:val="•"/>
      <w:lvlJc w:val="left"/>
      <w:pPr>
        <w:ind w:left="3842" w:hanging="527"/>
      </w:pPr>
      <w:rPr>
        <w:rFonts w:hint="default"/>
        <w:lang w:val="zh-CN" w:eastAsia="zh-CN" w:bidi="zh-CN"/>
      </w:rPr>
    </w:lvl>
    <w:lvl w:ilvl="6" w:tentative="0">
      <w:start w:val="0"/>
      <w:numFmt w:val="bullet"/>
      <w:lvlText w:val="•"/>
      <w:lvlJc w:val="left"/>
      <w:pPr>
        <w:ind w:left="4482" w:hanging="527"/>
      </w:pPr>
      <w:rPr>
        <w:rFonts w:hint="default"/>
        <w:lang w:val="zh-CN" w:eastAsia="zh-CN" w:bidi="zh-CN"/>
      </w:rPr>
    </w:lvl>
    <w:lvl w:ilvl="7" w:tentative="0">
      <w:start w:val="0"/>
      <w:numFmt w:val="bullet"/>
      <w:lvlText w:val="•"/>
      <w:lvlJc w:val="left"/>
      <w:pPr>
        <w:ind w:left="5122" w:hanging="527"/>
      </w:pPr>
      <w:rPr>
        <w:rFonts w:hint="default"/>
        <w:lang w:val="zh-CN" w:eastAsia="zh-CN" w:bidi="zh-CN"/>
      </w:rPr>
    </w:lvl>
    <w:lvl w:ilvl="8" w:tentative="0">
      <w:start w:val="0"/>
      <w:numFmt w:val="bullet"/>
      <w:lvlText w:val="•"/>
      <w:lvlJc w:val="left"/>
      <w:pPr>
        <w:ind w:left="5763" w:hanging="527"/>
      </w:pPr>
      <w:rPr>
        <w:rFonts w:hint="default"/>
        <w:lang w:val="zh-CN" w:eastAsia="zh-CN" w:bidi="zh-CN"/>
      </w:rPr>
    </w:lvl>
  </w:abstractNum>
  <w:abstractNum w:abstractNumId="22">
    <w:nsid w:val="39A0D9AC"/>
    <w:multiLevelType w:val="multilevel"/>
    <w:tmpl w:val="39A0D9AC"/>
    <w:lvl w:ilvl="0" w:tentative="0">
      <w:start w:val="17"/>
      <w:numFmt w:val="decimal"/>
      <w:lvlText w:val="%1"/>
      <w:lvlJc w:val="left"/>
      <w:pPr>
        <w:ind w:left="618" w:hanging="540"/>
        <w:jc w:val="left"/>
      </w:pPr>
      <w:rPr>
        <w:rFonts w:hint="default"/>
        <w:lang w:val="zh-CN" w:eastAsia="zh-CN" w:bidi="zh-CN"/>
      </w:rPr>
    </w:lvl>
    <w:lvl w:ilvl="1" w:tentative="0">
      <w:start w:val="1"/>
      <w:numFmt w:val="decimal"/>
      <w:lvlText w:val="%1.%2"/>
      <w:lvlJc w:val="left"/>
      <w:pPr>
        <w:ind w:left="61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57" w:hanging="540"/>
      </w:pPr>
      <w:rPr>
        <w:rFonts w:hint="default"/>
        <w:lang w:val="zh-CN" w:eastAsia="zh-CN" w:bidi="zh-CN"/>
      </w:rPr>
    </w:lvl>
    <w:lvl w:ilvl="3" w:tentative="0">
      <w:start w:val="0"/>
      <w:numFmt w:val="bullet"/>
      <w:lvlText w:val="•"/>
      <w:lvlJc w:val="left"/>
      <w:pPr>
        <w:ind w:left="3525" w:hanging="540"/>
      </w:pPr>
      <w:rPr>
        <w:rFonts w:hint="default"/>
        <w:lang w:val="zh-CN" w:eastAsia="zh-CN" w:bidi="zh-CN"/>
      </w:rPr>
    </w:lvl>
    <w:lvl w:ilvl="4" w:tentative="0">
      <w:start w:val="0"/>
      <w:numFmt w:val="bullet"/>
      <w:lvlText w:val="•"/>
      <w:lvlJc w:val="left"/>
      <w:pPr>
        <w:ind w:left="4494" w:hanging="540"/>
      </w:pPr>
      <w:rPr>
        <w:rFonts w:hint="default"/>
        <w:lang w:val="zh-CN" w:eastAsia="zh-CN" w:bidi="zh-CN"/>
      </w:rPr>
    </w:lvl>
    <w:lvl w:ilvl="5" w:tentative="0">
      <w:start w:val="0"/>
      <w:numFmt w:val="bullet"/>
      <w:lvlText w:val="•"/>
      <w:lvlJc w:val="left"/>
      <w:pPr>
        <w:ind w:left="5463" w:hanging="540"/>
      </w:pPr>
      <w:rPr>
        <w:rFonts w:hint="default"/>
        <w:lang w:val="zh-CN" w:eastAsia="zh-CN" w:bidi="zh-CN"/>
      </w:rPr>
    </w:lvl>
    <w:lvl w:ilvl="6" w:tentative="0">
      <w:start w:val="0"/>
      <w:numFmt w:val="bullet"/>
      <w:lvlText w:val="•"/>
      <w:lvlJc w:val="left"/>
      <w:pPr>
        <w:ind w:left="6431" w:hanging="540"/>
      </w:pPr>
      <w:rPr>
        <w:rFonts w:hint="default"/>
        <w:lang w:val="zh-CN" w:eastAsia="zh-CN" w:bidi="zh-CN"/>
      </w:rPr>
    </w:lvl>
    <w:lvl w:ilvl="7" w:tentative="0">
      <w:start w:val="0"/>
      <w:numFmt w:val="bullet"/>
      <w:lvlText w:val="•"/>
      <w:lvlJc w:val="left"/>
      <w:pPr>
        <w:ind w:left="7400" w:hanging="540"/>
      </w:pPr>
      <w:rPr>
        <w:rFonts w:hint="default"/>
        <w:lang w:val="zh-CN" w:eastAsia="zh-CN" w:bidi="zh-CN"/>
      </w:rPr>
    </w:lvl>
    <w:lvl w:ilvl="8" w:tentative="0">
      <w:start w:val="0"/>
      <w:numFmt w:val="bullet"/>
      <w:lvlText w:val="•"/>
      <w:lvlJc w:val="left"/>
      <w:pPr>
        <w:ind w:left="8368" w:hanging="540"/>
      </w:pPr>
      <w:rPr>
        <w:rFonts w:hint="default"/>
        <w:lang w:val="zh-CN" w:eastAsia="zh-CN" w:bidi="zh-CN"/>
      </w:rPr>
    </w:lvl>
  </w:abstractNum>
  <w:abstractNum w:abstractNumId="23">
    <w:nsid w:val="46A08BB8"/>
    <w:multiLevelType w:val="multilevel"/>
    <w:tmpl w:val="46A08BB8"/>
    <w:lvl w:ilvl="0" w:tentative="0">
      <w:start w:val="11"/>
      <w:numFmt w:val="decimal"/>
      <w:lvlText w:val="%1"/>
      <w:lvlJc w:val="left"/>
      <w:pPr>
        <w:ind w:left="1344" w:hanging="486"/>
        <w:jc w:val="left"/>
      </w:pPr>
      <w:rPr>
        <w:rFonts w:hint="default"/>
        <w:lang w:val="zh-CN" w:eastAsia="zh-CN" w:bidi="zh-CN"/>
      </w:rPr>
    </w:lvl>
    <w:lvl w:ilvl="1" w:tentative="0">
      <w:start w:val="1"/>
      <w:numFmt w:val="decimal"/>
      <w:lvlText w:val="%1.%2"/>
      <w:lvlJc w:val="left"/>
      <w:pPr>
        <w:ind w:left="1344" w:hanging="486"/>
        <w:jc w:val="left"/>
      </w:pPr>
      <w:rPr>
        <w:rFonts w:hint="default" w:ascii="微软雅黑" w:hAnsi="微软雅黑" w:eastAsia="微软雅黑" w:cs="微软雅黑"/>
        <w:b/>
        <w:bCs/>
        <w:spacing w:val="-3"/>
        <w:w w:val="81"/>
        <w:sz w:val="22"/>
        <w:szCs w:val="22"/>
        <w:lang w:val="zh-CN" w:eastAsia="zh-CN" w:bidi="zh-CN"/>
      </w:rPr>
    </w:lvl>
    <w:lvl w:ilvl="2" w:tentative="0">
      <w:start w:val="0"/>
      <w:numFmt w:val="bullet"/>
      <w:lvlText w:val="•"/>
      <w:lvlJc w:val="left"/>
      <w:pPr>
        <w:ind w:left="3133" w:hanging="486"/>
      </w:pPr>
      <w:rPr>
        <w:rFonts w:hint="default"/>
        <w:lang w:val="zh-CN" w:eastAsia="zh-CN" w:bidi="zh-CN"/>
      </w:rPr>
    </w:lvl>
    <w:lvl w:ilvl="3" w:tentative="0">
      <w:start w:val="0"/>
      <w:numFmt w:val="bullet"/>
      <w:lvlText w:val="•"/>
      <w:lvlJc w:val="left"/>
      <w:pPr>
        <w:ind w:left="4029" w:hanging="486"/>
      </w:pPr>
      <w:rPr>
        <w:rFonts w:hint="default"/>
        <w:lang w:val="zh-CN" w:eastAsia="zh-CN" w:bidi="zh-CN"/>
      </w:rPr>
    </w:lvl>
    <w:lvl w:ilvl="4" w:tentative="0">
      <w:start w:val="0"/>
      <w:numFmt w:val="bullet"/>
      <w:lvlText w:val="•"/>
      <w:lvlJc w:val="left"/>
      <w:pPr>
        <w:ind w:left="4926" w:hanging="486"/>
      </w:pPr>
      <w:rPr>
        <w:rFonts w:hint="default"/>
        <w:lang w:val="zh-CN" w:eastAsia="zh-CN" w:bidi="zh-CN"/>
      </w:rPr>
    </w:lvl>
    <w:lvl w:ilvl="5" w:tentative="0">
      <w:start w:val="0"/>
      <w:numFmt w:val="bullet"/>
      <w:lvlText w:val="•"/>
      <w:lvlJc w:val="left"/>
      <w:pPr>
        <w:ind w:left="5823" w:hanging="486"/>
      </w:pPr>
      <w:rPr>
        <w:rFonts w:hint="default"/>
        <w:lang w:val="zh-CN" w:eastAsia="zh-CN" w:bidi="zh-CN"/>
      </w:rPr>
    </w:lvl>
    <w:lvl w:ilvl="6" w:tentative="0">
      <w:start w:val="0"/>
      <w:numFmt w:val="bullet"/>
      <w:lvlText w:val="•"/>
      <w:lvlJc w:val="left"/>
      <w:pPr>
        <w:ind w:left="6719" w:hanging="486"/>
      </w:pPr>
      <w:rPr>
        <w:rFonts w:hint="default"/>
        <w:lang w:val="zh-CN" w:eastAsia="zh-CN" w:bidi="zh-CN"/>
      </w:rPr>
    </w:lvl>
    <w:lvl w:ilvl="7" w:tentative="0">
      <w:start w:val="0"/>
      <w:numFmt w:val="bullet"/>
      <w:lvlText w:val="•"/>
      <w:lvlJc w:val="left"/>
      <w:pPr>
        <w:ind w:left="7616" w:hanging="486"/>
      </w:pPr>
      <w:rPr>
        <w:rFonts w:hint="default"/>
        <w:lang w:val="zh-CN" w:eastAsia="zh-CN" w:bidi="zh-CN"/>
      </w:rPr>
    </w:lvl>
    <w:lvl w:ilvl="8" w:tentative="0">
      <w:start w:val="0"/>
      <w:numFmt w:val="bullet"/>
      <w:lvlText w:val="•"/>
      <w:lvlJc w:val="left"/>
      <w:pPr>
        <w:ind w:left="8512" w:hanging="486"/>
      </w:pPr>
      <w:rPr>
        <w:rFonts w:hint="default"/>
        <w:lang w:val="zh-CN" w:eastAsia="zh-CN" w:bidi="zh-CN"/>
      </w:rPr>
    </w:lvl>
  </w:abstractNum>
  <w:abstractNum w:abstractNumId="24">
    <w:nsid w:val="4C1BAE26"/>
    <w:multiLevelType w:val="multilevel"/>
    <w:tmpl w:val="4C1BAE26"/>
    <w:lvl w:ilvl="0" w:tentative="0">
      <w:start w:val="1"/>
      <w:numFmt w:val="decimal"/>
      <w:lvlText w:val="（%1）"/>
      <w:lvlJc w:val="left"/>
      <w:pPr>
        <w:ind w:left="618" w:hanging="60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25">
    <w:nsid w:val="4D4DC07F"/>
    <w:multiLevelType w:val="multilevel"/>
    <w:tmpl w:val="4D4DC07F"/>
    <w:lvl w:ilvl="0" w:tentative="0">
      <w:start w:val="2"/>
      <w:numFmt w:val="decimal"/>
      <w:lvlText w:val="%1"/>
      <w:lvlJc w:val="left"/>
      <w:pPr>
        <w:ind w:left="618" w:hanging="363"/>
        <w:jc w:val="left"/>
      </w:pPr>
      <w:rPr>
        <w:rFonts w:hint="default"/>
        <w:lang w:val="zh-CN" w:eastAsia="zh-CN" w:bidi="zh-CN"/>
      </w:rPr>
    </w:lvl>
    <w:lvl w:ilvl="1" w:tentative="0">
      <w:start w:val="1"/>
      <w:numFmt w:val="decimal"/>
      <w:lvlText w:val="%1.%2"/>
      <w:lvlJc w:val="left"/>
      <w:pPr>
        <w:ind w:left="618" w:hanging="36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26">
    <w:nsid w:val="4D94DA66"/>
    <w:multiLevelType w:val="multilevel"/>
    <w:tmpl w:val="4D94DA66"/>
    <w:lvl w:ilvl="0" w:tentative="0">
      <w:start w:val="1"/>
      <w:numFmt w:val="decimal"/>
      <w:lvlText w:val="（%1）"/>
      <w:lvlJc w:val="left"/>
      <w:pPr>
        <w:ind w:left="850" w:hanging="533"/>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87" w:hanging="533"/>
      </w:pPr>
      <w:rPr>
        <w:rFonts w:hint="default"/>
        <w:lang w:val="zh-CN" w:eastAsia="zh-CN" w:bidi="zh-CN"/>
      </w:rPr>
    </w:lvl>
    <w:lvl w:ilvl="2" w:tentative="0">
      <w:start w:val="0"/>
      <w:numFmt w:val="bullet"/>
      <w:lvlText w:val="•"/>
      <w:lvlJc w:val="left"/>
      <w:pPr>
        <w:ind w:left="2135" w:hanging="533"/>
      </w:pPr>
      <w:rPr>
        <w:rFonts w:hint="default"/>
        <w:lang w:val="zh-CN" w:eastAsia="zh-CN" w:bidi="zh-CN"/>
      </w:rPr>
    </w:lvl>
    <w:lvl w:ilvl="3" w:tentative="0">
      <w:start w:val="0"/>
      <w:numFmt w:val="bullet"/>
      <w:lvlText w:val="•"/>
      <w:lvlJc w:val="left"/>
      <w:pPr>
        <w:ind w:left="2783" w:hanging="533"/>
      </w:pPr>
      <w:rPr>
        <w:rFonts w:hint="default"/>
        <w:lang w:val="zh-CN" w:eastAsia="zh-CN" w:bidi="zh-CN"/>
      </w:rPr>
    </w:lvl>
    <w:lvl w:ilvl="4" w:tentative="0">
      <w:start w:val="0"/>
      <w:numFmt w:val="bullet"/>
      <w:lvlText w:val="•"/>
      <w:lvlJc w:val="left"/>
      <w:pPr>
        <w:ind w:left="3430" w:hanging="533"/>
      </w:pPr>
      <w:rPr>
        <w:rFonts w:hint="default"/>
        <w:lang w:val="zh-CN" w:eastAsia="zh-CN" w:bidi="zh-CN"/>
      </w:rPr>
    </w:lvl>
    <w:lvl w:ilvl="5" w:tentative="0">
      <w:start w:val="0"/>
      <w:numFmt w:val="bullet"/>
      <w:lvlText w:val="•"/>
      <w:lvlJc w:val="left"/>
      <w:pPr>
        <w:ind w:left="4078" w:hanging="533"/>
      </w:pPr>
      <w:rPr>
        <w:rFonts w:hint="default"/>
        <w:lang w:val="zh-CN" w:eastAsia="zh-CN" w:bidi="zh-CN"/>
      </w:rPr>
    </w:lvl>
    <w:lvl w:ilvl="6" w:tentative="0">
      <w:start w:val="0"/>
      <w:numFmt w:val="bullet"/>
      <w:lvlText w:val="•"/>
      <w:lvlJc w:val="left"/>
      <w:pPr>
        <w:ind w:left="4726" w:hanging="533"/>
      </w:pPr>
      <w:rPr>
        <w:rFonts w:hint="default"/>
        <w:lang w:val="zh-CN" w:eastAsia="zh-CN" w:bidi="zh-CN"/>
      </w:rPr>
    </w:lvl>
    <w:lvl w:ilvl="7" w:tentative="0">
      <w:start w:val="0"/>
      <w:numFmt w:val="bullet"/>
      <w:lvlText w:val="•"/>
      <w:lvlJc w:val="left"/>
      <w:pPr>
        <w:ind w:left="5373" w:hanging="533"/>
      </w:pPr>
      <w:rPr>
        <w:rFonts w:hint="default"/>
        <w:lang w:val="zh-CN" w:eastAsia="zh-CN" w:bidi="zh-CN"/>
      </w:rPr>
    </w:lvl>
    <w:lvl w:ilvl="8" w:tentative="0">
      <w:start w:val="0"/>
      <w:numFmt w:val="bullet"/>
      <w:lvlText w:val="•"/>
      <w:lvlJc w:val="left"/>
      <w:pPr>
        <w:ind w:left="6021" w:hanging="533"/>
      </w:pPr>
      <w:rPr>
        <w:rFonts w:hint="default"/>
        <w:lang w:val="zh-CN" w:eastAsia="zh-CN" w:bidi="zh-CN"/>
      </w:rPr>
    </w:lvl>
  </w:abstractNum>
  <w:abstractNum w:abstractNumId="27">
    <w:nsid w:val="58765686"/>
    <w:multiLevelType w:val="multilevel"/>
    <w:tmpl w:val="58765686"/>
    <w:lvl w:ilvl="0" w:tentative="0">
      <w:start w:val="20"/>
      <w:numFmt w:val="decimal"/>
      <w:lvlText w:val="%1"/>
      <w:lvlJc w:val="left"/>
      <w:pPr>
        <w:ind w:left="618" w:hanging="540"/>
        <w:jc w:val="left"/>
      </w:pPr>
      <w:rPr>
        <w:rFonts w:hint="default"/>
        <w:lang w:val="zh-CN" w:eastAsia="zh-CN" w:bidi="zh-CN"/>
      </w:rPr>
    </w:lvl>
    <w:lvl w:ilvl="1" w:tentative="0">
      <w:start w:val="1"/>
      <w:numFmt w:val="decimal"/>
      <w:lvlText w:val="%1.%2"/>
      <w:lvlJc w:val="left"/>
      <w:pPr>
        <w:ind w:left="61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57" w:hanging="540"/>
      </w:pPr>
      <w:rPr>
        <w:rFonts w:hint="default"/>
        <w:lang w:val="zh-CN" w:eastAsia="zh-CN" w:bidi="zh-CN"/>
      </w:rPr>
    </w:lvl>
    <w:lvl w:ilvl="3" w:tentative="0">
      <w:start w:val="0"/>
      <w:numFmt w:val="bullet"/>
      <w:lvlText w:val="•"/>
      <w:lvlJc w:val="left"/>
      <w:pPr>
        <w:ind w:left="3525" w:hanging="540"/>
      </w:pPr>
      <w:rPr>
        <w:rFonts w:hint="default"/>
        <w:lang w:val="zh-CN" w:eastAsia="zh-CN" w:bidi="zh-CN"/>
      </w:rPr>
    </w:lvl>
    <w:lvl w:ilvl="4" w:tentative="0">
      <w:start w:val="0"/>
      <w:numFmt w:val="bullet"/>
      <w:lvlText w:val="•"/>
      <w:lvlJc w:val="left"/>
      <w:pPr>
        <w:ind w:left="4494" w:hanging="540"/>
      </w:pPr>
      <w:rPr>
        <w:rFonts w:hint="default"/>
        <w:lang w:val="zh-CN" w:eastAsia="zh-CN" w:bidi="zh-CN"/>
      </w:rPr>
    </w:lvl>
    <w:lvl w:ilvl="5" w:tentative="0">
      <w:start w:val="0"/>
      <w:numFmt w:val="bullet"/>
      <w:lvlText w:val="•"/>
      <w:lvlJc w:val="left"/>
      <w:pPr>
        <w:ind w:left="5463" w:hanging="540"/>
      </w:pPr>
      <w:rPr>
        <w:rFonts w:hint="default"/>
        <w:lang w:val="zh-CN" w:eastAsia="zh-CN" w:bidi="zh-CN"/>
      </w:rPr>
    </w:lvl>
    <w:lvl w:ilvl="6" w:tentative="0">
      <w:start w:val="0"/>
      <w:numFmt w:val="bullet"/>
      <w:lvlText w:val="•"/>
      <w:lvlJc w:val="left"/>
      <w:pPr>
        <w:ind w:left="6431" w:hanging="540"/>
      </w:pPr>
      <w:rPr>
        <w:rFonts w:hint="default"/>
        <w:lang w:val="zh-CN" w:eastAsia="zh-CN" w:bidi="zh-CN"/>
      </w:rPr>
    </w:lvl>
    <w:lvl w:ilvl="7" w:tentative="0">
      <w:start w:val="0"/>
      <w:numFmt w:val="bullet"/>
      <w:lvlText w:val="•"/>
      <w:lvlJc w:val="left"/>
      <w:pPr>
        <w:ind w:left="7400" w:hanging="540"/>
      </w:pPr>
      <w:rPr>
        <w:rFonts w:hint="default"/>
        <w:lang w:val="zh-CN" w:eastAsia="zh-CN" w:bidi="zh-CN"/>
      </w:rPr>
    </w:lvl>
    <w:lvl w:ilvl="8" w:tentative="0">
      <w:start w:val="0"/>
      <w:numFmt w:val="bullet"/>
      <w:lvlText w:val="•"/>
      <w:lvlJc w:val="left"/>
      <w:pPr>
        <w:ind w:left="8368" w:hanging="540"/>
      </w:pPr>
      <w:rPr>
        <w:rFonts w:hint="default"/>
        <w:lang w:val="zh-CN" w:eastAsia="zh-CN" w:bidi="zh-CN"/>
      </w:rPr>
    </w:lvl>
  </w:abstractNum>
  <w:abstractNum w:abstractNumId="28">
    <w:nsid w:val="59ADCABA"/>
    <w:multiLevelType w:val="multilevel"/>
    <w:tmpl w:val="59ADCABA"/>
    <w:lvl w:ilvl="0" w:tentative="0">
      <w:start w:val="1"/>
      <w:numFmt w:val="decimal"/>
      <w:lvlText w:val="（%1）"/>
      <w:lvlJc w:val="left"/>
      <w:pPr>
        <w:ind w:left="618" w:hanging="60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29">
    <w:nsid w:val="5A241D34"/>
    <w:multiLevelType w:val="multilevel"/>
    <w:tmpl w:val="5A241D34"/>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80" w:hanging="527"/>
      </w:pPr>
      <w:rPr>
        <w:rFonts w:hint="default"/>
        <w:lang w:val="zh-CN" w:eastAsia="zh-CN" w:bidi="zh-CN"/>
      </w:rPr>
    </w:lvl>
    <w:lvl w:ilvl="2" w:tentative="0">
      <w:start w:val="0"/>
      <w:numFmt w:val="bullet"/>
      <w:lvlText w:val="•"/>
      <w:lvlJc w:val="left"/>
      <w:pPr>
        <w:ind w:left="1920" w:hanging="527"/>
      </w:pPr>
      <w:rPr>
        <w:rFonts w:hint="default"/>
        <w:lang w:val="zh-CN" w:eastAsia="zh-CN" w:bidi="zh-CN"/>
      </w:rPr>
    </w:lvl>
    <w:lvl w:ilvl="3" w:tentative="0">
      <w:start w:val="0"/>
      <w:numFmt w:val="bullet"/>
      <w:lvlText w:val="•"/>
      <w:lvlJc w:val="left"/>
      <w:pPr>
        <w:ind w:left="2561" w:hanging="527"/>
      </w:pPr>
      <w:rPr>
        <w:rFonts w:hint="default"/>
        <w:lang w:val="zh-CN" w:eastAsia="zh-CN" w:bidi="zh-CN"/>
      </w:rPr>
    </w:lvl>
    <w:lvl w:ilvl="4" w:tentative="0">
      <w:start w:val="0"/>
      <w:numFmt w:val="bullet"/>
      <w:lvlText w:val="•"/>
      <w:lvlJc w:val="left"/>
      <w:pPr>
        <w:ind w:left="3201" w:hanging="527"/>
      </w:pPr>
      <w:rPr>
        <w:rFonts w:hint="default"/>
        <w:lang w:val="zh-CN" w:eastAsia="zh-CN" w:bidi="zh-CN"/>
      </w:rPr>
    </w:lvl>
    <w:lvl w:ilvl="5" w:tentative="0">
      <w:start w:val="0"/>
      <w:numFmt w:val="bullet"/>
      <w:lvlText w:val="•"/>
      <w:lvlJc w:val="left"/>
      <w:pPr>
        <w:ind w:left="3842" w:hanging="527"/>
      </w:pPr>
      <w:rPr>
        <w:rFonts w:hint="default"/>
        <w:lang w:val="zh-CN" w:eastAsia="zh-CN" w:bidi="zh-CN"/>
      </w:rPr>
    </w:lvl>
    <w:lvl w:ilvl="6" w:tentative="0">
      <w:start w:val="0"/>
      <w:numFmt w:val="bullet"/>
      <w:lvlText w:val="•"/>
      <w:lvlJc w:val="left"/>
      <w:pPr>
        <w:ind w:left="4482" w:hanging="527"/>
      </w:pPr>
      <w:rPr>
        <w:rFonts w:hint="default"/>
        <w:lang w:val="zh-CN" w:eastAsia="zh-CN" w:bidi="zh-CN"/>
      </w:rPr>
    </w:lvl>
    <w:lvl w:ilvl="7" w:tentative="0">
      <w:start w:val="0"/>
      <w:numFmt w:val="bullet"/>
      <w:lvlText w:val="•"/>
      <w:lvlJc w:val="left"/>
      <w:pPr>
        <w:ind w:left="5122" w:hanging="527"/>
      </w:pPr>
      <w:rPr>
        <w:rFonts w:hint="default"/>
        <w:lang w:val="zh-CN" w:eastAsia="zh-CN" w:bidi="zh-CN"/>
      </w:rPr>
    </w:lvl>
    <w:lvl w:ilvl="8" w:tentative="0">
      <w:start w:val="0"/>
      <w:numFmt w:val="bullet"/>
      <w:lvlText w:val="•"/>
      <w:lvlJc w:val="left"/>
      <w:pPr>
        <w:ind w:left="5763" w:hanging="527"/>
      </w:pPr>
      <w:rPr>
        <w:rFonts w:hint="default"/>
        <w:lang w:val="zh-CN" w:eastAsia="zh-CN" w:bidi="zh-CN"/>
      </w:rPr>
    </w:lvl>
  </w:abstractNum>
  <w:abstractNum w:abstractNumId="30">
    <w:nsid w:val="60382F6E"/>
    <w:multiLevelType w:val="multilevel"/>
    <w:tmpl w:val="60382F6E"/>
    <w:lvl w:ilvl="0" w:tentative="0">
      <w:start w:val="8"/>
      <w:numFmt w:val="decimal"/>
      <w:lvlText w:val="%1"/>
      <w:lvlJc w:val="left"/>
      <w:pPr>
        <w:ind w:left="618" w:hanging="363"/>
        <w:jc w:val="left"/>
      </w:pPr>
      <w:rPr>
        <w:rFonts w:hint="default"/>
        <w:lang w:val="zh-CN" w:eastAsia="zh-CN" w:bidi="zh-CN"/>
      </w:rPr>
    </w:lvl>
    <w:lvl w:ilvl="1" w:tentative="0">
      <w:start w:val="1"/>
      <w:numFmt w:val="decimal"/>
      <w:lvlText w:val="%1.%2"/>
      <w:lvlJc w:val="left"/>
      <w:pPr>
        <w:ind w:left="618" w:hanging="36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31">
    <w:nsid w:val="629F7852"/>
    <w:multiLevelType w:val="multilevel"/>
    <w:tmpl w:val="629F7852"/>
    <w:lvl w:ilvl="0" w:tentative="0">
      <w:start w:val="15"/>
      <w:numFmt w:val="decimal"/>
      <w:lvlText w:val="%1"/>
      <w:lvlJc w:val="left"/>
      <w:pPr>
        <w:ind w:left="618" w:hanging="481"/>
        <w:jc w:val="left"/>
      </w:pPr>
      <w:rPr>
        <w:rFonts w:hint="default"/>
        <w:lang w:val="zh-CN" w:eastAsia="zh-CN" w:bidi="zh-CN"/>
      </w:rPr>
    </w:lvl>
    <w:lvl w:ilvl="1" w:tentative="0">
      <w:start w:val="1"/>
      <w:numFmt w:val="decimal"/>
      <w:lvlText w:val="%1.%2"/>
      <w:lvlJc w:val="left"/>
      <w:pPr>
        <w:ind w:left="618" w:hanging="481"/>
        <w:jc w:val="left"/>
      </w:pPr>
      <w:rPr>
        <w:rFonts w:hint="default" w:ascii="宋体" w:hAnsi="宋体" w:eastAsia="宋体" w:cs="宋体"/>
        <w:spacing w:val="-51"/>
        <w:w w:val="100"/>
        <w:sz w:val="22"/>
        <w:szCs w:val="22"/>
        <w:lang w:val="zh-CN" w:eastAsia="zh-CN" w:bidi="zh-CN"/>
      </w:rPr>
    </w:lvl>
    <w:lvl w:ilvl="2" w:tentative="0">
      <w:start w:val="0"/>
      <w:numFmt w:val="bullet"/>
      <w:lvlText w:val="•"/>
      <w:lvlJc w:val="left"/>
      <w:pPr>
        <w:ind w:left="2557" w:hanging="481"/>
      </w:pPr>
      <w:rPr>
        <w:rFonts w:hint="default"/>
        <w:lang w:val="zh-CN" w:eastAsia="zh-CN" w:bidi="zh-CN"/>
      </w:rPr>
    </w:lvl>
    <w:lvl w:ilvl="3" w:tentative="0">
      <w:start w:val="0"/>
      <w:numFmt w:val="bullet"/>
      <w:lvlText w:val="•"/>
      <w:lvlJc w:val="left"/>
      <w:pPr>
        <w:ind w:left="3525" w:hanging="481"/>
      </w:pPr>
      <w:rPr>
        <w:rFonts w:hint="default"/>
        <w:lang w:val="zh-CN" w:eastAsia="zh-CN" w:bidi="zh-CN"/>
      </w:rPr>
    </w:lvl>
    <w:lvl w:ilvl="4" w:tentative="0">
      <w:start w:val="0"/>
      <w:numFmt w:val="bullet"/>
      <w:lvlText w:val="•"/>
      <w:lvlJc w:val="left"/>
      <w:pPr>
        <w:ind w:left="4494" w:hanging="481"/>
      </w:pPr>
      <w:rPr>
        <w:rFonts w:hint="default"/>
        <w:lang w:val="zh-CN" w:eastAsia="zh-CN" w:bidi="zh-CN"/>
      </w:rPr>
    </w:lvl>
    <w:lvl w:ilvl="5" w:tentative="0">
      <w:start w:val="0"/>
      <w:numFmt w:val="bullet"/>
      <w:lvlText w:val="•"/>
      <w:lvlJc w:val="left"/>
      <w:pPr>
        <w:ind w:left="5463" w:hanging="481"/>
      </w:pPr>
      <w:rPr>
        <w:rFonts w:hint="default"/>
        <w:lang w:val="zh-CN" w:eastAsia="zh-CN" w:bidi="zh-CN"/>
      </w:rPr>
    </w:lvl>
    <w:lvl w:ilvl="6" w:tentative="0">
      <w:start w:val="0"/>
      <w:numFmt w:val="bullet"/>
      <w:lvlText w:val="•"/>
      <w:lvlJc w:val="left"/>
      <w:pPr>
        <w:ind w:left="6431" w:hanging="481"/>
      </w:pPr>
      <w:rPr>
        <w:rFonts w:hint="default"/>
        <w:lang w:val="zh-CN" w:eastAsia="zh-CN" w:bidi="zh-CN"/>
      </w:rPr>
    </w:lvl>
    <w:lvl w:ilvl="7" w:tentative="0">
      <w:start w:val="0"/>
      <w:numFmt w:val="bullet"/>
      <w:lvlText w:val="•"/>
      <w:lvlJc w:val="left"/>
      <w:pPr>
        <w:ind w:left="7400" w:hanging="481"/>
      </w:pPr>
      <w:rPr>
        <w:rFonts w:hint="default"/>
        <w:lang w:val="zh-CN" w:eastAsia="zh-CN" w:bidi="zh-CN"/>
      </w:rPr>
    </w:lvl>
    <w:lvl w:ilvl="8" w:tentative="0">
      <w:start w:val="0"/>
      <w:numFmt w:val="bullet"/>
      <w:lvlText w:val="•"/>
      <w:lvlJc w:val="left"/>
      <w:pPr>
        <w:ind w:left="8368" w:hanging="481"/>
      </w:pPr>
      <w:rPr>
        <w:rFonts w:hint="default"/>
        <w:lang w:val="zh-CN" w:eastAsia="zh-CN" w:bidi="zh-CN"/>
      </w:rPr>
    </w:lvl>
  </w:abstractNum>
  <w:abstractNum w:abstractNumId="32">
    <w:nsid w:val="72183CF9"/>
    <w:multiLevelType w:val="multilevel"/>
    <w:tmpl w:val="72183CF9"/>
    <w:lvl w:ilvl="0" w:tentative="0">
      <w:start w:val="14"/>
      <w:numFmt w:val="decimal"/>
      <w:lvlText w:val="%1"/>
      <w:lvlJc w:val="left"/>
      <w:pPr>
        <w:ind w:left="618" w:hanging="540"/>
        <w:jc w:val="left"/>
      </w:pPr>
      <w:rPr>
        <w:rFonts w:hint="default"/>
        <w:lang w:val="zh-CN" w:eastAsia="zh-CN" w:bidi="zh-CN"/>
      </w:rPr>
    </w:lvl>
    <w:lvl w:ilvl="1" w:tentative="0">
      <w:start w:val="1"/>
      <w:numFmt w:val="decimal"/>
      <w:lvlText w:val="%1.%2"/>
      <w:lvlJc w:val="left"/>
      <w:pPr>
        <w:ind w:left="618" w:hanging="540"/>
        <w:jc w:val="left"/>
      </w:pPr>
      <w:rPr>
        <w:rFonts w:hint="default"/>
        <w:w w:val="100"/>
        <w:lang w:val="zh-CN" w:eastAsia="zh-CN" w:bidi="zh-CN"/>
      </w:rPr>
    </w:lvl>
    <w:lvl w:ilvl="2" w:tentative="0">
      <w:start w:val="0"/>
      <w:numFmt w:val="bullet"/>
      <w:lvlText w:val="•"/>
      <w:lvlJc w:val="left"/>
      <w:pPr>
        <w:ind w:left="2557" w:hanging="540"/>
      </w:pPr>
      <w:rPr>
        <w:rFonts w:hint="default"/>
        <w:lang w:val="zh-CN" w:eastAsia="zh-CN" w:bidi="zh-CN"/>
      </w:rPr>
    </w:lvl>
    <w:lvl w:ilvl="3" w:tentative="0">
      <w:start w:val="0"/>
      <w:numFmt w:val="bullet"/>
      <w:lvlText w:val="•"/>
      <w:lvlJc w:val="left"/>
      <w:pPr>
        <w:ind w:left="3525" w:hanging="540"/>
      </w:pPr>
      <w:rPr>
        <w:rFonts w:hint="default"/>
        <w:lang w:val="zh-CN" w:eastAsia="zh-CN" w:bidi="zh-CN"/>
      </w:rPr>
    </w:lvl>
    <w:lvl w:ilvl="4" w:tentative="0">
      <w:start w:val="0"/>
      <w:numFmt w:val="bullet"/>
      <w:lvlText w:val="•"/>
      <w:lvlJc w:val="left"/>
      <w:pPr>
        <w:ind w:left="4494" w:hanging="540"/>
      </w:pPr>
      <w:rPr>
        <w:rFonts w:hint="default"/>
        <w:lang w:val="zh-CN" w:eastAsia="zh-CN" w:bidi="zh-CN"/>
      </w:rPr>
    </w:lvl>
    <w:lvl w:ilvl="5" w:tentative="0">
      <w:start w:val="0"/>
      <w:numFmt w:val="bullet"/>
      <w:lvlText w:val="•"/>
      <w:lvlJc w:val="left"/>
      <w:pPr>
        <w:ind w:left="5463" w:hanging="540"/>
      </w:pPr>
      <w:rPr>
        <w:rFonts w:hint="default"/>
        <w:lang w:val="zh-CN" w:eastAsia="zh-CN" w:bidi="zh-CN"/>
      </w:rPr>
    </w:lvl>
    <w:lvl w:ilvl="6" w:tentative="0">
      <w:start w:val="0"/>
      <w:numFmt w:val="bullet"/>
      <w:lvlText w:val="•"/>
      <w:lvlJc w:val="left"/>
      <w:pPr>
        <w:ind w:left="6431" w:hanging="540"/>
      </w:pPr>
      <w:rPr>
        <w:rFonts w:hint="default"/>
        <w:lang w:val="zh-CN" w:eastAsia="zh-CN" w:bidi="zh-CN"/>
      </w:rPr>
    </w:lvl>
    <w:lvl w:ilvl="7" w:tentative="0">
      <w:start w:val="0"/>
      <w:numFmt w:val="bullet"/>
      <w:lvlText w:val="•"/>
      <w:lvlJc w:val="left"/>
      <w:pPr>
        <w:ind w:left="7400" w:hanging="540"/>
      </w:pPr>
      <w:rPr>
        <w:rFonts w:hint="default"/>
        <w:lang w:val="zh-CN" w:eastAsia="zh-CN" w:bidi="zh-CN"/>
      </w:rPr>
    </w:lvl>
    <w:lvl w:ilvl="8" w:tentative="0">
      <w:start w:val="0"/>
      <w:numFmt w:val="bullet"/>
      <w:lvlText w:val="•"/>
      <w:lvlJc w:val="left"/>
      <w:pPr>
        <w:ind w:left="8368" w:hanging="540"/>
      </w:pPr>
      <w:rPr>
        <w:rFonts w:hint="default"/>
        <w:lang w:val="zh-CN" w:eastAsia="zh-CN" w:bidi="zh-CN"/>
      </w:rPr>
    </w:lvl>
  </w:abstractNum>
  <w:abstractNum w:abstractNumId="33">
    <w:nsid w:val="77ECEA79"/>
    <w:multiLevelType w:val="multilevel"/>
    <w:tmpl w:val="77ECEA79"/>
    <w:lvl w:ilvl="0" w:tentative="0">
      <w:start w:val="1"/>
      <w:numFmt w:val="decimal"/>
      <w:lvlText w:val="（%1）"/>
      <w:lvlJc w:val="left"/>
      <w:pPr>
        <w:ind w:left="1459" w:hanging="601"/>
        <w:jc w:val="left"/>
      </w:pPr>
      <w:rPr>
        <w:rFonts w:hint="default" w:ascii="微软雅黑" w:hAnsi="微软雅黑" w:eastAsia="微软雅黑" w:cs="微软雅黑"/>
        <w:b/>
        <w:bCs/>
        <w:w w:val="81"/>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34">
    <w:nsid w:val="7C246926"/>
    <w:multiLevelType w:val="multilevel"/>
    <w:tmpl w:val="7C246926"/>
    <w:lvl w:ilvl="0" w:tentative="0">
      <w:start w:val="14"/>
      <w:numFmt w:val="decimal"/>
      <w:lvlText w:val="%1"/>
      <w:lvlJc w:val="left"/>
      <w:pPr>
        <w:ind w:left="618" w:hanging="481"/>
        <w:jc w:val="left"/>
      </w:pPr>
      <w:rPr>
        <w:rFonts w:hint="default"/>
        <w:lang w:val="zh-CN" w:eastAsia="zh-CN" w:bidi="zh-CN"/>
      </w:rPr>
    </w:lvl>
    <w:lvl w:ilvl="1" w:tentative="0">
      <w:start w:val="1"/>
      <w:numFmt w:val="decimal"/>
      <w:lvlText w:val="%1.%2"/>
      <w:lvlJc w:val="left"/>
      <w:pPr>
        <w:ind w:left="618" w:hanging="481"/>
        <w:jc w:val="left"/>
      </w:pPr>
      <w:rPr>
        <w:rFonts w:hint="default"/>
        <w:spacing w:val="-51"/>
        <w:w w:val="100"/>
        <w:lang w:val="zh-CN" w:eastAsia="zh-CN" w:bidi="zh-CN"/>
      </w:rPr>
    </w:lvl>
    <w:lvl w:ilvl="2" w:tentative="0">
      <w:start w:val="0"/>
      <w:numFmt w:val="bullet"/>
      <w:lvlText w:val="•"/>
      <w:lvlJc w:val="left"/>
      <w:pPr>
        <w:ind w:left="2557" w:hanging="481"/>
      </w:pPr>
      <w:rPr>
        <w:rFonts w:hint="default"/>
        <w:lang w:val="zh-CN" w:eastAsia="zh-CN" w:bidi="zh-CN"/>
      </w:rPr>
    </w:lvl>
    <w:lvl w:ilvl="3" w:tentative="0">
      <w:start w:val="0"/>
      <w:numFmt w:val="bullet"/>
      <w:lvlText w:val="•"/>
      <w:lvlJc w:val="left"/>
      <w:pPr>
        <w:ind w:left="3525" w:hanging="481"/>
      </w:pPr>
      <w:rPr>
        <w:rFonts w:hint="default"/>
        <w:lang w:val="zh-CN" w:eastAsia="zh-CN" w:bidi="zh-CN"/>
      </w:rPr>
    </w:lvl>
    <w:lvl w:ilvl="4" w:tentative="0">
      <w:start w:val="0"/>
      <w:numFmt w:val="bullet"/>
      <w:lvlText w:val="•"/>
      <w:lvlJc w:val="left"/>
      <w:pPr>
        <w:ind w:left="4494" w:hanging="481"/>
      </w:pPr>
      <w:rPr>
        <w:rFonts w:hint="default"/>
        <w:lang w:val="zh-CN" w:eastAsia="zh-CN" w:bidi="zh-CN"/>
      </w:rPr>
    </w:lvl>
    <w:lvl w:ilvl="5" w:tentative="0">
      <w:start w:val="0"/>
      <w:numFmt w:val="bullet"/>
      <w:lvlText w:val="•"/>
      <w:lvlJc w:val="left"/>
      <w:pPr>
        <w:ind w:left="5463" w:hanging="481"/>
      </w:pPr>
      <w:rPr>
        <w:rFonts w:hint="default"/>
        <w:lang w:val="zh-CN" w:eastAsia="zh-CN" w:bidi="zh-CN"/>
      </w:rPr>
    </w:lvl>
    <w:lvl w:ilvl="6" w:tentative="0">
      <w:start w:val="0"/>
      <w:numFmt w:val="bullet"/>
      <w:lvlText w:val="•"/>
      <w:lvlJc w:val="left"/>
      <w:pPr>
        <w:ind w:left="6431" w:hanging="481"/>
      </w:pPr>
      <w:rPr>
        <w:rFonts w:hint="default"/>
        <w:lang w:val="zh-CN" w:eastAsia="zh-CN" w:bidi="zh-CN"/>
      </w:rPr>
    </w:lvl>
    <w:lvl w:ilvl="7" w:tentative="0">
      <w:start w:val="0"/>
      <w:numFmt w:val="bullet"/>
      <w:lvlText w:val="•"/>
      <w:lvlJc w:val="left"/>
      <w:pPr>
        <w:ind w:left="7400" w:hanging="481"/>
      </w:pPr>
      <w:rPr>
        <w:rFonts w:hint="default"/>
        <w:lang w:val="zh-CN" w:eastAsia="zh-CN" w:bidi="zh-CN"/>
      </w:rPr>
    </w:lvl>
    <w:lvl w:ilvl="8" w:tentative="0">
      <w:start w:val="0"/>
      <w:numFmt w:val="bullet"/>
      <w:lvlText w:val="•"/>
      <w:lvlJc w:val="left"/>
      <w:pPr>
        <w:ind w:left="8368" w:hanging="481"/>
      </w:pPr>
      <w:rPr>
        <w:rFonts w:hint="default"/>
        <w:lang w:val="zh-CN" w:eastAsia="zh-CN" w:bidi="zh-CN"/>
      </w:rPr>
    </w:lvl>
  </w:abstractNum>
  <w:abstractNum w:abstractNumId="35">
    <w:nsid w:val="7DEC2089"/>
    <w:multiLevelType w:val="multilevel"/>
    <w:tmpl w:val="7DEC2089"/>
    <w:lvl w:ilvl="0" w:tentative="0">
      <w:start w:val="1"/>
      <w:numFmt w:val="decimal"/>
      <w:lvlText w:val="（%1）"/>
      <w:lvlJc w:val="left"/>
      <w:pPr>
        <w:ind w:left="145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5"/>
  </w:num>
  <w:num w:numId="2">
    <w:abstractNumId w:val="10"/>
  </w:num>
  <w:num w:numId="3">
    <w:abstractNumId w:val="28"/>
  </w:num>
  <w:num w:numId="4">
    <w:abstractNumId w:val="8"/>
  </w:num>
  <w:num w:numId="5">
    <w:abstractNumId w:val="6"/>
  </w:num>
  <w:num w:numId="6">
    <w:abstractNumId w:val="17"/>
  </w:num>
  <w:num w:numId="7">
    <w:abstractNumId w:val="20"/>
  </w:num>
  <w:num w:numId="8">
    <w:abstractNumId w:val="32"/>
  </w:num>
  <w:num w:numId="9">
    <w:abstractNumId w:val="16"/>
  </w:num>
  <w:num w:numId="10">
    <w:abstractNumId w:val="2"/>
  </w:num>
  <w:num w:numId="11">
    <w:abstractNumId w:val="21"/>
  </w:num>
  <w:num w:numId="12">
    <w:abstractNumId w:val="29"/>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30"/>
  </w:num>
  <w:num w:numId="22">
    <w:abstractNumId w:val="18"/>
  </w:num>
  <w:num w:numId="23">
    <w:abstractNumId w:val="23"/>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2"/>
  </w:num>
  <w:num w:numId="31">
    <w:abstractNumId w:val="1"/>
  </w:num>
  <w:num w:numId="32">
    <w:abstractNumId w:val="27"/>
  </w:num>
  <w:num w:numId="33">
    <w:abstractNumId w:val="35"/>
  </w:num>
  <w:num w:numId="34">
    <w:abstractNumId w:val="0"/>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3D60989"/>
    <w:rsid w:val="04A30E1F"/>
    <w:rsid w:val="063D1AB9"/>
    <w:rsid w:val="0AA47AD3"/>
    <w:rsid w:val="0B656E7D"/>
    <w:rsid w:val="0BE41AEE"/>
    <w:rsid w:val="0EB161D0"/>
    <w:rsid w:val="10E93D32"/>
    <w:rsid w:val="12877FB9"/>
    <w:rsid w:val="14943B68"/>
    <w:rsid w:val="173062DF"/>
    <w:rsid w:val="1B105581"/>
    <w:rsid w:val="1BE1339B"/>
    <w:rsid w:val="1F40727B"/>
    <w:rsid w:val="201D6326"/>
    <w:rsid w:val="21AE1CDC"/>
    <w:rsid w:val="29BB052F"/>
    <w:rsid w:val="29CA4047"/>
    <w:rsid w:val="2E901790"/>
    <w:rsid w:val="31EC2026"/>
    <w:rsid w:val="34031D63"/>
    <w:rsid w:val="37885926"/>
    <w:rsid w:val="393752DE"/>
    <w:rsid w:val="3DDD207A"/>
    <w:rsid w:val="42DB4BB6"/>
    <w:rsid w:val="4645712F"/>
    <w:rsid w:val="48B4783B"/>
    <w:rsid w:val="49054ECF"/>
    <w:rsid w:val="4D7E777C"/>
    <w:rsid w:val="50694419"/>
    <w:rsid w:val="5229795B"/>
    <w:rsid w:val="528551BB"/>
    <w:rsid w:val="536C55B7"/>
    <w:rsid w:val="5548408D"/>
    <w:rsid w:val="56214A77"/>
    <w:rsid w:val="575971A9"/>
    <w:rsid w:val="57F756F5"/>
    <w:rsid w:val="59831AF2"/>
    <w:rsid w:val="59B26D4F"/>
    <w:rsid w:val="5B2C7C7F"/>
    <w:rsid w:val="5D1E56E1"/>
    <w:rsid w:val="5D704ADD"/>
    <w:rsid w:val="5DCF7A91"/>
    <w:rsid w:val="6543672A"/>
    <w:rsid w:val="68986788"/>
    <w:rsid w:val="6AC86D11"/>
    <w:rsid w:val="712279A0"/>
    <w:rsid w:val="71DC00C0"/>
    <w:rsid w:val="766C2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2"/>
      <w:jc w:val="center"/>
      <w:outlineLvl w:val="1"/>
    </w:pPr>
    <w:rPr>
      <w:rFonts w:ascii="黑体" w:hAnsi="黑体" w:eastAsia="黑体" w:cs="黑体"/>
      <w:sz w:val="32"/>
      <w:szCs w:val="32"/>
      <w:lang w:val="zh-CN" w:eastAsia="zh-CN" w:bidi="zh-CN"/>
    </w:rPr>
  </w:style>
  <w:style w:type="paragraph" w:styleId="3">
    <w:name w:val="heading 2"/>
    <w:basedOn w:val="1"/>
    <w:next w:val="1"/>
    <w:qFormat/>
    <w:uiPriority w:val="1"/>
    <w:pPr>
      <w:ind w:left="858"/>
      <w:outlineLvl w:val="2"/>
    </w:pPr>
    <w:rPr>
      <w:rFonts w:ascii="宋体" w:hAnsi="宋体" w:eastAsia="宋体" w:cs="宋体"/>
      <w:b/>
      <w:bCs/>
      <w:sz w:val="24"/>
      <w:szCs w:val="2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618"/>
    </w:pPr>
    <w:rPr>
      <w:rFonts w:ascii="宋体" w:hAnsi="宋体" w:eastAsia="宋体" w:cs="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866"/>
      <w:ind w:left="618"/>
    </w:pPr>
    <w:rPr>
      <w:rFonts w:ascii="宋体" w:hAnsi="宋体" w:eastAsia="宋体" w:cs="宋体"/>
      <w:b/>
      <w:bCs/>
      <w:sz w:val="24"/>
      <w:szCs w:val="24"/>
      <w:lang w:val="zh-CN" w:eastAsia="zh-CN" w:bidi="zh-CN"/>
    </w:rPr>
  </w:style>
  <w:style w:type="paragraph" w:styleId="8">
    <w:name w:val="Normal (Web)"/>
    <w:basedOn w:val="1"/>
    <w:qFormat/>
    <w:uiPriority w:val="0"/>
    <w:pPr>
      <w:spacing w:before="100" w:beforeAutospacing="1" w:after="100" w:afterAutospacing="1"/>
    </w:pPr>
    <w:rPr>
      <w:rFonts w:ascii="宋体" w:hAnsi="宋体" w:cs="宋体"/>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618" w:firstLine="24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Blockquote"/>
    <w:basedOn w:val="1"/>
    <w:uiPriority w:val="0"/>
    <w:pPr>
      <w:widowControl w:val="0"/>
      <w:autoSpaceDE w:val="0"/>
      <w:autoSpaceDN w:val="0"/>
      <w:adjustRightInd w:val="0"/>
      <w:spacing w:before="100" w:beforeLines="0" w:beforeAutospacing="0" w:after="100" w:afterLines="0" w:afterAutospacing="0"/>
      <w:ind w:left="360" w:right="360"/>
    </w:pPr>
    <w:rPr>
      <w:sz w:val="24"/>
    </w:rPr>
  </w:style>
  <w:style w:type="paragraph" w:customStyle="1" w:styleId="15">
    <w:name w:val="rvps1"/>
    <w:basedOn w:val="1"/>
    <w:uiPriority w:val="0"/>
    <w:pPr>
      <w:jc w:val="center"/>
    </w:pPr>
    <w:rPr>
      <w:sz w:val="24"/>
      <w:szCs w:val="24"/>
    </w:rPr>
  </w:style>
  <w:style w:type="character" w:customStyle="1" w:styleId="16">
    <w:name w:val="rvts21"/>
    <w:uiPriority w:val="0"/>
    <w:rPr>
      <w:rFonts w:hint="default" w:ascii="?,Le_gb2312" w:hAnsi="?,Le_gb2312"/>
      <w:b/>
      <w:bCs/>
      <w:sz w:val="28"/>
      <w:szCs w:val="28"/>
    </w:rPr>
  </w:style>
  <w:style w:type="character" w:customStyle="1" w:styleId="17">
    <w:name w:val="rvts75"/>
    <w:qFormat/>
    <w:uiPriority w:val="0"/>
    <w:rPr>
      <w:rFonts w:hint="eastAsia" w:ascii="KNLe" w:hAnsi="KNLe" w:eastAsia="KNLe"/>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7" textRotate="1"/>
    <customShpInfo spid="_x0000_s4118" textRotate="1"/>
    <customShpInfo spid="_x0000_s4100"/>
    <customShpInfo spid="_x0000_s4102"/>
    <customShpInfo spid="_x0000_s4119" textRotate="1"/>
    <customShpInfo spid="_x0000_s4106"/>
    <customShpInfo spid="_x0000_s4108"/>
    <customShpInfo spid="_x0000_s412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18029</Words>
  <Characters>18661</Characters>
  <TotalTime>10</TotalTime>
  <ScaleCrop>false</ScaleCrop>
  <LinksUpToDate>false</LinksUpToDate>
  <CharactersWithSpaces>20240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2019-09-16T06:12:00Z</dcterms:created>
  <dc:creator>whh</dc:creator>
  <cp:lastModifiedBy>amtf</cp:lastModifiedBy>
  <dcterms:modified xsi:type="dcterms:W3CDTF">2019-11-27T09:53:23Z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WPS 文字</vt:lpwstr>
  </property>
  <property fmtid="{D5CDD505-2E9C-101B-9397-08002B2CF9AE}" pid="4" name="LastSaved">
    <vt:filetime>2019-09-16T00:00:00Z</vt:filetime>
  </property>
  <property fmtid="{D5CDD505-2E9C-101B-9397-08002B2CF9AE}" pid="5" name="KSOProductBuildVer">
    <vt:lpwstr>2052-11.1.0.9208</vt:lpwstr>
  </property>
</Properties>
</file>