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817FF">
      <w:pPr>
        <w:keepNext w:val="0"/>
        <w:keepLines w:val="0"/>
        <w:pageBreakBefore w:val="0"/>
        <w:kinsoku/>
        <w:wordWrap/>
        <w:topLinePunct w:val="0"/>
        <w:bidi w:val="0"/>
        <w:snapToGrid/>
        <w:spacing w:line="560" w:lineRule="exact"/>
        <w:ind w:left="0"/>
        <w:jc w:val="center"/>
        <w:rPr>
          <w:rFonts w:hint="default"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rPr>
        <w:t>浦口区</w:t>
      </w:r>
      <w:bookmarkStart w:id="0" w:name="OLE_LINK2"/>
      <w:bookmarkStart w:id="1" w:name="OLE_LINK5"/>
      <w:bookmarkStart w:id="2" w:name="OLE_LINK8"/>
      <w:bookmarkStart w:id="3" w:name="OLE_LINK1"/>
      <w:r>
        <w:rPr>
          <w:rFonts w:hint="eastAsia" w:ascii="方正小标宋_GBK" w:hAnsi="方正小标宋_GBK" w:eastAsia="方正小标宋_GBK" w:cs="方正小标宋_GBK"/>
          <w:b w:val="0"/>
          <w:bCs/>
          <w:sz w:val="44"/>
          <w:szCs w:val="44"/>
          <w:lang w:val="en-US" w:eastAsia="zh-CN"/>
        </w:rPr>
        <w:t>城市数字治理中心数据库容灾备份项目维保询价</w:t>
      </w:r>
      <w:bookmarkStart w:id="4" w:name="OLE_LINK3"/>
      <w:r>
        <w:rPr>
          <w:rFonts w:hint="eastAsia" w:ascii="方正小标宋_GBK" w:hAnsi="方正小标宋_GBK" w:eastAsia="方正小标宋_GBK" w:cs="方正小标宋_GBK"/>
          <w:b w:val="0"/>
          <w:bCs/>
          <w:sz w:val="44"/>
          <w:szCs w:val="44"/>
          <w:lang w:val="en-US" w:eastAsia="zh-CN"/>
        </w:rPr>
        <w:t>公告</w:t>
      </w:r>
    </w:p>
    <w:p w14:paraId="2600F2EC">
      <w:pPr>
        <w:pStyle w:val="2"/>
        <w:keepNext w:val="0"/>
        <w:keepLines w:val="0"/>
        <w:pageBreakBefore w:val="0"/>
        <w:kinsoku/>
        <w:wordWrap/>
        <w:topLinePunct w:val="0"/>
        <w:bidi w:val="0"/>
        <w:snapToGrid/>
        <w:spacing w:line="560" w:lineRule="exact"/>
        <w:ind w:left="0"/>
        <w:rPr>
          <w:rFonts w:hint="eastAsia"/>
        </w:rPr>
      </w:pPr>
    </w:p>
    <w:p w14:paraId="756C4AA1">
      <w:pPr>
        <w:keepNext w:val="0"/>
        <w:keepLines w:val="0"/>
        <w:pageBreakBefore w:val="0"/>
        <w:kinsoku/>
        <w:wordWrap/>
        <w:topLinePunct w:val="0"/>
        <w:bidi w:val="0"/>
        <w:snapToGrid/>
        <w:spacing w:line="560" w:lineRule="exact"/>
        <w:ind w:left="0" w:firstLine="640" w:firstLineChars="200"/>
        <w:rPr>
          <w:rFonts w:hint="eastAsia" w:ascii="仿宋" w:hAnsi="仿宋" w:eastAsia="仿宋"/>
          <w:bCs/>
          <w:sz w:val="32"/>
          <w:szCs w:val="32"/>
        </w:rPr>
      </w:pPr>
      <w:r>
        <w:rPr>
          <w:rFonts w:hint="eastAsia" w:ascii="仿宋" w:hAnsi="仿宋" w:eastAsia="仿宋"/>
          <w:bCs/>
          <w:sz w:val="32"/>
          <w:szCs w:val="32"/>
        </w:rPr>
        <w:t>浦口区</w:t>
      </w:r>
      <w:r>
        <w:rPr>
          <w:rFonts w:hint="eastAsia" w:ascii="仿宋" w:hAnsi="仿宋" w:eastAsia="仿宋"/>
          <w:bCs/>
          <w:sz w:val="32"/>
          <w:szCs w:val="32"/>
          <w:lang w:val="en-US" w:eastAsia="zh-CN"/>
        </w:rPr>
        <w:t>城市数字治理中心数据库容灾备份项目维保</w:t>
      </w:r>
      <w:r>
        <w:rPr>
          <w:rFonts w:hint="eastAsia" w:ascii="仿宋" w:hAnsi="仿宋" w:eastAsia="仿宋"/>
          <w:bCs/>
          <w:sz w:val="32"/>
          <w:szCs w:val="32"/>
        </w:rPr>
        <w:t>实施询价采购，现邀请贵单位参加报价。</w:t>
      </w:r>
    </w:p>
    <w:p w14:paraId="6E93148B">
      <w:pPr>
        <w:keepNext w:val="0"/>
        <w:keepLines w:val="0"/>
        <w:pageBreakBefore w:val="0"/>
        <w:numPr>
          <w:ilvl w:val="0"/>
          <w:numId w:val="1"/>
        </w:numPr>
        <w:kinsoku/>
        <w:wordWrap/>
        <w:topLinePunct w:val="0"/>
        <w:bidi w:val="0"/>
        <w:snapToGrid/>
        <w:spacing w:line="560" w:lineRule="exact"/>
        <w:ind w:left="0"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项目名称：</w:t>
      </w:r>
      <w:r>
        <w:rPr>
          <w:rFonts w:hint="eastAsia" w:ascii="仿宋" w:hAnsi="仿宋" w:eastAsia="仿宋"/>
          <w:bCs/>
          <w:sz w:val="32"/>
          <w:szCs w:val="32"/>
          <w:lang w:val="en-US" w:eastAsia="zh-CN"/>
        </w:rPr>
        <w:t>浦口区城市数字治理中心数据库容灾备份项目维保服务</w:t>
      </w:r>
    </w:p>
    <w:p w14:paraId="43FB49B8">
      <w:pPr>
        <w:keepNext w:val="0"/>
        <w:keepLines w:val="0"/>
        <w:pageBreakBefore w:val="0"/>
        <w:numPr>
          <w:ilvl w:val="0"/>
          <w:numId w:val="1"/>
        </w:numPr>
        <w:kinsoku/>
        <w:wordWrap/>
        <w:topLinePunct w:val="0"/>
        <w:bidi w:val="0"/>
        <w:snapToGrid/>
        <w:spacing w:line="560" w:lineRule="exact"/>
        <w:ind w:left="0"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预算金额</w:t>
      </w:r>
      <w:r>
        <w:rPr>
          <w:rFonts w:hint="eastAsia" w:ascii="方正黑体_GBK" w:hAnsi="方正黑体_GBK" w:eastAsia="方正黑体_GBK" w:cs="方正黑体_GBK"/>
          <w:sz w:val="32"/>
          <w:szCs w:val="32"/>
          <w:lang w:eastAsia="zh-CN"/>
        </w:rPr>
        <w:t>：</w:t>
      </w:r>
      <w:r>
        <w:rPr>
          <w:rFonts w:hint="eastAsia" w:ascii="方正黑体_GBK" w:hAnsi="方正黑体_GBK" w:eastAsia="方正黑体_GBK" w:cs="方正黑体_GBK"/>
          <w:sz w:val="32"/>
          <w:szCs w:val="32"/>
          <w:lang w:val="en-US" w:eastAsia="zh-CN"/>
        </w:rPr>
        <w:t>4.2万</w:t>
      </w:r>
    </w:p>
    <w:p w14:paraId="50296BD8">
      <w:pPr>
        <w:keepNext w:val="0"/>
        <w:keepLines w:val="0"/>
        <w:pageBreakBefore w:val="0"/>
        <w:numPr>
          <w:ilvl w:val="0"/>
          <w:numId w:val="1"/>
        </w:numPr>
        <w:kinsoku/>
        <w:wordWrap/>
        <w:topLinePunct w:val="0"/>
        <w:bidi w:val="0"/>
        <w:snapToGrid/>
        <w:spacing w:line="560" w:lineRule="exact"/>
        <w:ind w:left="0"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val="en-US" w:eastAsia="zh-CN"/>
        </w:rPr>
        <w:t>服务内容及要求</w:t>
      </w:r>
      <w:r>
        <w:rPr>
          <w:rFonts w:hint="eastAsia" w:ascii="方正黑体_GBK" w:hAnsi="方正黑体_GBK" w:eastAsia="方正黑体_GBK" w:cs="方正黑体_GBK"/>
          <w:sz w:val="32"/>
          <w:szCs w:val="32"/>
        </w:rPr>
        <w:t>：</w:t>
      </w:r>
    </w:p>
    <w:p w14:paraId="23E7CA02">
      <w:pPr>
        <w:keepNext w:val="0"/>
        <w:keepLines w:val="0"/>
        <w:pageBreakBefore w:val="0"/>
        <w:numPr>
          <w:ilvl w:val="0"/>
          <w:numId w:val="0"/>
        </w:numPr>
        <w:kinsoku/>
        <w:wordWrap/>
        <w:topLinePunct w:val="0"/>
        <w:bidi w:val="0"/>
        <w:snapToGrid/>
        <w:spacing w:line="560" w:lineRule="exact"/>
        <w:ind w:firstLine="640" w:firstLineChars="200"/>
        <w:rPr>
          <w:rFonts w:hint="eastAsia" w:ascii="仿宋" w:hAnsi="仿宋" w:eastAsia="仿宋"/>
          <w:bCs/>
          <w:sz w:val="32"/>
          <w:szCs w:val="32"/>
          <w:lang w:val="en-US" w:eastAsia="zh-CN"/>
        </w:rPr>
      </w:pPr>
      <w:r>
        <w:rPr>
          <w:rFonts w:hint="eastAsia" w:ascii="仿宋" w:hAnsi="仿宋" w:eastAsia="仿宋"/>
          <w:bCs/>
          <w:sz w:val="32"/>
          <w:szCs w:val="32"/>
          <w:lang w:val="en-US" w:eastAsia="zh-CN"/>
        </w:rPr>
        <w:t>服务期限：自合同签订之日起一年，服务内容详见附件。</w:t>
      </w:r>
    </w:p>
    <w:p w14:paraId="11ABDC30">
      <w:pPr>
        <w:keepNext w:val="0"/>
        <w:keepLines w:val="0"/>
        <w:pageBreakBefore w:val="0"/>
        <w:numPr>
          <w:ilvl w:val="0"/>
          <w:numId w:val="1"/>
        </w:numPr>
        <w:kinsoku/>
        <w:wordWrap/>
        <w:topLinePunct w:val="0"/>
        <w:bidi w:val="0"/>
        <w:snapToGrid/>
        <w:spacing w:line="560" w:lineRule="exact"/>
        <w:ind w:left="0" w:firstLine="562" w:firstLineChars="200"/>
        <w:rPr>
          <w:rFonts w:hint="eastAsia" w:ascii="方正黑体_GBK" w:hAnsi="方正黑体_GBK" w:eastAsia="方正黑体_GBK" w:cs="方正黑体_GBK"/>
          <w:sz w:val="32"/>
          <w:szCs w:val="32"/>
        </w:rPr>
      </w:pPr>
      <w:r>
        <w:rPr>
          <w:rFonts w:hint="eastAsia" w:ascii="宋体" w:hAnsi="宋体" w:cs="宋体"/>
          <w:b/>
          <w:bCs/>
          <w:sz w:val="28"/>
          <w:szCs w:val="28"/>
        </w:rPr>
        <w:t xml:space="preserve"> </w:t>
      </w:r>
      <w:r>
        <w:rPr>
          <w:rFonts w:hint="eastAsia" w:ascii="方正黑体_GBK" w:hAnsi="方正黑体_GBK" w:eastAsia="方正黑体_GBK" w:cs="方正黑体_GBK"/>
          <w:sz w:val="32"/>
          <w:szCs w:val="32"/>
        </w:rPr>
        <w:t>报价文件接收截止时间和地点</w:t>
      </w:r>
    </w:p>
    <w:p w14:paraId="7D8330E6">
      <w:pPr>
        <w:keepNext w:val="0"/>
        <w:keepLines w:val="0"/>
        <w:pageBreakBefore w:val="0"/>
        <w:kinsoku/>
        <w:wordWrap/>
        <w:topLinePunct w:val="0"/>
        <w:bidi w:val="0"/>
        <w:snapToGrid/>
        <w:spacing w:line="560" w:lineRule="exact"/>
        <w:ind w:left="0" w:firstLine="640" w:firstLineChars="200"/>
        <w:rPr>
          <w:rFonts w:hint="eastAsia" w:ascii="仿宋" w:hAnsi="仿宋" w:eastAsia="仿宋"/>
          <w:sz w:val="32"/>
          <w:szCs w:val="32"/>
        </w:rPr>
      </w:pPr>
      <w:r>
        <w:rPr>
          <w:rFonts w:hint="eastAsia" w:ascii="方正楷体_GBK" w:hAnsi="方正楷体_GBK" w:eastAsia="方正楷体_GBK" w:cs="方正楷体_GBK"/>
          <w:sz w:val="32"/>
          <w:szCs w:val="32"/>
        </w:rPr>
        <w:t>报价文件接收截止时间:</w:t>
      </w: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 xml:space="preserve"> 7 </w:t>
      </w:r>
      <w:r>
        <w:rPr>
          <w:rFonts w:hint="eastAsia" w:ascii="仿宋" w:hAnsi="仿宋" w:eastAsia="仿宋"/>
          <w:sz w:val="32"/>
          <w:szCs w:val="32"/>
        </w:rPr>
        <w:t>月</w:t>
      </w:r>
      <w:r>
        <w:rPr>
          <w:rFonts w:hint="eastAsia" w:ascii="仿宋" w:hAnsi="仿宋" w:eastAsia="仿宋"/>
          <w:sz w:val="32"/>
          <w:szCs w:val="32"/>
          <w:lang w:val="en-US" w:eastAsia="zh-CN"/>
        </w:rPr>
        <w:t xml:space="preserve"> 29 </w:t>
      </w:r>
      <w:r>
        <w:rPr>
          <w:rFonts w:hint="eastAsia" w:ascii="仿宋" w:hAnsi="仿宋" w:eastAsia="仿宋"/>
          <w:sz w:val="32"/>
          <w:szCs w:val="32"/>
        </w:rPr>
        <w:t>日</w:t>
      </w:r>
      <w:r>
        <w:rPr>
          <w:rFonts w:hint="eastAsia" w:ascii="仿宋" w:hAnsi="仿宋" w:eastAsia="仿宋"/>
          <w:sz w:val="32"/>
          <w:szCs w:val="32"/>
          <w:lang w:val="en-US" w:eastAsia="zh-CN"/>
        </w:rPr>
        <w:t>14</w:t>
      </w:r>
      <w:r>
        <w:rPr>
          <w:rFonts w:hint="eastAsia" w:ascii="仿宋" w:hAnsi="仿宋" w:eastAsia="仿宋"/>
          <w:sz w:val="32"/>
          <w:szCs w:val="32"/>
        </w:rPr>
        <w:t>时</w:t>
      </w:r>
      <w:r>
        <w:rPr>
          <w:rFonts w:hint="eastAsia" w:ascii="仿宋" w:hAnsi="仿宋" w:eastAsia="仿宋"/>
          <w:sz w:val="32"/>
          <w:szCs w:val="32"/>
          <w:lang w:val="en-US" w:eastAsia="zh-CN"/>
        </w:rPr>
        <w:t>30</w:t>
      </w:r>
      <w:r>
        <w:rPr>
          <w:rFonts w:hint="eastAsia" w:ascii="仿宋" w:hAnsi="仿宋" w:eastAsia="仿宋"/>
          <w:sz w:val="32"/>
          <w:szCs w:val="32"/>
        </w:rPr>
        <w:t>分</w:t>
      </w:r>
    </w:p>
    <w:p w14:paraId="55AE3FE5">
      <w:pPr>
        <w:keepNext w:val="0"/>
        <w:keepLines w:val="0"/>
        <w:pageBreakBefore w:val="0"/>
        <w:kinsoku/>
        <w:wordWrap/>
        <w:topLinePunct w:val="0"/>
        <w:bidi w:val="0"/>
        <w:snapToGrid/>
        <w:spacing w:line="560" w:lineRule="exact"/>
        <w:ind w:left="0" w:firstLine="640" w:firstLineChars="200"/>
        <w:rPr>
          <w:rFonts w:hint="default" w:ascii="仿宋" w:hAnsi="仿宋" w:eastAsia="仿宋"/>
          <w:sz w:val="32"/>
          <w:szCs w:val="32"/>
          <w:lang w:val="en-US" w:eastAsia="zh-CN"/>
        </w:rPr>
      </w:pPr>
      <w:r>
        <w:rPr>
          <w:rFonts w:hint="eastAsia" w:ascii="方正楷体_GBK" w:hAnsi="方正楷体_GBK" w:eastAsia="方正楷体_GBK" w:cs="方正楷体_GBK"/>
          <w:sz w:val="32"/>
          <w:szCs w:val="32"/>
        </w:rPr>
        <w:t>报价文件接收地点:</w:t>
      </w:r>
      <w:r>
        <w:rPr>
          <w:rFonts w:hint="eastAsia" w:ascii="仿宋" w:hAnsi="仿宋" w:eastAsia="仿宋"/>
          <w:sz w:val="32"/>
          <w:szCs w:val="32"/>
        </w:rPr>
        <w:t xml:space="preserve"> </w:t>
      </w:r>
      <w:r>
        <w:rPr>
          <w:rFonts w:hint="eastAsia" w:ascii="仿宋" w:hAnsi="仿宋" w:eastAsia="仿宋"/>
          <w:sz w:val="32"/>
          <w:szCs w:val="32"/>
          <w:lang w:val="en-US" w:eastAsia="zh-CN"/>
        </w:rPr>
        <w:t>南京市浦口区城市数字治理中心807会议室（南京市浦口区江浦街道建设路9号A幢）</w:t>
      </w:r>
    </w:p>
    <w:p w14:paraId="4581A0A7">
      <w:pPr>
        <w:keepNext w:val="0"/>
        <w:keepLines w:val="0"/>
        <w:pageBreakBefore w:val="0"/>
        <w:numPr>
          <w:ilvl w:val="0"/>
          <w:numId w:val="0"/>
        </w:numPr>
        <w:kinsoku/>
        <w:wordWrap/>
        <w:topLinePunct w:val="0"/>
        <w:bidi w:val="0"/>
        <w:snapToGrid/>
        <w:spacing w:line="560" w:lineRule="exact"/>
        <w:ind w:left="0" w:firstLine="640" w:firstLineChars="200"/>
        <w:rPr>
          <w:rFonts w:ascii="仿宋" w:hAnsi="仿宋" w:eastAsia="仿宋"/>
          <w:sz w:val="32"/>
          <w:szCs w:val="32"/>
        </w:rPr>
      </w:pP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本项目评标方法：</w:t>
      </w:r>
      <w:r>
        <w:rPr>
          <w:rFonts w:hint="eastAsia" w:ascii="仿宋" w:hAnsi="仿宋" w:eastAsia="仿宋"/>
          <w:sz w:val="32"/>
          <w:szCs w:val="32"/>
          <w:lang w:val="en-US" w:eastAsia="zh-CN"/>
        </w:rPr>
        <w:t>满足采购需求，</w:t>
      </w:r>
      <w:r>
        <w:rPr>
          <w:rFonts w:hint="eastAsia" w:ascii="仿宋" w:hAnsi="仿宋" w:eastAsia="仿宋"/>
          <w:sz w:val="32"/>
          <w:szCs w:val="32"/>
        </w:rPr>
        <w:t>最低价中标</w:t>
      </w:r>
    </w:p>
    <w:p w14:paraId="59EB8108">
      <w:pPr>
        <w:keepNext w:val="0"/>
        <w:keepLines w:val="0"/>
        <w:pageBreakBefore w:val="0"/>
        <w:numPr>
          <w:ilvl w:val="0"/>
          <w:numId w:val="0"/>
        </w:numPr>
        <w:kinsoku/>
        <w:wordWrap/>
        <w:topLinePunct w:val="0"/>
        <w:bidi w:val="0"/>
        <w:snapToGrid/>
        <w:spacing w:line="560" w:lineRule="exact"/>
        <w:ind w:left="0"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六、采购联系事项：</w:t>
      </w:r>
    </w:p>
    <w:p w14:paraId="4D549AE4">
      <w:pPr>
        <w:keepNext w:val="0"/>
        <w:keepLines w:val="0"/>
        <w:pageBreakBefore w:val="0"/>
        <w:kinsoku/>
        <w:wordWrap/>
        <w:topLinePunct w:val="0"/>
        <w:bidi w:val="0"/>
        <w:snapToGrid/>
        <w:spacing w:line="560" w:lineRule="exact"/>
        <w:ind w:left="0" w:firstLine="640"/>
        <w:rPr>
          <w:rFonts w:hint="default" w:ascii="仿宋" w:hAnsi="仿宋" w:eastAsia="仿宋"/>
          <w:sz w:val="32"/>
          <w:szCs w:val="32"/>
          <w:lang w:val="en-US" w:eastAsia="zh-CN"/>
        </w:rPr>
      </w:pPr>
      <w:r>
        <w:rPr>
          <w:rFonts w:hint="eastAsia" w:ascii="方正楷体_GBK" w:hAnsi="方正楷体_GBK" w:eastAsia="方正楷体_GBK" w:cs="方正楷体_GBK"/>
          <w:sz w:val="32"/>
          <w:szCs w:val="32"/>
        </w:rPr>
        <w:t>联系人:</w:t>
      </w:r>
      <w:r>
        <w:rPr>
          <w:rFonts w:hint="eastAsia" w:ascii="仿宋" w:hAnsi="仿宋" w:eastAsia="仿宋"/>
          <w:sz w:val="32"/>
          <w:szCs w:val="32"/>
          <w:lang w:val="en-US" w:eastAsia="zh-CN"/>
        </w:rPr>
        <w:t>周植霞</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方正楷体_GBK" w:hAnsi="方正楷体_GBK" w:eastAsia="方正楷体_GBK" w:cs="方正楷体_GBK"/>
          <w:sz w:val="32"/>
          <w:szCs w:val="32"/>
        </w:rPr>
        <w:t>联系电话:</w:t>
      </w:r>
      <w:r>
        <w:rPr>
          <w:rFonts w:hint="eastAsia" w:ascii="仿宋" w:hAnsi="仿宋" w:eastAsia="仿宋"/>
          <w:sz w:val="32"/>
          <w:szCs w:val="32"/>
          <w:lang w:val="en-US" w:eastAsia="zh-CN"/>
        </w:rPr>
        <w:t>58311628</w:t>
      </w:r>
    </w:p>
    <w:p w14:paraId="7085E1C7">
      <w:pPr>
        <w:pStyle w:val="3"/>
        <w:keepNext w:val="0"/>
        <w:keepLines w:val="0"/>
        <w:pageBreakBefore w:val="0"/>
        <w:kinsoku/>
        <w:wordWrap/>
        <w:topLinePunct w:val="0"/>
        <w:bidi w:val="0"/>
        <w:snapToGrid/>
        <w:spacing w:line="560" w:lineRule="exact"/>
        <w:ind w:left="0" w:firstLine="643" w:firstLineChars="200"/>
        <w:rPr>
          <w:rFonts w:ascii="仿宋" w:hAnsi="仿宋" w:eastAsia="仿宋"/>
          <w:b/>
          <w:bCs/>
          <w:sz w:val="32"/>
          <w:szCs w:val="32"/>
        </w:rPr>
      </w:pPr>
      <w:r>
        <w:rPr>
          <w:rFonts w:hint="eastAsia" w:ascii="仿宋" w:hAnsi="仿宋" w:eastAsia="仿宋"/>
          <w:b/>
          <w:bCs/>
          <w:sz w:val="32"/>
          <w:szCs w:val="32"/>
          <w:lang w:val="en-US" w:eastAsia="zh-CN"/>
        </w:rPr>
        <w:t>投标人</w:t>
      </w:r>
      <w:r>
        <w:rPr>
          <w:rFonts w:hint="eastAsia" w:ascii="仿宋" w:hAnsi="仿宋" w:eastAsia="仿宋"/>
          <w:b/>
          <w:bCs/>
          <w:sz w:val="32"/>
          <w:szCs w:val="32"/>
        </w:rPr>
        <w:t>须提供的文件</w:t>
      </w:r>
      <w:r>
        <w:rPr>
          <w:rFonts w:hint="eastAsia" w:ascii="仿宋" w:hAnsi="仿宋" w:eastAsia="仿宋"/>
          <w:b/>
          <w:bCs/>
          <w:sz w:val="32"/>
          <w:szCs w:val="32"/>
          <w:lang w:val="en-US" w:eastAsia="zh-CN"/>
        </w:rPr>
        <w:t>(所有文件均需盖章)</w:t>
      </w:r>
      <w:r>
        <w:rPr>
          <w:rFonts w:hint="eastAsia" w:ascii="仿宋" w:hAnsi="仿宋" w:eastAsia="仿宋"/>
          <w:b/>
          <w:bCs/>
          <w:sz w:val="32"/>
          <w:szCs w:val="32"/>
        </w:rPr>
        <w:t>：</w:t>
      </w:r>
    </w:p>
    <w:p w14:paraId="4FEB19C9">
      <w:pPr>
        <w:keepNext w:val="0"/>
        <w:keepLines w:val="0"/>
        <w:pageBreakBefore w:val="0"/>
        <w:kinsoku/>
        <w:wordWrap/>
        <w:topLinePunct w:val="0"/>
        <w:bidi w:val="0"/>
        <w:snapToGrid/>
        <w:spacing w:line="560" w:lineRule="exact"/>
        <w:ind w:left="0" w:firstLine="640" w:firstLineChars="200"/>
        <w:rPr>
          <w:rFonts w:hint="default" w:ascii="仿宋" w:hAnsi="仿宋" w:eastAsia="仿宋" w:cs="宋体"/>
          <w:sz w:val="32"/>
          <w:szCs w:val="32"/>
          <w:lang w:val="en-US" w:eastAsia="zh-CN"/>
        </w:rPr>
      </w:pPr>
      <w:r>
        <w:rPr>
          <w:rFonts w:ascii="仿宋" w:hAnsi="仿宋" w:eastAsia="仿宋" w:cs="宋体"/>
          <w:sz w:val="32"/>
          <w:szCs w:val="32"/>
        </w:rPr>
        <w:t>1.</w:t>
      </w:r>
      <w:r>
        <w:rPr>
          <w:rFonts w:hint="eastAsia" w:ascii="仿宋" w:hAnsi="仿宋" w:eastAsia="仿宋" w:cs="宋体"/>
          <w:sz w:val="32"/>
          <w:szCs w:val="32"/>
          <w:lang w:val="en-US" w:eastAsia="zh-CN"/>
        </w:rPr>
        <w:t>项目报价表；</w:t>
      </w:r>
    </w:p>
    <w:p w14:paraId="1AA34524">
      <w:pPr>
        <w:keepNext w:val="0"/>
        <w:keepLines w:val="0"/>
        <w:pageBreakBefore w:val="0"/>
        <w:kinsoku/>
        <w:wordWrap/>
        <w:topLinePunct w:val="0"/>
        <w:bidi w:val="0"/>
        <w:snapToGrid/>
        <w:spacing w:line="560" w:lineRule="exact"/>
        <w:ind w:left="0" w:firstLine="640" w:firstLineChars="200"/>
        <w:rPr>
          <w:rFonts w:hint="eastAsia" w:ascii="仿宋" w:hAnsi="仿宋" w:eastAsia="仿宋" w:cs="宋体"/>
          <w:sz w:val="32"/>
          <w:szCs w:val="32"/>
        </w:rPr>
      </w:pPr>
      <w:r>
        <w:rPr>
          <w:rFonts w:ascii="仿宋" w:hAnsi="仿宋" w:eastAsia="仿宋" w:cs="宋体"/>
          <w:kern w:val="2"/>
          <w:sz w:val="32"/>
          <w:szCs w:val="32"/>
        </w:rPr>
        <w:t>2.</w:t>
      </w:r>
      <w:r>
        <w:rPr>
          <w:rFonts w:hint="eastAsia" w:ascii="仿宋" w:hAnsi="仿宋" w:eastAsia="仿宋" w:cs="宋体"/>
          <w:sz w:val="32"/>
          <w:szCs w:val="32"/>
          <w:lang w:val="en-US" w:eastAsia="zh-CN"/>
        </w:rPr>
        <w:t>有效期内营业执照及法人身份证明；</w:t>
      </w:r>
    </w:p>
    <w:p w14:paraId="7E6BF7BD">
      <w:pPr>
        <w:pStyle w:val="3"/>
        <w:keepNext w:val="0"/>
        <w:keepLines w:val="0"/>
        <w:pageBreakBefore w:val="0"/>
        <w:kinsoku/>
        <w:wordWrap/>
        <w:topLinePunct w:val="0"/>
        <w:bidi w:val="0"/>
        <w:snapToGrid/>
        <w:spacing w:line="560" w:lineRule="exact"/>
        <w:ind w:left="0" w:firstLine="640" w:firstLineChars="200"/>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3.企业资质、人员证书（</w:t>
      </w:r>
      <w:r>
        <w:rPr>
          <w:rFonts w:hint="eastAsia" w:ascii="仿宋" w:hAnsi="仿宋" w:eastAsia="仿宋" w:cs="宋体"/>
          <w:color w:val="000000" w:themeColor="text1"/>
          <w:sz w:val="32"/>
          <w:szCs w:val="32"/>
          <w:lang w:val="en-US" w:eastAsia="zh-CN"/>
          <w14:textFill>
            <w14:solidFill>
              <w14:schemeClr w14:val="tx1"/>
            </w14:solidFill>
          </w14:textFill>
        </w:rPr>
        <w:t>ORACLE、达梦等数据库工程师认证</w:t>
      </w:r>
      <w:r>
        <w:rPr>
          <w:rFonts w:hint="eastAsia" w:ascii="仿宋" w:hAnsi="仿宋" w:eastAsia="仿宋" w:cs="宋体"/>
          <w:sz w:val="32"/>
          <w:szCs w:val="32"/>
          <w:lang w:val="en-US" w:eastAsia="zh-CN"/>
        </w:rPr>
        <w:t>）；</w:t>
      </w:r>
    </w:p>
    <w:p w14:paraId="3B210C57">
      <w:pPr>
        <w:pStyle w:val="3"/>
        <w:keepNext w:val="0"/>
        <w:keepLines w:val="0"/>
        <w:pageBreakBefore w:val="0"/>
        <w:kinsoku/>
        <w:wordWrap/>
        <w:topLinePunct w:val="0"/>
        <w:bidi w:val="0"/>
        <w:snapToGrid/>
        <w:spacing w:line="560" w:lineRule="exact"/>
        <w:ind w:left="0" w:firstLine="640" w:firstLineChars="200"/>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4.企业类似案例。</w:t>
      </w:r>
    </w:p>
    <w:p w14:paraId="06E2DD9F">
      <w:pPr>
        <w:pStyle w:val="3"/>
        <w:keepNext w:val="0"/>
        <w:keepLines w:val="0"/>
        <w:pageBreakBefore w:val="0"/>
        <w:kinsoku/>
        <w:wordWrap/>
        <w:topLinePunct w:val="0"/>
        <w:bidi w:val="0"/>
        <w:snapToGrid/>
        <w:spacing w:line="560" w:lineRule="exact"/>
        <w:ind w:left="0" w:firstLine="640" w:firstLineChars="200"/>
        <w:rPr>
          <w:rFonts w:hint="eastAsia" w:ascii="仿宋" w:hAnsi="仿宋" w:eastAsia="仿宋" w:cs="宋体"/>
          <w:sz w:val="32"/>
          <w:szCs w:val="32"/>
          <w:lang w:val="en-US" w:eastAsia="zh-CN"/>
        </w:rPr>
      </w:pPr>
    </w:p>
    <w:p w14:paraId="62A9F513">
      <w:pPr>
        <w:pStyle w:val="3"/>
        <w:keepNext w:val="0"/>
        <w:keepLines w:val="0"/>
        <w:pageBreakBefore w:val="0"/>
        <w:kinsoku/>
        <w:wordWrap/>
        <w:topLinePunct w:val="0"/>
        <w:bidi w:val="0"/>
        <w:snapToGrid/>
        <w:spacing w:line="560" w:lineRule="exact"/>
        <w:ind w:left="0" w:firstLine="640" w:firstLineChars="200"/>
        <w:rPr>
          <w:rFonts w:hint="eastAsia" w:ascii="仿宋" w:hAnsi="仿宋" w:eastAsia="仿宋" w:cs="宋体"/>
          <w:sz w:val="32"/>
          <w:szCs w:val="32"/>
          <w:lang w:val="en-US" w:eastAsia="zh-CN"/>
        </w:rPr>
      </w:pPr>
    </w:p>
    <w:p w14:paraId="4D905FFD">
      <w:pPr>
        <w:pStyle w:val="3"/>
        <w:keepNext w:val="0"/>
        <w:keepLines w:val="0"/>
        <w:pageBreakBefore w:val="0"/>
        <w:kinsoku/>
        <w:wordWrap/>
        <w:topLinePunct w:val="0"/>
        <w:bidi w:val="0"/>
        <w:snapToGrid/>
        <w:spacing w:line="560" w:lineRule="exact"/>
        <w:rPr>
          <w:rFonts w:hint="default" w:ascii="仿宋" w:hAnsi="仿宋" w:eastAsia="仿宋" w:cs="宋体"/>
          <w:sz w:val="32"/>
          <w:szCs w:val="32"/>
          <w:lang w:val="en-US" w:eastAsia="zh-CN"/>
        </w:rPr>
      </w:pPr>
      <w:bookmarkStart w:id="6" w:name="_GoBack"/>
      <w:r>
        <w:rPr>
          <w:rFonts w:hint="eastAsia" w:ascii="仿宋" w:hAnsi="仿宋" w:eastAsia="仿宋" w:cs="宋体"/>
          <w:sz w:val="32"/>
          <w:szCs w:val="32"/>
          <w:lang w:val="en-US" w:eastAsia="zh-CN"/>
        </w:rPr>
        <w:t>附件：浦口区城市数字治理中心数据库容灾备份项目维保服务内容</w:t>
      </w:r>
    </w:p>
    <w:p w14:paraId="36962741">
      <w:pPr>
        <w:pStyle w:val="2"/>
        <w:keepNext w:val="0"/>
        <w:keepLines w:val="0"/>
        <w:pageBreakBefore w:val="0"/>
        <w:kinsoku/>
        <w:wordWrap/>
        <w:topLinePunct w:val="0"/>
        <w:bidi w:val="0"/>
        <w:snapToGrid/>
        <w:spacing w:line="560" w:lineRule="exact"/>
        <w:ind w:left="0"/>
        <w:rPr>
          <w:rFonts w:hint="default"/>
          <w:lang w:val="en-US" w:eastAsia="zh-CN"/>
        </w:rPr>
      </w:pPr>
    </w:p>
    <w:p w14:paraId="41F1BDAE">
      <w:pPr>
        <w:keepNext w:val="0"/>
        <w:keepLines w:val="0"/>
        <w:pageBreakBefore w:val="0"/>
        <w:kinsoku/>
        <w:wordWrap/>
        <w:topLinePunct w:val="0"/>
        <w:bidi w:val="0"/>
        <w:snapToGrid/>
        <w:spacing w:line="560" w:lineRule="exact"/>
        <w:ind w:left="0"/>
        <w:rPr>
          <w:rFonts w:hint="eastAsia" w:ascii="仿宋" w:hAnsi="仿宋" w:eastAsia="仿宋" w:cs="宋体"/>
          <w:kern w:val="0"/>
          <w:sz w:val="32"/>
          <w:szCs w:val="32"/>
        </w:rPr>
      </w:pPr>
    </w:p>
    <w:p w14:paraId="6A94FC13">
      <w:pPr>
        <w:pStyle w:val="2"/>
        <w:rPr>
          <w:rFonts w:hint="eastAsia"/>
        </w:rPr>
      </w:pPr>
    </w:p>
    <w:bookmarkEnd w:id="0"/>
    <w:p w14:paraId="228E28BC">
      <w:pPr>
        <w:keepNext w:val="0"/>
        <w:keepLines w:val="0"/>
        <w:pageBreakBefore w:val="0"/>
        <w:widowControl/>
        <w:shd w:val="clear" w:color="auto" w:fill="FFFFFF"/>
        <w:kinsoku/>
        <w:wordWrap/>
        <w:topLinePunct w:val="0"/>
        <w:bidi w:val="0"/>
        <w:snapToGrid/>
        <w:spacing w:line="560" w:lineRule="exact"/>
        <w:jc w:val="right"/>
        <w:rPr>
          <w:rFonts w:ascii="仿宋" w:hAnsi="仿宋" w:eastAsia="仿宋"/>
          <w:sz w:val="32"/>
          <w:szCs w:val="32"/>
        </w:rPr>
      </w:pPr>
      <w:bookmarkStart w:id="5" w:name="OLE_LINK7"/>
      <w:r>
        <w:rPr>
          <w:rFonts w:hint="eastAsia" w:ascii="仿宋" w:hAnsi="仿宋" w:eastAsia="仿宋"/>
          <w:sz w:val="32"/>
          <w:szCs w:val="32"/>
        </w:rPr>
        <w:t>南京市浦口区</w:t>
      </w:r>
      <w:r>
        <w:rPr>
          <w:rFonts w:hint="eastAsia" w:ascii="仿宋" w:hAnsi="仿宋" w:eastAsia="仿宋"/>
          <w:sz w:val="32"/>
          <w:szCs w:val="32"/>
          <w:lang w:val="en-US" w:eastAsia="zh-CN"/>
        </w:rPr>
        <w:t>城市数字治理中心</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6</w:t>
      </w:r>
      <w:r>
        <w:rPr>
          <w:rFonts w:ascii="仿宋" w:hAnsi="仿宋" w:eastAsia="仿宋"/>
          <w:sz w:val="32"/>
          <w:szCs w:val="32"/>
        </w:rPr>
        <w:t>年</w:t>
      </w:r>
      <w:r>
        <w:rPr>
          <w:rFonts w:hint="eastAsia" w:ascii="仿宋" w:hAnsi="仿宋" w:eastAsia="仿宋"/>
          <w:sz w:val="32"/>
          <w:szCs w:val="32"/>
          <w:lang w:val="en-US" w:eastAsia="zh-CN"/>
        </w:rPr>
        <w:t>7</w:t>
      </w:r>
      <w:r>
        <w:rPr>
          <w:rFonts w:ascii="仿宋" w:hAnsi="仿宋" w:eastAsia="仿宋"/>
          <w:sz w:val="32"/>
          <w:szCs w:val="32"/>
        </w:rPr>
        <w:t>月</w:t>
      </w:r>
      <w:r>
        <w:rPr>
          <w:rFonts w:hint="eastAsia" w:ascii="仿宋" w:hAnsi="仿宋" w:eastAsia="仿宋"/>
          <w:sz w:val="32"/>
          <w:szCs w:val="32"/>
          <w:lang w:val="en-US" w:eastAsia="zh-CN"/>
        </w:rPr>
        <w:t>22</w:t>
      </w:r>
      <w:r>
        <w:rPr>
          <w:rFonts w:ascii="仿宋" w:hAnsi="仿宋" w:eastAsia="仿宋"/>
          <w:sz w:val="32"/>
          <w:szCs w:val="32"/>
        </w:rPr>
        <w:t>日</w:t>
      </w:r>
      <w:bookmarkEnd w:id="1"/>
      <w:bookmarkEnd w:id="2"/>
      <w:bookmarkEnd w:id="3"/>
      <w:bookmarkEnd w:id="4"/>
      <w:bookmarkEnd w:id="5"/>
    </w:p>
    <w:bookmarkEnd w:id="6"/>
    <w:p w14:paraId="0395EDC2">
      <w:pPr>
        <w:pStyle w:val="2"/>
        <w:rPr>
          <w:rFonts w:ascii="仿宋" w:hAnsi="仿宋" w:eastAsia="仿宋"/>
          <w:sz w:val="32"/>
          <w:szCs w:val="32"/>
        </w:rPr>
      </w:pPr>
    </w:p>
    <w:p w14:paraId="0CD88924">
      <w:pPr>
        <w:pStyle w:val="2"/>
        <w:rPr>
          <w:rFonts w:ascii="仿宋" w:hAnsi="仿宋" w:eastAsia="仿宋"/>
          <w:sz w:val="32"/>
          <w:szCs w:val="32"/>
        </w:rPr>
      </w:pPr>
    </w:p>
    <w:p w14:paraId="0A954E5D">
      <w:pPr>
        <w:pStyle w:val="2"/>
        <w:rPr>
          <w:rFonts w:ascii="仿宋" w:hAnsi="仿宋" w:eastAsia="仿宋"/>
          <w:sz w:val="32"/>
          <w:szCs w:val="32"/>
        </w:rPr>
      </w:pPr>
    </w:p>
    <w:p w14:paraId="67C25644">
      <w:pPr>
        <w:pStyle w:val="2"/>
        <w:rPr>
          <w:rFonts w:ascii="仿宋" w:hAnsi="仿宋" w:eastAsia="仿宋"/>
          <w:sz w:val="32"/>
          <w:szCs w:val="32"/>
        </w:rPr>
      </w:pPr>
    </w:p>
    <w:p w14:paraId="1B22C1EF">
      <w:pPr>
        <w:pStyle w:val="2"/>
        <w:rPr>
          <w:rFonts w:ascii="仿宋" w:hAnsi="仿宋" w:eastAsia="仿宋"/>
          <w:sz w:val="32"/>
          <w:szCs w:val="32"/>
        </w:rPr>
      </w:pPr>
    </w:p>
    <w:p w14:paraId="1146CDE6">
      <w:pPr>
        <w:pStyle w:val="2"/>
        <w:rPr>
          <w:rFonts w:ascii="仿宋" w:hAnsi="仿宋" w:eastAsia="仿宋"/>
          <w:sz w:val="32"/>
          <w:szCs w:val="32"/>
        </w:rPr>
      </w:pPr>
    </w:p>
    <w:p w14:paraId="481CAC20">
      <w:pPr>
        <w:pStyle w:val="2"/>
        <w:rPr>
          <w:rFonts w:ascii="仿宋" w:hAnsi="仿宋" w:eastAsia="仿宋"/>
          <w:sz w:val="32"/>
          <w:szCs w:val="32"/>
        </w:rPr>
      </w:pPr>
    </w:p>
    <w:p w14:paraId="1CBF69E5">
      <w:pPr>
        <w:pStyle w:val="2"/>
        <w:rPr>
          <w:rFonts w:ascii="仿宋" w:hAnsi="仿宋" w:eastAsia="仿宋"/>
          <w:sz w:val="32"/>
          <w:szCs w:val="32"/>
        </w:rPr>
      </w:pPr>
    </w:p>
    <w:p w14:paraId="00B05F94">
      <w:pPr>
        <w:pStyle w:val="2"/>
        <w:rPr>
          <w:rFonts w:ascii="仿宋" w:hAnsi="仿宋" w:eastAsia="仿宋"/>
          <w:sz w:val="32"/>
          <w:szCs w:val="32"/>
        </w:rPr>
      </w:pPr>
    </w:p>
    <w:p w14:paraId="1EB0130E">
      <w:pPr>
        <w:pStyle w:val="2"/>
        <w:rPr>
          <w:rFonts w:ascii="仿宋" w:hAnsi="仿宋" w:eastAsia="仿宋"/>
          <w:sz w:val="32"/>
          <w:szCs w:val="32"/>
        </w:rPr>
      </w:pPr>
    </w:p>
    <w:p w14:paraId="2C27E3A9">
      <w:pPr>
        <w:pStyle w:val="2"/>
        <w:rPr>
          <w:rFonts w:ascii="仿宋" w:hAnsi="仿宋" w:eastAsia="仿宋"/>
          <w:sz w:val="32"/>
          <w:szCs w:val="32"/>
        </w:rPr>
      </w:pPr>
    </w:p>
    <w:p w14:paraId="5D6856C5">
      <w:pPr>
        <w:pStyle w:val="2"/>
        <w:rPr>
          <w:rFonts w:ascii="仿宋" w:hAnsi="仿宋" w:eastAsia="仿宋"/>
          <w:sz w:val="32"/>
          <w:szCs w:val="32"/>
        </w:rPr>
      </w:pPr>
    </w:p>
    <w:p w14:paraId="6C7BE29F">
      <w:pPr>
        <w:pStyle w:val="2"/>
        <w:rPr>
          <w:rFonts w:ascii="仿宋" w:hAnsi="仿宋" w:eastAsia="仿宋"/>
          <w:sz w:val="32"/>
          <w:szCs w:val="32"/>
        </w:rPr>
      </w:pPr>
    </w:p>
    <w:p w14:paraId="18BF3BA0">
      <w:pPr>
        <w:pStyle w:val="2"/>
        <w:rPr>
          <w:rFonts w:ascii="仿宋" w:hAnsi="仿宋" w:eastAsia="仿宋"/>
          <w:sz w:val="32"/>
          <w:szCs w:val="32"/>
        </w:rPr>
      </w:pPr>
    </w:p>
    <w:p w14:paraId="3A03B41B">
      <w:pPr>
        <w:pStyle w:val="2"/>
        <w:rPr>
          <w:rFonts w:ascii="仿宋" w:hAnsi="仿宋" w:eastAsia="仿宋"/>
          <w:sz w:val="32"/>
          <w:szCs w:val="32"/>
        </w:rPr>
      </w:pPr>
    </w:p>
    <w:p w14:paraId="096D9581">
      <w:pPr>
        <w:jc w:val="both"/>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附件：</w:t>
      </w:r>
    </w:p>
    <w:p w14:paraId="66E5F745">
      <w:pPr>
        <w:ind w:firstLine="360" w:firstLineChars="100"/>
        <w:jc w:val="center"/>
        <w:rPr>
          <w:rFonts w:hint="default" w:ascii="方正小标宋_GBK" w:eastAsia="方正小标宋_GBK"/>
          <w:color w:val="000000"/>
          <w:sz w:val="36"/>
          <w:szCs w:val="36"/>
          <w:lang w:val="en-US" w:eastAsia="zh-CN"/>
        </w:rPr>
      </w:pPr>
      <w:r>
        <w:rPr>
          <w:rFonts w:hint="eastAsia" w:ascii="方正小标宋_GBK" w:eastAsia="方正小标宋_GBK"/>
          <w:color w:val="000000"/>
          <w:sz w:val="36"/>
          <w:szCs w:val="36"/>
          <w:lang w:eastAsia="zh-CN"/>
        </w:rPr>
        <w:t>浦口区</w:t>
      </w:r>
      <w:r>
        <w:rPr>
          <w:rFonts w:hint="eastAsia" w:ascii="方正小标宋_GBK" w:eastAsia="方正小标宋_GBK"/>
          <w:color w:val="000000"/>
          <w:sz w:val="36"/>
          <w:szCs w:val="36"/>
          <w:lang w:val="en-US" w:eastAsia="zh-CN"/>
        </w:rPr>
        <w:t>城市数字治理</w:t>
      </w:r>
      <w:r>
        <w:rPr>
          <w:rFonts w:hint="eastAsia" w:ascii="方正小标宋_GBK" w:eastAsia="方正小标宋_GBK"/>
          <w:color w:val="000000"/>
          <w:sz w:val="36"/>
          <w:szCs w:val="36"/>
          <w:lang w:eastAsia="zh-CN"/>
        </w:rPr>
        <w:t>中心数据库</w:t>
      </w:r>
      <w:r>
        <w:rPr>
          <w:rFonts w:hint="eastAsia" w:ascii="方正小标宋_GBK" w:eastAsia="方正小标宋_GBK"/>
          <w:color w:val="000000"/>
          <w:sz w:val="36"/>
          <w:szCs w:val="36"/>
          <w:lang w:val="en-US" w:eastAsia="zh-CN"/>
        </w:rPr>
        <w:t>容灾备份</w:t>
      </w:r>
      <w:r>
        <w:rPr>
          <w:rFonts w:hint="eastAsia" w:ascii="方正小标宋_GBK" w:eastAsia="方正小标宋_GBK"/>
          <w:color w:val="000000"/>
          <w:sz w:val="36"/>
          <w:szCs w:val="36"/>
          <w:lang w:eastAsia="zh-CN"/>
        </w:rPr>
        <w:t>项目</w:t>
      </w:r>
      <w:r>
        <w:rPr>
          <w:rFonts w:hint="eastAsia" w:ascii="方正小标宋_GBK" w:eastAsia="方正小标宋_GBK"/>
          <w:color w:val="000000"/>
          <w:sz w:val="36"/>
          <w:szCs w:val="36"/>
          <w:lang w:val="en-US" w:eastAsia="zh-CN"/>
        </w:rPr>
        <w:t>维保</w:t>
      </w:r>
      <w:r>
        <w:rPr>
          <w:rFonts w:hint="eastAsia" w:ascii="方正小标宋_GBK" w:eastAsia="方正小标宋_GBK"/>
          <w:color w:val="000000"/>
          <w:sz w:val="36"/>
          <w:szCs w:val="36"/>
          <w:lang w:eastAsia="zh-CN"/>
        </w:rPr>
        <w:t>服务内容</w:t>
      </w:r>
    </w:p>
    <w:p w14:paraId="0C09BA26">
      <w:pPr>
        <w:pStyle w:val="2"/>
        <w:ind w:left="0" w:leftChars="0" w:firstLine="0" w:firstLineChars="0"/>
        <w:rPr>
          <w:rFonts w:hint="eastAsia" w:ascii="仿宋" w:hAnsi="仿宋" w:eastAsia="仿宋"/>
          <w:sz w:val="32"/>
          <w:szCs w:val="32"/>
        </w:rPr>
      </w:pPr>
    </w:p>
    <w:p w14:paraId="63FDAAC7">
      <w:pPr>
        <w:autoSpaceDE w:val="0"/>
        <w:autoSpaceDN w:val="0"/>
        <w:adjustRightInd w:val="0"/>
        <w:snapToGrid w:val="0"/>
        <w:ind w:firstLine="42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1.乙方应提供 7*24 的保障响应与技术支持，并实现远程信息化支持服务。</w:t>
      </w:r>
    </w:p>
    <w:p w14:paraId="04F50D15">
      <w:pPr>
        <w:autoSpaceDE w:val="0"/>
        <w:autoSpaceDN w:val="0"/>
        <w:adjustRightInd w:val="0"/>
        <w:snapToGrid w:val="0"/>
        <w:ind w:firstLine="42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2.乙方提供服务的工程师必须至少持有数据库维护工程师OCP认证证书并提供证明材料。</w:t>
      </w:r>
    </w:p>
    <w:p w14:paraId="0C6FA330">
      <w:pPr>
        <w:autoSpaceDE w:val="0"/>
        <w:autoSpaceDN w:val="0"/>
        <w:adjustRightInd w:val="0"/>
        <w:snapToGrid w:val="0"/>
        <w:ind w:firstLine="42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3.数据库紧急故障处理服务 </w:t>
      </w:r>
    </w:p>
    <w:p w14:paraId="07AAE444">
      <w:pPr>
        <w:autoSpaceDE w:val="0"/>
        <w:autoSpaceDN w:val="0"/>
        <w:adjustRightInd w:val="0"/>
        <w:snapToGrid w:val="0"/>
        <w:ind w:firstLine="42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当</w:t>
      </w:r>
      <w:r>
        <w:rPr>
          <w:rFonts w:hint="default" w:ascii="Times New Roman" w:hAnsi="Times New Roman" w:cs="Times New Roman"/>
          <w:color w:val="000000"/>
          <w:sz w:val="24"/>
          <w:szCs w:val="24"/>
          <w:lang w:eastAsia="zh-CN"/>
        </w:rPr>
        <w:t>甲方政务系统</w:t>
      </w:r>
      <w:r>
        <w:rPr>
          <w:rFonts w:hint="default" w:ascii="Times New Roman" w:hAnsi="Times New Roman" w:cs="Times New Roman"/>
          <w:color w:val="000000"/>
          <w:sz w:val="24"/>
          <w:szCs w:val="24"/>
        </w:rPr>
        <w:t>发生数据库突发性故障时，如数据库宕机、数据坏块、数据库BUG等严重影响正常生产运行的数据库故障，可以首先采用电话、</w:t>
      </w:r>
      <w:r>
        <w:rPr>
          <w:rFonts w:hint="default" w:ascii="Times New Roman" w:hAnsi="Times New Roman" w:cs="Times New Roman"/>
          <w:color w:val="000000"/>
          <w:sz w:val="24"/>
          <w:szCs w:val="24"/>
          <w:lang w:eastAsia="zh-CN"/>
        </w:rPr>
        <w:t>远程桌面</w:t>
      </w:r>
      <w:r>
        <w:rPr>
          <w:rFonts w:hint="default" w:ascii="Times New Roman" w:hAnsi="Times New Roman" w:cs="Times New Roman"/>
          <w:color w:val="000000"/>
          <w:sz w:val="24"/>
          <w:szCs w:val="24"/>
        </w:rPr>
        <w:t>等方式远程登录提供服务支持，当电话或远程登录服务不能在半小时内解决问题时，乙方必须派出工程师并在半小时内到达招标方现场。以最小的代价进行数据库恢复，以最大限度降低故障对招标人的业务环境带来的负面影响， 同时记录故障的恢复过程。要求现场或远程服务人员对</w:t>
      </w:r>
      <w:r>
        <w:rPr>
          <w:rFonts w:hint="eastAsia" w:cs="Times New Roman"/>
          <w:color w:val="000000"/>
          <w:sz w:val="24"/>
          <w:szCs w:val="24"/>
          <w:lang w:val="en-US" w:eastAsia="zh-CN"/>
        </w:rPr>
        <w:t>各类</w:t>
      </w:r>
      <w:r>
        <w:rPr>
          <w:rFonts w:hint="default" w:ascii="Times New Roman" w:hAnsi="Times New Roman" w:cs="Times New Roman"/>
          <w:color w:val="000000"/>
          <w:sz w:val="24"/>
          <w:szCs w:val="24"/>
        </w:rPr>
        <w:t>操作系统和DB的使用操作命令熟练掌握；要求从响应（接到电话）开始（如是硬件故障则从硬件恢复时间开始算起），恢复最长时间不超过</w:t>
      </w:r>
      <w:r>
        <w:rPr>
          <w:rFonts w:hint="eastAsia" w:cs="Times New Roman"/>
          <w:color w:val="000000"/>
          <w:sz w:val="24"/>
          <w:szCs w:val="24"/>
          <w:lang w:val="en-US" w:eastAsia="zh-CN"/>
        </w:rPr>
        <w:t>2</w:t>
      </w:r>
      <w:r>
        <w:rPr>
          <w:rFonts w:hint="default" w:ascii="Times New Roman" w:hAnsi="Times New Roman" w:cs="Times New Roman"/>
          <w:color w:val="000000"/>
          <w:sz w:val="24"/>
          <w:szCs w:val="24"/>
        </w:rPr>
        <w:t>小时，如果乙方未能在</w:t>
      </w:r>
      <w:r>
        <w:rPr>
          <w:rFonts w:hint="eastAsia" w:cs="Times New Roman"/>
          <w:color w:val="000000"/>
          <w:sz w:val="24"/>
          <w:szCs w:val="24"/>
          <w:lang w:val="en-US" w:eastAsia="zh-CN"/>
        </w:rPr>
        <w:t>2</w:t>
      </w:r>
      <w:r>
        <w:rPr>
          <w:rFonts w:hint="default" w:ascii="Times New Roman" w:hAnsi="Times New Roman" w:cs="Times New Roman"/>
          <w:color w:val="000000"/>
          <w:sz w:val="24"/>
          <w:szCs w:val="24"/>
        </w:rPr>
        <w:t>小时内恢复的，甲方有权寻求第三方数据库服务的支持，期间发生的费用由乙方负责；乙方需在数据库恢复后将向甲方提供故障分析报告，对甲方相关人员进行恢复培训。未经甲方书面许可，不得以任何形式将数据提供给任何第三方。</w:t>
      </w:r>
    </w:p>
    <w:p w14:paraId="2942C204">
      <w:pPr>
        <w:autoSpaceDE w:val="0"/>
        <w:autoSpaceDN w:val="0"/>
        <w:adjustRightInd w:val="0"/>
        <w:snapToGrid w:val="0"/>
        <w:ind w:firstLine="42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4.数据库</w:t>
      </w:r>
      <w:r>
        <w:rPr>
          <w:rFonts w:hint="default" w:ascii="Times New Roman" w:hAnsi="Times New Roman" w:cs="Times New Roman"/>
          <w:color w:val="000000"/>
          <w:sz w:val="24"/>
          <w:szCs w:val="24"/>
          <w:lang w:eastAsia="zh-CN"/>
        </w:rPr>
        <w:t>备份、容灾情况</w:t>
      </w:r>
      <w:r>
        <w:rPr>
          <w:rFonts w:hint="default" w:ascii="Times New Roman" w:hAnsi="Times New Roman" w:cs="Times New Roman"/>
          <w:color w:val="000000"/>
          <w:sz w:val="24"/>
          <w:szCs w:val="24"/>
        </w:rPr>
        <w:t>例行巡检服务</w:t>
      </w:r>
    </w:p>
    <w:p w14:paraId="40258E37">
      <w:pPr>
        <w:autoSpaceDE w:val="0"/>
        <w:autoSpaceDN w:val="0"/>
        <w:adjustRightInd w:val="0"/>
        <w:snapToGrid w:val="0"/>
        <w:ind w:firstLine="42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针对系统的稳定运行及高可用性，检查并提供分析与建议。针对</w:t>
      </w:r>
      <w:r>
        <w:rPr>
          <w:rFonts w:hint="default" w:ascii="Times New Roman" w:hAnsi="Times New Roman" w:cs="Times New Roman"/>
          <w:color w:val="000000"/>
          <w:sz w:val="24"/>
          <w:szCs w:val="24"/>
          <w:lang w:eastAsia="zh-CN"/>
        </w:rPr>
        <w:t>数据库本地及容灾备份</w:t>
      </w:r>
      <w:r>
        <w:rPr>
          <w:rFonts w:hint="default" w:ascii="Times New Roman" w:hAnsi="Times New Roman" w:cs="Times New Roman"/>
          <w:color w:val="000000"/>
          <w:sz w:val="24"/>
          <w:szCs w:val="24"/>
        </w:rPr>
        <w:t>相关硬件及软件环境配置提出建议，提供性能及配置检查报告。具体要求参照服务商给出的技术建议方案书。应包含但不仅限于以下内容：检查复制软件的配置健康情况</w:t>
      </w:r>
      <w:r>
        <w:rPr>
          <w:rFonts w:hint="default"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rPr>
        <w:t>检查复制软件的性能健康情况</w:t>
      </w:r>
      <w:r>
        <w:rPr>
          <w:rFonts w:hint="default" w:ascii="Times New Roman" w:hAnsi="Times New Roman" w:cs="Times New Roman"/>
          <w:color w:val="000000"/>
          <w:sz w:val="24"/>
          <w:szCs w:val="24"/>
          <w:lang w:eastAsia="zh-CN"/>
        </w:rPr>
        <w:t>、</w:t>
      </w:r>
      <w:r>
        <w:rPr>
          <w:rFonts w:hint="default" w:ascii="Times New Roman" w:hAnsi="Times New Roman" w:cs="Times New Roman"/>
          <w:color w:val="000000"/>
          <w:sz w:val="24"/>
          <w:szCs w:val="24"/>
        </w:rPr>
        <w:t>检查复制软件备份的完整性</w:t>
      </w:r>
      <w:r>
        <w:rPr>
          <w:rFonts w:hint="default" w:ascii="Times New Roman" w:hAnsi="Times New Roman" w:cs="Times New Roman"/>
          <w:color w:val="000000"/>
          <w:sz w:val="24"/>
          <w:szCs w:val="24"/>
          <w:lang w:eastAsia="zh-CN"/>
        </w:rPr>
        <w:t>、</w:t>
      </w:r>
      <w:r>
        <w:rPr>
          <w:rFonts w:hint="default" w:ascii="Times New Roman" w:hAnsi="Times New Roman" w:cs="Times New Roman"/>
          <w:color w:val="000000"/>
          <w:sz w:val="24"/>
          <w:szCs w:val="24"/>
        </w:rPr>
        <w:t>检查复制软件空间的使用情况</w:t>
      </w:r>
      <w:r>
        <w:rPr>
          <w:rFonts w:hint="default" w:ascii="Times New Roman" w:hAnsi="Times New Roman" w:cs="Times New Roman"/>
          <w:color w:val="000000"/>
          <w:sz w:val="24"/>
          <w:szCs w:val="24"/>
          <w:lang w:eastAsia="zh-CN"/>
        </w:rPr>
        <w:t>、</w:t>
      </w:r>
      <w:r>
        <w:rPr>
          <w:rFonts w:hint="default" w:ascii="Times New Roman" w:hAnsi="Times New Roman" w:cs="Times New Roman"/>
          <w:color w:val="000000"/>
          <w:sz w:val="24"/>
          <w:szCs w:val="24"/>
        </w:rPr>
        <w:t>容错检查，检查并分析系统日志及跟踪文件，发现并排除复制软件的错误隐患，提供系统健康检查报告</w:t>
      </w:r>
      <w:r>
        <w:rPr>
          <w:rFonts w:hint="default" w:ascii="Times New Roman" w:hAnsi="Times New Roman" w:cs="Times New Roman"/>
          <w:color w:val="000000"/>
          <w:sz w:val="24"/>
          <w:szCs w:val="24"/>
          <w:lang w:eastAsia="zh-CN"/>
        </w:rPr>
        <w:t>。</w:t>
      </w:r>
      <w:r>
        <w:rPr>
          <w:rFonts w:hint="default" w:ascii="Times New Roman" w:hAnsi="Times New Roman" w:cs="Times New Roman"/>
          <w:color w:val="000000"/>
          <w:sz w:val="24"/>
          <w:szCs w:val="24"/>
        </w:rPr>
        <w:t>此项服务要求至少每 1 月提供一次(12次/年)。通常</w:t>
      </w:r>
      <w:r>
        <w:rPr>
          <w:rFonts w:hint="default" w:ascii="Times New Roman" w:hAnsi="Times New Roman" w:cs="Times New Roman"/>
          <w:color w:val="000000"/>
          <w:sz w:val="24"/>
          <w:szCs w:val="24"/>
          <w:lang w:eastAsia="zh-CN"/>
        </w:rPr>
        <w:t>每月的</w:t>
      </w:r>
      <w:r>
        <w:rPr>
          <w:rFonts w:hint="default" w:ascii="Times New Roman" w:hAnsi="Times New Roman" w:cs="Times New Roman"/>
          <w:color w:val="000000"/>
          <w:sz w:val="24"/>
          <w:szCs w:val="24"/>
          <w:lang w:val="en-US" w:eastAsia="zh-CN"/>
        </w:rPr>
        <w:t>20号</w:t>
      </w:r>
      <w:r>
        <w:rPr>
          <w:rFonts w:hint="default" w:ascii="Times New Roman" w:hAnsi="Times New Roman" w:cs="Times New Roman"/>
          <w:color w:val="000000"/>
          <w:sz w:val="24"/>
          <w:szCs w:val="24"/>
        </w:rPr>
        <w:t>进行，工程师到现场后要生成巡检报告，在巡检过程中发现问题或者隐患，要能够分析问题原因并提出书面整改意见。特殊情况随时响应。</w:t>
      </w:r>
    </w:p>
    <w:p w14:paraId="795753FF">
      <w:pPr>
        <w:autoSpaceDE w:val="0"/>
        <w:autoSpaceDN w:val="0"/>
        <w:adjustRightInd w:val="0"/>
        <w:snapToGrid w:val="0"/>
        <w:ind w:firstLine="42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5.</w:t>
      </w:r>
      <w:r>
        <w:rPr>
          <w:rFonts w:hint="default" w:ascii="Times New Roman" w:hAnsi="Times New Roman" w:cs="Times New Roman"/>
          <w:color w:val="000000"/>
          <w:sz w:val="24"/>
          <w:szCs w:val="24"/>
          <w:lang w:eastAsia="zh-CN"/>
        </w:rPr>
        <w:t>容灾环境</w:t>
      </w:r>
      <w:r>
        <w:rPr>
          <w:rFonts w:hint="default" w:ascii="Times New Roman" w:hAnsi="Times New Roman" w:cs="Times New Roman"/>
          <w:color w:val="000000"/>
          <w:sz w:val="24"/>
          <w:szCs w:val="24"/>
        </w:rPr>
        <w:t>性能监测及优化</w:t>
      </w:r>
    </w:p>
    <w:p w14:paraId="029184E5">
      <w:pPr>
        <w:autoSpaceDE w:val="0"/>
        <w:autoSpaceDN w:val="0"/>
        <w:adjustRightInd w:val="0"/>
        <w:snapToGrid w:val="0"/>
        <w:ind w:firstLine="42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每</w:t>
      </w:r>
      <w:r>
        <w:rPr>
          <w:rFonts w:hint="default" w:ascii="Times New Roman" w:hAnsi="Times New Roman" w:cs="Times New Roman"/>
          <w:color w:val="000000"/>
          <w:sz w:val="24"/>
          <w:szCs w:val="24"/>
          <w:lang w:eastAsia="zh-CN"/>
        </w:rPr>
        <w:t>季度配合甲方完成一次</w:t>
      </w:r>
      <w:r>
        <w:rPr>
          <w:rFonts w:hint="default" w:ascii="Times New Roman" w:hAnsi="Times New Roman" w:cs="Times New Roman"/>
          <w:color w:val="000000"/>
          <w:sz w:val="24"/>
          <w:szCs w:val="24"/>
        </w:rPr>
        <w:t>对生产数据库</w:t>
      </w:r>
      <w:r>
        <w:rPr>
          <w:rFonts w:hint="default" w:ascii="Times New Roman" w:hAnsi="Times New Roman" w:cs="Times New Roman"/>
          <w:color w:val="000000"/>
          <w:sz w:val="24"/>
          <w:szCs w:val="24"/>
          <w:lang w:eastAsia="zh-CN"/>
        </w:rPr>
        <w:t>备份备份及容灾恢复测试</w:t>
      </w:r>
      <w:r>
        <w:rPr>
          <w:rFonts w:hint="default" w:ascii="Times New Roman" w:hAnsi="Times New Roman" w:cs="Times New Roman"/>
          <w:color w:val="000000"/>
          <w:sz w:val="24"/>
          <w:szCs w:val="24"/>
        </w:rPr>
        <w:t>，由乙方专业数据库分析人员对数据</w:t>
      </w:r>
      <w:r>
        <w:rPr>
          <w:rFonts w:hint="default" w:ascii="Times New Roman" w:hAnsi="Times New Roman" w:cs="Times New Roman"/>
          <w:color w:val="000000"/>
          <w:sz w:val="24"/>
          <w:szCs w:val="24"/>
          <w:lang w:eastAsia="zh-CN"/>
        </w:rPr>
        <w:t>备份恢复情况</w:t>
      </w:r>
      <w:r>
        <w:rPr>
          <w:rFonts w:hint="default" w:ascii="Times New Roman" w:hAnsi="Times New Roman" w:cs="Times New Roman"/>
          <w:color w:val="000000"/>
          <w:sz w:val="24"/>
          <w:szCs w:val="24"/>
        </w:rPr>
        <w:t>进行分析，提供相关数据报告，然后根据具体报告数据进行数据库性能分析、优化、调整，应用程序优化调整及操作系统性能优化调整。包括利用工具采集系统运行时的各项监控数据</w:t>
      </w:r>
      <w:r>
        <w:rPr>
          <w:rFonts w:hint="default" w:ascii="Times New Roman" w:hAnsi="Times New Roman" w:cs="Times New Roman"/>
          <w:color w:val="000000"/>
          <w:sz w:val="24"/>
          <w:szCs w:val="24"/>
          <w:lang w:eastAsia="zh-CN"/>
        </w:rPr>
        <w:t>、</w:t>
      </w:r>
      <w:r>
        <w:rPr>
          <w:rFonts w:hint="default" w:ascii="Times New Roman" w:hAnsi="Times New Roman" w:cs="Times New Roman"/>
          <w:color w:val="000000"/>
          <w:sz w:val="24"/>
          <w:szCs w:val="24"/>
        </w:rPr>
        <w:t>分析系统、网络、应用软件及数据库等各方面资源的使用情况</w:t>
      </w:r>
      <w:r>
        <w:rPr>
          <w:rFonts w:hint="default" w:ascii="Times New Roman" w:hAnsi="Times New Roman" w:cs="Times New Roman"/>
          <w:color w:val="000000"/>
          <w:sz w:val="24"/>
          <w:szCs w:val="24"/>
          <w:lang w:eastAsia="zh-CN"/>
        </w:rPr>
        <w:t>、</w:t>
      </w:r>
      <w:r>
        <w:rPr>
          <w:rFonts w:hint="default" w:ascii="Times New Roman" w:hAnsi="Times New Roman" w:cs="Times New Roman"/>
          <w:color w:val="000000"/>
          <w:sz w:val="24"/>
          <w:szCs w:val="24"/>
        </w:rPr>
        <w:t>确定系统性能现状及性能调整的目标</w:t>
      </w:r>
      <w:r>
        <w:rPr>
          <w:rFonts w:hint="default" w:ascii="Times New Roman" w:hAnsi="Times New Roman" w:cs="Times New Roman"/>
          <w:color w:val="000000"/>
          <w:sz w:val="24"/>
          <w:szCs w:val="24"/>
          <w:lang w:eastAsia="zh-CN"/>
        </w:rPr>
        <w:t>、</w:t>
      </w:r>
      <w:r>
        <w:rPr>
          <w:rFonts w:hint="default" w:ascii="Times New Roman" w:hAnsi="Times New Roman" w:cs="Times New Roman"/>
          <w:color w:val="000000"/>
          <w:sz w:val="24"/>
          <w:szCs w:val="24"/>
        </w:rPr>
        <w:t>定位系统中出现的性能瓶颈。</w:t>
      </w:r>
    </w:p>
    <w:p w14:paraId="743E3607">
      <w:pPr>
        <w:autoSpaceDE w:val="0"/>
        <w:autoSpaceDN w:val="0"/>
        <w:adjustRightInd w:val="0"/>
        <w:snapToGrid w:val="0"/>
        <w:ind w:firstLine="420"/>
        <w:jc w:val="left"/>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6.数据本地备份及异地容灾备份机制建立</w:t>
      </w:r>
    </w:p>
    <w:p w14:paraId="39169D6C">
      <w:pPr>
        <w:autoSpaceDE w:val="0"/>
        <w:autoSpaceDN w:val="0"/>
        <w:adjustRightInd w:val="0"/>
        <w:snapToGrid w:val="0"/>
        <w:ind w:firstLine="420"/>
        <w:jc w:val="left"/>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lang w:val="en-US" w:eastAsia="zh-CN"/>
        </w:rPr>
        <w:t>针对甲方现有核心业务系统本地实时备份和核心数据的异地容灾情况，建立异地备份中心与的核心业务系统容灾备份机制及应急预案，在灾难发生后可进行应急接管从而保证核心业务系统的正常运行以及核心数据的安全。</w:t>
      </w:r>
    </w:p>
    <w:p w14:paraId="2E8E2FF8">
      <w:pPr>
        <w:autoSpaceDE w:val="0"/>
        <w:autoSpaceDN w:val="0"/>
        <w:adjustRightInd w:val="0"/>
        <w:snapToGrid w:val="0"/>
        <w:ind w:firstLine="42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en-US" w:eastAsia="zh-CN"/>
        </w:rPr>
        <w:t>7</w:t>
      </w:r>
      <w:r>
        <w:rPr>
          <w:rFonts w:hint="default" w:ascii="Times New Roman" w:hAnsi="Times New Roman" w:cs="Times New Roman"/>
          <w:color w:val="000000"/>
          <w:sz w:val="24"/>
          <w:szCs w:val="24"/>
        </w:rPr>
        <w:t>.热线技术支持</w:t>
      </w:r>
    </w:p>
    <w:p w14:paraId="5C629AE3">
      <w:pPr>
        <w:autoSpaceDE w:val="0"/>
        <w:autoSpaceDN w:val="0"/>
        <w:adjustRightInd w:val="0"/>
        <w:snapToGrid w:val="0"/>
        <w:ind w:firstLine="42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对于在管理使用</w:t>
      </w:r>
      <w:r>
        <w:rPr>
          <w:rFonts w:hint="default" w:ascii="Times New Roman" w:hAnsi="Times New Roman" w:cs="Times New Roman"/>
          <w:color w:val="000000"/>
          <w:sz w:val="24"/>
          <w:szCs w:val="24"/>
          <w:lang w:eastAsia="zh-CN"/>
        </w:rPr>
        <w:t>数据库备份软件</w:t>
      </w:r>
      <w:r>
        <w:rPr>
          <w:rFonts w:hint="default" w:ascii="Times New Roman" w:hAnsi="Times New Roman" w:cs="Times New Roman"/>
          <w:color w:val="000000"/>
          <w:sz w:val="24"/>
          <w:szCs w:val="24"/>
        </w:rPr>
        <w:t>的工作中遇到的各种问题咨询，甲方可由服务热线、在线即时通讯或电子邮件方式联系服务工程师， 服务工程师负责对客户提出的问题进行记录、回复、跟踪和处理， 并及时对所有</w:t>
      </w:r>
      <w:r>
        <w:rPr>
          <w:rFonts w:hint="default" w:ascii="Times New Roman" w:hAnsi="Times New Roman" w:cs="Times New Roman"/>
          <w:color w:val="000000"/>
          <w:sz w:val="24"/>
          <w:szCs w:val="24"/>
          <w:lang w:eastAsia="zh-CN"/>
        </w:rPr>
        <w:t>备份及恢复</w:t>
      </w:r>
      <w:r>
        <w:rPr>
          <w:rFonts w:hint="default" w:ascii="Times New Roman" w:hAnsi="Times New Roman" w:cs="Times New Roman"/>
          <w:color w:val="000000"/>
          <w:sz w:val="24"/>
          <w:szCs w:val="24"/>
        </w:rPr>
        <w:t>错误信息进行检查及解决。要求服务响应时间为10分钟之内。除非经甲方书面许可，否则从响应至解决、处理时间不应多于24小时。</w:t>
      </w:r>
    </w:p>
    <w:p w14:paraId="75222257">
      <w:pPr>
        <w:autoSpaceDE w:val="0"/>
        <w:autoSpaceDN w:val="0"/>
        <w:adjustRightInd w:val="0"/>
        <w:snapToGrid w:val="0"/>
        <w:ind w:firstLine="420"/>
        <w:jc w:val="left"/>
        <w:rPr>
          <w:rFonts w:hint="default" w:ascii="Times New Roman" w:hAnsi="Times New Roman" w:eastAsia="宋体" w:cs="Times New Roman"/>
          <w:color w:val="000000"/>
          <w:sz w:val="24"/>
          <w:szCs w:val="24"/>
          <w:lang w:eastAsia="zh-CN"/>
        </w:rPr>
      </w:pPr>
      <w:r>
        <w:rPr>
          <w:rFonts w:hint="default" w:ascii="Times New Roman" w:hAnsi="Times New Roman" w:cs="Times New Roman"/>
          <w:color w:val="000000"/>
          <w:sz w:val="24"/>
          <w:szCs w:val="24"/>
          <w:lang w:val="en-US" w:eastAsia="zh-CN"/>
        </w:rPr>
        <w:t>8</w:t>
      </w:r>
      <w:r>
        <w:rPr>
          <w:rFonts w:hint="default" w:ascii="Times New Roman" w:hAnsi="Times New Roman" w:cs="Times New Roman"/>
          <w:color w:val="000000"/>
          <w:sz w:val="24"/>
          <w:szCs w:val="24"/>
        </w:rPr>
        <w:t>.</w:t>
      </w:r>
      <w:r>
        <w:rPr>
          <w:rFonts w:hint="default" w:ascii="Times New Roman" w:hAnsi="Times New Roman" w:cs="Times New Roman"/>
          <w:color w:val="000000"/>
          <w:sz w:val="24"/>
          <w:szCs w:val="24"/>
          <w:lang w:eastAsia="zh-CN"/>
        </w:rPr>
        <w:t>其他服务</w:t>
      </w:r>
    </w:p>
    <w:p w14:paraId="04A7CAEF">
      <w:pPr>
        <w:autoSpaceDE w:val="0"/>
        <w:autoSpaceDN w:val="0"/>
        <w:adjustRightInd w:val="0"/>
        <w:snapToGrid w:val="0"/>
        <w:ind w:firstLine="42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eastAsia="zh-CN"/>
        </w:rPr>
        <w:t>负责</w:t>
      </w:r>
      <w:r>
        <w:rPr>
          <w:rFonts w:hint="eastAsia" w:cs="Times New Roman"/>
          <w:color w:val="000000"/>
          <w:sz w:val="24"/>
          <w:szCs w:val="24"/>
          <w:lang w:eastAsia="zh-CN"/>
        </w:rPr>
        <w:t>本地</w:t>
      </w:r>
      <w:r>
        <w:rPr>
          <w:rFonts w:hint="default" w:ascii="Times New Roman" w:hAnsi="Times New Roman" w:cs="Times New Roman"/>
          <w:color w:val="000000"/>
          <w:sz w:val="24"/>
          <w:szCs w:val="24"/>
          <w:lang w:eastAsia="zh-CN"/>
        </w:rPr>
        <w:t>备份</w:t>
      </w:r>
      <w:r>
        <w:rPr>
          <w:rFonts w:hint="eastAsia" w:cs="Times New Roman"/>
          <w:color w:val="000000"/>
          <w:sz w:val="24"/>
          <w:szCs w:val="24"/>
          <w:lang w:eastAsia="zh-CN"/>
        </w:rPr>
        <w:t>及</w:t>
      </w:r>
      <w:r>
        <w:rPr>
          <w:rFonts w:hint="default" w:ascii="Times New Roman" w:hAnsi="Times New Roman" w:cs="Times New Roman"/>
          <w:color w:val="000000"/>
          <w:sz w:val="24"/>
          <w:szCs w:val="24"/>
          <w:lang w:eastAsia="zh-CN"/>
        </w:rPr>
        <w:t>容灾</w:t>
      </w:r>
      <w:r>
        <w:rPr>
          <w:rFonts w:hint="eastAsia" w:cs="Times New Roman"/>
          <w:color w:val="000000"/>
          <w:sz w:val="24"/>
          <w:szCs w:val="24"/>
          <w:lang w:eastAsia="zh-CN"/>
        </w:rPr>
        <w:t>软硬件</w:t>
      </w:r>
      <w:r>
        <w:rPr>
          <w:rFonts w:hint="default" w:ascii="Times New Roman" w:hAnsi="Times New Roman" w:cs="Times New Roman"/>
          <w:color w:val="000000"/>
          <w:sz w:val="24"/>
          <w:szCs w:val="24"/>
          <w:lang w:eastAsia="zh-CN"/>
        </w:rPr>
        <w:t>环境搭建及日常调整完善工作；二是</w:t>
      </w:r>
      <w:r>
        <w:rPr>
          <w:rFonts w:hint="default" w:ascii="Times New Roman" w:hAnsi="Times New Roman" w:cs="Times New Roman"/>
          <w:color w:val="000000"/>
          <w:sz w:val="24"/>
          <w:szCs w:val="24"/>
        </w:rPr>
        <w:t>配合甲方技术人员及业务软件开发商技术人员，一起做好各信息系统的数据整合工作（包括数据库安装）。在各种异构平台系统的整合、迁移过程中，提出建设性的意见和方案。针对应用程序中对数据库不合理的使用，及时提出正确的意见。</w:t>
      </w:r>
    </w:p>
    <w:p w14:paraId="676EF506">
      <w:pPr>
        <w:autoSpaceDE w:val="0"/>
        <w:autoSpaceDN w:val="0"/>
        <w:adjustRightInd w:val="0"/>
        <w:snapToGrid w:val="0"/>
        <w:ind w:firstLine="420"/>
        <w:jc w:val="left"/>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9.与甲方签订保密协议，</w:t>
      </w:r>
      <w:r>
        <w:rPr>
          <w:rFonts w:hint="default" w:ascii="Times New Roman" w:hAnsi="Times New Roman" w:cs="Times New Roman"/>
          <w:color w:val="000000"/>
          <w:sz w:val="24"/>
          <w:szCs w:val="24"/>
        </w:rPr>
        <w:t>未经</w:t>
      </w:r>
      <w:r>
        <w:rPr>
          <w:rFonts w:hint="default" w:ascii="Times New Roman" w:hAnsi="Times New Roman" w:cs="Times New Roman"/>
          <w:color w:val="000000"/>
          <w:sz w:val="24"/>
          <w:szCs w:val="24"/>
          <w:lang w:eastAsia="zh-CN"/>
        </w:rPr>
        <w:t>甲方</w:t>
      </w:r>
      <w:r>
        <w:rPr>
          <w:rFonts w:hint="default" w:ascii="Times New Roman" w:hAnsi="Times New Roman" w:cs="Times New Roman"/>
          <w:color w:val="000000"/>
          <w:sz w:val="24"/>
          <w:szCs w:val="24"/>
        </w:rPr>
        <w:t>书面许可，不得以任何形式将数据提供给任何第三方。</w:t>
      </w:r>
    </w:p>
    <w:p w14:paraId="29EC8B92">
      <w:pPr>
        <w:autoSpaceDE w:val="0"/>
        <w:autoSpaceDN w:val="0"/>
        <w:adjustRightInd w:val="0"/>
        <w:snapToGrid w:val="0"/>
        <w:ind w:firstLine="42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en-US" w:eastAsia="zh-CN"/>
        </w:rPr>
        <w:t>10</w:t>
      </w:r>
      <w:r>
        <w:rPr>
          <w:rFonts w:hint="default" w:ascii="Times New Roman" w:hAnsi="Times New Roman" w:cs="Times New Roman"/>
          <w:color w:val="000000"/>
          <w:sz w:val="24"/>
          <w:szCs w:val="24"/>
        </w:rPr>
        <w:t>.</w:t>
      </w:r>
      <w:r>
        <w:rPr>
          <w:rFonts w:hint="eastAsia" w:cs="Times New Roman"/>
          <w:color w:val="000000"/>
          <w:sz w:val="24"/>
          <w:szCs w:val="24"/>
          <w:lang w:eastAsia="zh-CN"/>
        </w:rPr>
        <w:t>浦口区城市数字治理中心</w:t>
      </w:r>
      <w:r>
        <w:rPr>
          <w:rFonts w:hint="default" w:ascii="Times New Roman" w:hAnsi="Times New Roman" w:cs="Times New Roman"/>
          <w:color w:val="000000"/>
          <w:sz w:val="24"/>
          <w:szCs w:val="24"/>
        </w:rPr>
        <w:t>数据库及虚拟化平台容灾备份项目维保服务对象为浦口区</w:t>
      </w:r>
      <w:r>
        <w:rPr>
          <w:rFonts w:hint="eastAsia" w:cs="Times New Roman"/>
          <w:color w:val="000000"/>
          <w:sz w:val="24"/>
          <w:szCs w:val="24"/>
          <w:lang w:eastAsia="zh-CN"/>
        </w:rPr>
        <w:t>城市数字治理</w:t>
      </w:r>
      <w:r>
        <w:rPr>
          <w:rFonts w:hint="default" w:ascii="Times New Roman" w:hAnsi="Times New Roman" w:cs="Times New Roman"/>
          <w:color w:val="000000"/>
          <w:sz w:val="24"/>
          <w:szCs w:val="24"/>
        </w:rPr>
        <w:t>中心所有政务信息系统所用数据库系统。</w:t>
      </w:r>
    </w:p>
    <w:p w14:paraId="5C451A05">
      <w:pPr>
        <w:autoSpaceDE w:val="0"/>
        <w:autoSpaceDN w:val="0"/>
        <w:adjustRightInd w:val="0"/>
        <w:snapToGrid w:val="0"/>
        <w:ind w:firstLine="420"/>
        <w:jc w:val="left"/>
        <w:rPr>
          <w:rFonts w:hint="eastAsia" w:ascii="方正仿宋_GBK" w:eastAsia="方正仿宋_GBK"/>
          <w:sz w:val="24"/>
          <w:szCs w:val="24"/>
        </w:rPr>
      </w:pPr>
      <w:r>
        <w:rPr>
          <w:rFonts w:hint="default" w:ascii="Times New Roman" w:hAnsi="Times New Roman" w:cs="Times New Roman"/>
          <w:color w:val="000000"/>
          <w:sz w:val="24"/>
          <w:szCs w:val="24"/>
          <w:lang w:val="en-US" w:eastAsia="zh-CN"/>
        </w:rPr>
        <w:t>11</w:t>
      </w:r>
      <w:r>
        <w:rPr>
          <w:rFonts w:hint="default" w:ascii="Times New Roman" w:hAnsi="Times New Roman" w:cs="Times New Roman"/>
          <w:color w:val="000000"/>
          <w:sz w:val="24"/>
          <w:szCs w:val="24"/>
        </w:rPr>
        <w:t>.对甲方工作人员进行培训，培训内容包括</w:t>
      </w:r>
      <w:r>
        <w:rPr>
          <w:rFonts w:hint="eastAsia" w:cs="Times New Roman"/>
          <w:color w:val="000000"/>
          <w:sz w:val="24"/>
          <w:szCs w:val="24"/>
          <w:lang w:eastAsia="zh-CN"/>
        </w:rPr>
        <w:t>但不限于</w:t>
      </w:r>
      <w:r>
        <w:rPr>
          <w:rFonts w:hint="default" w:ascii="Times New Roman" w:hAnsi="Times New Roman" w:cs="Times New Roman"/>
          <w:color w:val="000000"/>
          <w:sz w:val="24"/>
          <w:szCs w:val="24"/>
        </w:rPr>
        <w:t>以上维护内容，</w:t>
      </w:r>
      <w:r>
        <w:rPr>
          <w:rFonts w:hint="eastAsia" w:cs="Times New Roman"/>
          <w:color w:val="000000"/>
          <w:sz w:val="24"/>
          <w:szCs w:val="24"/>
          <w:lang w:val="en-US" w:eastAsia="zh-CN"/>
        </w:rPr>
        <w:t>维护期内</w:t>
      </w:r>
      <w:r>
        <w:rPr>
          <w:color w:val="000000"/>
          <w:sz w:val="24"/>
          <w:szCs w:val="24"/>
        </w:rPr>
        <w:t>不得少于</w:t>
      </w:r>
      <w:r>
        <w:rPr>
          <w:rFonts w:hint="eastAsia"/>
          <w:color w:val="000000"/>
          <w:sz w:val="24"/>
          <w:szCs w:val="24"/>
          <w:lang w:val="en-US" w:eastAsia="zh-CN"/>
        </w:rPr>
        <w:t>4</w:t>
      </w:r>
      <w:r>
        <w:rPr>
          <w:color w:val="000000"/>
          <w:sz w:val="24"/>
          <w:szCs w:val="24"/>
        </w:rPr>
        <w:t>课时。</w:t>
      </w:r>
    </w:p>
    <w:p w14:paraId="00D3C3EA">
      <w:pPr>
        <w:pStyle w:val="3"/>
        <w:keepNext w:val="0"/>
        <w:keepLines w:val="0"/>
        <w:pageBreakBefore w:val="0"/>
        <w:kinsoku/>
        <w:wordWrap/>
        <w:topLinePunct w:val="0"/>
        <w:bidi w:val="0"/>
        <w:snapToGrid/>
        <w:spacing w:line="560" w:lineRule="exact"/>
        <w:ind w:left="0"/>
        <w:rPr>
          <w:rFonts w:hint="eastAsia" w:eastAsia="宋体"/>
          <w:sz w:val="32"/>
          <w:szCs w:val="32"/>
          <w:lang w:eastAsia="zh-CN"/>
        </w:rPr>
      </w:pPr>
    </w:p>
    <w:sectPr>
      <w:footerReference r:id="rId3" w:type="default"/>
      <w:pgSz w:w="11906" w:h="16838"/>
      <w:pgMar w:top="2098" w:right="1531" w:bottom="1757"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D7BB9719-980A-4A62-AFF3-B067552A5050}"/>
  </w:font>
  <w:font w:name="仿宋">
    <w:panose1 w:val="02010609060101010101"/>
    <w:charset w:val="86"/>
    <w:family w:val="modern"/>
    <w:pitch w:val="default"/>
    <w:sig w:usb0="800002BF" w:usb1="38CF7CFA" w:usb2="00000016" w:usb3="00000000" w:csb0="00040001" w:csb1="00000000"/>
    <w:embedRegular r:id="rId2" w:fontKey="{9E43DCB3-2477-4382-B4C7-66F889885492}"/>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embedRegular r:id="rId3" w:fontKey="{91B2228E-8469-4D7D-A0F2-DEF30B375DD0}"/>
  </w:font>
  <w:font w:name="方正黑体_GBK">
    <w:panose1 w:val="03000509000000000000"/>
    <w:charset w:val="86"/>
    <w:family w:val="auto"/>
    <w:pitch w:val="default"/>
    <w:sig w:usb0="00000001" w:usb1="080E0000" w:usb2="00000000" w:usb3="00000000" w:csb0="00040000" w:csb1="00000000"/>
    <w:embedRegular r:id="rId4" w:fontKey="{66DA1359-57FC-4D65-810C-9C30352A7031}"/>
  </w:font>
  <w:font w:name="方正楷体_GBK">
    <w:panose1 w:val="03000509000000000000"/>
    <w:charset w:val="86"/>
    <w:family w:val="auto"/>
    <w:pitch w:val="default"/>
    <w:sig w:usb0="00000001" w:usb1="080E0000" w:usb2="00000000" w:usb3="00000000" w:csb0="00040000" w:csb1="00000000"/>
    <w:embedRegular r:id="rId5" w:fontKey="{73099803-62F1-4625-97F3-7A15DBC9D6DA}"/>
  </w:font>
  <w:font w:name="方正仿宋_GBK">
    <w:panose1 w:val="03000509000000000000"/>
    <w:charset w:val="86"/>
    <w:family w:val="auto"/>
    <w:pitch w:val="default"/>
    <w:sig w:usb0="00000001" w:usb1="080E0000" w:usb2="00000000" w:usb3="00000000" w:csb0="00040000" w:csb1="00000000"/>
    <w:embedRegular r:id="rId6" w:fontKey="{80F4B582-3856-4CF6-B56F-A85EC28DAC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FCB20">
    <w:pPr>
      <w:pStyle w:val="4"/>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2</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3</w:t>
    </w:r>
    <w:r>
      <w:rPr>
        <w:kern w:val="0"/>
        <w:szCs w:val="21"/>
      </w:rPr>
      <w:fldChar w:fldCharType="end"/>
    </w:r>
    <w:r>
      <w:rPr>
        <w:rFonts w:hint="eastAsia"/>
        <w:kern w:val="0"/>
        <w:szCs w:val="21"/>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E9B14A"/>
    <w:multiLevelType w:val="singleLevel"/>
    <w:tmpl w:val="1BE9B14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iODQ4MTdkYWZkMmZjNzMzNWNmZjVjZDQ2Yjc0YzIifQ=="/>
  </w:docVars>
  <w:rsids>
    <w:rsidRoot w:val="00000000"/>
    <w:rsid w:val="02506715"/>
    <w:rsid w:val="07717C2F"/>
    <w:rsid w:val="0E210ACA"/>
    <w:rsid w:val="0F235DBC"/>
    <w:rsid w:val="10E7716A"/>
    <w:rsid w:val="15F97E98"/>
    <w:rsid w:val="186C5038"/>
    <w:rsid w:val="18A514C3"/>
    <w:rsid w:val="199B11AF"/>
    <w:rsid w:val="1AC9260F"/>
    <w:rsid w:val="20CD1560"/>
    <w:rsid w:val="2FCC5F35"/>
    <w:rsid w:val="329D4993"/>
    <w:rsid w:val="3FF26F41"/>
    <w:rsid w:val="421D07E3"/>
    <w:rsid w:val="44DB56FE"/>
    <w:rsid w:val="4AE21F99"/>
    <w:rsid w:val="4C7955E6"/>
    <w:rsid w:val="4E5D7EFC"/>
    <w:rsid w:val="525E714F"/>
    <w:rsid w:val="53D83137"/>
    <w:rsid w:val="55E24503"/>
    <w:rsid w:val="56611827"/>
    <w:rsid w:val="5A124512"/>
    <w:rsid w:val="5E41133C"/>
    <w:rsid w:val="5FB76FA7"/>
    <w:rsid w:val="5FC4239A"/>
    <w:rsid w:val="68A3256F"/>
    <w:rsid w:val="6B507FEF"/>
    <w:rsid w:val="729E3819"/>
    <w:rsid w:val="73665EBA"/>
    <w:rsid w:val="74B01FBE"/>
    <w:rsid w:val="7E9C6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1"/>
    <w:pPr>
      <w:ind w:left="602"/>
    </w:pPr>
    <w:rPr>
      <w:rFonts w:ascii="仿宋" w:hAnsi="仿宋" w:eastAsia="仿宋" w:cs="仿宋"/>
      <w:sz w:val="24"/>
      <w:szCs w:val="24"/>
      <w:lang w:val="zh-CN" w:eastAsia="zh-CN" w:bidi="zh-CN"/>
    </w:rPr>
  </w:style>
  <w:style w:type="paragraph" w:styleId="3">
    <w:name w:val="Plain Text"/>
    <w:basedOn w:val="1"/>
    <w:qFormat/>
    <w:uiPriority w:val="99"/>
    <w:pPr>
      <w:widowControl/>
      <w:overflowPunct w:val="0"/>
      <w:autoSpaceDE w:val="0"/>
      <w:autoSpaceDN w:val="0"/>
      <w:adjustRightInd w:val="0"/>
      <w:jc w:val="left"/>
      <w:textAlignment w:val="baseline"/>
    </w:pPr>
    <w:rPr>
      <w:rFonts w:ascii="宋体" w:hAnsi="Courier New"/>
      <w:kern w:val="0"/>
      <w:sz w:val="20"/>
      <w:szCs w:val="21"/>
    </w:rPr>
  </w:style>
  <w:style w:type="paragraph" w:styleId="4">
    <w:name w:val="footer"/>
    <w:basedOn w:val="1"/>
    <w:qFormat/>
    <w:uiPriority w:val="0"/>
    <w:pPr>
      <w:tabs>
        <w:tab w:val="center" w:pos="4153"/>
        <w:tab w:val="right" w:pos="8306"/>
      </w:tabs>
      <w:snapToGrid w:val="0"/>
      <w:jc w:val="left"/>
    </w:pPr>
    <w:rPr>
      <w:sz w:val="18"/>
      <w:szCs w:val="18"/>
    </w:rPr>
  </w:style>
  <w:style w:type="paragraph" w:customStyle="1" w:styleId="7">
    <w:name w:val="Default"/>
    <w:autoRedefine/>
    <w:qFormat/>
    <w:uiPriority w:val="0"/>
    <w:pPr>
      <w:widowControl w:val="0"/>
      <w:autoSpaceDE w:val="0"/>
      <w:autoSpaceDN w:val="0"/>
      <w:adjustRightInd w:val="0"/>
    </w:pPr>
    <w:rPr>
      <w:rFonts w:ascii="华文中宋" w:hAnsi="华文中宋" w:eastAsia="宋体" w:cs="华文中宋"/>
      <w:color w:val="000000"/>
      <w:sz w:val="24"/>
      <w:szCs w:val="24"/>
      <w:lang w:val="en-US" w:eastAsia="zh-CN" w:bidi="ar-SA"/>
    </w:rPr>
  </w:style>
  <w:style w:type="paragraph" w:styleId="8">
    <w:name w:val="List Paragraph"/>
    <w:basedOn w:val="1"/>
    <w:qFormat/>
    <w:uiPriority w:val="34"/>
    <w:pPr>
      <w:ind w:firstLine="420" w:firstLineChars="200"/>
    </w:pPr>
  </w:style>
  <w:style w:type="character" w:customStyle="1" w:styleId="9">
    <w:name w:val="font112"/>
    <w:basedOn w:val="6"/>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1898</Words>
  <Characters>1953</Characters>
  <Lines>0</Lines>
  <Paragraphs>0</Paragraphs>
  <TotalTime>12</TotalTime>
  <ScaleCrop>false</ScaleCrop>
  <LinksUpToDate>false</LinksUpToDate>
  <CharactersWithSpaces>2030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2024-01-30T08:28:00Z</dcterms:created>
  <dc:creator>admin</dc:creator>
  <cp:lastModifiedBy>曲奇饼不干</cp:lastModifiedBy>
  <cp:lastPrinted>2025-03-31T08:15:00Z</cp:lastPrinted>
  <dcterms:modified xsi:type="dcterms:W3CDTF">2026-07-22T02:40:55Z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7CFF2820163948678EA4976CCABCBD14_13</vt:lpwstr>
  </property>
  <property fmtid="{D5CDD505-2E9C-101B-9397-08002B2CF9AE}" pid="4" name="KSOTemplateDocerSaveRecord">
    <vt:lpwstr>eyJoZGlkIjoiOTVjMGQzNjU4MTE5MWE4YjQ2YzY0MGJjZWY3ZTZiZTgiLCJ1c2VySWQiOiI1ODk1NzIyNzgifQ==</vt:lpwstr>
  </property>
</Properties>
</file>