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0F2EC">
      <w:pPr>
        <w:keepNext w:val="0"/>
        <w:keepLines w:val="0"/>
        <w:pageBreakBefore w:val="0"/>
        <w:kinsoku/>
        <w:wordWrap/>
        <w:topLinePunct w:val="0"/>
        <w:bidi w:val="0"/>
        <w:snapToGrid/>
        <w:spacing w:line="560" w:lineRule="exact"/>
        <w:ind w:left="0"/>
        <w:jc w:val="center"/>
        <w:rPr>
          <w:rFonts w:hint="eastAsia"/>
        </w:rPr>
      </w:pPr>
      <w:bookmarkStart w:id="6" w:name="_GoBack"/>
      <w:bookmarkEnd w:id="6"/>
      <w:r>
        <w:rPr>
          <w:rFonts w:hint="eastAsia" w:ascii="方正小标宋_GBK" w:hAnsi="方正小标宋_GBK" w:eastAsia="方正小标宋_GBK" w:cs="方正小标宋_GBK"/>
          <w:b w:val="0"/>
          <w:bCs/>
          <w:sz w:val="36"/>
          <w:szCs w:val="36"/>
        </w:rPr>
        <w:t>浦口区</w:t>
      </w:r>
      <w:bookmarkStart w:id="0" w:name="OLE_LINK2"/>
      <w:bookmarkStart w:id="1" w:name="OLE_LINK5"/>
      <w:bookmarkStart w:id="2" w:name="OLE_LINK1"/>
      <w:bookmarkStart w:id="3" w:name="OLE_LINK8"/>
      <w:r>
        <w:rPr>
          <w:rFonts w:hint="eastAsia" w:ascii="方正小标宋_GBK" w:hAnsi="方正小标宋_GBK" w:eastAsia="方正小标宋_GBK" w:cs="方正小标宋_GBK"/>
          <w:b w:val="0"/>
          <w:bCs/>
          <w:sz w:val="36"/>
          <w:szCs w:val="36"/>
          <w:lang w:val="en-US" w:eastAsia="zh-CN"/>
        </w:rPr>
        <w:t>城市数字治理中心数据库维护项目询价</w:t>
      </w:r>
      <w:bookmarkStart w:id="4" w:name="OLE_LINK3"/>
      <w:r>
        <w:rPr>
          <w:rFonts w:hint="eastAsia" w:ascii="方正小标宋_GBK" w:hAnsi="方正小标宋_GBK" w:eastAsia="方正小标宋_GBK" w:cs="方正小标宋_GBK"/>
          <w:b w:val="0"/>
          <w:bCs/>
          <w:sz w:val="36"/>
          <w:szCs w:val="36"/>
          <w:lang w:val="en-US" w:eastAsia="zh-CN"/>
        </w:rPr>
        <w:t>公告</w:t>
      </w:r>
    </w:p>
    <w:p w14:paraId="756C4AA1">
      <w:pPr>
        <w:keepNext w:val="0"/>
        <w:keepLines w:val="0"/>
        <w:pageBreakBefore w:val="0"/>
        <w:kinsoku/>
        <w:wordWrap/>
        <w:topLinePunct w:val="0"/>
        <w:bidi w:val="0"/>
        <w:snapToGrid/>
        <w:spacing w:line="560" w:lineRule="exact"/>
        <w:ind w:left="0" w:firstLine="640" w:firstLineChars="200"/>
        <w:rPr>
          <w:rFonts w:hint="eastAsia" w:ascii="仿宋" w:hAnsi="仿宋" w:eastAsia="仿宋"/>
          <w:bCs/>
          <w:sz w:val="32"/>
          <w:szCs w:val="32"/>
        </w:rPr>
      </w:pPr>
      <w:r>
        <w:rPr>
          <w:rFonts w:hint="eastAsia" w:ascii="仿宋" w:hAnsi="仿宋" w:eastAsia="仿宋"/>
          <w:bCs/>
          <w:sz w:val="32"/>
          <w:szCs w:val="32"/>
        </w:rPr>
        <w:t>浦口区</w:t>
      </w:r>
      <w:r>
        <w:rPr>
          <w:rFonts w:hint="eastAsia" w:ascii="仿宋" w:hAnsi="仿宋" w:eastAsia="仿宋"/>
          <w:bCs/>
          <w:sz w:val="32"/>
          <w:szCs w:val="32"/>
          <w:lang w:val="en-US" w:eastAsia="zh-CN"/>
        </w:rPr>
        <w:t>城市数字治理中心数据库维护项目</w:t>
      </w:r>
      <w:r>
        <w:rPr>
          <w:rFonts w:hint="eastAsia" w:ascii="仿宋" w:hAnsi="仿宋" w:eastAsia="仿宋"/>
          <w:bCs/>
          <w:sz w:val="32"/>
          <w:szCs w:val="32"/>
        </w:rPr>
        <w:t>实施询价采购，现邀请贵单位参加报价。</w:t>
      </w:r>
    </w:p>
    <w:p w14:paraId="6E93148B">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项目名称：</w:t>
      </w:r>
      <w:r>
        <w:rPr>
          <w:rFonts w:hint="eastAsia" w:ascii="仿宋" w:hAnsi="仿宋" w:eastAsia="仿宋"/>
          <w:bCs/>
          <w:sz w:val="32"/>
          <w:szCs w:val="32"/>
          <w:lang w:val="en-US" w:eastAsia="zh-CN"/>
        </w:rPr>
        <w:t>浦口区城市数字治理中心数据库维护项目</w:t>
      </w:r>
    </w:p>
    <w:p w14:paraId="43FB49B8">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预算金额</w:t>
      </w:r>
      <w:r>
        <w:rPr>
          <w:rFonts w:hint="eastAsia" w:ascii="方正黑体_GBK" w:hAnsi="方正黑体_GBK" w:eastAsia="方正黑体_GBK" w:cs="方正黑体_GBK"/>
          <w:sz w:val="32"/>
          <w:szCs w:val="32"/>
          <w:lang w:eastAsia="zh-CN"/>
        </w:rPr>
        <w:t>：</w:t>
      </w:r>
      <w:r>
        <w:rPr>
          <w:rFonts w:hint="eastAsia" w:ascii="方正黑体_GBK" w:hAnsi="方正黑体_GBK" w:eastAsia="方正黑体_GBK" w:cs="方正黑体_GBK"/>
          <w:sz w:val="32"/>
          <w:szCs w:val="32"/>
          <w:lang w:val="en-US" w:eastAsia="zh-CN"/>
        </w:rPr>
        <w:t>6.58万元</w:t>
      </w:r>
    </w:p>
    <w:p w14:paraId="50296BD8">
      <w:pPr>
        <w:keepNext w:val="0"/>
        <w:keepLines w:val="0"/>
        <w:pageBreakBefore w:val="0"/>
        <w:numPr>
          <w:ilvl w:val="0"/>
          <w:numId w:val="1"/>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服务内容及要求</w:t>
      </w:r>
      <w:r>
        <w:rPr>
          <w:rFonts w:hint="eastAsia" w:ascii="方正黑体_GBK" w:hAnsi="方正黑体_GBK" w:eastAsia="方正黑体_GBK" w:cs="方正黑体_GBK"/>
          <w:sz w:val="32"/>
          <w:szCs w:val="32"/>
        </w:rPr>
        <w:t>：</w:t>
      </w:r>
    </w:p>
    <w:p w14:paraId="73E6F40D">
      <w:pPr>
        <w:keepNext w:val="0"/>
        <w:keepLines w:val="0"/>
        <w:pageBreakBefore w:val="0"/>
        <w:numPr>
          <w:ilvl w:val="0"/>
          <w:numId w:val="0"/>
        </w:numPr>
        <w:kinsoku/>
        <w:wordWrap/>
        <w:topLinePunct w:val="0"/>
        <w:bidi w:val="0"/>
        <w:snapToGrid/>
        <w:spacing w:line="560" w:lineRule="exact"/>
        <w:ind w:firstLine="640" w:firstLineChars="200"/>
        <w:rPr>
          <w:rFonts w:hint="eastAsia" w:ascii="仿宋" w:hAnsi="仿宋" w:eastAsia="仿宋"/>
          <w:bCs/>
          <w:sz w:val="32"/>
          <w:szCs w:val="32"/>
          <w:lang w:val="en-US" w:eastAsia="zh-CN"/>
        </w:rPr>
      </w:pPr>
      <w:r>
        <w:rPr>
          <w:rFonts w:hint="eastAsia" w:ascii="仿宋" w:hAnsi="仿宋" w:eastAsia="仿宋"/>
          <w:bCs/>
          <w:sz w:val="32"/>
          <w:szCs w:val="32"/>
          <w:lang w:val="en-US" w:eastAsia="zh-CN"/>
        </w:rPr>
        <w:t>服务期限：自合同签订之日起一年，服务内容详见附件。</w:t>
      </w:r>
    </w:p>
    <w:p w14:paraId="11ABDC30">
      <w:pPr>
        <w:keepNext w:val="0"/>
        <w:keepLines w:val="0"/>
        <w:pageBreakBefore w:val="0"/>
        <w:numPr>
          <w:ilvl w:val="0"/>
          <w:numId w:val="1"/>
        </w:numPr>
        <w:kinsoku/>
        <w:wordWrap/>
        <w:topLinePunct w:val="0"/>
        <w:bidi w:val="0"/>
        <w:snapToGrid/>
        <w:spacing w:line="560" w:lineRule="exact"/>
        <w:ind w:left="0" w:firstLine="562" w:firstLineChars="200"/>
        <w:rPr>
          <w:rFonts w:hint="eastAsia" w:ascii="方正黑体_GBK" w:hAnsi="方正黑体_GBK" w:eastAsia="方正黑体_GBK" w:cs="方正黑体_GBK"/>
          <w:sz w:val="32"/>
          <w:szCs w:val="32"/>
        </w:rPr>
      </w:pPr>
      <w:r>
        <w:rPr>
          <w:rFonts w:hint="eastAsia" w:ascii="宋体" w:hAnsi="宋体" w:cs="宋体"/>
          <w:b/>
          <w:bCs/>
          <w:sz w:val="28"/>
          <w:szCs w:val="28"/>
        </w:rPr>
        <w:t xml:space="preserve"> </w:t>
      </w:r>
      <w:r>
        <w:rPr>
          <w:rFonts w:hint="eastAsia" w:ascii="方正黑体_GBK" w:hAnsi="方正黑体_GBK" w:eastAsia="方正黑体_GBK" w:cs="方正黑体_GBK"/>
          <w:sz w:val="32"/>
          <w:szCs w:val="32"/>
        </w:rPr>
        <w:t>报价文件接收截止时间和地点</w:t>
      </w:r>
    </w:p>
    <w:p w14:paraId="59F87481">
      <w:pPr>
        <w:keepNext w:val="0"/>
        <w:keepLines w:val="0"/>
        <w:pageBreakBefore w:val="0"/>
        <w:kinsoku/>
        <w:wordWrap/>
        <w:topLinePunct w:val="0"/>
        <w:bidi w:val="0"/>
        <w:snapToGrid/>
        <w:spacing w:line="560" w:lineRule="exact"/>
        <w:ind w:left="0" w:firstLine="640" w:firstLineChars="200"/>
        <w:rPr>
          <w:rFonts w:hint="eastAsia" w:ascii="仿宋" w:hAnsi="仿宋" w:eastAsia="仿宋"/>
          <w:sz w:val="32"/>
          <w:szCs w:val="32"/>
        </w:rPr>
      </w:pPr>
      <w:r>
        <w:rPr>
          <w:rFonts w:hint="eastAsia" w:ascii="方正楷体_GBK" w:hAnsi="方正楷体_GBK" w:eastAsia="方正楷体_GBK" w:cs="方正楷体_GBK"/>
          <w:sz w:val="32"/>
          <w:szCs w:val="32"/>
        </w:rPr>
        <w:t>报价文件接收截止时间:</w:t>
      </w: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 xml:space="preserve"> 7 </w:t>
      </w:r>
      <w:r>
        <w:rPr>
          <w:rFonts w:hint="eastAsia" w:ascii="仿宋" w:hAnsi="仿宋" w:eastAsia="仿宋"/>
          <w:sz w:val="32"/>
          <w:szCs w:val="32"/>
        </w:rPr>
        <w:t>月</w:t>
      </w:r>
      <w:r>
        <w:rPr>
          <w:rFonts w:hint="eastAsia" w:ascii="仿宋" w:hAnsi="仿宋" w:eastAsia="仿宋"/>
          <w:sz w:val="32"/>
          <w:szCs w:val="32"/>
          <w:lang w:val="en-US" w:eastAsia="zh-CN"/>
        </w:rPr>
        <w:t xml:space="preserve"> 29 </w:t>
      </w:r>
      <w:r>
        <w:rPr>
          <w:rFonts w:hint="eastAsia" w:ascii="仿宋" w:hAnsi="仿宋" w:eastAsia="仿宋"/>
          <w:sz w:val="32"/>
          <w:szCs w:val="32"/>
        </w:rPr>
        <w:t>日</w:t>
      </w:r>
      <w:r>
        <w:rPr>
          <w:rFonts w:hint="eastAsia" w:ascii="仿宋" w:hAnsi="仿宋" w:eastAsia="仿宋"/>
          <w:sz w:val="32"/>
          <w:szCs w:val="32"/>
          <w:lang w:val="en-US" w:eastAsia="zh-CN"/>
        </w:rPr>
        <w:t>14</w:t>
      </w:r>
      <w:r>
        <w:rPr>
          <w:rFonts w:hint="eastAsia" w:ascii="仿宋" w:hAnsi="仿宋" w:eastAsia="仿宋"/>
          <w:sz w:val="32"/>
          <w:szCs w:val="32"/>
        </w:rPr>
        <w:t>时</w:t>
      </w:r>
      <w:r>
        <w:rPr>
          <w:rFonts w:hint="eastAsia" w:ascii="仿宋" w:hAnsi="仿宋" w:eastAsia="仿宋"/>
          <w:sz w:val="32"/>
          <w:szCs w:val="32"/>
          <w:lang w:val="en-US" w:eastAsia="zh-CN"/>
        </w:rPr>
        <w:t>30</w:t>
      </w:r>
      <w:r>
        <w:rPr>
          <w:rFonts w:hint="eastAsia" w:ascii="仿宋" w:hAnsi="仿宋" w:eastAsia="仿宋"/>
          <w:sz w:val="32"/>
          <w:szCs w:val="32"/>
        </w:rPr>
        <w:t>分</w:t>
      </w:r>
    </w:p>
    <w:p w14:paraId="55AE3FE5">
      <w:pPr>
        <w:keepNext w:val="0"/>
        <w:keepLines w:val="0"/>
        <w:pageBreakBefore w:val="0"/>
        <w:kinsoku/>
        <w:wordWrap/>
        <w:topLinePunct w:val="0"/>
        <w:bidi w:val="0"/>
        <w:snapToGrid/>
        <w:spacing w:line="560" w:lineRule="exact"/>
        <w:ind w:left="0" w:firstLine="640" w:firstLineChars="200"/>
        <w:rPr>
          <w:rFonts w:hint="default" w:ascii="仿宋" w:hAnsi="仿宋" w:eastAsia="仿宋"/>
          <w:sz w:val="32"/>
          <w:szCs w:val="32"/>
          <w:lang w:val="en-US" w:eastAsia="zh-CN"/>
        </w:rPr>
      </w:pPr>
      <w:r>
        <w:rPr>
          <w:rFonts w:hint="eastAsia" w:ascii="方正楷体_GBK" w:hAnsi="方正楷体_GBK" w:eastAsia="方正楷体_GBK" w:cs="方正楷体_GBK"/>
          <w:sz w:val="32"/>
          <w:szCs w:val="32"/>
        </w:rPr>
        <w:t>报价文件接收地点:</w:t>
      </w:r>
      <w:r>
        <w:rPr>
          <w:rFonts w:hint="eastAsia" w:ascii="仿宋" w:hAnsi="仿宋" w:eastAsia="仿宋"/>
          <w:sz w:val="32"/>
          <w:szCs w:val="32"/>
        </w:rPr>
        <w:t xml:space="preserve"> </w:t>
      </w:r>
      <w:r>
        <w:rPr>
          <w:rFonts w:hint="eastAsia" w:ascii="仿宋" w:hAnsi="仿宋" w:eastAsia="仿宋"/>
          <w:sz w:val="32"/>
          <w:szCs w:val="32"/>
          <w:lang w:val="en-US" w:eastAsia="zh-CN"/>
        </w:rPr>
        <w:t>南京市浦口区城市数字治理中心807会议室（南京市浦口区江浦街道建设路9号A幢）</w:t>
      </w:r>
    </w:p>
    <w:p w14:paraId="4581A0A7">
      <w:pPr>
        <w:keepNext w:val="0"/>
        <w:keepLines w:val="0"/>
        <w:pageBreakBefore w:val="0"/>
        <w:numPr>
          <w:ilvl w:val="0"/>
          <w:numId w:val="0"/>
        </w:numPr>
        <w:kinsoku/>
        <w:wordWrap/>
        <w:topLinePunct w:val="0"/>
        <w:bidi w:val="0"/>
        <w:snapToGrid/>
        <w:spacing w:line="560" w:lineRule="exact"/>
        <w:ind w:left="0" w:firstLine="640" w:firstLineChars="200"/>
        <w:rPr>
          <w:rFonts w:ascii="仿宋" w:hAnsi="仿宋" w:eastAsia="仿宋"/>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本项目评标方法：</w:t>
      </w:r>
      <w:r>
        <w:rPr>
          <w:rFonts w:hint="eastAsia" w:ascii="仿宋" w:hAnsi="仿宋" w:eastAsia="仿宋"/>
          <w:sz w:val="32"/>
          <w:szCs w:val="32"/>
          <w:lang w:val="en-US" w:eastAsia="zh-CN"/>
        </w:rPr>
        <w:t>满足所有采购需求，</w:t>
      </w:r>
      <w:r>
        <w:rPr>
          <w:rFonts w:hint="eastAsia" w:ascii="仿宋" w:hAnsi="仿宋" w:eastAsia="仿宋"/>
          <w:sz w:val="32"/>
          <w:szCs w:val="32"/>
        </w:rPr>
        <w:t>最低价中标</w:t>
      </w:r>
    </w:p>
    <w:p w14:paraId="59EB8108">
      <w:pPr>
        <w:keepNext w:val="0"/>
        <w:keepLines w:val="0"/>
        <w:pageBreakBefore w:val="0"/>
        <w:numPr>
          <w:ilvl w:val="0"/>
          <w:numId w:val="0"/>
        </w:numPr>
        <w:kinsoku/>
        <w:wordWrap/>
        <w:topLinePunct w:val="0"/>
        <w:bidi w:val="0"/>
        <w:snapToGrid/>
        <w:spacing w:line="560" w:lineRule="exact"/>
        <w:ind w:left="0"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六、采购联系事项：</w:t>
      </w:r>
    </w:p>
    <w:p w14:paraId="4D549AE4">
      <w:pPr>
        <w:keepNext w:val="0"/>
        <w:keepLines w:val="0"/>
        <w:pageBreakBefore w:val="0"/>
        <w:kinsoku/>
        <w:wordWrap/>
        <w:topLinePunct w:val="0"/>
        <w:bidi w:val="0"/>
        <w:snapToGrid/>
        <w:spacing w:line="560" w:lineRule="exact"/>
        <w:ind w:left="0" w:firstLine="640"/>
        <w:rPr>
          <w:rFonts w:hint="default" w:ascii="仿宋" w:hAnsi="仿宋" w:eastAsia="仿宋"/>
          <w:sz w:val="32"/>
          <w:szCs w:val="32"/>
          <w:lang w:val="en-US" w:eastAsia="zh-CN"/>
        </w:rPr>
      </w:pPr>
      <w:r>
        <w:rPr>
          <w:rFonts w:hint="eastAsia" w:ascii="方正楷体_GBK" w:hAnsi="方正楷体_GBK" w:eastAsia="方正楷体_GBK" w:cs="方正楷体_GBK"/>
          <w:sz w:val="32"/>
          <w:szCs w:val="32"/>
        </w:rPr>
        <w:t>联系人:</w:t>
      </w:r>
      <w:r>
        <w:rPr>
          <w:rFonts w:hint="eastAsia" w:ascii="仿宋" w:hAnsi="仿宋" w:eastAsia="仿宋"/>
          <w:sz w:val="32"/>
          <w:szCs w:val="32"/>
          <w:lang w:val="en-US" w:eastAsia="zh-CN"/>
        </w:rPr>
        <w:t>周植霞</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方正楷体_GBK" w:hAnsi="方正楷体_GBK" w:eastAsia="方正楷体_GBK" w:cs="方正楷体_GBK"/>
          <w:sz w:val="32"/>
          <w:szCs w:val="32"/>
        </w:rPr>
        <w:t>联系电话:</w:t>
      </w:r>
      <w:r>
        <w:rPr>
          <w:rFonts w:hint="eastAsia" w:ascii="仿宋" w:hAnsi="仿宋" w:eastAsia="仿宋"/>
          <w:sz w:val="32"/>
          <w:szCs w:val="32"/>
          <w:lang w:val="en-US" w:eastAsia="zh-CN"/>
        </w:rPr>
        <w:t>58311628</w:t>
      </w:r>
    </w:p>
    <w:p w14:paraId="7085E1C7">
      <w:pPr>
        <w:pStyle w:val="3"/>
        <w:keepNext w:val="0"/>
        <w:keepLines w:val="0"/>
        <w:pageBreakBefore w:val="0"/>
        <w:kinsoku/>
        <w:wordWrap/>
        <w:topLinePunct w:val="0"/>
        <w:bidi w:val="0"/>
        <w:snapToGrid/>
        <w:spacing w:line="560" w:lineRule="exact"/>
        <w:ind w:left="0" w:firstLine="643" w:firstLineChars="200"/>
        <w:rPr>
          <w:rFonts w:ascii="仿宋" w:hAnsi="仿宋" w:eastAsia="仿宋"/>
          <w:b/>
          <w:bCs/>
          <w:sz w:val="32"/>
          <w:szCs w:val="32"/>
        </w:rPr>
      </w:pPr>
      <w:r>
        <w:rPr>
          <w:rFonts w:hint="eastAsia" w:ascii="仿宋" w:hAnsi="仿宋" w:eastAsia="仿宋"/>
          <w:b/>
          <w:bCs/>
          <w:sz w:val="32"/>
          <w:szCs w:val="32"/>
          <w:lang w:val="en-US" w:eastAsia="zh-CN"/>
        </w:rPr>
        <w:t>投标人</w:t>
      </w:r>
      <w:r>
        <w:rPr>
          <w:rFonts w:hint="eastAsia" w:ascii="仿宋" w:hAnsi="仿宋" w:eastAsia="仿宋"/>
          <w:b/>
          <w:bCs/>
          <w:sz w:val="32"/>
          <w:szCs w:val="32"/>
        </w:rPr>
        <w:t>须提供的文件</w:t>
      </w:r>
      <w:r>
        <w:rPr>
          <w:rFonts w:hint="eastAsia" w:ascii="仿宋" w:hAnsi="仿宋" w:eastAsia="仿宋"/>
          <w:b/>
          <w:bCs/>
          <w:sz w:val="32"/>
          <w:szCs w:val="32"/>
          <w:lang w:val="en-US" w:eastAsia="zh-CN"/>
        </w:rPr>
        <w:t>(所有文件均需盖章，格式自拟)</w:t>
      </w:r>
      <w:r>
        <w:rPr>
          <w:rFonts w:hint="eastAsia" w:ascii="仿宋" w:hAnsi="仿宋" w:eastAsia="仿宋"/>
          <w:b/>
          <w:bCs/>
          <w:sz w:val="32"/>
          <w:szCs w:val="32"/>
        </w:rPr>
        <w:t>：</w:t>
      </w:r>
    </w:p>
    <w:p w14:paraId="4FEB19C9">
      <w:pPr>
        <w:keepNext w:val="0"/>
        <w:keepLines w:val="0"/>
        <w:pageBreakBefore w:val="0"/>
        <w:kinsoku/>
        <w:wordWrap/>
        <w:topLinePunct w:val="0"/>
        <w:bidi w:val="0"/>
        <w:snapToGrid/>
        <w:spacing w:line="560" w:lineRule="exact"/>
        <w:ind w:left="0" w:firstLine="640" w:firstLineChars="200"/>
        <w:rPr>
          <w:rFonts w:hint="default" w:ascii="仿宋" w:hAnsi="仿宋" w:eastAsia="仿宋" w:cs="宋体"/>
          <w:sz w:val="32"/>
          <w:szCs w:val="32"/>
          <w:lang w:val="en-US" w:eastAsia="zh-CN"/>
        </w:rPr>
      </w:pPr>
      <w:r>
        <w:rPr>
          <w:rFonts w:ascii="仿宋" w:hAnsi="仿宋" w:eastAsia="仿宋" w:cs="宋体"/>
          <w:sz w:val="32"/>
          <w:szCs w:val="32"/>
        </w:rPr>
        <w:t>1.</w:t>
      </w:r>
      <w:r>
        <w:rPr>
          <w:rFonts w:hint="eastAsia" w:ascii="仿宋" w:hAnsi="仿宋" w:eastAsia="仿宋" w:cs="宋体"/>
          <w:sz w:val="32"/>
          <w:szCs w:val="32"/>
          <w:lang w:val="en-US" w:eastAsia="zh-CN"/>
        </w:rPr>
        <w:t>项目报价表；</w:t>
      </w:r>
    </w:p>
    <w:p w14:paraId="1AA34524">
      <w:pPr>
        <w:keepNext w:val="0"/>
        <w:keepLines w:val="0"/>
        <w:pageBreakBefore w:val="0"/>
        <w:kinsoku/>
        <w:wordWrap/>
        <w:topLinePunct w:val="0"/>
        <w:bidi w:val="0"/>
        <w:snapToGrid/>
        <w:spacing w:line="560" w:lineRule="exact"/>
        <w:ind w:left="0" w:firstLine="640" w:firstLineChars="200"/>
        <w:rPr>
          <w:rFonts w:hint="eastAsia" w:ascii="仿宋" w:hAnsi="仿宋" w:eastAsia="仿宋" w:cs="宋体"/>
          <w:sz w:val="32"/>
          <w:szCs w:val="32"/>
        </w:rPr>
      </w:pPr>
      <w:r>
        <w:rPr>
          <w:rFonts w:ascii="仿宋" w:hAnsi="仿宋" w:eastAsia="仿宋" w:cs="宋体"/>
          <w:kern w:val="2"/>
          <w:sz w:val="32"/>
          <w:szCs w:val="32"/>
        </w:rPr>
        <w:t>2.</w:t>
      </w:r>
      <w:r>
        <w:rPr>
          <w:rFonts w:hint="eastAsia" w:ascii="仿宋" w:hAnsi="仿宋" w:eastAsia="仿宋" w:cs="宋体"/>
          <w:sz w:val="32"/>
          <w:szCs w:val="32"/>
          <w:lang w:val="en-US" w:eastAsia="zh-CN"/>
        </w:rPr>
        <w:t>有效期内营业执照及法人身份证明；</w:t>
      </w:r>
    </w:p>
    <w:p w14:paraId="3B210C57">
      <w:pPr>
        <w:pStyle w:val="3"/>
        <w:keepNext w:val="0"/>
        <w:keepLines w:val="0"/>
        <w:pageBreakBefore w:val="0"/>
        <w:kinsoku/>
        <w:wordWrap/>
        <w:topLinePunct w:val="0"/>
        <w:bidi w:val="0"/>
        <w:snapToGrid/>
        <w:spacing w:line="560" w:lineRule="exact"/>
        <w:ind w:left="638" w:leftChars="304" w:firstLine="0" w:firstLineChars="0"/>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3.企业资质、人员证书（ORACLE、达梦等数据库工程师认证）；4.企业类似案例。</w:t>
      </w:r>
    </w:p>
    <w:p w14:paraId="4D905FFD">
      <w:pPr>
        <w:pStyle w:val="3"/>
        <w:keepNext w:val="0"/>
        <w:keepLines w:val="0"/>
        <w:pageBreakBefore w:val="0"/>
        <w:kinsoku/>
        <w:wordWrap/>
        <w:topLinePunct w:val="0"/>
        <w:bidi w:val="0"/>
        <w:snapToGrid/>
        <w:spacing w:line="560" w:lineRule="exact"/>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附件：浦口区城市数字治理中心数据库维护项目服务内容</w:t>
      </w:r>
    </w:p>
    <w:bookmarkEnd w:id="0"/>
    <w:p w14:paraId="228E28BC">
      <w:pPr>
        <w:keepNext w:val="0"/>
        <w:keepLines w:val="0"/>
        <w:pageBreakBefore w:val="0"/>
        <w:widowControl/>
        <w:shd w:val="clear" w:color="auto" w:fill="FFFFFF"/>
        <w:kinsoku/>
        <w:wordWrap/>
        <w:overflowPunct/>
        <w:topLinePunct w:val="0"/>
        <w:autoSpaceDE/>
        <w:autoSpaceDN/>
        <w:bidi w:val="0"/>
        <w:adjustRightInd/>
        <w:snapToGrid/>
        <w:spacing w:line="560" w:lineRule="exact"/>
        <w:jc w:val="right"/>
        <w:textAlignment w:val="auto"/>
        <w:rPr>
          <w:rFonts w:hint="eastAsia" w:ascii="仿宋" w:hAnsi="仿宋" w:eastAsia="仿宋" w:cs="宋体"/>
          <w:kern w:val="0"/>
          <w:sz w:val="32"/>
          <w:szCs w:val="32"/>
          <w:lang w:val="en-US" w:eastAsia="zh-CN" w:bidi="ar-SA"/>
        </w:rPr>
      </w:pPr>
      <w:bookmarkStart w:id="5" w:name="OLE_LINK7"/>
      <w:r>
        <w:rPr>
          <w:rFonts w:hint="eastAsia" w:ascii="仿宋" w:hAnsi="仿宋" w:eastAsia="仿宋" w:cs="宋体"/>
          <w:kern w:val="0"/>
          <w:sz w:val="32"/>
          <w:szCs w:val="32"/>
          <w:lang w:val="en-US" w:eastAsia="zh-CN" w:bidi="ar-SA"/>
        </w:rPr>
        <w:t>南京市浦口区城市数字治理中心                                                      2026年7月22日</w:t>
      </w:r>
      <w:bookmarkEnd w:id="1"/>
      <w:bookmarkEnd w:id="2"/>
      <w:bookmarkEnd w:id="3"/>
      <w:bookmarkEnd w:id="4"/>
      <w:bookmarkEnd w:id="5"/>
    </w:p>
    <w:p w14:paraId="0395EDC2">
      <w:pPr>
        <w:pStyle w:val="2"/>
        <w:rPr>
          <w:rFonts w:ascii="仿宋" w:hAnsi="仿宋" w:eastAsia="仿宋"/>
          <w:sz w:val="32"/>
          <w:szCs w:val="32"/>
        </w:rPr>
      </w:pPr>
    </w:p>
    <w:p w14:paraId="096D9581">
      <w:pPr>
        <w:jc w:val="both"/>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附件：</w:t>
      </w:r>
    </w:p>
    <w:p w14:paraId="66E5F745">
      <w:pPr>
        <w:ind w:firstLine="360" w:firstLineChars="100"/>
        <w:jc w:val="both"/>
        <w:rPr>
          <w:rFonts w:hint="default" w:ascii="Times New Roman" w:hAnsi="Times New Roman" w:eastAsia="方正仿宋_GBK" w:cs="Times New Roman"/>
          <w:sz w:val="32"/>
          <w:szCs w:val="32"/>
          <w:lang w:val="en-US" w:eastAsia="zh-CN"/>
        </w:rPr>
      </w:pPr>
      <w:r>
        <w:rPr>
          <w:rFonts w:hint="eastAsia" w:ascii="方正小标宋_GBK" w:eastAsia="方正小标宋_GBK"/>
          <w:color w:val="000000"/>
          <w:sz w:val="36"/>
          <w:szCs w:val="36"/>
        </w:rPr>
        <w:t>浦口区</w:t>
      </w:r>
      <w:r>
        <w:rPr>
          <w:rFonts w:hint="eastAsia" w:ascii="方正小标宋_GBK" w:eastAsia="方正小标宋_GBK"/>
          <w:color w:val="000000"/>
          <w:sz w:val="36"/>
          <w:szCs w:val="36"/>
          <w:lang w:val="en-US" w:eastAsia="zh-CN"/>
        </w:rPr>
        <w:t>城市数字治理</w:t>
      </w:r>
      <w:r>
        <w:rPr>
          <w:rFonts w:hint="eastAsia" w:ascii="方正小标宋_GBK" w:eastAsia="方正小标宋_GBK"/>
          <w:color w:val="000000"/>
          <w:sz w:val="36"/>
          <w:szCs w:val="36"/>
        </w:rPr>
        <w:t>中心数据库维护项目服务内容</w:t>
      </w:r>
    </w:p>
    <w:tbl>
      <w:tblPr>
        <w:tblStyle w:val="5"/>
        <w:tblW w:w="90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Layout w:type="fixed"/>
        <w:tblCellMar>
          <w:top w:w="0" w:type="dxa"/>
          <w:left w:w="0" w:type="dxa"/>
          <w:bottom w:w="0" w:type="dxa"/>
          <w:right w:w="0" w:type="dxa"/>
        </w:tblCellMar>
      </w:tblPr>
      <w:tblGrid>
        <w:gridCol w:w="1274"/>
        <w:gridCol w:w="1677"/>
        <w:gridCol w:w="6131"/>
      </w:tblGrid>
      <w:tr w14:paraId="20D54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jc w:val="center"/>
        </w:trPr>
        <w:tc>
          <w:tcPr>
            <w:tcW w:w="1274" w:type="dxa"/>
            <w:tcBorders>
              <w:tl2br w:val="nil"/>
              <w:tr2bl w:val="nil"/>
            </w:tcBorders>
            <w:shd w:val="clear" w:color="auto" w:fill="auto"/>
            <w:noWrap w:val="0"/>
            <w:tcMar>
              <w:top w:w="80" w:type="dxa"/>
              <w:left w:w="80" w:type="dxa"/>
              <w:bottom w:w="80" w:type="dxa"/>
              <w:right w:w="80" w:type="dxa"/>
            </w:tcMar>
            <w:vAlign w:val="center"/>
          </w:tcPr>
          <w:p w14:paraId="1A1CA1D6">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服务项目</w:t>
            </w:r>
          </w:p>
        </w:tc>
        <w:tc>
          <w:tcPr>
            <w:tcW w:w="1677" w:type="dxa"/>
            <w:tcBorders>
              <w:tl2br w:val="nil"/>
              <w:tr2bl w:val="nil"/>
            </w:tcBorders>
            <w:shd w:val="clear" w:color="auto" w:fill="auto"/>
            <w:noWrap w:val="0"/>
            <w:tcMar>
              <w:top w:w="80" w:type="dxa"/>
              <w:left w:w="80" w:type="dxa"/>
              <w:bottom w:w="80" w:type="dxa"/>
              <w:right w:w="80" w:type="dxa"/>
            </w:tcMar>
            <w:vAlign w:val="center"/>
          </w:tcPr>
          <w:p w14:paraId="1FC862EE">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服务内容</w:t>
            </w:r>
          </w:p>
        </w:tc>
        <w:tc>
          <w:tcPr>
            <w:tcW w:w="6131" w:type="dxa"/>
            <w:tcBorders>
              <w:tl2br w:val="nil"/>
              <w:tr2bl w:val="nil"/>
            </w:tcBorders>
            <w:shd w:val="clear" w:color="auto" w:fill="auto"/>
            <w:noWrap w:val="0"/>
            <w:tcMar>
              <w:top w:w="80" w:type="dxa"/>
              <w:left w:w="80" w:type="dxa"/>
              <w:bottom w:w="80" w:type="dxa"/>
              <w:right w:w="80" w:type="dxa"/>
            </w:tcMar>
            <w:vAlign w:val="center"/>
          </w:tcPr>
          <w:p w14:paraId="0A533DB5">
            <w:pPr>
              <w:spacing w:line="240" w:lineRule="auto"/>
              <w:jc w:val="center"/>
              <w:rPr>
                <w:rFonts w:hint="default" w:ascii="Times New Roman" w:hAnsi="Times New Roman" w:cs="Times New Roman"/>
                <w:sz w:val="24"/>
                <w:szCs w:val="24"/>
              </w:rPr>
            </w:pPr>
            <w:r>
              <w:rPr>
                <w:rFonts w:hint="eastAsia" w:ascii="Times New Roman" w:hAnsi="Times New Roman" w:cs="Times New Roman"/>
                <w:sz w:val="24"/>
                <w:szCs w:val="24"/>
                <w:lang w:val="en-US" w:eastAsia="zh-CN"/>
              </w:rPr>
              <w:t>具体服务</w:t>
            </w:r>
            <w:r>
              <w:rPr>
                <w:rFonts w:hint="default" w:ascii="Times New Roman" w:hAnsi="Times New Roman" w:cs="Times New Roman"/>
                <w:sz w:val="24"/>
                <w:szCs w:val="24"/>
              </w:rPr>
              <w:t>说明</w:t>
            </w:r>
          </w:p>
        </w:tc>
      </w:tr>
      <w:tr w14:paraId="7895E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890"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7DA6B906">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标准服务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6F9B9B09">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巡检范围</w:t>
            </w:r>
          </w:p>
        </w:tc>
        <w:tc>
          <w:tcPr>
            <w:tcW w:w="6131" w:type="dxa"/>
            <w:tcBorders>
              <w:tl2br w:val="nil"/>
              <w:tr2bl w:val="nil"/>
            </w:tcBorders>
            <w:shd w:val="clear" w:color="auto" w:fill="auto"/>
            <w:noWrap w:val="0"/>
            <w:tcMar>
              <w:top w:w="80" w:type="dxa"/>
              <w:left w:w="80" w:type="dxa"/>
              <w:bottom w:w="80" w:type="dxa"/>
              <w:right w:w="80" w:type="dxa"/>
            </w:tcMar>
            <w:vAlign w:val="center"/>
          </w:tcPr>
          <w:p w14:paraId="5175BB4C">
            <w:pPr>
              <w:spacing w:line="240" w:lineRule="auto"/>
              <w:rPr>
                <w:rFonts w:hint="default" w:ascii="Times New Roman" w:hAnsi="Times New Roman" w:cs="Times New Roman"/>
                <w:color w:val="FF0000"/>
                <w:sz w:val="22"/>
                <w:szCs w:val="22"/>
                <w:lang w:val="en-US" w:eastAsia="zh-CN"/>
              </w:rPr>
            </w:pPr>
            <w:r>
              <w:rPr>
                <w:rFonts w:hint="eastAsia" w:ascii="Times New Roman" w:hAnsi="Times New Roman" w:cs="Times New Roman"/>
                <w:color w:val="auto"/>
                <w:sz w:val="24"/>
                <w:szCs w:val="24"/>
                <w:highlight w:val="none"/>
                <w:lang w:val="en-US" w:eastAsia="zh-CN"/>
              </w:rPr>
              <w:t>区数治中心机房中部署的各类主流业务系统数据库，包括但不限于</w:t>
            </w:r>
            <w:r>
              <w:rPr>
                <w:rFonts w:hint="default" w:ascii="Times New Roman" w:hAnsi="Times New Roman" w:cs="Times New Roman"/>
                <w:color w:val="auto"/>
                <w:sz w:val="24"/>
                <w:szCs w:val="24"/>
                <w:highlight w:val="none"/>
                <w:lang w:val="en-US" w:eastAsia="zh-CN"/>
              </w:rPr>
              <w:t>Oracle、MySQL、SQL Server</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PostgreSQL、MongoDB、达梦、</w:t>
            </w:r>
            <w:r>
              <w:rPr>
                <w:rFonts w:hint="eastAsia" w:ascii="Times New Roman" w:hAnsi="Times New Roman" w:cs="Times New Roman"/>
                <w:color w:val="auto"/>
                <w:sz w:val="24"/>
                <w:szCs w:val="24"/>
                <w:highlight w:val="none"/>
                <w:lang w:val="en-US" w:eastAsia="zh-CN"/>
              </w:rPr>
              <w:t>海量、</w:t>
            </w:r>
            <w:r>
              <w:rPr>
                <w:rFonts w:hint="default" w:ascii="Times New Roman" w:hAnsi="Times New Roman" w:cs="Times New Roman"/>
                <w:color w:val="auto"/>
                <w:sz w:val="24"/>
                <w:szCs w:val="24"/>
                <w:highlight w:val="none"/>
                <w:lang w:val="en-US" w:eastAsia="zh-CN"/>
              </w:rPr>
              <w:t>人大金仓等</w:t>
            </w:r>
            <w:r>
              <w:rPr>
                <w:rFonts w:hint="eastAsia" w:ascii="Times New Roman" w:hAnsi="Times New Roman" w:cs="Times New Roman"/>
                <w:color w:val="auto"/>
                <w:sz w:val="24"/>
                <w:szCs w:val="24"/>
                <w:highlight w:val="none"/>
                <w:lang w:val="en-US" w:eastAsia="zh-CN"/>
              </w:rPr>
              <w:t>。</w:t>
            </w:r>
          </w:p>
        </w:tc>
      </w:tr>
      <w:tr w14:paraId="6BD3A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0AD56A41">
            <w:pPr>
              <w:spacing w:line="240" w:lineRule="auto"/>
              <w:rPr>
                <w:rFonts w:hint="default" w:ascii="Times New Roman" w:hAnsi="Times New Roman" w:cs="Times New Roman"/>
                <w:sz w:val="24"/>
                <w:szCs w:val="24"/>
              </w:rPr>
            </w:pPr>
          </w:p>
        </w:tc>
        <w:tc>
          <w:tcPr>
            <w:tcW w:w="1677" w:type="dxa"/>
            <w:vMerge w:val="restart"/>
            <w:tcBorders>
              <w:tl2br w:val="nil"/>
              <w:tr2bl w:val="nil"/>
            </w:tcBorders>
            <w:shd w:val="clear" w:color="auto" w:fill="auto"/>
            <w:noWrap w:val="0"/>
            <w:tcMar>
              <w:top w:w="80" w:type="dxa"/>
              <w:left w:w="80" w:type="dxa"/>
              <w:bottom w:w="80" w:type="dxa"/>
              <w:right w:w="80" w:type="dxa"/>
            </w:tcMar>
            <w:vAlign w:val="center"/>
          </w:tcPr>
          <w:p w14:paraId="557CBC7D">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巡检服务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7DD27A43">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系统相关：</w:t>
            </w:r>
            <w:r>
              <w:rPr>
                <w:rFonts w:hint="default" w:ascii="Times New Roman" w:hAnsi="Times New Roman" w:cs="Times New Roman"/>
                <w:sz w:val="24"/>
                <w:szCs w:val="24"/>
              </w:rPr>
              <w:t>检查操作系统</w:t>
            </w:r>
            <w:r>
              <w:rPr>
                <w:rFonts w:hint="default" w:ascii="Times New Roman" w:hAnsi="Times New Roman" w:cs="Times New Roman"/>
                <w:sz w:val="24"/>
                <w:szCs w:val="24"/>
                <w:lang w:val="en-US" w:eastAsia="zh-CN"/>
              </w:rPr>
              <w:t>资源</w:t>
            </w:r>
            <w:r>
              <w:rPr>
                <w:rFonts w:hint="default" w:ascii="Times New Roman" w:hAnsi="Times New Roman" w:cs="Times New Roman"/>
                <w:sz w:val="24"/>
                <w:szCs w:val="24"/>
              </w:rPr>
              <w:t>、对CPU、</w:t>
            </w:r>
            <w:r>
              <w:rPr>
                <w:rFonts w:hint="default" w:ascii="Times New Roman" w:hAnsi="Times New Roman" w:cs="Times New Roman"/>
                <w:sz w:val="24"/>
                <w:szCs w:val="24"/>
                <w:lang w:val="en-US" w:eastAsia="zh-CN"/>
              </w:rPr>
              <w:t>内存、硬盘空间、</w:t>
            </w:r>
            <w:r>
              <w:rPr>
                <w:rFonts w:hint="default" w:ascii="Times New Roman" w:hAnsi="Times New Roman" w:cs="Times New Roman"/>
                <w:sz w:val="24"/>
                <w:szCs w:val="24"/>
              </w:rPr>
              <w:t>I/O 状态、进程等检查；</w:t>
            </w:r>
          </w:p>
        </w:tc>
      </w:tr>
      <w:tr w14:paraId="3DC4D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61727845">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40125C14">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06A59C7D">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配置检查：数据库结构、初始化参数、字符集、日志设置、版本</w:t>
            </w:r>
            <w:r>
              <w:rPr>
                <w:rFonts w:hint="default" w:ascii="Times New Roman" w:hAnsi="Times New Roman" w:cs="Times New Roman"/>
                <w:sz w:val="24"/>
                <w:szCs w:val="24"/>
                <w:lang w:eastAsia="zh-CN"/>
              </w:rPr>
              <w:t>、</w:t>
            </w:r>
            <w:r>
              <w:rPr>
                <w:rFonts w:hint="default" w:ascii="Times New Roman" w:hAnsi="Times New Roman" w:cs="Times New Roman"/>
                <w:sz w:val="24"/>
                <w:szCs w:val="24"/>
              </w:rPr>
              <w:t>SGA、PGA的配置情况；</w:t>
            </w:r>
          </w:p>
        </w:tc>
      </w:tr>
      <w:tr w14:paraId="0F776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0ABE8BBC">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3881F2E1">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672EF1E0">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空间检查：</w:t>
            </w:r>
            <w:r>
              <w:rPr>
                <w:rFonts w:hint="default" w:ascii="Times New Roman" w:hAnsi="Times New Roman" w:cs="Times New Roman"/>
                <w:sz w:val="24"/>
                <w:szCs w:val="24"/>
              </w:rPr>
              <w:t>统计当前表空间、文件系统和数据文件的使用情况；</w:t>
            </w:r>
          </w:p>
        </w:tc>
      </w:tr>
      <w:tr w14:paraId="3790C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5041F028">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34F7B678">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3E49E081">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日志检查：</w:t>
            </w:r>
            <w:r>
              <w:rPr>
                <w:rFonts w:hint="default" w:ascii="Times New Roman" w:hAnsi="Times New Roman" w:cs="Times New Roman"/>
                <w:sz w:val="24"/>
                <w:szCs w:val="24"/>
              </w:rPr>
              <w:t>检查数据库alert.log日志文件和相关trace文件</w:t>
            </w:r>
            <w:r>
              <w:rPr>
                <w:rFonts w:hint="default" w:ascii="Times New Roman" w:hAnsi="Times New Roman" w:cs="Times New Roman"/>
                <w:sz w:val="24"/>
                <w:szCs w:val="24"/>
                <w:lang w:eastAsia="zh-CN"/>
              </w:rPr>
              <w:t>，</w:t>
            </w:r>
            <w:r>
              <w:rPr>
                <w:rFonts w:hint="default" w:ascii="Times New Roman" w:hAnsi="Times New Roman" w:eastAsia="宋体" w:cs="Times New Roman"/>
                <w:b w:val="0"/>
                <w:kern w:val="2"/>
                <w:sz w:val="24"/>
                <w:szCs w:val="24"/>
                <w:lang w:val="zh-CN" w:eastAsia="zh-CN" w:bidi="ar-SA"/>
              </w:rPr>
              <w:t>了解数据库的运行情况，预防数据丢失或损坏的风险</w:t>
            </w:r>
            <w:r>
              <w:rPr>
                <w:rFonts w:hint="default" w:ascii="Times New Roman" w:hAnsi="Times New Roman" w:cs="Times New Roman"/>
                <w:b w:val="0"/>
                <w:kern w:val="2"/>
                <w:sz w:val="24"/>
                <w:szCs w:val="24"/>
                <w:lang w:val="zh-CN" w:eastAsia="zh-CN" w:bidi="ar-SA"/>
              </w:rPr>
              <w:t>；</w:t>
            </w:r>
          </w:p>
        </w:tc>
      </w:tr>
      <w:tr w14:paraId="5CAE2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51E2DE84">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67877EC3">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39277DBA">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备份情况：</w:t>
            </w:r>
            <w:r>
              <w:rPr>
                <w:rFonts w:hint="default" w:ascii="Times New Roman" w:hAnsi="Times New Roman" w:cs="Times New Roman"/>
                <w:sz w:val="24"/>
                <w:szCs w:val="24"/>
              </w:rPr>
              <w:t>检查数据库备份</w:t>
            </w:r>
            <w:r>
              <w:rPr>
                <w:rFonts w:hint="default" w:ascii="Times New Roman" w:hAnsi="Times New Roman" w:cs="Times New Roman"/>
                <w:sz w:val="24"/>
                <w:szCs w:val="24"/>
                <w:lang w:val="en-US" w:eastAsia="zh-CN"/>
              </w:rPr>
              <w:t>策略、备份频率、备份结果是否正常；</w:t>
            </w:r>
          </w:p>
        </w:tc>
      </w:tr>
      <w:tr w14:paraId="5BB80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54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68115A16">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4AB5DCD8">
            <w:pPr>
              <w:spacing w:line="240" w:lineRule="auto"/>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22BC27C1">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巡检频率：针对以上内容</w:t>
            </w:r>
            <w:r>
              <w:rPr>
                <w:rFonts w:hint="default" w:ascii="Times New Roman" w:hAnsi="Times New Roman" w:eastAsia="宋体" w:cs="Times New Roman"/>
                <w:b w:val="0"/>
                <w:kern w:val="2"/>
                <w:sz w:val="24"/>
                <w:szCs w:val="24"/>
                <w:lang w:val="zh-CN" w:eastAsia="zh-CN" w:bidi="ar-SA"/>
              </w:rPr>
              <w:t>至少每月提供</w:t>
            </w:r>
            <w:r>
              <w:rPr>
                <w:rFonts w:hint="default" w:ascii="Times New Roman" w:hAnsi="Times New Roman" w:cs="Times New Roman"/>
                <w:b w:val="0"/>
                <w:kern w:val="2"/>
                <w:sz w:val="24"/>
                <w:szCs w:val="24"/>
                <w:lang w:val="en-US" w:eastAsia="zh-CN" w:bidi="ar-SA"/>
              </w:rPr>
              <w:t>1次</w:t>
            </w:r>
            <w:r>
              <w:rPr>
                <w:rFonts w:hint="default" w:ascii="Times New Roman" w:hAnsi="Times New Roman" w:eastAsia="宋体" w:cs="Times New Roman"/>
                <w:b w:val="0"/>
                <w:kern w:val="2"/>
                <w:sz w:val="24"/>
                <w:szCs w:val="24"/>
                <w:lang w:val="zh-CN" w:eastAsia="zh-CN" w:bidi="ar-SA"/>
              </w:rPr>
              <w:t>(12次/年)数据库月度巡检</w:t>
            </w:r>
            <w:r>
              <w:rPr>
                <w:rFonts w:hint="default" w:ascii="Times New Roman" w:hAnsi="Times New Roman" w:cs="Times New Roman"/>
                <w:b w:val="0"/>
                <w:kern w:val="2"/>
                <w:sz w:val="24"/>
                <w:szCs w:val="24"/>
                <w:lang w:val="en-US" w:eastAsia="zh-CN" w:bidi="ar-SA"/>
              </w:rPr>
              <w:t>服务，</w:t>
            </w:r>
            <w:r>
              <w:rPr>
                <w:rFonts w:hint="default" w:ascii="Times New Roman" w:hAnsi="Times New Roman" w:cs="Times New Roman"/>
                <w:sz w:val="24"/>
                <w:szCs w:val="24"/>
              </w:rPr>
              <w:t>出具</w:t>
            </w:r>
            <w:r>
              <w:rPr>
                <w:rFonts w:hint="default" w:ascii="Times New Roman" w:hAnsi="Times New Roman" w:cs="Times New Roman"/>
                <w:sz w:val="24"/>
                <w:szCs w:val="24"/>
                <w:lang w:val="en-US" w:eastAsia="zh-CN"/>
              </w:rPr>
              <w:t>巡检</w:t>
            </w:r>
            <w:r>
              <w:rPr>
                <w:rFonts w:hint="default" w:ascii="Times New Roman" w:hAnsi="Times New Roman" w:cs="Times New Roman"/>
                <w:sz w:val="24"/>
                <w:szCs w:val="24"/>
              </w:rPr>
              <w:t>报告</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每半年形成一次巡检服务总结。</w:t>
            </w:r>
          </w:p>
        </w:tc>
      </w:tr>
      <w:tr w14:paraId="3020C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42486AB3">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50500C37">
            <w:pPr>
              <w:widowControl/>
              <w:spacing w:line="240" w:lineRule="auto"/>
              <w:textAlignment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提供数据库</w:t>
            </w:r>
            <w:r>
              <w:rPr>
                <w:rFonts w:hint="default" w:ascii="Times New Roman" w:hAnsi="Times New Roman" w:cs="Times New Roman"/>
                <w:sz w:val="24"/>
                <w:szCs w:val="24"/>
                <w:lang w:val="en-US" w:eastAsia="zh-CN"/>
              </w:rPr>
              <w:t>远程</w:t>
            </w:r>
            <w:r>
              <w:rPr>
                <w:rFonts w:hint="default" w:ascii="Times New Roman" w:hAnsi="Times New Roman" w:cs="Times New Roman"/>
                <w:sz w:val="24"/>
                <w:szCs w:val="24"/>
              </w:rPr>
              <w:t>故障处理、咨询服务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5F8DEC37">
            <w:pPr>
              <w:spacing w:line="240" w:lineRule="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提供7*24小时</w:t>
            </w:r>
            <w:r>
              <w:rPr>
                <w:rFonts w:hint="default" w:ascii="Times New Roman" w:hAnsi="Times New Roman" w:cs="Times New Roman"/>
                <w:sz w:val="24"/>
                <w:szCs w:val="24"/>
                <w:lang w:val="en-US" w:eastAsia="zh-CN"/>
              </w:rPr>
              <w:t>远程服务：</w:t>
            </w:r>
            <w:r>
              <w:rPr>
                <w:rFonts w:hint="default" w:ascii="Times New Roman" w:hAnsi="Times New Roman" w:cs="Times New Roman"/>
                <w:sz w:val="24"/>
                <w:szCs w:val="24"/>
              </w:rPr>
              <w:t>通过电话</w:t>
            </w:r>
            <w:r>
              <w:rPr>
                <w:rFonts w:hint="default" w:ascii="Times New Roman" w:hAnsi="Times New Roman" w:cs="Times New Roman"/>
                <w:sz w:val="24"/>
                <w:szCs w:val="24"/>
                <w:lang w:val="en-US" w:eastAsia="zh-CN"/>
              </w:rPr>
              <w:t>、QQ、</w:t>
            </w:r>
            <w:r>
              <w:rPr>
                <w:rFonts w:hint="eastAsia" w:ascii="Times New Roman" w:hAnsi="Times New Roman" w:cs="Times New Roman"/>
                <w:sz w:val="24"/>
                <w:szCs w:val="24"/>
                <w:lang w:val="en-US" w:eastAsia="zh-CN"/>
              </w:rPr>
              <w:t>TODESK</w:t>
            </w:r>
            <w:r>
              <w:rPr>
                <w:rFonts w:hint="default" w:ascii="Times New Roman" w:hAnsi="Times New Roman" w:cs="Times New Roman"/>
                <w:sz w:val="24"/>
                <w:szCs w:val="24"/>
                <w:lang w:val="en-US" w:eastAsia="zh-CN"/>
              </w:rPr>
              <w:t>、VPN、邮件等方式处理故障或者接受咨询，</w:t>
            </w:r>
            <w:r>
              <w:rPr>
                <w:rFonts w:hint="default" w:ascii="Times New Roman" w:hAnsi="Times New Roman" w:cs="Times New Roman"/>
                <w:sz w:val="24"/>
                <w:szCs w:val="24"/>
                <w:lang w:val="zh-CN" w:eastAsia="zh-CN"/>
              </w:rPr>
              <w:t>并实现远程信息化支持服务，能具备随时在线的远程快速响</w:t>
            </w:r>
            <w:r>
              <w:rPr>
                <w:rFonts w:hint="default" w:ascii="Times New Roman" w:hAnsi="Times New Roman" w:cs="Times New Roman"/>
                <w:sz w:val="24"/>
                <w:szCs w:val="24"/>
                <w:lang w:val="zh-CN"/>
              </w:rPr>
              <w:t>应能力，确保在接到</w:t>
            </w:r>
            <w:r>
              <w:rPr>
                <w:rFonts w:hint="default" w:ascii="Times New Roman" w:hAnsi="Times New Roman" w:cs="Times New Roman"/>
                <w:sz w:val="24"/>
                <w:szCs w:val="24"/>
                <w:lang w:val="en-US" w:eastAsia="zh-CN"/>
              </w:rPr>
              <w:t>数据库</w:t>
            </w:r>
            <w:r>
              <w:rPr>
                <w:rFonts w:hint="default" w:ascii="Times New Roman" w:hAnsi="Times New Roman" w:cs="Times New Roman"/>
                <w:sz w:val="24"/>
                <w:szCs w:val="24"/>
                <w:lang w:val="zh-CN"/>
              </w:rPr>
              <w:t>技术支持需求的第一时间做出反应，迅速制定有效的应对策略，采取果断的行动。包括但不限于及时进行紧急修复、协助处理突发故障、解决技术难题、调整</w:t>
            </w:r>
            <w:r>
              <w:rPr>
                <w:rFonts w:hint="default" w:ascii="Times New Roman" w:hAnsi="Times New Roman" w:cs="Times New Roman"/>
                <w:sz w:val="24"/>
                <w:szCs w:val="24"/>
                <w:lang w:val="en-US" w:eastAsia="zh-CN"/>
              </w:rPr>
              <w:t>数据库</w:t>
            </w:r>
            <w:r>
              <w:rPr>
                <w:rFonts w:hint="default" w:ascii="Times New Roman" w:hAnsi="Times New Roman" w:cs="Times New Roman"/>
                <w:sz w:val="24"/>
                <w:szCs w:val="24"/>
                <w:lang w:val="zh-CN"/>
              </w:rPr>
              <w:t>配置等，以最大程度减少故障对工作的影响。同时还能够持续跟进和监测，确保问题得到彻底解决，避免问题的再次发生，并且不断总结经验教训，为系统、平台的稳定运行提供坚实可靠的技术支持，保障各项运维工作的顺利开展，</w:t>
            </w:r>
            <w:r>
              <w:rPr>
                <w:rFonts w:hint="default" w:ascii="Times New Roman" w:hAnsi="Times New Roman" w:cs="Times New Roman"/>
                <w:sz w:val="24"/>
                <w:szCs w:val="24"/>
              </w:rPr>
              <w:t>每次故障解决后提供故障报告</w:t>
            </w:r>
            <w:r>
              <w:rPr>
                <w:rFonts w:hint="eastAsia" w:ascii="Times New Roman" w:hAnsi="Times New Roman" w:cs="Times New Roman"/>
                <w:sz w:val="24"/>
                <w:szCs w:val="24"/>
                <w:lang w:eastAsia="zh-CN"/>
              </w:rPr>
              <w:t>。</w:t>
            </w:r>
          </w:p>
        </w:tc>
      </w:tr>
      <w:tr w14:paraId="560AA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63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6B010176">
            <w:pPr>
              <w:spacing w:line="240" w:lineRule="auto"/>
              <w:rPr>
                <w:rFonts w:hint="default" w:ascii="Times New Roman" w:hAnsi="Times New Roman" w:cs="Times New Roman"/>
                <w:sz w:val="24"/>
                <w:szCs w:val="24"/>
              </w:rPr>
            </w:pPr>
          </w:p>
        </w:tc>
        <w:tc>
          <w:tcPr>
            <w:tcW w:w="1677" w:type="dxa"/>
            <w:vMerge w:val="restart"/>
            <w:tcBorders>
              <w:tl2br w:val="nil"/>
              <w:tr2bl w:val="nil"/>
            </w:tcBorders>
            <w:shd w:val="clear" w:color="auto" w:fill="auto"/>
            <w:noWrap w:val="0"/>
            <w:tcMar>
              <w:top w:w="80" w:type="dxa"/>
              <w:left w:w="80" w:type="dxa"/>
              <w:bottom w:w="80" w:type="dxa"/>
              <w:right w:w="80" w:type="dxa"/>
            </w:tcMar>
            <w:vAlign w:val="center"/>
          </w:tcPr>
          <w:p w14:paraId="63A4F1FB">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提供数据库现场应急保障支持服务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9BA803F">
            <w:pPr>
              <w:spacing w:line="240" w:lineRule="auto"/>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rPr>
              <w:t>重大变更</w:t>
            </w:r>
            <w:r>
              <w:rPr>
                <w:rFonts w:hint="default" w:ascii="Times New Roman" w:hAnsi="Times New Roman" w:cs="Times New Roman"/>
                <w:sz w:val="24"/>
                <w:szCs w:val="24"/>
                <w:lang w:eastAsia="zh-CN"/>
              </w:rPr>
              <w:t>：</w:t>
            </w:r>
            <w:r>
              <w:rPr>
                <w:rFonts w:hint="default" w:ascii="Times New Roman" w:hAnsi="Times New Roman" w:cs="Times New Roman"/>
                <w:sz w:val="24"/>
                <w:szCs w:val="24"/>
              </w:rPr>
              <w:t>如重要业务</w:t>
            </w:r>
            <w:r>
              <w:rPr>
                <w:rFonts w:hint="default" w:ascii="Times New Roman" w:hAnsi="Times New Roman" w:cs="Times New Roman"/>
                <w:sz w:val="24"/>
                <w:szCs w:val="24"/>
                <w:lang w:val="en-US" w:eastAsia="zh-CN"/>
              </w:rPr>
              <w:t>系统</w:t>
            </w:r>
            <w:r>
              <w:rPr>
                <w:rFonts w:hint="default" w:ascii="Times New Roman" w:hAnsi="Times New Roman" w:cs="Times New Roman"/>
                <w:sz w:val="24"/>
                <w:szCs w:val="24"/>
              </w:rPr>
              <w:t>上线护航，数据库迁移支持，数据库升级，数据库恢复演练等</w:t>
            </w:r>
            <w:r>
              <w:rPr>
                <w:rFonts w:hint="eastAsia" w:ascii="Times New Roman" w:hAnsi="Times New Roman" w:cs="Times New Roman"/>
                <w:sz w:val="24"/>
                <w:szCs w:val="24"/>
                <w:lang w:eastAsia="zh-CN"/>
              </w:rPr>
              <w:t>；</w:t>
            </w:r>
          </w:p>
        </w:tc>
      </w:tr>
      <w:tr w14:paraId="2BD55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562"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5D1D5467">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5FD41922">
            <w:pPr>
              <w:widowControl/>
              <w:spacing w:line="240" w:lineRule="auto"/>
              <w:textAlignment w:val="center"/>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1904A5C8">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重要时段</w:t>
            </w:r>
            <w:r>
              <w:rPr>
                <w:rFonts w:hint="default" w:ascii="Times New Roman" w:hAnsi="Times New Roman" w:cs="Times New Roman"/>
                <w:sz w:val="24"/>
                <w:szCs w:val="24"/>
                <w:lang w:eastAsia="zh-CN"/>
              </w:rPr>
              <w:t>：</w:t>
            </w:r>
            <w:r>
              <w:rPr>
                <w:rFonts w:hint="default" w:ascii="Times New Roman" w:hAnsi="Times New Roman" w:cs="Times New Roman"/>
                <w:sz w:val="24"/>
                <w:szCs w:val="24"/>
              </w:rPr>
              <w:t>提供（如节假日，停机维护以及用户认为必要的重要时段）的重要</w:t>
            </w:r>
            <w:r>
              <w:rPr>
                <w:rFonts w:hint="default" w:ascii="Times New Roman" w:hAnsi="Times New Roman" w:cs="Times New Roman"/>
                <w:sz w:val="24"/>
                <w:szCs w:val="24"/>
                <w:lang w:val="en-US" w:eastAsia="zh-CN"/>
              </w:rPr>
              <w:t>现场</w:t>
            </w:r>
            <w:r>
              <w:rPr>
                <w:rFonts w:hint="default" w:ascii="Times New Roman" w:hAnsi="Times New Roman" w:cs="Times New Roman"/>
                <w:sz w:val="24"/>
                <w:szCs w:val="24"/>
              </w:rPr>
              <w:t>保障</w:t>
            </w:r>
            <w:r>
              <w:rPr>
                <w:rFonts w:hint="eastAsia" w:ascii="Times New Roman" w:hAnsi="Times New Roman" w:cs="Times New Roman"/>
                <w:sz w:val="24"/>
                <w:szCs w:val="24"/>
                <w:lang w:eastAsia="zh-CN"/>
              </w:rPr>
              <w:t>；</w:t>
            </w:r>
          </w:p>
        </w:tc>
      </w:tr>
      <w:tr w14:paraId="28CF7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562"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2E3FB674">
            <w:pPr>
              <w:spacing w:line="240" w:lineRule="auto"/>
              <w:rPr>
                <w:rFonts w:hint="default" w:ascii="Times New Roman" w:hAnsi="Times New Roman" w:cs="Times New Roman"/>
                <w:sz w:val="24"/>
                <w:szCs w:val="24"/>
              </w:rPr>
            </w:pPr>
          </w:p>
        </w:tc>
        <w:tc>
          <w:tcPr>
            <w:tcW w:w="1677" w:type="dxa"/>
            <w:vMerge w:val="continue"/>
            <w:tcBorders>
              <w:tl2br w:val="nil"/>
              <w:tr2bl w:val="nil"/>
            </w:tcBorders>
            <w:shd w:val="clear" w:color="auto" w:fill="auto"/>
            <w:noWrap w:val="0"/>
            <w:tcMar>
              <w:top w:w="80" w:type="dxa"/>
              <w:left w:w="80" w:type="dxa"/>
              <w:bottom w:w="80" w:type="dxa"/>
              <w:right w:w="80" w:type="dxa"/>
            </w:tcMar>
            <w:vAlign w:val="center"/>
          </w:tcPr>
          <w:p w14:paraId="59DD8C0E">
            <w:pPr>
              <w:widowControl/>
              <w:spacing w:line="240" w:lineRule="auto"/>
              <w:textAlignment w:val="center"/>
              <w:rPr>
                <w:rFonts w:hint="default" w:ascii="Times New Roman" w:hAnsi="Times New Roman" w:cs="Times New Roman"/>
                <w:sz w:val="24"/>
                <w:szCs w:val="24"/>
              </w:rPr>
            </w:pPr>
          </w:p>
        </w:tc>
        <w:tc>
          <w:tcPr>
            <w:tcW w:w="6131" w:type="dxa"/>
            <w:tcBorders>
              <w:tl2br w:val="nil"/>
              <w:tr2bl w:val="nil"/>
            </w:tcBorders>
            <w:shd w:val="clear" w:color="auto" w:fill="auto"/>
            <w:noWrap w:val="0"/>
            <w:tcMar>
              <w:top w:w="80" w:type="dxa"/>
              <w:left w:w="80" w:type="dxa"/>
              <w:bottom w:w="80" w:type="dxa"/>
              <w:right w:w="80" w:type="dxa"/>
            </w:tcMar>
            <w:vAlign w:val="center"/>
          </w:tcPr>
          <w:p w14:paraId="18E7CD7D">
            <w:pPr>
              <w:spacing w:line="240" w:lineRule="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现场服务：</w:t>
            </w:r>
            <w:r>
              <w:rPr>
                <w:rFonts w:hint="default" w:ascii="Times New Roman" w:hAnsi="Times New Roman" w:cs="Times New Roman"/>
                <w:sz w:val="24"/>
                <w:szCs w:val="24"/>
                <w:lang w:val="zh-CN"/>
              </w:rPr>
              <w:t>当</w:t>
            </w:r>
            <w:r>
              <w:rPr>
                <w:rFonts w:hint="default" w:ascii="Times New Roman" w:hAnsi="Times New Roman" w:cs="Times New Roman"/>
                <w:sz w:val="24"/>
                <w:szCs w:val="24"/>
              </w:rPr>
              <w:t>因硬件、软件或人为等各种原因</w:t>
            </w:r>
            <w:r>
              <w:rPr>
                <w:rFonts w:hint="default" w:ascii="Times New Roman" w:hAnsi="Times New Roman" w:cs="Times New Roman"/>
                <w:sz w:val="24"/>
                <w:szCs w:val="24"/>
                <w:lang w:val="zh-CN"/>
              </w:rPr>
              <w:t>发生突发性故障时，如数据库宕机、数据坏块、数据库BUG等严重影响正常生产运行的数据库故障</w:t>
            </w:r>
            <w:r>
              <w:rPr>
                <w:rFonts w:hint="default" w:ascii="Times New Roman" w:hAnsi="Times New Roman" w:cs="Times New Roman"/>
                <w:sz w:val="24"/>
                <w:szCs w:val="24"/>
                <w:lang w:val="en-US" w:eastAsia="zh-CN"/>
              </w:rPr>
              <w:t>时</w:t>
            </w:r>
            <w:r>
              <w:rPr>
                <w:rFonts w:hint="default" w:ascii="Times New Roman" w:hAnsi="Times New Roman" w:cs="Times New Roman"/>
                <w:sz w:val="24"/>
                <w:szCs w:val="24"/>
                <w:lang w:val="zh-CN"/>
              </w:rPr>
              <w:t>，必须派出工程师并在</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val="zh-CN"/>
              </w:rPr>
              <w:t>小时内到达招标方现场。以最小的代价进行数据库恢复，以最大限度降低故障对招标人的业务环境带来的负面影响，同时记录故障的恢复过程。</w:t>
            </w:r>
          </w:p>
        </w:tc>
      </w:tr>
      <w:tr w14:paraId="11A87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57BEE7A2">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5E29E84D">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提供数据库日常主动性咨询服务（预防性）</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B4DDDBE">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根据隐患进行针对性调整，针对数据库运行的条件需求变动向客户主动提出适应性的咨询调整服务。</w:t>
            </w:r>
          </w:p>
        </w:tc>
      </w:tr>
      <w:tr w14:paraId="1188C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1274" w:type="dxa"/>
            <w:vMerge w:val="restart"/>
            <w:tcBorders>
              <w:tl2br w:val="nil"/>
              <w:tr2bl w:val="nil"/>
            </w:tcBorders>
            <w:shd w:val="clear" w:color="auto" w:fill="auto"/>
            <w:noWrap w:val="0"/>
            <w:vAlign w:val="center"/>
          </w:tcPr>
          <w:p w14:paraId="76892A63">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迁移支持服务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65DB46AC">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提供数据库标准化迁移方案咨询服务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65DCEA62">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对需求迁移的数据库源端以及目标端环境（数据量，数据库版本，机器配置，应用架构，停机窗口等）</w:t>
            </w:r>
            <w:r>
              <w:rPr>
                <w:rFonts w:hint="default" w:ascii="Times New Roman" w:hAnsi="Times New Roman" w:cs="Times New Roman"/>
                <w:sz w:val="24"/>
                <w:szCs w:val="24"/>
                <w:lang w:val="en-US" w:eastAsia="zh-CN"/>
              </w:rPr>
              <w:t>进行建议，</w:t>
            </w:r>
            <w:r>
              <w:rPr>
                <w:rFonts w:hint="default" w:ascii="Times New Roman" w:hAnsi="Times New Roman" w:cs="Times New Roman"/>
                <w:sz w:val="24"/>
                <w:szCs w:val="24"/>
              </w:rPr>
              <w:t>提出相应符合实际情况的迁移技术方案</w:t>
            </w:r>
            <w:r>
              <w:rPr>
                <w:rFonts w:hint="eastAsia" w:ascii="Times New Roman" w:hAnsi="Times New Roman" w:cs="Times New Roman"/>
                <w:sz w:val="24"/>
                <w:szCs w:val="24"/>
                <w:lang w:eastAsia="zh-CN"/>
              </w:rPr>
              <w:t>。</w:t>
            </w:r>
          </w:p>
        </w:tc>
      </w:tr>
      <w:tr w14:paraId="5A1FC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1274" w:type="dxa"/>
            <w:vMerge w:val="continue"/>
            <w:tcBorders>
              <w:tl2br w:val="nil"/>
              <w:tr2bl w:val="nil"/>
            </w:tcBorders>
            <w:shd w:val="clear" w:color="auto" w:fill="auto"/>
            <w:noWrap w:val="0"/>
            <w:vAlign w:val="top"/>
          </w:tcPr>
          <w:p w14:paraId="78AF6340">
            <w:pPr>
              <w:spacing w:line="240" w:lineRule="auto"/>
              <w:jc w:val="center"/>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7161307A">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数据库迁移支持服务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A3DF43C">
            <w:pPr>
              <w:spacing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eastAsia="zh-CN"/>
              </w:rPr>
              <w:t>数据库迁移时按甲方要求及时的进行参与，确保迁移的顺利进行</w:t>
            </w:r>
            <w:r>
              <w:rPr>
                <w:rFonts w:hint="eastAsia" w:ascii="Times New Roman" w:hAnsi="Times New Roman" w:cs="Times New Roman"/>
                <w:sz w:val="24"/>
                <w:szCs w:val="24"/>
                <w:lang w:val="en-US" w:eastAsia="zh-CN"/>
              </w:rPr>
              <w:t>。</w:t>
            </w:r>
          </w:p>
        </w:tc>
      </w:tr>
      <w:tr w14:paraId="6D000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jc w:val="center"/>
        </w:trPr>
        <w:tc>
          <w:tcPr>
            <w:tcW w:w="1274" w:type="dxa"/>
            <w:vMerge w:val="continue"/>
            <w:tcBorders>
              <w:tl2br w:val="nil"/>
              <w:tr2bl w:val="nil"/>
            </w:tcBorders>
            <w:shd w:val="clear" w:color="auto" w:fill="auto"/>
            <w:noWrap w:val="0"/>
            <w:vAlign w:val="top"/>
          </w:tcPr>
          <w:p w14:paraId="5339C0D0">
            <w:pPr>
              <w:spacing w:line="240" w:lineRule="auto"/>
              <w:jc w:val="center"/>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2897C7A3">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迁移后</w:t>
            </w:r>
            <w:r>
              <w:rPr>
                <w:rFonts w:hint="default" w:ascii="Times New Roman" w:hAnsi="Times New Roman" w:cs="Times New Roman"/>
                <w:sz w:val="24"/>
                <w:szCs w:val="24"/>
              </w:rPr>
              <w:t>测试服务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0B964B4C">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主要测试数据有效性，协助用户提供业务数据库</w:t>
            </w:r>
            <w:r>
              <w:rPr>
                <w:rFonts w:hint="default" w:ascii="Times New Roman" w:hAnsi="Times New Roman" w:cs="Times New Roman"/>
                <w:sz w:val="24"/>
                <w:szCs w:val="24"/>
                <w:lang w:val="en-US" w:eastAsia="zh-CN"/>
              </w:rPr>
              <w:t>AWR</w:t>
            </w:r>
            <w:r>
              <w:rPr>
                <w:rFonts w:hint="default" w:ascii="Times New Roman" w:hAnsi="Times New Roman" w:cs="Times New Roman"/>
                <w:sz w:val="24"/>
                <w:szCs w:val="24"/>
              </w:rPr>
              <w:t>性能报表</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并对报表进行分析</w:t>
            </w:r>
            <w:r>
              <w:rPr>
                <w:rFonts w:hint="eastAsia" w:ascii="Times New Roman" w:hAnsi="Times New Roman" w:cs="Times New Roman"/>
                <w:sz w:val="24"/>
                <w:szCs w:val="24"/>
                <w:lang w:val="en-US" w:eastAsia="zh-CN"/>
              </w:rPr>
              <w:t>。</w:t>
            </w:r>
          </w:p>
        </w:tc>
      </w:tr>
      <w:tr w14:paraId="1222D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1274" w:type="dxa"/>
            <w:vMerge w:val="continue"/>
            <w:tcBorders>
              <w:tl2br w:val="nil"/>
              <w:tr2bl w:val="nil"/>
            </w:tcBorders>
            <w:shd w:val="clear" w:color="auto" w:fill="auto"/>
            <w:noWrap w:val="0"/>
            <w:vAlign w:val="top"/>
          </w:tcPr>
          <w:p w14:paraId="1D9A1BEA">
            <w:pPr>
              <w:spacing w:line="240" w:lineRule="auto"/>
              <w:jc w:val="center"/>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0133A821">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业务上线护航服务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16DDBA9">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为业务上线后对新业务性能情况进行持续一段时间的跟踪（包括性能波动，数据增长，连接数量），保障业务稳定上线运行。</w:t>
            </w:r>
          </w:p>
        </w:tc>
      </w:tr>
      <w:tr w14:paraId="22C96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09A1D73F">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性能调优服务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35BA55E2">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调整影响数据库运行效率的参数</w:t>
            </w:r>
          </w:p>
        </w:tc>
        <w:tc>
          <w:tcPr>
            <w:tcW w:w="6131" w:type="dxa"/>
            <w:tcBorders>
              <w:tl2br w:val="nil"/>
              <w:tr2bl w:val="nil"/>
            </w:tcBorders>
            <w:shd w:val="clear" w:color="auto" w:fill="auto"/>
            <w:noWrap w:val="0"/>
            <w:tcMar>
              <w:top w:w="80" w:type="dxa"/>
              <w:left w:w="80" w:type="dxa"/>
              <w:bottom w:w="80" w:type="dxa"/>
              <w:right w:w="80" w:type="dxa"/>
            </w:tcMar>
            <w:vAlign w:val="center"/>
          </w:tcPr>
          <w:p w14:paraId="354A636F">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以调整数据库参数，与数据相关的系统参数为主。</w:t>
            </w:r>
          </w:p>
        </w:tc>
      </w:tr>
      <w:tr w14:paraId="672E3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jc w:val="center"/>
        </w:trPr>
        <w:tc>
          <w:tcPr>
            <w:tcW w:w="1274" w:type="dxa"/>
            <w:vMerge w:val="continue"/>
            <w:tcBorders>
              <w:tl2br w:val="nil"/>
              <w:tr2bl w:val="nil"/>
            </w:tcBorders>
            <w:shd w:val="clear" w:color="auto" w:fill="auto"/>
            <w:noWrap w:val="0"/>
            <w:vAlign w:val="top"/>
          </w:tcPr>
          <w:p w14:paraId="2771843C">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090508D9">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提供影响数据库运行效率的SQL语句</w:t>
            </w:r>
          </w:p>
        </w:tc>
        <w:tc>
          <w:tcPr>
            <w:tcW w:w="6131" w:type="dxa"/>
            <w:tcBorders>
              <w:tl2br w:val="nil"/>
              <w:tr2bl w:val="nil"/>
            </w:tcBorders>
            <w:shd w:val="clear" w:color="auto" w:fill="auto"/>
            <w:noWrap w:val="0"/>
            <w:tcMar>
              <w:top w:w="80" w:type="dxa"/>
              <w:left w:w="80" w:type="dxa"/>
              <w:bottom w:w="80" w:type="dxa"/>
              <w:right w:w="80" w:type="dxa"/>
            </w:tcMar>
            <w:vAlign w:val="center"/>
          </w:tcPr>
          <w:p w14:paraId="77048F7C">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属于发现用户层相关问题，对耗用资源的TOP SQL进行分析并提出解决方法</w:t>
            </w:r>
            <w:r>
              <w:rPr>
                <w:rFonts w:hint="eastAsia" w:ascii="Times New Roman" w:hAnsi="Times New Roman" w:cs="Times New Roman"/>
                <w:sz w:val="24"/>
                <w:szCs w:val="24"/>
                <w:lang w:eastAsia="zh-CN"/>
              </w:rPr>
              <w:t>。</w:t>
            </w:r>
          </w:p>
        </w:tc>
      </w:tr>
      <w:tr w14:paraId="2E95A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835" w:hRule="atLeast"/>
          <w:jc w:val="center"/>
        </w:trPr>
        <w:tc>
          <w:tcPr>
            <w:tcW w:w="1274" w:type="dxa"/>
            <w:vMerge w:val="continue"/>
            <w:tcBorders>
              <w:tl2br w:val="nil"/>
              <w:tr2bl w:val="nil"/>
            </w:tcBorders>
            <w:shd w:val="clear" w:color="auto" w:fill="auto"/>
            <w:noWrap w:val="0"/>
            <w:vAlign w:val="top"/>
          </w:tcPr>
          <w:p w14:paraId="7D098844">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26312519">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提供影响数据库运行效率的数据库对象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04A7C815">
            <w:pPr>
              <w:spacing w:line="240" w:lineRule="auto"/>
              <w:rPr>
                <w:rFonts w:hint="default" w:ascii="Times New Roman" w:hAnsi="Times New Roman" w:cs="Times New Roman"/>
                <w:sz w:val="24"/>
                <w:szCs w:val="24"/>
              </w:rPr>
            </w:pPr>
            <w:r>
              <w:rPr>
                <w:rFonts w:hint="default" w:ascii="Times New Roman" w:hAnsi="Times New Roman" w:cs="Times New Roman"/>
                <w:sz w:val="24"/>
                <w:szCs w:val="24"/>
              </w:rPr>
              <w:t>属于发现用户层相关问题，在出现性能问题时候，分析相关SQL表结构合理性，索引规划合理性，数据分部，对象统计信息，对象碎片等，并提出相应的优化方案。</w:t>
            </w:r>
          </w:p>
        </w:tc>
      </w:tr>
      <w:tr w14:paraId="64756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319" w:hRule="atLeast"/>
          <w:jc w:val="center"/>
        </w:trPr>
        <w:tc>
          <w:tcPr>
            <w:tcW w:w="1274" w:type="dxa"/>
            <w:vMerge w:val="continue"/>
            <w:tcBorders>
              <w:tl2br w:val="nil"/>
              <w:tr2bl w:val="nil"/>
            </w:tcBorders>
            <w:shd w:val="clear" w:color="auto" w:fill="auto"/>
            <w:noWrap w:val="0"/>
            <w:vAlign w:val="top"/>
          </w:tcPr>
          <w:p w14:paraId="59B521BB">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0AF1E1CE">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提供影响应用运行效率的模块</w:t>
            </w:r>
          </w:p>
        </w:tc>
        <w:tc>
          <w:tcPr>
            <w:tcW w:w="6131" w:type="dxa"/>
            <w:tcBorders>
              <w:tl2br w:val="nil"/>
              <w:tr2bl w:val="nil"/>
            </w:tcBorders>
            <w:shd w:val="clear" w:color="auto" w:fill="auto"/>
            <w:noWrap w:val="0"/>
            <w:tcMar>
              <w:top w:w="80" w:type="dxa"/>
              <w:left w:w="80" w:type="dxa"/>
              <w:bottom w:w="80" w:type="dxa"/>
              <w:right w:w="80" w:type="dxa"/>
            </w:tcMar>
            <w:vAlign w:val="center"/>
          </w:tcPr>
          <w:p w14:paraId="343BE90D">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属于实例用户层问题，在出现性能问题时候，提供运行性能效率差的模块信息，比如客户端，执行时间，执行次数，开销等信息</w:t>
            </w:r>
            <w:r>
              <w:rPr>
                <w:rFonts w:hint="eastAsia" w:ascii="Times New Roman" w:hAnsi="Times New Roman" w:cs="Times New Roman"/>
                <w:sz w:val="24"/>
                <w:szCs w:val="24"/>
                <w:lang w:eastAsia="zh-CN"/>
              </w:rPr>
              <w:t>。</w:t>
            </w:r>
          </w:p>
        </w:tc>
      </w:tr>
      <w:tr w14:paraId="37B3D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478" w:hRule="atLeast"/>
          <w:jc w:val="center"/>
        </w:trPr>
        <w:tc>
          <w:tcPr>
            <w:tcW w:w="1274" w:type="dxa"/>
            <w:vMerge w:val="continue"/>
            <w:tcBorders>
              <w:tl2br w:val="nil"/>
              <w:tr2bl w:val="nil"/>
            </w:tcBorders>
            <w:shd w:val="clear" w:color="auto" w:fill="auto"/>
            <w:noWrap w:val="0"/>
            <w:vAlign w:val="top"/>
          </w:tcPr>
          <w:p w14:paraId="5D7EE560">
            <w:pPr>
              <w:spacing w:line="240" w:lineRule="auto"/>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5E17DE2E">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突发性的数据库性能故障处理</w:t>
            </w:r>
          </w:p>
        </w:tc>
        <w:tc>
          <w:tcPr>
            <w:tcW w:w="6131" w:type="dxa"/>
            <w:tcBorders>
              <w:tl2br w:val="nil"/>
              <w:tr2bl w:val="nil"/>
            </w:tcBorders>
            <w:shd w:val="clear" w:color="auto" w:fill="auto"/>
            <w:noWrap w:val="0"/>
            <w:tcMar>
              <w:top w:w="80" w:type="dxa"/>
              <w:left w:w="80" w:type="dxa"/>
              <w:bottom w:w="80" w:type="dxa"/>
              <w:right w:w="80" w:type="dxa"/>
            </w:tcMar>
            <w:vAlign w:val="center"/>
          </w:tcPr>
          <w:p w14:paraId="708606D2">
            <w:pPr>
              <w:spacing w:line="240" w:lineRule="auto"/>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在出现性能故障时候，收集系统以及数据库性能数据，对该数据进行检查，并对有可能造成系统性能下降的因素进行评估，识别需要修改的资源占用严重的结构化查询语言语句、过程锁定冲突和资源占用严重的程序，以及CPU</w:t>
            </w:r>
            <w:r>
              <w:rPr>
                <w:rFonts w:hint="eastAsia" w:ascii="Times New Roman" w:hAnsi="Times New Roman" w:cs="Times New Roman"/>
                <w:sz w:val="24"/>
                <w:szCs w:val="24"/>
                <w:lang w:eastAsia="zh-CN"/>
              </w:rPr>
              <w:t>、</w:t>
            </w:r>
            <w:r>
              <w:rPr>
                <w:rFonts w:hint="default" w:ascii="Times New Roman" w:hAnsi="Times New Roman" w:cs="Times New Roman"/>
                <w:sz w:val="24"/>
                <w:szCs w:val="24"/>
              </w:rPr>
              <w:t>IO</w:t>
            </w:r>
            <w:r>
              <w:rPr>
                <w:rFonts w:hint="eastAsia" w:ascii="Times New Roman" w:hAnsi="Times New Roman" w:cs="Times New Roman"/>
                <w:sz w:val="24"/>
                <w:szCs w:val="24"/>
                <w:lang w:eastAsia="zh-CN"/>
              </w:rPr>
              <w:t>、</w:t>
            </w:r>
            <w:r>
              <w:rPr>
                <w:rFonts w:hint="default" w:ascii="Times New Roman" w:hAnsi="Times New Roman" w:cs="Times New Roman"/>
                <w:sz w:val="24"/>
                <w:szCs w:val="24"/>
              </w:rPr>
              <w:t>MEMORY等相关</w:t>
            </w:r>
            <w:r>
              <w:rPr>
                <w:rFonts w:hint="default" w:ascii="Times New Roman" w:hAnsi="Times New Roman" w:cs="Times New Roman"/>
                <w:b w:val="0"/>
                <w:bCs w:val="0"/>
                <w:sz w:val="24"/>
                <w:szCs w:val="24"/>
                <w:lang w:val="en-US" w:eastAsia="zh-CN"/>
              </w:rPr>
              <w:t>因素</w:t>
            </w:r>
            <w:r>
              <w:rPr>
                <w:rFonts w:hint="default" w:ascii="Times New Roman" w:hAnsi="Times New Roman" w:cs="Times New Roman"/>
                <w:sz w:val="24"/>
                <w:szCs w:val="24"/>
              </w:rPr>
              <w:t>的性能情况，确定和检查用来校正即时性能偏差的修正方案，使客户的软件环境可以恢复到正常的运行水平</w:t>
            </w:r>
            <w:r>
              <w:rPr>
                <w:rFonts w:hint="eastAsia" w:ascii="Times New Roman" w:hAnsi="Times New Roman" w:cs="Times New Roman"/>
                <w:sz w:val="24"/>
                <w:szCs w:val="24"/>
                <w:lang w:eastAsia="zh-CN"/>
              </w:rPr>
              <w:t>。</w:t>
            </w:r>
          </w:p>
        </w:tc>
      </w:tr>
      <w:tr w14:paraId="7A6AA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226"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37FCED58">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升级、备份</w:t>
            </w:r>
            <w:r>
              <w:rPr>
                <w:rFonts w:hint="eastAsia" w:ascii="Times New Roman" w:hAnsi="Times New Roman" w:cs="Times New Roman"/>
                <w:sz w:val="24"/>
                <w:szCs w:val="24"/>
                <w:lang w:val="en-US" w:eastAsia="zh-CN"/>
              </w:rPr>
              <w:t>验证</w:t>
            </w:r>
            <w:r>
              <w:rPr>
                <w:rFonts w:hint="default" w:ascii="Times New Roman" w:hAnsi="Times New Roman" w:cs="Times New Roman"/>
                <w:sz w:val="24"/>
                <w:szCs w:val="24"/>
              </w:rPr>
              <w:t>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2A88C10D">
            <w:pPr>
              <w:widowControl/>
              <w:spacing w:line="240" w:lineRule="auto"/>
              <w:textAlignment w:val="center"/>
              <w:rPr>
                <w:rFonts w:hint="eastAsia" w:ascii="Times New Roman" w:hAnsi="Times New Roman" w:cs="Times New Roman" w:eastAsiaTheme="minorEastAsia"/>
                <w:sz w:val="24"/>
                <w:szCs w:val="24"/>
                <w:lang w:val="en-US" w:eastAsia="zh-CN"/>
              </w:rPr>
            </w:pPr>
            <w:r>
              <w:rPr>
                <w:rFonts w:hint="default" w:ascii="Times New Roman" w:hAnsi="Times New Roman" w:cs="Times New Roman"/>
                <w:sz w:val="24"/>
                <w:szCs w:val="24"/>
              </w:rPr>
              <w:t>软件补丁升级服务</w:t>
            </w:r>
            <w:r>
              <w:rPr>
                <w:rFonts w:hint="eastAsia" w:ascii="Times New Roman" w:hAnsi="Times New Roman" w:cs="Times New Roman"/>
                <w:sz w:val="24"/>
                <w:szCs w:val="24"/>
                <w:lang w:val="en-US" w:eastAsia="zh-CN"/>
              </w:rPr>
              <w:t>支持</w:t>
            </w:r>
          </w:p>
        </w:tc>
        <w:tc>
          <w:tcPr>
            <w:tcW w:w="6131" w:type="dxa"/>
            <w:tcBorders>
              <w:tl2br w:val="nil"/>
              <w:tr2bl w:val="nil"/>
            </w:tcBorders>
            <w:shd w:val="clear" w:color="auto" w:fill="auto"/>
            <w:noWrap w:val="0"/>
            <w:tcMar>
              <w:top w:w="80" w:type="dxa"/>
              <w:left w:w="80" w:type="dxa"/>
              <w:bottom w:w="80" w:type="dxa"/>
              <w:right w:w="80" w:type="dxa"/>
            </w:tcMar>
            <w:vAlign w:val="center"/>
          </w:tcPr>
          <w:p w14:paraId="22A93131">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根据</w:t>
            </w:r>
            <w:r>
              <w:rPr>
                <w:rFonts w:hint="eastAsia" w:ascii="Times New Roman" w:hAnsi="Times New Roman" w:cs="Times New Roman"/>
                <w:sz w:val="24"/>
                <w:szCs w:val="24"/>
                <w:lang w:val="en-US" w:eastAsia="zh-CN"/>
              </w:rPr>
              <w:t>甲方</w:t>
            </w:r>
            <w:r>
              <w:rPr>
                <w:rFonts w:hint="default" w:ascii="Times New Roman" w:hAnsi="Times New Roman" w:cs="Times New Roman"/>
                <w:sz w:val="24"/>
                <w:szCs w:val="24"/>
                <w:lang w:val="en-US" w:eastAsia="zh-CN"/>
              </w:rPr>
              <w:t>实际需要</w:t>
            </w:r>
            <w:r>
              <w:rPr>
                <w:rFonts w:hint="eastAsia" w:ascii="Times New Roman" w:hAnsi="Times New Roman" w:cs="Times New Roman"/>
                <w:sz w:val="24"/>
                <w:szCs w:val="24"/>
                <w:lang w:val="en-US" w:eastAsia="zh-CN"/>
              </w:rPr>
              <w:t>，配合具体应用厂商</w:t>
            </w:r>
            <w:r>
              <w:rPr>
                <w:rFonts w:hint="default" w:ascii="Times New Roman" w:hAnsi="Times New Roman" w:cs="Times New Roman"/>
                <w:sz w:val="24"/>
                <w:szCs w:val="24"/>
                <w:lang w:val="en-US" w:eastAsia="zh-CN"/>
              </w:rPr>
              <w:t>对严重的bug进行</w:t>
            </w:r>
            <w:r>
              <w:rPr>
                <w:rFonts w:hint="default" w:ascii="Times New Roman" w:hAnsi="Times New Roman" w:cs="Times New Roman"/>
                <w:sz w:val="24"/>
                <w:szCs w:val="24"/>
              </w:rPr>
              <w:t>数据库</w:t>
            </w:r>
            <w:r>
              <w:rPr>
                <w:rFonts w:hint="default" w:ascii="Times New Roman" w:hAnsi="Times New Roman" w:cs="Times New Roman"/>
                <w:sz w:val="24"/>
                <w:szCs w:val="24"/>
                <w:lang w:val="en-US" w:eastAsia="zh-CN"/>
              </w:rPr>
              <w:t>打</w:t>
            </w:r>
            <w:r>
              <w:rPr>
                <w:rFonts w:hint="default" w:ascii="Times New Roman" w:hAnsi="Times New Roman" w:cs="Times New Roman"/>
                <w:sz w:val="24"/>
                <w:szCs w:val="24"/>
              </w:rPr>
              <w:t>补丁，</w:t>
            </w:r>
            <w:r>
              <w:rPr>
                <w:rFonts w:hint="default" w:ascii="Times New Roman" w:hAnsi="Times New Roman" w:cs="Times New Roman"/>
                <w:sz w:val="24"/>
                <w:szCs w:val="24"/>
                <w:lang w:val="en-US" w:eastAsia="zh-CN"/>
              </w:rPr>
              <w:t>防止出现数据风险</w:t>
            </w:r>
            <w:r>
              <w:rPr>
                <w:rFonts w:hint="eastAsia" w:ascii="Times New Roman" w:hAnsi="Times New Roman" w:cs="Times New Roman"/>
                <w:sz w:val="24"/>
                <w:szCs w:val="24"/>
                <w:lang w:val="en-US" w:eastAsia="zh-CN"/>
              </w:rPr>
              <w:t>。</w:t>
            </w:r>
          </w:p>
        </w:tc>
      </w:tr>
      <w:tr w14:paraId="29165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1274" w:type="dxa"/>
            <w:vMerge w:val="continue"/>
            <w:tcBorders>
              <w:tl2br w:val="nil"/>
              <w:tr2bl w:val="nil"/>
            </w:tcBorders>
            <w:shd w:val="clear" w:color="auto" w:fill="auto"/>
            <w:noWrap w:val="0"/>
            <w:vAlign w:val="top"/>
          </w:tcPr>
          <w:p w14:paraId="52E3CEEE">
            <w:pPr>
              <w:spacing w:line="240" w:lineRule="auto"/>
              <w:jc w:val="center"/>
              <w:rPr>
                <w:rFonts w:hint="default" w:ascii="Times New Roman" w:hAnsi="Times New Roman" w:cs="Times New Roman"/>
                <w:sz w:val="24"/>
                <w:szCs w:val="24"/>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401B3735">
            <w:pPr>
              <w:widowControl/>
              <w:spacing w:line="240" w:lineRule="auto"/>
              <w:textAlignment w:val="center"/>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提供对</w:t>
            </w:r>
            <w:r>
              <w:rPr>
                <w:rFonts w:hint="default" w:ascii="Times New Roman" w:hAnsi="Times New Roman" w:cs="Times New Roman"/>
                <w:sz w:val="24"/>
                <w:szCs w:val="24"/>
                <w:lang w:val="en-US" w:eastAsia="zh-CN"/>
              </w:rPr>
              <w:t>重要</w:t>
            </w:r>
            <w:r>
              <w:rPr>
                <w:rFonts w:hint="default" w:ascii="Times New Roman" w:hAnsi="Times New Roman" w:cs="Times New Roman"/>
                <w:sz w:val="24"/>
                <w:szCs w:val="24"/>
              </w:rPr>
              <w:t>数据库备份</w:t>
            </w:r>
            <w:r>
              <w:rPr>
                <w:rFonts w:hint="eastAsia" w:ascii="Times New Roman" w:hAnsi="Times New Roman" w:cs="Times New Roman"/>
                <w:sz w:val="24"/>
                <w:szCs w:val="24"/>
                <w:lang w:val="en-US" w:eastAsia="zh-CN"/>
              </w:rPr>
              <w:t>及验证服务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37C7E9B7">
            <w:pPr>
              <w:spacing w:line="24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lang w:val="en-US" w:eastAsia="zh-CN"/>
              </w:rPr>
              <w:t>根据甲方要求</w:t>
            </w:r>
            <w:r>
              <w:rPr>
                <w:rFonts w:hint="default" w:ascii="Times New Roman" w:hAnsi="Times New Roman" w:cs="Times New Roman"/>
                <w:sz w:val="24"/>
                <w:szCs w:val="24"/>
              </w:rPr>
              <w:t>对指定实例的</w:t>
            </w:r>
            <w:r>
              <w:rPr>
                <w:rFonts w:hint="eastAsia" w:ascii="Times New Roman" w:hAnsi="Times New Roman" w:cs="Times New Roman"/>
                <w:sz w:val="24"/>
                <w:szCs w:val="24"/>
                <w:lang w:val="en-US" w:eastAsia="zh-CN"/>
              </w:rPr>
              <w:t>数据库进行人工</w:t>
            </w:r>
            <w:r>
              <w:rPr>
                <w:rFonts w:hint="default" w:ascii="Times New Roman" w:hAnsi="Times New Roman" w:cs="Times New Roman"/>
                <w:sz w:val="24"/>
                <w:szCs w:val="24"/>
              </w:rPr>
              <w:t>备份</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并能够对备份</w:t>
            </w:r>
            <w:r>
              <w:rPr>
                <w:rFonts w:hint="default" w:ascii="Times New Roman" w:hAnsi="Times New Roman" w:cs="Times New Roman"/>
                <w:sz w:val="24"/>
                <w:szCs w:val="24"/>
              </w:rPr>
              <w:t>文件的有效性进行验证</w:t>
            </w:r>
            <w:r>
              <w:rPr>
                <w:rFonts w:hint="eastAsia" w:ascii="Times New Roman" w:hAnsi="Times New Roman" w:cs="Times New Roman"/>
                <w:sz w:val="24"/>
                <w:szCs w:val="24"/>
                <w:lang w:eastAsia="zh-CN"/>
              </w:rPr>
              <w:t>。</w:t>
            </w:r>
          </w:p>
        </w:tc>
      </w:tr>
      <w:tr w14:paraId="63998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8" w:hRule="atLeast"/>
          <w:jc w:val="center"/>
        </w:trPr>
        <w:tc>
          <w:tcPr>
            <w:tcW w:w="1274" w:type="dxa"/>
            <w:tcBorders>
              <w:tl2br w:val="nil"/>
              <w:tr2bl w:val="nil"/>
            </w:tcBorders>
            <w:shd w:val="clear" w:color="auto" w:fill="auto"/>
            <w:noWrap w:val="0"/>
            <w:vAlign w:val="center"/>
          </w:tcPr>
          <w:p w14:paraId="665B1843">
            <w:pPr>
              <w:spacing w:line="240" w:lineRule="auto"/>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应急演练服务</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val="en-US" w:eastAsia="zh-CN"/>
              </w:rPr>
              <w:t>每年</w:t>
            </w:r>
            <w:r>
              <w:rPr>
                <w:rFonts w:hint="eastAsia" w:ascii="Times New Roman" w:hAnsi="Times New Roman" w:cs="Times New Roman"/>
                <w:color w:val="auto"/>
                <w:sz w:val="24"/>
                <w:szCs w:val="24"/>
                <w:lang w:val="en-US" w:eastAsia="zh-CN"/>
              </w:rPr>
              <w:t>至少</w:t>
            </w:r>
            <w:r>
              <w:rPr>
                <w:rFonts w:hint="default" w:ascii="Times New Roman" w:hAnsi="Times New Roman" w:cs="Times New Roman"/>
                <w:color w:val="auto"/>
                <w:sz w:val="24"/>
                <w:szCs w:val="24"/>
                <w:lang w:val="en-US" w:eastAsia="zh-CN"/>
              </w:rPr>
              <w:t>一次，时间由</w:t>
            </w:r>
            <w:r>
              <w:rPr>
                <w:rFonts w:hint="eastAsia" w:ascii="Times New Roman" w:hAnsi="Times New Roman" w:cs="Times New Roman"/>
                <w:color w:val="auto"/>
                <w:sz w:val="24"/>
                <w:szCs w:val="24"/>
                <w:lang w:val="en-US" w:eastAsia="zh-CN"/>
              </w:rPr>
              <w:t>甲方</w:t>
            </w:r>
            <w:r>
              <w:rPr>
                <w:rFonts w:hint="default" w:ascii="Times New Roman" w:hAnsi="Times New Roman" w:cs="Times New Roman"/>
                <w:color w:val="auto"/>
                <w:sz w:val="24"/>
                <w:szCs w:val="24"/>
                <w:lang w:val="en-US" w:eastAsia="zh-CN"/>
              </w:rPr>
              <w:t>确定</w:t>
            </w:r>
            <w:r>
              <w:rPr>
                <w:rFonts w:hint="eastAsia" w:ascii="Times New Roman" w:hAnsi="Times New Roman" w:cs="Times New Roman"/>
                <w:color w:val="auto"/>
                <w:sz w:val="24"/>
                <w:szCs w:val="24"/>
                <w:lang w:val="en-US" w:eastAsia="zh-CN"/>
              </w:rPr>
              <w:t>）</w:t>
            </w:r>
          </w:p>
        </w:tc>
        <w:tc>
          <w:tcPr>
            <w:tcW w:w="1677" w:type="dxa"/>
            <w:tcBorders>
              <w:tl2br w:val="nil"/>
              <w:tr2bl w:val="nil"/>
            </w:tcBorders>
            <w:shd w:val="clear" w:color="auto" w:fill="auto"/>
            <w:noWrap w:val="0"/>
            <w:tcMar>
              <w:top w:w="80" w:type="dxa"/>
              <w:left w:w="80" w:type="dxa"/>
              <w:bottom w:w="80" w:type="dxa"/>
              <w:right w:w="80" w:type="dxa"/>
            </w:tcMar>
            <w:vAlign w:val="center"/>
          </w:tcPr>
          <w:p w14:paraId="6C9B7233">
            <w:pPr>
              <w:widowControl/>
              <w:spacing w:line="240" w:lineRule="auto"/>
              <w:textAlignment w:val="center"/>
              <w:rPr>
                <w:rFonts w:hint="default" w:ascii="Times New Roman" w:hAnsi="Times New Roman" w:cs="Times New Roman"/>
                <w:color w:val="auto"/>
                <w:sz w:val="24"/>
                <w:szCs w:val="24"/>
                <w:lang w:val="en-US"/>
              </w:rPr>
            </w:pPr>
            <w:r>
              <w:rPr>
                <w:rFonts w:hint="eastAsia" w:ascii="Times New Roman" w:hAnsi="Times New Roman" w:cs="Times New Roman"/>
                <w:b w:val="0"/>
                <w:bCs w:val="0"/>
                <w:color w:val="auto"/>
                <w:sz w:val="24"/>
                <w:szCs w:val="24"/>
                <w:lang w:val="en-US" w:eastAsia="zh-CN"/>
              </w:rPr>
              <w:t>服务器数据库故障</w:t>
            </w:r>
            <w:r>
              <w:rPr>
                <w:rFonts w:hint="default" w:ascii="Times New Roman" w:hAnsi="Times New Roman" w:cs="Times New Roman"/>
                <w:b w:val="0"/>
                <w:bCs w:val="0"/>
                <w:color w:val="auto"/>
                <w:sz w:val="24"/>
                <w:szCs w:val="24"/>
                <w:lang w:val="en-US" w:eastAsia="zh-CN"/>
              </w:rPr>
              <w:t>演练</w:t>
            </w:r>
          </w:p>
        </w:tc>
        <w:tc>
          <w:tcPr>
            <w:tcW w:w="6131" w:type="dxa"/>
            <w:tcBorders>
              <w:tl2br w:val="nil"/>
              <w:tr2bl w:val="nil"/>
            </w:tcBorders>
            <w:shd w:val="clear" w:color="auto" w:fill="auto"/>
            <w:noWrap w:val="0"/>
            <w:tcMar>
              <w:top w:w="80" w:type="dxa"/>
              <w:left w:w="80" w:type="dxa"/>
              <w:bottom w:w="80" w:type="dxa"/>
              <w:right w:w="80" w:type="dxa"/>
            </w:tcMar>
            <w:vAlign w:val="center"/>
          </w:tcPr>
          <w:p w14:paraId="05B27301">
            <w:pPr>
              <w:autoSpaceDE w:val="0"/>
              <w:autoSpaceDN w:val="0"/>
              <w:adjustRightInd w:val="0"/>
              <w:spacing w:line="240" w:lineRule="auto"/>
              <w:jc w:val="left"/>
              <w:rPr>
                <w:rFonts w:hint="default" w:ascii="Times New Roman" w:hAnsi="Times New Roman" w:cs="Times New Roman"/>
                <w:color w:val="auto"/>
                <w:sz w:val="24"/>
                <w:szCs w:val="24"/>
              </w:rPr>
            </w:pPr>
            <w:r>
              <w:rPr>
                <w:rFonts w:hint="eastAsia" w:ascii="Times New Roman" w:hAnsi="Times New Roman" w:cs="Times New Roman"/>
                <w:b w:val="0"/>
                <w:bCs w:val="0"/>
                <w:color w:val="auto"/>
                <w:sz w:val="24"/>
                <w:szCs w:val="24"/>
                <w:lang w:val="en-US" w:eastAsia="zh-CN"/>
              </w:rPr>
              <w:t>负责牵头开展中心数据库安全应急演练，与甲方及相关维保厂商一起明确演练内容，牵头拟定演练方案及演练计划，包括但不限于服务器宕机、数据库故障、数据丢失等问题。</w:t>
            </w:r>
            <w:r>
              <w:rPr>
                <w:rFonts w:hint="default" w:ascii="Times New Roman" w:hAnsi="Times New Roman" w:cs="Times New Roman"/>
                <w:b w:val="0"/>
                <w:bCs w:val="0"/>
                <w:color w:val="auto"/>
                <w:sz w:val="24"/>
                <w:szCs w:val="24"/>
                <w:lang w:val="en-US" w:eastAsia="zh-CN"/>
              </w:rPr>
              <w:t>按照预先制定的恢复策略，逐步执行数据恢复</w:t>
            </w:r>
            <w:r>
              <w:rPr>
                <w:rFonts w:hint="eastAsia" w:ascii="Times New Roman" w:hAnsi="Times New Roman" w:cs="Times New Roman"/>
                <w:b w:val="0"/>
                <w:bCs w:val="0"/>
                <w:color w:val="auto"/>
                <w:sz w:val="24"/>
                <w:szCs w:val="24"/>
                <w:lang w:val="en-US" w:eastAsia="zh-CN"/>
              </w:rPr>
              <w:t>、容灾切换</w:t>
            </w:r>
            <w:r>
              <w:rPr>
                <w:rFonts w:hint="default" w:ascii="Times New Roman" w:hAnsi="Times New Roman" w:cs="Times New Roman"/>
                <w:b w:val="0"/>
                <w:bCs w:val="0"/>
                <w:color w:val="auto"/>
                <w:sz w:val="24"/>
                <w:szCs w:val="24"/>
                <w:lang w:val="en-US" w:eastAsia="zh-CN"/>
              </w:rPr>
              <w:t>和系统重启等操作。详细记录演练过程中的每一步操作和遇到的问题，总结演练中的成功经验和不足之处</w:t>
            </w:r>
            <w:r>
              <w:rPr>
                <w:rFonts w:hint="eastAsia" w:ascii="Times New Roman" w:hAnsi="Times New Roman" w:cs="Times New Roman"/>
                <w:b w:val="0"/>
                <w:bCs w:val="0"/>
                <w:color w:val="auto"/>
                <w:sz w:val="24"/>
                <w:szCs w:val="24"/>
                <w:lang w:val="en-US" w:eastAsia="zh-CN"/>
              </w:rPr>
              <w:t>，并形成演练报告</w:t>
            </w:r>
            <w:r>
              <w:rPr>
                <w:rFonts w:hint="default" w:ascii="Times New Roman" w:hAnsi="Times New Roman" w:cs="Times New Roman"/>
                <w:b w:val="0"/>
                <w:bCs w:val="0"/>
                <w:color w:val="auto"/>
                <w:sz w:val="24"/>
                <w:szCs w:val="24"/>
                <w:lang w:val="en-US" w:eastAsia="zh-CN"/>
              </w:rPr>
              <w:t>。</w:t>
            </w:r>
          </w:p>
        </w:tc>
      </w:tr>
      <w:tr w14:paraId="455EC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tcBorders>
              <w:tl2br w:val="nil"/>
              <w:tr2bl w:val="nil"/>
            </w:tcBorders>
            <w:shd w:val="clear" w:color="auto" w:fill="auto"/>
            <w:noWrap w:val="0"/>
            <w:tcMar>
              <w:top w:w="80" w:type="dxa"/>
              <w:left w:w="80" w:type="dxa"/>
              <w:bottom w:w="80" w:type="dxa"/>
              <w:right w:w="80" w:type="dxa"/>
            </w:tcMar>
            <w:vAlign w:val="center"/>
          </w:tcPr>
          <w:p w14:paraId="1120A0A2">
            <w:pPr>
              <w:spacing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培训服务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1EEE8168">
            <w:pPr>
              <w:widowControl/>
              <w:spacing w:line="240" w:lineRule="auto"/>
              <w:textAlignment w:val="center"/>
              <w:rPr>
                <w:rFonts w:hint="default" w:ascii="Times New Roman" w:hAnsi="Times New Roman" w:cs="Times New Roman"/>
                <w:sz w:val="24"/>
                <w:szCs w:val="24"/>
              </w:rPr>
            </w:pPr>
            <w:r>
              <w:rPr>
                <w:rFonts w:hint="default" w:ascii="Times New Roman" w:hAnsi="Times New Roman" w:cs="Times New Roman"/>
                <w:sz w:val="24"/>
                <w:szCs w:val="24"/>
              </w:rPr>
              <w:t>提供2次数据库技术培训</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3DD561E">
            <w:pPr>
              <w:spacing w:line="240" w:lineRule="auto"/>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提供现场培训服务，</w:t>
            </w:r>
            <w:r>
              <w:rPr>
                <w:rFonts w:hint="default" w:ascii="Times New Roman" w:hAnsi="Times New Roman" w:cs="Times New Roman"/>
                <w:sz w:val="24"/>
                <w:szCs w:val="24"/>
              </w:rPr>
              <w:t>培训时间客户指定</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每次不少于1个工作日</w:t>
            </w:r>
            <w:r>
              <w:rPr>
                <w:rFonts w:hint="default" w:ascii="Times New Roman" w:hAnsi="Times New Roman" w:cs="Times New Roman"/>
                <w:sz w:val="24"/>
                <w:szCs w:val="24"/>
                <w:lang w:val="zh-CN"/>
              </w:rPr>
              <w:t>。</w:t>
            </w:r>
          </w:p>
        </w:tc>
      </w:tr>
      <w:tr w14:paraId="55266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565663E0">
            <w:pPr>
              <w:spacing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根据不同的问题和故障等级进行时间响应</w:t>
            </w:r>
          </w:p>
        </w:tc>
        <w:tc>
          <w:tcPr>
            <w:tcW w:w="1677" w:type="dxa"/>
            <w:tcBorders>
              <w:tl2br w:val="nil"/>
              <w:tr2bl w:val="nil"/>
            </w:tcBorders>
            <w:shd w:val="clear" w:color="auto" w:fill="auto"/>
            <w:noWrap w:val="0"/>
            <w:tcMar>
              <w:top w:w="80" w:type="dxa"/>
              <w:left w:w="80" w:type="dxa"/>
              <w:bottom w:w="80" w:type="dxa"/>
              <w:right w:w="80" w:type="dxa"/>
            </w:tcMar>
            <w:vAlign w:val="center"/>
          </w:tcPr>
          <w:p w14:paraId="506EB07D">
            <w:pPr>
              <w:widowControl/>
              <w:spacing w:line="240" w:lineRule="auto"/>
              <w:jc w:val="center"/>
              <w:textAlignment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一般故障</w:t>
            </w:r>
          </w:p>
        </w:tc>
        <w:tc>
          <w:tcPr>
            <w:tcW w:w="6131" w:type="dxa"/>
            <w:tcBorders>
              <w:tl2br w:val="nil"/>
              <w:tr2bl w:val="nil"/>
            </w:tcBorders>
            <w:shd w:val="clear" w:color="auto" w:fill="auto"/>
            <w:noWrap w:val="0"/>
            <w:tcMar>
              <w:top w:w="80" w:type="dxa"/>
              <w:left w:w="80" w:type="dxa"/>
              <w:bottom w:w="80" w:type="dxa"/>
              <w:right w:w="80" w:type="dxa"/>
            </w:tcMar>
            <w:vAlign w:val="center"/>
          </w:tcPr>
          <w:p w14:paraId="5227D7A9">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系统平台性能下降影响到系统的正常使用，或者局部应用功能无法使用的情况属于一般故障，要求1小时内响应，24小时候内提出解决方案</w:t>
            </w:r>
            <w:r>
              <w:rPr>
                <w:rFonts w:hint="eastAsia" w:ascii="Times New Roman" w:hAnsi="Times New Roman" w:cs="Times New Roman"/>
                <w:sz w:val="24"/>
                <w:szCs w:val="24"/>
                <w:lang w:val="en-US" w:eastAsia="zh-CN"/>
              </w:rPr>
              <w:t>。</w:t>
            </w:r>
          </w:p>
        </w:tc>
      </w:tr>
      <w:tr w14:paraId="4F704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2F663C07">
            <w:pPr>
              <w:spacing w:line="240" w:lineRule="auto"/>
              <w:jc w:val="center"/>
              <w:rPr>
                <w:rFonts w:hint="default" w:ascii="Times New Roman" w:hAnsi="Times New Roman" w:cs="Times New Roman"/>
                <w:sz w:val="24"/>
                <w:szCs w:val="24"/>
                <w:lang w:val="en-US" w:eastAsia="zh-CN"/>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69FDA1CE">
            <w:pPr>
              <w:widowControl/>
              <w:spacing w:line="240" w:lineRule="auto"/>
              <w:jc w:val="center"/>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普通故障</w:t>
            </w:r>
          </w:p>
        </w:tc>
        <w:tc>
          <w:tcPr>
            <w:tcW w:w="6131" w:type="dxa"/>
            <w:tcBorders>
              <w:tl2br w:val="nil"/>
              <w:tr2bl w:val="nil"/>
            </w:tcBorders>
            <w:shd w:val="clear" w:color="auto" w:fill="auto"/>
            <w:noWrap w:val="0"/>
            <w:tcMar>
              <w:top w:w="80" w:type="dxa"/>
              <w:left w:w="80" w:type="dxa"/>
              <w:bottom w:w="80" w:type="dxa"/>
              <w:right w:w="80" w:type="dxa"/>
            </w:tcMar>
            <w:vAlign w:val="center"/>
          </w:tcPr>
          <w:p w14:paraId="6CC2858D">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主要涉及系统升级、变更以及一些不影响业务功能使用的硬件设备故障等情况。要求0.5小时内响应，12小时候内提出解决方案</w:t>
            </w:r>
            <w:r>
              <w:rPr>
                <w:rFonts w:hint="eastAsia" w:ascii="Times New Roman" w:hAnsi="Times New Roman" w:cs="Times New Roman"/>
                <w:sz w:val="24"/>
                <w:szCs w:val="24"/>
                <w:lang w:val="en-US" w:eastAsia="zh-CN"/>
              </w:rPr>
              <w:t>。</w:t>
            </w:r>
          </w:p>
        </w:tc>
      </w:tr>
      <w:tr w14:paraId="393EF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145DC923">
            <w:pPr>
              <w:spacing w:line="240" w:lineRule="auto"/>
              <w:jc w:val="center"/>
              <w:rPr>
                <w:rFonts w:hint="default" w:ascii="Times New Roman" w:hAnsi="Times New Roman" w:cs="Times New Roman"/>
                <w:sz w:val="24"/>
                <w:szCs w:val="24"/>
                <w:lang w:val="en-US" w:eastAsia="zh-CN"/>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4647EE36">
            <w:pPr>
              <w:widowControl/>
              <w:spacing w:line="240" w:lineRule="auto"/>
              <w:jc w:val="center"/>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紧急故障</w:t>
            </w:r>
          </w:p>
        </w:tc>
        <w:tc>
          <w:tcPr>
            <w:tcW w:w="6131" w:type="dxa"/>
            <w:tcBorders>
              <w:tl2br w:val="nil"/>
              <w:tr2bl w:val="nil"/>
            </w:tcBorders>
            <w:shd w:val="clear" w:color="auto" w:fill="auto"/>
            <w:noWrap w:val="0"/>
            <w:tcMar>
              <w:top w:w="80" w:type="dxa"/>
              <w:left w:w="80" w:type="dxa"/>
              <w:bottom w:w="80" w:type="dxa"/>
              <w:right w:w="80" w:type="dxa"/>
            </w:tcMar>
            <w:vAlign w:val="center"/>
          </w:tcPr>
          <w:p w14:paraId="3897496C">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当系统平台完全停止运行或者关键功能无法使用时，这类故障会严重影响业务的正常开展，响应时间要求在10分钟以内。同时，需要在1小时内完成故障的初步判断和定位，并采取紧急措施尝试恢复，确保系统在6小时内恢复正常运行，以最大程度减少对业务的影响</w:t>
            </w:r>
            <w:r>
              <w:rPr>
                <w:rFonts w:hint="eastAsia" w:ascii="Times New Roman" w:hAnsi="Times New Roman" w:cs="Times New Roman"/>
                <w:sz w:val="24"/>
                <w:szCs w:val="24"/>
                <w:lang w:val="en-US" w:eastAsia="zh-CN"/>
              </w:rPr>
              <w:t>。</w:t>
            </w:r>
          </w:p>
        </w:tc>
      </w:tr>
      <w:tr w14:paraId="6F694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tcBorders>
              <w:tl2br w:val="nil"/>
              <w:tr2bl w:val="nil"/>
            </w:tcBorders>
            <w:shd w:val="clear" w:color="auto" w:fill="auto"/>
            <w:noWrap w:val="0"/>
            <w:tcMar>
              <w:top w:w="80" w:type="dxa"/>
              <w:left w:w="80" w:type="dxa"/>
              <w:bottom w:w="80" w:type="dxa"/>
              <w:right w:w="80" w:type="dxa"/>
            </w:tcMar>
            <w:vAlign w:val="center"/>
          </w:tcPr>
          <w:p w14:paraId="72E5FFFA">
            <w:pPr>
              <w:spacing w:line="240" w:lineRule="auto"/>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文档服务</w:t>
            </w:r>
          </w:p>
        </w:tc>
        <w:tc>
          <w:tcPr>
            <w:tcW w:w="1677" w:type="dxa"/>
            <w:tcBorders>
              <w:tl2br w:val="nil"/>
              <w:tr2bl w:val="nil"/>
            </w:tcBorders>
            <w:shd w:val="clear" w:color="auto" w:fill="auto"/>
            <w:noWrap w:val="0"/>
            <w:tcMar>
              <w:top w:w="80" w:type="dxa"/>
              <w:left w:w="80" w:type="dxa"/>
              <w:bottom w:w="80" w:type="dxa"/>
              <w:right w:w="80" w:type="dxa"/>
            </w:tcMar>
            <w:vAlign w:val="center"/>
          </w:tcPr>
          <w:p w14:paraId="748C6A86">
            <w:pPr>
              <w:widowControl/>
              <w:spacing w:line="240" w:lineRule="auto"/>
              <w:textAlignment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总结文档整理、归档</w:t>
            </w:r>
          </w:p>
        </w:tc>
        <w:tc>
          <w:tcPr>
            <w:tcW w:w="6131" w:type="dxa"/>
            <w:tcBorders>
              <w:tl2br w:val="nil"/>
              <w:tr2bl w:val="nil"/>
            </w:tcBorders>
            <w:shd w:val="clear" w:color="auto" w:fill="auto"/>
            <w:noWrap w:val="0"/>
            <w:tcMar>
              <w:top w:w="80" w:type="dxa"/>
              <w:left w:w="80" w:type="dxa"/>
              <w:bottom w:w="80" w:type="dxa"/>
              <w:right w:w="80" w:type="dxa"/>
            </w:tcMar>
            <w:vAlign w:val="center"/>
          </w:tcPr>
          <w:p w14:paraId="14D16B51">
            <w:pPr>
              <w:spacing w:line="240" w:lineRule="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针对以上所有发生的操作和服务，都要生成规范的维保文档，双方签字确认，并进行妥善的归档和管理，方便查询和参考。</w:t>
            </w:r>
          </w:p>
        </w:tc>
      </w:tr>
      <w:tr w14:paraId="1E205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1274" w:type="dxa"/>
            <w:tcBorders>
              <w:tl2br w:val="nil"/>
              <w:tr2bl w:val="nil"/>
            </w:tcBorders>
            <w:shd w:val="clear" w:color="auto" w:fill="auto"/>
            <w:noWrap w:val="0"/>
            <w:tcMar>
              <w:top w:w="80" w:type="dxa"/>
              <w:left w:w="80" w:type="dxa"/>
              <w:bottom w:w="80" w:type="dxa"/>
              <w:right w:w="80" w:type="dxa"/>
            </w:tcMar>
            <w:vAlign w:val="center"/>
          </w:tcPr>
          <w:p w14:paraId="1C610CA9">
            <w:pPr>
              <w:spacing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保密</w:t>
            </w:r>
            <w:r>
              <w:rPr>
                <w:rFonts w:hint="eastAsia" w:ascii="Times New Roman" w:hAnsi="Times New Roman" w:cs="Times New Roman"/>
                <w:sz w:val="24"/>
                <w:szCs w:val="24"/>
                <w:lang w:val="en-US" w:eastAsia="zh-CN"/>
              </w:rPr>
              <w:t>要求</w:t>
            </w:r>
          </w:p>
        </w:tc>
        <w:tc>
          <w:tcPr>
            <w:tcW w:w="1677" w:type="dxa"/>
            <w:tcBorders>
              <w:tl2br w:val="nil"/>
              <w:tr2bl w:val="nil"/>
            </w:tcBorders>
            <w:shd w:val="clear" w:color="auto" w:fill="auto"/>
            <w:noWrap w:val="0"/>
            <w:tcMar>
              <w:top w:w="80" w:type="dxa"/>
              <w:left w:w="80" w:type="dxa"/>
              <w:bottom w:w="80" w:type="dxa"/>
              <w:right w:w="80" w:type="dxa"/>
            </w:tcMar>
            <w:vAlign w:val="center"/>
          </w:tcPr>
          <w:p w14:paraId="220DD4A0">
            <w:pPr>
              <w:widowControl/>
              <w:spacing w:line="240" w:lineRule="auto"/>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数据库信息安全保密</w:t>
            </w:r>
          </w:p>
        </w:tc>
        <w:tc>
          <w:tcPr>
            <w:tcW w:w="6131" w:type="dxa"/>
            <w:tcBorders>
              <w:tl2br w:val="nil"/>
              <w:tr2bl w:val="nil"/>
            </w:tcBorders>
            <w:shd w:val="clear" w:color="auto" w:fill="auto"/>
            <w:noWrap w:val="0"/>
            <w:tcMar>
              <w:top w:w="80" w:type="dxa"/>
              <w:left w:w="80" w:type="dxa"/>
              <w:bottom w:w="80" w:type="dxa"/>
              <w:right w:w="80" w:type="dxa"/>
            </w:tcMar>
            <w:vAlign w:val="center"/>
          </w:tcPr>
          <w:p w14:paraId="140660CD">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在提供服务的过程中，获悉的一切资讯均需严格保密，不得自行使用或给他人使用，如有泄漏或擅自使用或允许他人使用用户信息造成损失的必须承担相应的民事赔偿责任。</w:t>
            </w:r>
          </w:p>
        </w:tc>
      </w:tr>
      <w:tr w14:paraId="40C0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274" w:type="dxa"/>
            <w:vMerge w:val="restart"/>
            <w:tcBorders>
              <w:tl2br w:val="nil"/>
              <w:tr2bl w:val="nil"/>
            </w:tcBorders>
            <w:shd w:val="clear" w:color="auto" w:fill="auto"/>
            <w:noWrap w:val="0"/>
            <w:tcMar>
              <w:top w:w="80" w:type="dxa"/>
              <w:left w:w="80" w:type="dxa"/>
              <w:bottom w:w="80" w:type="dxa"/>
              <w:right w:w="80" w:type="dxa"/>
            </w:tcMar>
            <w:vAlign w:val="center"/>
          </w:tcPr>
          <w:p w14:paraId="7F196308">
            <w:pPr>
              <w:spacing w:line="240" w:lineRule="auto"/>
              <w:jc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现场服务人员要求</w:t>
            </w:r>
          </w:p>
        </w:tc>
        <w:tc>
          <w:tcPr>
            <w:tcW w:w="1677" w:type="dxa"/>
            <w:tcBorders>
              <w:tl2br w:val="nil"/>
              <w:tr2bl w:val="nil"/>
            </w:tcBorders>
            <w:shd w:val="clear" w:color="auto" w:fill="auto"/>
            <w:noWrap w:val="0"/>
            <w:tcMar>
              <w:top w:w="80" w:type="dxa"/>
              <w:left w:w="80" w:type="dxa"/>
              <w:bottom w:w="80" w:type="dxa"/>
              <w:right w:w="80" w:type="dxa"/>
            </w:tcMar>
            <w:vAlign w:val="center"/>
          </w:tcPr>
          <w:p w14:paraId="6A11BDD6">
            <w:pPr>
              <w:widowControl/>
              <w:spacing w:line="240" w:lineRule="auto"/>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认证证书</w:t>
            </w:r>
          </w:p>
        </w:tc>
        <w:tc>
          <w:tcPr>
            <w:tcW w:w="6131" w:type="dxa"/>
            <w:tcBorders>
              <w:tl2br w:val="nil"/>
              <w:tr2bl w:val="nil"/>
            </w:tcBorders>
            <w:shd w:val="clear" w:color="auto" w:fill="auto"/>
            <w:noWrap w:val="0"/>
            <w:tcMar>
              <w:top w:w="80" w:type="dxa"/>
              <w:left w:w="80" w:type="dxa"/>
              <w:bottom w:w="80" w:type="dxa"/>
              <w:right w:w="80" w:type="dxa"/>
            </w:tcMar>
            <w:vAlign w:val="center"/>
          </w:tcPr>
          <w:p w14:paraId="408C0394">
            <w:pPr>
              <w:spacing w:line="24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oracle ocp，达梦 DCP 或其他同等级的国产数据库认证，并提供证明材料。</w:t>
            </w:r>
          </w:p>
        </w:tc>
      </w:tr>
      <w:tr w14:paraId="76911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4CBF9BC6">
            <w:pPr>
              <w:spacing w:line="240" w:lineRule="auto"/>
              <w:rPr>
                <w:rFonts w:hint="default" w:ascii="Times New Roman" w:hAnsi="Times New Roman" w:cs="Times New Roman"/>
                <w:sz w:val="24"/>
                <w:szCs w:val="24"/>
                <w:lang w:val="en-US" w:eastAsia="zh-CN"/>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25BE7CAF">
            <w:pPr>
              <w:widowControl/>
              <w:spacing w:line="240" w:lineRule="auto"/>
              <w:textAlignment w:val="cente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现场服务</w:t>
            </w:r>
          </w:p>
        </w:tc>
        <w:tc>
          <w:tcPr>
            <w:tcW w:w="6131" w:type="dxa"/>
            <w:tcBorders>
              <w:tl2br w:val="nil"/>
              <w:tr2bl w:val="nil"/>
            </w:tcBorders>
            <w:shd w:val="clear" w:color="auto" w:fill="auto"/>
            <w:noWrap w:val="0"/>
            <w:tcMar>
              <w:top w:w="80" w:type="dxa"/>
              <w:left w:w="80" w:type="dxa"/>
              <w:bottom w:w="80" w:type="dxa"/>
              <w:right w:w="80" w:type="dxa"/>
            </w:tcMar>
            <w:vAlign w:val="center"/>
          </w:tcPr>
          <w:p w14:paraId="71D6FC5C">
            <w:pPr>
              <w:autoSpaceDE w:val="0"/>
              <w:autoSpaceDN w:val="0"/>
              <w:adjustRightInd w:val="0"/>
              <w:spacing w:line="240" w:lineRule="auto"/>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整个项目维保服务周期中，不得随意更换服务人员，如需更换，新派工程师技术能力须满足招标文件及用户要求且须在工作交接后经过采购人同意，方可更换，若未经采购人同意中途更换服务人员，采购人有权随时中止合同，并应承担相应的违约赔偿责任。</w:t>
            </w:r>
          </w:p>
        </w:tc>
      </w:tr>
      <w:tr w14:paraId="0C5A4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0DDEF"/>
          <w:tblCellMar>
            <w:top w:w="0" w:type="dxa"/>
            <w:left w:w="0" w:type="dxa"/>
            <w:bottom w:w="0" w:type="dxa"/>
            <w:right w:w="0" w:type="dxa"/>
          </w:tblCellMar>
        </w:tblPrEx>
        <w:trPr>
          <w:trHeight w:val="888" w:hRule="atLeast"/>
          <w:jc w:val="center"/>
        </w:trPr>
        <w:tc>
          <w:tcPr>
            <w:tcW w:w="1274" w:type="dxa"/>
            <w:vMerge w:val="continue"/>
            <w:tcBorders>
              <w:tl2br w:val="nil"/>
              <w:tr2bl w:val="nil"/>
            </w:tcBorders>
            <w:shd w:val="clear" w:color="auto" w:fill="auto"/>
            <w:noWrap w:val="0"/>
            <w:tcMar>
              <w:top w:w="80" w:type="dxa"/>
              <w:left w:w="80" w:type="dxa"/>
              <w:bottom w:w="80" w:type="dxa"/>
              <w:right w:w="80" w:type="dxa"/>
            </w:tcMar>
            <w:vAlign w:val="center"/>
          </w:tcPr>
          <w:p w14:paraId="105B7A15">
            <w:pPr>
              <w:spacing w:line="240" w:lineRule="auto"/>
              <w:rPr>
                <w:rFonts w:hint="default" w:ascii="Times New Roman" w:hAnsi="Times New Roman" w:cs="Times New Roman"/>
                <w:sz w:val="24"/>
                <w:szCs w:val="24"/>
                <w:lang w:val="en-US" w:eastAsia="zh-CN"/>
              </w:rPr>
            </w:pPr>
          </w:p>
        </w:tc>
        <w:tc>
          <w:tcPr>
            <w:tcW w:w="1677" w:type="dxa"/>
            <w:tcBorders>
              <w:tl2br w:val="nil"/>
              <w:tr2bl w:val="nil"/>
            </w:tcBorders>
            <w:shd w:val="clear" w:color="auto" w:fill="auto"/>
            <w:noWrap w:val="0"/>
            <w:tcMar>
              <w:top w:w="80" w:type="dxa"/>
              <w:left w:w="80" w:type="dxa"/>
              <w:bottom w:w="80" w:type="dxa"/>
              <w:right w:w="80" w:type="dxa"/>
            </w:tcMar>
            <w:vAlign w:val="center"/>
          </w:tcPr>
          <w:p w14:paraId="4A78D830">
            <w:pPr>
              <w:widowControl/>
              <w:spacing w:line="240" w:lineRule="auto"/>
              <w:textAlignment w:val="center"/>
              <w:rPr>
                <w:rFonts w:hint="default" w:ascii="Times New Roman" w:hAnsi="Times New Roman" w:cs="Times New Roman"/>
                <w:sz w:val="24"/>
                <w:szCs w:val="24"/>
                <w:lang w:val="en-US" w:eastAsia="zh-CN"/>
              </w:rPr>
            </w:pPr>
            <w:r>
              <w:rPr>
                <w:rFonts w:hint="eastAsia" w:ascii="宋体" w:hAnsi="宋体" w:eastAsia="宋体" w:cs="宋体"/>
                <w:color w:val="000000"/>
                <w:kern w:val="0"/>
                <w:sz w:val="24"/>
                <w:szCs w:val="24"/>
                <w:lang w:val="en-US" w:eastAsia="zh-CN" w:bidi="ar"/>
              </w:rPr>
              <w:t>专家支持</w:t>
            </w:r>
          </w:p>
        </w:tc>
        <w:tc>
          <w:tcPr>
            <w:tcW w:w="6131" w:type="dxa"/>
            <w:tcBorders>
              <w:tl2br w:val="nil"/>
              <w:tr2bl w:val="nil"/>
            </w:tcBorders>
            <w:shd w:val="clear" w:color="auto" w:fill="auto"/>
            <w:noWrap w:val="0"/>
            <w:tcMar>
              <w:top w:w="80" w:type="dxa"/>
              <w:left w:w="80" w:type="dxa"/>
              <w:bottom w:w="80" w:type="dxa"/>
              <w:right w:w="80" w:type="dxa"/>
            </w:tcMar>
            <w:vAlign w:val="center"/>
          </w:tcPr>
          <w:p w14:paraId="2CA91ED0">
            <w:pPr>
              <w:keepNext w:val="0"/>
              <w:keepLines w:val="0"/>
              <w:widowControl/>
              <w:suppressLineNumbers w:val="0"/>
              <w:jc w:val="left"/>
              <w:rPr>
                <w:rFonts w:hint="default" w:ascii="Times New Roman" w:hAnsi="Times New Roman" w:cs="Times New Roman"/>
                <w:sz w:val="24"/>
                <w:szCs w:val="24"/>
                <w:lang w:val="en-US" w:eastAsia="zh-CN"/>
              </w:rPr>
            </w:pPr>
            <w:r>
              <w:rPr>
                <w:rFonts w:hint="eastAsia" w:ascii="宋体" w:hAnsi="宋体" w:eastAsia="宋体" w:cs="宋体"/>
                <w:color w:val="000000"/>
                <w:kern w:val="0"/>
                <w:sz w:val="24"/>
                <w:szCs w:val="24"/>
                <w:lang w:val="en-US" w:eastAsia="zh-CN" w:bidi="ar"/>
              </w:rPr>
              <w:t>对现场技术人员不能解决处理的问题，采用增派更加资深的技术专家人员，一并上门服务的方式进行解决，并保证故障不排除，维修技术人员不撤离。</w:t>
            </w:r>
          </w:p>
        </w:tc>
      </w:tr>
    </w:tbl>
    <w:p w14:paraId="21D54FDE"/>
    <w:p w14:paraId="0C09BA26">
      <w:pPr>
        <w:pStyle w:val="2"/>
        <w:rPr>
          <w:rFonts w:hint="eastAsia" w:ascii="仿宋" w:hAnsi="仿宋" w:eastAsia="仿宋"/>
          <w:sz w:val="32"/>
          <w:szCs w:val="32"/>
        </w:rPr>
      </w:pPr>
    </w:p>
    <w:p w14:paraId="49176CEB">
      <w:pPr>
        <w:pStyle w:val="3"/>
        <w:keepNext w:val="0"/>
        <w:keepLines w:val="0"/>
        <w:pageBreakBefore w:val="0"/>
        <w:kinsoku/>
        <w:wordWrap/>
        <w:topLinePunct w:val="0"/>
        <w:bidi w:val="0"/>
        <w:snapToGrid/>
        <w:spacing w:line="560" w:lineRule="exact"/>
        <w:ind w:left="0"/>
        <w:rPr>
          <w:sz w:val="32"/>
          <w:szCs w:val="32"/>
        </w:rPr>
      </w:pPr>
    </w:p>
    <w:sectPr>
      <w:footerReference r:id="rId3" w:type="default"/>
      <w:pgSz w:w="11906" w:h="16838"/>
      <w:pgMar w:top="2098" w:right="1531" w:bottom="175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41AD6A3-2A90-4266-AAE7-2DC7324D964A}"/>
  </w:font>
  <w:font w:name="仿宋">
    <w:panose1 w:val="02010609060101010101"/>
    <w:charset w:val="86"/>
    <w:family w:val="modern"/>
    <w:pitch w:val="default"/>
    <w:sig w:usb0="800002BF" w:usb1="38CF7CFA" w:usb2="00000016" w:usb3="00000000" w:csb0="00040001" w:csb1="00000000"/>
    <w:embedRegular r:id="rId2" w:fontKey="{FF4318FD-F413-4970-926F-D9B2EF641154}"/>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embedRegular r:id="rId3" w:fontKey="{BC0157FA-46C0-4AD7-8801-967FAA65CCA4}"/>
  </w:font>
  <w:font w:name="方正黑体_GBK">
    <w:panose1 w:val="03000509000000000000"/>
    <w:charset w:val="86"/>
    <w:family w:val="auto"/>
    <w:pitch w:val="default"/>
    <w:sig w:usb0="00000001" w:usb1="080E0000" w:usb2="00000000" w:usb3="00000000" w:csb0="00040000" w:csb1="00000000"/>
    <w:embedRegular r:id="rId4" w:fontKey="{DB7761D1-9635-419B-9D8B-D1A896A0AE9B}"/>
  </w:font>
  <w:font w:name="方正楷体_GBK">
    <w:panose1 w:val="03000509000000000000"/>
    <w:charset w:val="86"/>
    <w:family w:val="auto"/>
    <w:pitch w:val="default"/>
    <w:sig w:usb0="00000001" w:usb1="080E0000" w:usb2="00000000" w:usb3="00000000" w:csb0="00040000" w:csb1="00000000"/>
    <w:embedRegular r:id="rId5" w:fontKey="{DC6943D1-1280-4A8B-94AB-8618FC66EFFE}"/>
  </w:font>
  <w:font w:name="方正仿宋_GBK">
    <w:panose1 w:val="03000509000000000000"/>
    <w:charset w:val="86"/>
    <w:family w:val="auto"/>
    <w:pitch w:val="default"/>
    <w:sig w:usb0="00000001" w:usb1="080E0000" w:usb2="00000000" w:usb3="00000000" w:csb0="00040000" w:csb1="00000000"/>
    <w:embedRegular r:id="rId6" w:fontKey="{A02EA36D-1DE2-4B8F-AA91-9C85336C7C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FCB20">
    <w:pPr>
      <w:pStyle w:val="4"/>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3</w:t>
    </w:r>
    <w:r>
      <w:rPr>
        <w:kern w:val="0"/>
        <w:szCs w:val="21"/>
      </w:rPr>
      <w:fldChar w:fldCharType="end"/>
    </w:r>
    <w:r>
      <w:rPr>
        <w:rFonts w:hint="eastAsia"/>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E9B14A"/>
    <w:multiLevelType w:val="singleLevel"/>
    <w:tmpl w:val="1BE9B14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iODQ4MTdkYWZkMmZjNzMzNWNmZjVjZDQ2Yjc0YzIifQ=="/>
  </w:docVars>
  <w:rsids>
    <w:rsidRoot w:val="00000000"/>
    <w:rsid w:val="02506715"/>
    <w:rsid w:val="07717C2F"/>
    <w:rsid w:val="0E210ACA"/>
    <w:rsid w:val="10E7716A"/>
    <w:rsid w:val="15F97E98"/>
    <w:rsid w:val="18A514C3"/>
    <w:rsid w:val="199B11AF"/>
    <w:rsid w:val="1AC9260F"/>
    <w:rsid w:val="2FCC5F35"/>
    <w:rsid w:val="329D4993"/>
    <w:rsid w:val="34903C5C"/>
    <w:rsid w:val="4E5D7EFC"/>
    <w:rsid w:val="525E714F"/>
    <w:rsid w:val="55E24503"/>
    <w:rsid w:val="5E41133C"/>
    <w:rsid w:val="5FC4239A"/>
    <w:rsid w:val="68A3256F"/>
    <w:rsid w:val="6B507FEF"/>
    <w:rsid w:val="73665EBA"/>
    <w:rsid w:val="74B01FBE"/>
    <w:rsid w:val="75715B84"/>
    <w:rsid w:val="77C91904"/>
    <w:rsid w:val="7E9C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1"/>
    <w:pPr>
      <w:ind w:left="602"/>
    </w:pPr>
    <w:rPr>
      <w:rFonts w:ascii="仿宋" w:hAnsi="仿宋" w:eastAsia="仿宋" w:cs="仿宋"/>
      <w:sz w:val="24"/>
      <w:szCs w:val="24"/>
      <w:lang w:val="zh-CN" w:eastAsia="zh-CN" w:bidi="zh-CN"/>
    </w:rPr>
  </w:style>
  <w:style w:type="paragraph" w:styleId="3">
    <w:name w:val="Plain Text"/>
    <w:basedOn w:val="1"/>
    <w:qFormat/>
    <w:uiPriority w:val="99"/>
    <w:pPr>
      <w:widowControl/>
      <w:overflowPunct w:val="0"/>
      <w:autoSpaceDE w:val="0"/>
      <w:autoSpaceDN w:val="0"/>
      <w:adjustRightInd w:val="0"/>
      <w:jc w:val="left"/>
      <w:textAlignment w:val="baseline"/>
    </w:pPr>
    <w:rPr>
      <w:rFonts w:ascii="宋体" w:hAnsi="Courier New"/>
      <w:kern w:val="0"/>
      <w:sz w:val="20"/>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customStyle="1" w:styleId="7">
    <w:name w:val="Default"/>
    <w:autoRedefine/>
    <w:qFormat/>
    <w:uiPriority w:val="0"/>
    <w:pPr>
      <w:widowControl w:val="0"/>
      <w:autoSpaceDE w:val="0"/>
      <w:autoSpaceDN w:val="0"/>
      <w:adjustRightInd w:val="0"/>
    </w:pPr>
    <w:rPr>
      <w:rFonts w:ascii="华文中宋" w:hAnsi="华文中宋" w:eastAsia="宋体" w:cs="华文中宋"/>
      <w:color w:val="000000"/>
      <w:sz w:val="24"/>
      <w:szCs w:val="24"/>
      <w:lang w:val="en-US" w:eastAsia="zh-CN" w:bidi="ar-SA"/>
    </w:rPr>
  </w:style>
  <w:style w:type="paragraph" w:styleId="8">
    <w:name w:val="List Paragraph"/>
    <w:basedOn w:val="1"/>
    <w:qFormat/>
    <w:uiPriority w:val="34"/>
    <w:pPr>
      <w:ind w:firstLine="420" w:firstLineChars="200"/>
    </w:pPr>
  </w:style>
  <w:style w:type="character" w:customStyle="1" w:styleId="9">
    <w:name w:val="font112"/>
    <w:basedOn w:val="6"/>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2926</Words>
  <Characters>3059</Characters>
  <Lines>0</Lines>
  <Paragraphs>0</Paragraphs>
  <TotalTime>1079</TotalTime>
  <ScaleCrop>false</ScaleCrop>
  <LinksUpToDate>false</LinksUpToDate>
  <CharactersWithSpaces>3132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2024-01-30T08:28:00Z</dcterms:created>
  <dc:creator>admin</dc:creator>
  <cp:lastModifiedBy>曲奇饼不干</cp:lastModifiedBy>
  <cp:lastPrinted>2026-07-29T06:57:13Z</cp:lastPrinted>
  <dcterms:modified xsi:type="dcterms:W3CDTF">2026-07-29T07:21:46Z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EBBBBB7C325E4FDD9768CAF7D03B7C7C_13</vt:lpwstr>
  </property>
  <property fmtid="{D5CDD505-2E9C-101B-9397-08002B2CF9AE}" pid="4" name="KSOTemplateDocerSaveRecord">
    <vt:lpwstr>eyJoZGlkIjoiOTVjMGQzNjU4MTE5MWE4YjQ2YzY0MGJjZWY3ZTZiZTgiLCJ1c2VySWQiOiI1ODk1NzIyNzgifQ==</vt:lpwstr>
  </property>
</Properties>
</file>