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F045EA">
      <w:pPr>
        <w:jc w:val="center"/>
        <w:rPr>
          <w:sz w:val="32"/>
          <w:szCs w:val="32"/>
        </w:rPr>
      </w:pPr>
      <w:r>
        <w:rPr>
          <w:rFonts w:hint="eastAsia"/>
          <w:sz w:val="32"/>
          <w:szCs w:val="32"/>
        </w:rPr>
        <w:t>脑氧</w:t>
      </w:r>
      <w:r>
        <w:rPr>
          <w:sz w:val="32"/>
          <w:szCs w:val="32"/>
        </w:rPr>
        <w:t>监测仪技术参数</w:t>
      </w:r>
    </w:p>
    <w:p w14:paraId="4DB70C8E">
      <w:pPr>
        <w:jc w:val="center"/>
        <w:rPr>
          <w:sz w:val="18"/>
          <w:szCs w:val="18"/>
        </w:rPr>
      </w:pPr>
    </w:p>
    <w:p w14:paraId="026988AB">
      <w:pPr>
        <w:pStyle w:val="2"/>
        <w:tabs>
          <w:tab w:val="left" w:pos="851"/>
        </w:tabs>
        <w:adjustRightInd w:val="0"/>
        <w:snapToGrid w:val="0"/>
        <w:spacing w:line="360" w:lineRule="auto"/>
        <w:ind w:firstLine="0" w:firstLineChars="0"/>
        <w:jc w:val="left"/>
        <w:rPr>
          <w:rFonts w:ascii="宋体" w:hAnsi="宋体"/>
          <w:kern w:val="2"/>
          <w:sz w:val="18"/>
          <w:szCs w:val="18"/>
        </w:rPr>
      </w:pPr>
      <w:r>
        <w:rPr>
          <w:rFonts w:hint="eastAsia" w:ascii="宋体" w:hAnsi="宋体"/>
          <w:kern w:val="2"/>
          <w:sz w:val="18"/>
          <w:szCs w:val="18"/>
        </w:rPr>
        <w:t>1.具备监测局部组织血氧饱和度（T</w:t>
      </w:r>
      <w:r>
        <w:rPr>
          <w:rFonts w:ascii="宋体" w:hAnsi="宋体"/>
          <w:kern w:val="2"/>
          <w:sz w:val="18"/>
          <w:szCs w:val="18"/>
        </w:rPr>
        <w:t>OI</w:t>
      </w:r>
      <w:r>
        <w:rPr>
          <w:rFonts w:hint="eastAsia" w:ascii="宋体" w:hAnsi="宋体"/>
          <w:kern w:val="2"/>
          <w:sz w:val="18"/>
          <w:szCs w:val="18"/>
        </w:rPr>
        <w:t>），可反映局部组织的氧供应与消耗动态平衡。</w:t>
      </w:r>
    </w:p>
    <w:p w14:paraId="2C098FEE">
      <w:pPr>
        <w:pStyle w:val="2"/>
        <w:tabs>
          <w:tab w:val="left" w:pos="851"/>
        </w:tabs>
        <w:adjustRightInd w:val="0"/>
        <w:snapToGrid w:val="0"/>
        <w:spacing w:line="360" w:lineRule="auto"/>
        <w:ind w:firstLine="0" w:firstLineChars="0"/>
        <w:jc w:val="left"/>
        <w:rPr>
          <w:rFonts w:hint="default" w:ascii="宋体" w:hAnsi="宋体" w:eastAsia="宋体"/>
          <w:kern w:val="2"/>
          <w:sz w:val="18"/>
          <w:szCs w:val="18"/>
          <w:highlight w:val="yellow"/>
          <w:lang w:eastAsia="zh-CN"/>
        </w:rPr>
      </w:pPr>
      <w:r>
        <w:rPr>
          <w:rFonts w:ascii="宋体" w:hAnsi="宋体"/>
          <w:kern w:val="2"/>
          <w:sz w:val="18"/>
          <w:szCs w:val="18"/>
        </w:rPr>
        <w:t>2.</w:t>
      </w:r>
      <w:r>
        <w:rPr>
          <w:rFonts w:hint="eastAsia" w:ascii="宋体" w:hAnsi="宋体"/>
          <w:kern w:val="2"/>
          <w:sz w:val="18"/>
          <w:szCs w:val="18"/>
        </w:rPr>
        <w:t>具备监测局部组织血红蛋白浓度指数（T</w:t>
      </w:r>
      <w:r>
        <w:rPr>
          <w:rFonts w:ascii="宋体" w:hAnsi="宋体"/>
          <w:kern w:val="2"/>
          <w:sz w:val="18"/>
          <w:szCs w:val="18"/>
        </w:rPr>
        <w:t>HI</w:t>
      </w:r>
      <w:r>
        <w:rPr>
          <w:rFonts w:hint="eastAsia" w:ascii="宋体" w:hAnsi="宋体"/>
          <w:kern w:val="2"/>
          <w:sz w:val="18"/>
          <w:szCs w:val="18"/>
        </w:rPr>
        <w:t>）</w:t>
      </w:r>
      <w:r>
        <w:rPr>
          <w:rFonts w:hint="default" w:ascii="宋体" w:hAnsi="宋体"/>
          <w:kern w:val="2"/>
          <w:sz w:val="18"/>
          <w:szCs w:val="18"/>
        </w:rPr>
        <w:t>。</w:t>
      </w:r>
    </w:p>
    <w:p w14:paraId="6ED68C0E">
      <w:pPr>
        <w:pStyle w:val="2"/>
        <w:tabs>
          <w:tab w:val="left" w:pos="851"/>
        </w:tabs>
        <w:adjustRightInd w:val="0"/>
        <w:snapToGrid w:val="0"/>
        <w:spacing w:line="360" w:lineRule="auto"/>
        <w:ind w:firstLine="0" w:firstLineChars="0"/>
        <w:jc w:val="left"/>
        <w:rPr>
          <w:rFonts w:ascii="宋体" w:hAnsi="宋体"/>
          <w:kern w:val="2"/>
          <w:sz w:val="18"/>
          <w:szCs w:val="18"/>
        </w:rPr>
      </w:pPr>
      <w:r>
        <w:rPr>
          <w:rFonts w:ascii="宋体" w:hAnsi="宋体"/>
          <w:kern w:val="2"/>
          <w:sz w:val="18"/>
          <w:szCs w:val="18"/>
        </w:rPr>
        <w:t>3.</w:t>
      </w:r>
      <w:r>
        <w:rPr>
          <w:rFonts w:hint="eastAsia" w:ascii="宋体" w:hAnsi="宋体"/>
          <w:kern w:val="2"/>
          <w:sz w:val="18"/>
          <w:szCs w:val="18"/>
        </w:rPr>
        <w:t>具备监测局部组织中氧合血红蛋白浓度相对测量初始值的变化量（</w:t>
      </w:r>
      <w:r>
        <w:rPr>
          <w:rFonts w:ascii="宋体" w:hAnsi="宋体"/>
          <w:kern w:val="2"/>
          <w:sz w:val="18"/>
          <w:szCs w:val="18"/>
        </w:rPr>
        <w:t>ΔCHbO</w:t>
      </w:r>
      <w:r>
        <w:rPr>
          <w:rFonts w:ascii="宋体" w:hAnsi="宋体"/>
          <w:kern w:val="2"/>
          <w:sz w:val="18"/>
          <w:szCs w:val="18"/>
          <w:vertAlign w:val="subscript"/>
        </w:rPr>
        <w:t>2</w:t>
      </w:r>
      <w:r>
        <w:rPr>
          <w:rFonts w:hint="eastAsia" w:ascii="宋体" w:hAnsi="宋体"/>
          <w:kern w:val="2"/>
          <w:sz w:val="18"/>
          <w:szCs w:val="18"/>
        </w:rPr>
        <w:t>）</w:t>
      </w:r>
    </w:p>
    <w:p w14:paraId="37C7EC26">
      <w:pPr>
        <w:pStyle w:val="2"/>
        <w:tabs>
          <w:tab w:val="left" w:pos="851"/>
        </w:tabs>
        <w:adjustRightInd w:val="0"/>
        <w:snapToGrid w:val="0"/>
        <w:spacing w:line="360" w:lineRule="auto"/>
        <w:ind w:firstLine="0" w:firstLineChars="0"/>
        <w:jc w:val="left"/>
        <w:rPr>
          <w:rFonts w:ascii="宋体" w:hAnsi="宋体"/>
          <w:kern w:val="2"/>
          <w:sz w:val="18"/>
          <w:szCs w:val="18"/>
        </w:rPr>
      </w:pPr>
      <w:r>
        <w:rPr>
          <w:rFonts w:hint="eastAsia" w:ascii="宋体" w:hAnsi="宋体"/>
          <w:kern w:val="2"/>
          <w:sz w:val="18"/>
          <w:szCs w:val="18"/>
        </w:rPr>
        <w:t>4.具备监测局部组织中还原血红蛋白浓度相对测量初始值的变化量（</w:t>
      </w:r>
      <w:r>
        <w:rPr>
          <w:rFonts w:ascii="宋体" w:hAnsi="宋体"/>
          <w:kern w:val="2"/>
          <w:sz w:val="18"/>
          <w:szCs w:val="18"/>
        </w:rPr>
        <w:t>ΔCHb</w:t>
      </w:r>
      <w:r>
        <w:rPr>
          <w:rFonts w:hint="eastAsia" w:ascii="宋体" w:hAnsi="宋体"/>
          <w:kern w:val="2"/>
          <w:sz w:val="18"/>
          <w:szCs w:val="18"/>
        </w:rPr>
        <w:t>）</w:t>
      </w:r>
    </w:p>
    <w:p w14:paraId="0BBB3969">
      <w:pPr>
        <w:pStyle w:val="2"/>
        <w:tabs>
          <w:tab w:val="left" w:pos="851"/>
        </w:tabs>
        <w:adjustRightInd w:val="0"/>
        <w:snapToGrid w:val="0"/>
        <w:spacing w:line="360" w:lineRule="auto"/>
        <w:ind w:firstLine="0" w:firstLineChars="0"/>
        <w:jc w:val="left"/>
        <w:rPr>
          <w:rFonts w:ascii="宋体" w:hAnsi="宋体"/>
          <w:kern w:val="2"/>
          <w:sz w:val="18"/>
          <w:szCs w:val="18"/>
        </w:rPr>
      </w:pPr>
      <w:r>
        <w:rPr>
          <w:rFonts w:hint="eastAsia" w:ascii="宋体" w:hAnsi="宋体"/>
          <w:kern w:val="2"/>
          <w:sz w:val="18"/>
          <w:szCs w:val="18"/>
        </w:rPr>
        <w:t>5.具备监测局部组织中总血红蛋白浓度相对测量初始值的变化量（</w:t>
      </w:r>
      <w:r>
        <w:rPr>
          <w:rFonts w:ascii="宋体" w:hAnsi="宋体"/>
          <w:kern w:val="2"/>
          <w:sz w:val="18"/>
          <w:szCs w:val="18"/>
        </w:rPr>
        <w:t>ΔCtHb</w:t>
      </w:r>
      <w:r>
        <w:rPr>
          <w:rFonts w:hint="eastAsia" w:ascii="宋体" w:hAnsi="宋体"/>
          <w:kern w:val="2"/>
          <w:sz w:val="18"/>
          <w:szCs w:val="18"/>
        </w:rPr>
        <w:t>）</w:t>
      </w:r>
    </w:p>
    <w:p w14:paraId="28962F30">
      <w:pPr>
        <w:pStyle w:val="2"/>
        <w:tabs>
          <w:tab w:val="left" w:pos="851"/>
        </w:tabs>
        <w:adjustRightInd w:val="0"/>
        <w:snapToGrid w:val="0"/>
        <w:spacing w:line="360" w:lineRule="auto"/>
        <w:ind w:firstLine="0" w:firstLineChars="0"/>
        <w:jc w:val="left"/>
        <w:rPr>
          <w:rFonts w:ascii="宋体" w:hAnsi="宋体"/>
          <w:kern w:val="2"/>
          <w:sz w:val="18"/>
          <w:szCs w:val="18"/>
          <w:highlight w:val="none"/>
        </w:rPr>
      </w:pPr>
      <w:r>
        <w:rPr>
          <w:rFonts w:hint="eastAsia" w:ascii="宋体" w:hAnsi="宋体" w:eastAsia="宋体" w:cs="宋体"/>
          <w:color w:val="000000"/>
          <w:sz w:val="21"/>
          <w:szCs w:val="21"/>
        </w:rPr>
        <w:t>▲</w:t>
      </w:r>
      <w:r>
        <w:rPr>
          <w:rFonts w:ascii="宋体" w:hAnsi="宋体"/>
          <w:kern w:val="2"/>
          <w:sz w:val="18"/>
          <w:szCs w:val="18"/>
        </w:rPr>
        <w:t>6.</w:t>
      </w:r>
      <w:r>
        <w:rPr>
          <w:rFonts w:hint="eastAsia" w:ascii="宋体" w:hAnsi="宋体"/>
          <w:kern w:val="2"/>
          <w:sz w:val="18"/>
          <w:szCs w:val="18"/>
        </w:rPr>
        <w:t>提供产品注册检验报告且能证实</w:t>
      </w:r>
      <w:r>
        <w:rPr>
          <w:rFonts w:ascii="宋体" w:hAnsi="宋体"/>
          <w:kern w:val="2"/>
          <w:sz w:val="18"/>
          <w:szCs w:val="18"/>
        </w:rPr>
        <w:t>TOI</w:t>
      </w:r>
      <w:r>
        <w:rPr>
          <w:rFonts w:hint="eastAsia" w:ascii="宋体" w:hAnsi="宋体"/>
          <w:kern w:val="2"/>
          <w:sz w:val="18"/>
          <w:szCs w:val="18"/>
        </w:rPr>
        <w:t xml:space="preserve">测量范围： </w:t>
      </w:r>
      <w:r>
        <w:rPr>
          <w:rFonts w:ascii="宋体" w:hAnsi="宋体"/>
          <w:kern w:val="2"/>
          <w:sz w:val="18"/>
          <w:szCs w:val="18"/>
        </w:rPr>
        <w:t>30</w:t>
      </w:r>
      <w:r>
        <w:rPr>
          <w:rFonts w:hint="eastAsia" w:ascii="宋体" w:hAnsi="宋体"/>
          <w:kern w:val="2"/>
          <w:sz w:val="18"/>
          <w:szCs w:val="18"/>
        </w:rPr>
        <w:t xml:space="preserve">% ～ </w:t>
      </w:r>
      <w:r>
        <w:rPr>
          <w:rFonts w:ascii="宋体" w:hAnsi="宋体"/>
          <w:kern w:val="2"/>
          <w:sz w:val="18"/>
          <w:szCs w:val="18"/>
        </w:rPr>
        <w:t>80</w:t>
      </w:r>
      <w:r>
        <w:rPr>
          <w:rFonts w:hint="eastAsia" w:ascii="宋体" w:hAnsi="宋体"/>
          <w:kern w:val="2"/>
          <w:sz w:val="18"/>
          <w:szCs w:val="18"/>
        </w:rPr>
        <w:t>%，且注册检验报告中实际测量结果指出误差满足</w:t>
      </w:r>
      <w:r>
        <w:rPr>
          <w:rFonts w:hint="eastAsia" w:ascii="宋体" w:hAnsi="宋体"/>
          <w:kern w:val="2"/>
          <w:sz w:val="18"/>
          <w:szCs w:val="18"/>
          <w:highlight w:val="none"/>
        </w:rPr>
        <w:t>≤±</w:t>
      </w:r>
      <w:r>
        <w:rPr>
          <w:rFonts w:ascii="宋体" w:hAnsi="宋体"/>
          <w:kern w:val="2"/>
          <w:sz w:val="18"/>
          <w:szCs w:val="18"/>
          <w:highlight w:val="none"/>
        </w:rPr>
        <w:t>0.5%</w:t>
      </w:r>
      <w:r>
        <w:rPr>
          <w:rFonts w:hint="eastAsia" w:ascii="宋体" w:hAnsi="宋体"/>
          <w:kern w:val="2"/>
          <w:sz w:val="18"/>
          <w:szCs w:val="18"/>
          <w:highlight w:val="none"/>
        </w:rPr>
        <w:t>。</w:t>
      </w:r>
      <w:r>
        <w:rPr>
          <w:rFonts w:hint="eastAsia" w:ascii="宋体" w:hAnsi="宋体"/>
          <w:kern w:val="2"/>
          <w:sz w:val="18"/>
          <w:szCs w:val="18"/>
          <w:highlight w:val="none"/>
          <w:lang w:eastAsia="zh-CN"/>
        </w:rPr>
        <w:t>（</w:t>
      </w:r>
      <w:r>
        <w:rPr>
          <w:rFonts w:hint="eastAsia" w:ascii="宋体" w:hAnsi="宋体"/>
          <w:kern w:val="2"/>
          <w:sz w:val="18"/>
          <w:szCs w:val="18"/>
          <w:highlight w:val="none"/>
          <w:lang w:val="en-US" w:eastAsia="zh-CN"/>
        </w:rPr>
        <w:t>提供产品检验报告证明</w:t>
      </w:r>
      <w:r>
        <w:rPr>
          <w:rFonts w:hint="eastAsia" w:ascii="宋体" w:hAnsi="宋体"/>
          <w:kern w:val="2"/>
          <w:sz w:val="18"/>
          <w:szCs w:val="18"/>
          <w:highlight w:val="none"/>
          <w:lang w:eastAsia="zh-CN"/>
        </w:rPr>
        <w:t>）</w:t>
      </w:r>
    </w:p>
    <w:p w14:paraId="16D87A00">
      <w:pPr>
        <w:pStyle w:val="2"/>
        <w:tabs>
          <w:tab w:val="left" w:pos="851"/>
        </w:tabs>
        <w:adjustRightInd w:val="0"/>
        <w:snapToGrid w:val="0"/>
        <w:spacing w:line="360" w:lineRule="auto"/>
        <w:ind w:firstLine="0" w:firstLineChars="0"/>
        <w:jc w:val="left"/>
        <w:rPr>
          <w:rFonts w:ascii="宋体" w:hAnsi="宋体"/>
          <w:kern w:val="2"/>
          <w:sz w:val="18"/>
          <w:szCs w:val="18"/>
          <w:highlight w:val="none"/>
        </w:rPr>
      </w:pPr>
      <w:r>
        <w:rPr>
          <w:rFonts w:hint="eastAsia" w:ascii="宋体" w:hAnsi="宋体" w:eastAsia="宋体" w:cs="宋体"/>
          <w:color w:val="000000"/>
          <w:sz w:val="21"/>
          <w:szCs w:val="21"/>
        </w:rPr>
        <w:t>▲</w:t>
      </w:r>
      <w:r>
        <w:rPr>
          <w:rFonts w:ascii="宋体" w:hAnsi="宋体"/>
          <w:kern w:val="2"/>
          <w:sz w:val="18"/>
          <w:szCs w:val="18"/>
        </w:rPr>
        <w:t>7.</w:t>
      </w:r>
      <w:r>
        <w:rPr>
          <w:rFonts w:hint="eastAsia" w:ascii="宋体" w:hAnsi="宋体"/>
          <w:kern w:val="2"/>
          <w:sz w:val="18"/>
          <w:szCs w:val="18"/>
        </w:rPr>
        <w:t xml:space="preserve"> 提供产品注册检验报告且能证实THI测量范围</w:t>
      </w:r>
      <w:r>
        <w:rPr>
          <w:rFonts w:ascii="宋体" w:hAnsi="宋体"/>
          <w:kern w:val="2"/>
          <w:sz w:val="18"/>
          <w:szCs w:val="18"/>
        </w:rPr>
        <w:t>及精度</w:t>
      </w:r>
      <w:r>
        <w:rPr>
          <w:rFonts w:hint="eastAsia" w:ascii="宋体" w:hAnsi="宋体"/>
          <w:kern w:val="2"/>
          <w:sz w:val="18"/>
          <w:szCs w:val="18"/>
        </w:rPr>
        <w:t>：0～3.0，且注册检验报告中实际测量结果指出误差满足≤±</w:t>
      </w:r>
      <w:r>
        <w:rPr>
          <w:rFonts w:ascii="宋体" w:hAnsi="宋体"/>
          <w:kern w:val="2"/>
          <w:sz w:val="18"/>
          <w:szCs w:val="18"/>
        </w:rPr>
        <w:t>0.1</w:t>
      </w:r>
      <w:r>
        <w:rPr>
          <w:rFonts w:hint="eastAsia" w:ascii="宋体" w:hAnsi="宋体"/>
          <w:kern w:val="2"/>
          <w:sz w:val="18"/>
          <w:szCs w:val="18"/>
        </w:rPr>
        <w:t>。</w:t>
      </w:r>
      <w:r>
        <w:rPr>
          <w:rFonts w:hint="eastAsia" w:ascii="宋体" w:hAnsi="宋体"/>
          <w:kern w:val="2"/>
          <w:sz w:val="18"/>
          <w:szCs w:val="18"/>
          <w:highlight w:val="none"/>
          <w:lang w:eastAsia="zh-CN"/>
        </w:rPr>
        <w:t>（</w:t>
      </w:r>
      <w:r>
        <w:rPr>
          <w:rFonts w:hint="eastAsia" w:ascii="宋体" w:hAnsi="宋体"/>
          <w:kern w:val="2"/>
          <w:sz w:val="18"/>
          <w:szCs w:val="18"/>
          <w:highlight w:val="none"/>
          <w:lang w:val="en-US" w:eastAsia="zh-CN"/>
        </w:rPr>
        <w:t>提供产品检验报告证明</w:t>
      </w:r>
      <w:r>
        <w:rPr>
          <w:rFonts w:hint="eastAsia" w:ascii="宋体" w:hAnsi="宋体"/>
          <w:kern w:val="2"/>
          <w:sz w:val="18"/>
          <w:szCs w:val="18"/>
          <w:highlight w:val="none"/>
          <w:lang w:eastAsia="zh-CN"/>
        </w:rPr>
        <w:t>）</w:t>
      </w:r>
    </w:p>
    <w:p w14:paraId="372A034C">
      <w:pPr>
        <w:pStyle w:val="2"/>
        <w:tabs>
          <w:tab w:val="left" w:pos="851"/>
        </w:tabs>
        <w:adjustRightInd w:val="0"/>
        <w:snapToGrid w:val="0"/>
        <w:spacing w:line="360" w:lineRule="auto"/>
        <w:ind w:firstLine="0" w:firstLineChars="0"/>
        <w:jc w:val="left"/>
        <w:rPr>
          <w:rFonts w:ascii="宋体" w:hAnsi="宋体"/>
          <w:kern w:val="2"/>
          <w:sz w:val="18"/>
          <w:szCs w:val="18"/>
        </w:rPr>
      </w:pPr>
      <w:r>
        <w:rPr>
          <w:rFonts w:hint="eastAsia" w:ascii="宋体" w:hAnsi="宋体" w:eastAsia="宋体" w:cs="宋体"/>
          <w:color w:val="000000"/>
          <w:sz w:val="21"/>
          <w:szCs w:val="21"/>
        </w:rPr>
        <w:t>▲</w:t>
      </w:r>
      <w:r>
        <w:rPr>
          <w:rFonts w:ascii="宋体" w:hAnsi="宋体"/>
          <w:kern w:val="2"/>
          <w:sz w:val="18"/>
          <w:szCs w:val="18"/>
        </w:rPr>
        <w:t>8.</w:t>
      </w:r>
      <w:r>
        <w:rPr>
          <w:rFonts w:hint="eastAsia" w:ascii="宋体" w:hAnsi="宋体"/>
          <w:kern w:val="2"/>
          <w:sz w:val="18"/>
          <w:szCs w:val="18"/>
        </w:rPr>
        <w:t xml:space="preserve"> 提供产品注册检验报告且能证实</w:t>
      </w:r>
      <w:r>
        <w:rPr>
          <w:rFonts w:ascii="宋体" w:hAnsi="宋体"/>
          <w:kern w:val="2"/>
          <w:sz w:val="18"/>
          <w:szCs w:val="18"/>
        </w:rPr>
        <w:t>ΔCHbO2</w:t>
      </w:r>
      <w:r>
        <w:rPr>
          <w:rFonts w:hint="eastAsia" w:ascii="宋体" w:hAnsi="宋体"/>
          <w:kern w:val="2"/>
          <w:sz w:val="18"/>
          <w:szCs w:val="18"/>
        </w:rPr>
        <w:t>测量范围</w:t>
      </w:r>
      <w:r>
        <w:rPr>
          <w:rFonts w:ascii="宋体" w:hAnsi="宋体"/>
          <w:kern w:val="2"/>
          <w:sz w:val="18"/>
          <w:szCs w:val="18"/>
        </w:rPr>
        <w:t>及精度</w:t>
      </w:r>
      <w:r>
        <w:rPr>
          <w:rFonts w:hint="eastAsia" w:ascii="宋体" w:hAnsi="宋体"/>
          <w:kern w:val="2"/>
          <w:sz w:val="18"/>
          <w:szCs w:val="18"/>
        </w:rPr>
        <w:t>：-30 ~ 30μmol/L，且注册检验报告中实际测量结果指出误差满足≤±1μmol/L。</w:t>
      </w:r>
    </w:p>
    <w:p w14:paraId="61CD574B">
      <w:pPr>
        <w:pStyle w:val="2"/>
        <w:tabs>
          <w:tab w:val="left" w:pos="851"/>
        </w:tabs>
        <w:adjustRightInd w:val="0"/>
        <w:snapToGrid w:val="0"/>
        <w:spacing w:line="360" w:lineRule="auto"/>
        <w:ind w:firstLine="0" w:firstLineChars="0"/>
        <w:jc w:val="left"/>
        <w:rPr>
          <w:rFonts w:ascii="宋体" w:hAnsi="宋体"/>
          <w:kern w:val="2"/>
          <w:sz w:val="18"/>
          <w:szCs w:val="18"/>
        </w:rPr>
      </w:pPr>
      <w:r>
        <w:rPr>
          <w:rFonts w:ascii="宋体" w:hAnsi="宋体"/>
          <w:kern w:val="2"/>
          <w:sz w:val="18"/>
          <w:szCs w:val="18"/>
        </w:rPr>
        <w:t>9.</w:t>
      </w:r>
      <w:r>
        <w:rPr>
          <w:rFonts w:hint="eastAsia" w:ascii="宋体" w:hAnsi="宋体"/>
          <w:kern w:val="2"/>
          <w:sz w:val="18"/>
          <w:szCs w:val="18"/>
        </w:rPr>
        <w:t xml:space="preserve"> 提供产品注册检验报告且能证实</w:t>
      </w:r>
      <w:r>
        <w:rPr>
          <w:rFonts w:ascii="宋体" w:hAnsi="宋体"/>
          <w:kern w:val="2"/>
          <w:sz w:val="18"/>
          <w:szCs w:val="18"/>
        </w:rPr>
        <w:t>ΔCHb</w:t>
      </w:r>
      <w:r>
        <w:rPr>
          <w:rFonts w:hint="eastAsia" w:ascii="宋体" w:hAnsi="宋体"/>
          <w:kern w:val="2"/>
          <w:sz w:val="18"/>
          <w:szCs w:val="18"/>
        </w:rPr>
        <w:t>测量范围</w:t>
      </w:r>
      <w:r>
        <w:rPr>
          <w:rFonts w:ascii="宋体" w:hAnsi="宋体"/>
          <w:kern w:val="2"/>
          <w:sz w:val="18"/>
          <w:szCs w:val="18"/>
        </w:rPr>
        <w:t>及精度</w:t>
      </w:r>
      <w:r>
        <w:rPr>
          <w:rFonts w:hint="eastAsia" w:ascii="宋体" w:hAnsi="宋体"/>
          <w:kern w:val="2"/>
          <w:sz w:val="18"/>
          <w:szCs w:val="18"/>
        </w:rPr>
        <w:t>：-30~ 30μmol/L，且注册检验报告中实际测量结果指出误差满足≤±</w:t>
      </w:r>
      <w:r>
        <w:rPr>
          <w:rFonts w:ascii="宋体" w:hAnsi="宋体"/>
          <w:kern w:val="2"/>
          <w:sz w:val="18"/>
          <w:szCs w:val="18"/>
        </w:rPr>
        <w:t>1</w:t>
      </w:r>
      <w:r>
        <w:rPr>
          <w:rFonts w:hint="eastAsia" w:ascii="宋体" w:hAnsi="宋体"/>
          <w:kern w:val="2"/>
          <w:sz w:val="18"/>
          <w:szCs w:val="18"/>
        </w:rPr>
        <w:t>μmol/L。</w:t>
      </w:r>
    </w:p>
    <w:p w14:paraId="1D9ACC8A">
      <w:pPr>
        <w:pStyle w:val="2"/>
        <w:tabs>
          <w:tab w:val="left" w:pos="851"/>
        </w:tabs>
        <w:adjustRightInd w:val="0"/>
        <w:snapToGrid w:val="0"/>
        <w:spacing w:line="360" w:lineRule="auto"/>
        <w:ind w:firstLine="0" w:firstLineChars="0"/>
        <w:jc w:val="left"/>
        <w:rPr>
          <w:rFonts w:ascii="宋体" w:hAnsi="宋体"/>
          <w:kern w:val="2"/>
          <w:sz w:val="18"/>
          <w:szCs w:val="18"/>
        </w:rPr>
      </w:pPr>
      <w:r>
        <w:rPr>
          <w:rFonts w:ascii="宋体" w:hAnsi="宋体"/>
          <w:kern w:val="2"/>
          <w:sz w:val="18"/>
          <w:szCs w:val="18"/>
        </w:rPr>
        <w:t>10.</w:t>
      </w:r>
      <w:r>
        <w:rPr>
          <w:rFonts w:hint="eastAsia" w:ascii="宋体" w:hAnsi="宋体"/>
          <w:kern w:val="2"/>
          <w:sz w:val="18"/>
          <w:szCs w:val="18"/>
        </w:rPr>
        <w:t xml:space="preserve"> 提供产品注册检验报告且能证实</w:t>
      </w:r>
      <w:r>
        <w:rPr>
          <w:rFonts w:ascii="宋体" w:hAnsi="宋体"/>
          <w:kern w:val="2"/>
          <w:sz w:val="18"/>
          <w:szCs w:val="18"/>
        </w:rPr>
        <w:t>ΔCtHb</w:t>
      </w:r>
      <w:r>
        <w:rPr>
          <w:rFonts w:hint="eastAsia" w:ascii="宋体" w:hAnsi="宋体"/>
          <w:kern w:val="2"/>
          <w:sz w:val="18"/>
          <w:szCs w:val="18"/>
        </w:rPr>
        <w:t>测量范围</w:t>
      </w:r>
      <w:r>
        <w:rPr>
          <w:rFonts w:ascii="宋体" w:hAnsi="宋体"/>
          <w:kern w:val="2"/>
          <w:sz w:val="18"/>
          <w:szCs w:val="18"/>
        </w:rPr>
        <w:t>及精度</w:t>
      </w:r>
      <w:r>
        <w:rPr>
          <w:rFonts w:hint="eastAsia" w:ascii="宋体" w:hAnsi="宋体"/>
          <w:kern w:val="2"/>
          <w:sz w:val="18"/>
          <w:szCs w:val="18"/>
        </w:rPr>
        <w:t>：-30 ~ 30μmol/L，且注册检验报告中实际测量结果指出误差满足≤±</w:t>
      </w:r>
      <w:r>
        <w:rPr>
          <w:rFonts w:ascii="宋体" w:hAnsi="宋体"/>
          <w:kern w:val="2"/>
          <w:sz w:val="18"/>
          <w:szCs w:val="18"/>
        </w:rPr>
        <w:t>1</w:t>
      </w:r>
      <w:r>
        <w:rPr>
          <w:rFonts w:hint="eastAsia" w:ascii="宋体" w:hAnsi="宋体"/>
          <w:kern w:val="2"/>
          <w:sz w:val="18"/>
          <w:szCs w:val="18"/>
        </w:rPr>
        <w:t>μmol/L。</w:t>
      </w:r>
    </w:p>
    <w:p w14:paraId="01CCC9B8">
      <w:pPr>
        <w:pStyle w:val="2"/>
        <w:tabs>
          <w:tab w:val="left" w:pos="851"/>
        </w:tabs>
        <w:adjustRightInd w:val="0"/>
        <w:snapToGrid w:val="0"/>
        <w:spacing w:line="360" w:lineRule="auto"/>
        <w:ind w:firstLine="0" w:firstLineChars="0"/>
        <w:jc w:val="left"/>
        <w:rPr>
          <w:rFonts w:hint="default" w:ascii="宋体" w:hAnsi="宋体"/>
          <w:kern w:val="2"/>
          <w:sz w:val="18"/>
          <w:szCs w:val="18"/>
        </w:rPr>
      </w:pPr>
      <w:r>
        <w:rPr>
          <w:rFonts w:hint="eastAsia" w:ascii="宋体" w:hAnsi="宋体" w:eastAsia="宋体" w:cs="宋体"/>
          <w:color w:val="000000"/>
          <w:sz w:val="21"/>
          <w:szCs w:val="21"/>
        </w:rPr>
        <w:t>▲</w:t>
      </w:r>
      <w:r>
        <w:rPr>
          <w:rFonts w:ascii="宋体" w:hAnsi="宋体"/>
          <w:kern w:val="2"/>
          <w:sz w:val="18"/>
          <w:szCs w:val="18"/>
        </w:rPr>
        <w:t>11.</w:t>
      </w:r>
      <w:r>
        <w:rPr>
          <w:rFonts w:hint="eastAsia" w:ascii="宋体" w:hAnsi="宋体"/>
          <w:kern w:val="2"/>
          <w:sz w:val="18"/>
          <w:szCs w:val="18"/>
        </w:rPr>
        <w:t>仪器通道数:</w:t>
      </w:r>
      <w:r>
        <w:rPr>
          <w:rFonts w:ascii="宋体" w:hAnsi="宋体"/>
          <w:kern w:val="2"/>
          <w:sz w:val="18"/>
          <w:szCs w:val="18"/>
        </w:rPr>
        <w:t>2</w:t>
      </w:r>
      <w:r>
        <w:rPr>
          <w:rFonts w:hint="eastAsia" w:ascii="宋体" w:hAnsi="宋体"/>
          <w:kern w:val="2"/>
          <w:sz w:val="18"/>
          <w:szCs w:val="18"/>
        </w:rPr>
        <w:t>个，每个通道可同屏监测、</w:t>
      </w:r>
      <w:r>
        <w:rPr>
          <w:rFonts w:ascii="宋体" w:hAnsi="宋体"/>
          <w:kern w:val="2"/>
          <w:sz w:val="18"/>
          <w:szCs w:val="18"/>
        </w:rPr>
        <w:t>显示</w:t>
      </w:r>
      <w:r>
        <w:rPr>
          <w:rFonts w:hint="eastAsia" w:ascii="宋体" w:hAnsi="宋体"/>
          <w:kern w:val="2"/>
          <w:sz w:val="18"/>
          <w:szCs w:val="18"/>
        </w:rPr>
        <w:t>5个生理参数的</w:t>
      </w:r>
      <w:r>
        <w:rPr>
          <w:rFonts w:ascii="宋体" w:hAnsi="宋体"/>
          <w:kern w:val="2"/>
          <w:sz w:val="18"/>
          <w:szCs w:val="18"/>
        </w:rPr>
        <w:t>数值和</w:t>
      </w:r>
      <w:r>
        <w:rPr>
          <w:rFonts w:hint="eastAsia" w:ascii="宋体" w:hAnsi="宋体"/>
          <w:kern w:val="2"/>
          <w:sz w:val="18"/>
          <w:szCs w:val="18"/>
        </w:rPr>
        <w:t>趋势</w:t>
      </w:r>
      <w:r>
        <w:rPr>
          <w:rFonts w:ascii="宋体" w:hAnsi="宋体"/>
          <w:kern w:val="2"/>
          <w:sz w:val="18"/>
          <w:szCs w:val="18"/>
        </w:rPr>
        <w:t>曲线</w:t>
      </w:r>
      <w:r>
        <w:rPr>
          <w:rFonts w:hint="eastAsia" w:ascii="宋体" w:hAnsi="宋体"/>
          <w:kern w:val="2"/>
          <w:sz w:val="18"/>
          <w:szCs w:val="18"/>
        </w:rPr>
        <w:t>，且每个</w:t>
      </w:r>
      <w:r>
        <w:rPr>
          <w:rFonts w:ascii="宋体" w:hAnsi="宋体"/>
          <w:kern w:val="2"/>
          <w:sz w:val="18"/>
          <w:szCs w:val="18"/>
        </w:rPr>
        <w:t>通道均</w:t>
      </w:r>
      <w:r>
        <w:rPr>
          <w:rFonts w:hint="eastAsia" w:ascii="宋体" w:hAnsi="宋体"/>
          <w:kern w:val="2"/>
          <w:sz w:val="18"/>
          <w:szCs w:val="18"/>
        </w:rPr>
        <w:t>可用于监测脑组织、肌肉组织等</w:t>
      </w:r>
      <w:r>
        <w:rPr>
          <w:rFonts w:ascii="宋体" w:hAnsi="宋体"/>
          <w:kern w:val="2"/>
          <w:sz w:val="18"/>
          <w:szCs w:val="18"/>
        </w:rPr>
        <w:t>局部组织</w:t>
      </w:r>
      <w:r>
        <w:rPr>
          <w:rFonts w:hint="eastAsia" w:ascii="宋体" w:hAnsi="宋体"/>
          <w:kern w:val="2"/>
          <w:sz w:val="18"/>
          <w:szCs w:val="18"/>
        </w:rPr>
        <w:t>的血氧信息。</w:t>
      </w:r>
      <w:r>
        <w:rPr>
          <w:rFonts w:hint="default" w:ascii="宋体" w:hAnsi="宋体"/>
          <w:kern w:val="2"/>
          <w:sz w:val="18"/>
          <w:szCs w:val="18"/>
        </w:rPr>
        <w:t>（提供机器图片或者产品说明书证明）</w:t>
      </w:r>
    </w:p>
    <w:p w14:paraId="2546A18E">
      <w:pPr>
        <w:pStyle w:val="2"/>
        <w:tabs>
          <w:tab w:val="left" w:pos="851"/>
        </w:tabs>
        <w:adjustRightInd w:val="0"/>
        <w:snapToGrid w:val="0"/>
        <w:spacing w:line="360" w:lineRule="auto"/>
        <w:ind w:firstLine="0" w:firstLineChars="0"/>
        <w:jc w:val="left"/>
        <w:rPr>
          <w:rFonts w:ascii="宋体" w:hAnsi="宋体"/>
          <w:kern w:val="2"/>
          <w:sz w:val="18"/>
          <w:szCs w:val="18"/>
        </w:rPr>
      </w:pPr>
      <w:r>
        <w:rPr>
          <w:rFonts w:hint="eastAsia" w:ascii="宋体" w:hAnsi="宋体"/>
          <w:kern w:val="2"/>
          <w:sz w:val="18"/>
          <w:szCs w:val="18"/>
        </w:rPr>
        <w:t>12.组织</w:t>
      </w:r>
      <w:r>
        <w:rPr>
          <w:rFonts w:ascii="宋体" w:hAnsi="宋体"/>
          <w:kern w:val="2"/>
          <w:sz w:val="18"/>
          <w:szCs w:val="18"/>
        </w:rPr>
        <w:t>血氧</w:t>
      </w:r>
      <w:r>
        <w:rPr>
          <w:rFonts w:hint="eastAsia" w:ascii="宋体" w:hAnsi="宋体"/>
          <w:kern w:val="2"/>
          <w:sz w:val="18"/>
          <w:szCs w:val="18"/>
        </w:rPr>
        <w:t>探头适用于：成人、儿童、新生儿、早产儿。</w:t>
      </w:r>
    </w:p>
    <w:p w14:paraId="10251E16">
      <w:pPr>
        <w:pStyle w:val="2"/>
        <w:tabs>
          <w:tab w:val="left" w:pos="851"/>
        </w:tabs>
        <w:adjustRightInd w:val="0"/>
        <w:snapToGrid w:val="0"/>
        <w:spacing w:line="360" w:lineRule="auto"/>
        <w:ind w:firstLine="0" w:firstLineChars="0"/>
        <w:jc w:val="left"/>
        <w:rPr>
          <w:rFonts w:hint="default" w:ascii="宋体" w:hAnsi="宋体"/>
          <w:kern w:val="2"/>
          <w:sz w:val="18"/>
          <w:szCs w:val="18"/>
        </w:rPr>
      </w:pPr>
      <w:r>
        <w:rPr>
          <w:rFonts w:hint="eastAsia" w:ascii="宋体" w:hAnsi="宋体" w:eastAsia="宋体" w:cs="宋体"/>
          <w:color w:val="000000"/>
          <w:sz w:val="21"/>
          <w:szCs w:val="21"/>
        </w:rPr>
        <w:t>▲</w:t>
      </w:r>
      <w:r>
        <w:rPr>
          <w:rFonts w:hint="eastAsia" w:ascii="宋体" w:hAnsi="宋体"/>
          <w:kern w:val="2"/>
          <w:sz w:val="18"/>
          <w:szCs w:val="18"/>
        </w:rPr>
        <w:t>1</w:t>
      </w:r>
      <w:r>
        <w:rPr>
          <w:rFonts w:ascii="宋体" w:hAnsi="宋体"/>
          <w:kern w:val="2"/>
          <w:sz w:val="18"/>
          <w:szCs w:val="18"/>
        </w:rPr>
        <w:t>3.</w:t>
      </w:r>
      <w:r>
        <w:rPr>
          <w:rFonts w:hint="eastAsia" w:ascii="宋体" w:hAnsi="宋体"/>
          <w:kern w:val="2"/>
          <w:sz w:val="18"/>
          <w:szCs w:val="18"/>
        </w:rPr>
        <w:t>信号质量要求：符合红色、黄色、绿色三级图标。</w:t>
      </w:r>
      <w:r>
        <w:rPr>
          <w:rFonts w:hint="default" w:ascii="宋体" w:hAnsi="宋体"/>
          <w:kern w:val="2"/>
          <w:sz w:val="18"/>
          <w:szCs w:val="18"/>
        </w:rPr>
        <w:t>（提供机器图片或者产品说明书证明）</w:t>
      </w:r>
    </w:p>
    <w:p w14:paraId="21B07D9C">
      <w:pPr>
        <w:pStyle w:val="2"/>
        <w:tabs>
          <w:tab w:val="left" w:pos="851"/>
        </w:tabs>
        <w:adjustRightInd w:val="0"/>
        <w:snapToGrid w:val="0"/>
        <w:spacing w:line="360" w:lineRule="auto"/>
        <w:ind w:firstLine="0" w:firstLineChars="0"/>
        <w:jc w:val="left"/>
        <w:rPr>
          <w:rFonts w:ascii="宋体" w:hAnsi="宋体"/>
          <w:kern w:val="2"/>
          <w:sz w:val="18"/>
          <w:szCs w:val="18"/>
        </w:rPr>
      </w:pPr>
      <w:r>
        <w:rPr>
          <w:rFonts w:hint="default" w:ascii="宋体" w:hAnsi="宋体"/>
          <w:kern w:val="2"/>
          <w:sz w:val="18"/>
          <w:szCs w:val="18"/>
        </w:rPr>
        <w:t>1</w:t>
      </w:r>
      <w:r>
        <w:rPr>
          <w:rFonts w:ascii="宋体" w:hAnsi="宋体"/>
          <w:kern w:val="2"/>
          <w:sz w:val="18"/>
          <w:szCs w:val="18"/>
        </w:rPr>
        <w:t>4.</w:t>
      </w:r>
      <w:r>
        <w:rPr>
          <w:rFonts w:hint="eastAsia" w:ascii="宋体" w:hAnsi="宋体"/>
          <w:kern w:val="2"/>
          <w:sz w:val="18"/>
          <w:szCs w:val="18"/>
        </w:rPr>
        <w:t>测量过程中可设置Mark点，且可对mark点进行自定义编辑。</w:t>
      </w:r>
    </w:p>
    <w:p w14:paraId="737D07C7">
      <w:pPr>
        <w:pStyle w:val="2"/>
        <w:tabs>
          <w:tab w:val="left" w:pos="851"/>
        </w:tabs>
        <w:adjustRightInd w:val="0"/>
        <w:snapToGrid w:val="0"/>
        <w:spacing w:line="360" w:lineRule="auto"/>
        <w:ind w:firstLine="0" w:firstLineChars="0"/>
        <w:jc w:val="left"/>
        <w:rPr>
          <w:rFonts w:ascii="宋体" w:hAnsi="宋体"/>
          <w:kern w:val="2"/>
          <w:sz w:val="18"/>
          <w:szCs w:val="18"/>
        </w:rPr>
      </w:pPr>
      <w:r>
        <w:rPr>
          <w:rFonts w:ascii="宋体" w:hAnsi="宋体"/>
          <w:kern w:val="2"/>
          <w:sz w:val="18"/>
          <w:szCs w:val="18"/>
        </w:rPr>
        <w:t>15.</w:t>
      </w:r>
      <w:r>
        <w:rPr>
          <w:rFonts w:hint="eastAsia" w:ascii="宋体" w:hAnsi="宋体"/>
          <w:kern w:val="2"/>
          <w:sz w:val="18"/>
          <w:szCs w:val="18"/>
        </w:rPr>
        <w:t>数据输出符合安全要求，用U盘拷贝数据输入密码不少于</w:t>
      </w:r>
      <w:r>
        <w:rPr>
          <w:rFonts w:ascii="宋体" w:hAnsi="宋体"/>
          <w:kern w:val="2"/>
          <w:sz w:val="18"/>
          <w:szCs w:val="18"/>
        </w:rPr>
        <w:t>7</w:t>
      </w:r>
      <w:r>
        <w:rPr>
          <w:rFonts w:hint="eastAsia" w:ascii="宋体" w:hAnsi="宋体"/>
          <w:kern w:val="2"/>
          <w:sz w:val="18"/>
          <w:szCs w:val="18"/>
        </w:rPr>
        <w:t>位。</w:t>
      </w:r>
    </w:p>
    <w:p w14:paraId="0ACF85EB">
      <w:pPr>
        <w:pStyle w:val="2"/>
        <w:tabs>
          <w:tab w:val="left" w:pos="851"/>
        </w:tabs>
        <w:adjustRightInd w:val="0"/>
        <w:snapToGrid w:val="0"/>
        <w:spacing w:line="360" w:lineRule="auto"/>
        <w:ind w:firstLine="0" w:firstLineChars="0"/>
        <w:jc w:val="left"/>
        <w:rPr>
          <w:rFonts w:ascii="宋体" w:hAnsi="宋体"/>
          <w:kern w:val="2"/>
          <w:sz w:val="18"/>
          <w:szCs w:val="18"/>
        </w:rPr>
      </w:pPr>
      <w:r>
        <w:rPr>
          <w:rFonts w:ascii="宋体" w:hAnsi="宋体"/>
          <w:kern w:val="2"/>
          <w:sz w:val="18"/>
          <w:szCs w:val="18"/>
        </w:rPr>
        <w:t>16.</w:t>
      </w:r>
      <w:r>
        <w:rPr>
          <w:rFonts w:hint="eastAsia" w:ascii="宋体" w:hAnsi="宋体"/>
          <w:kern w:val="2"/>
          <w:sz w:val="18"/>
          <w:szCs w:val="18"/>
        </w:rPr>
        <w:t>用户可在测量状态或非测量状态下可同时满足回顾本次测量过程中任意通道的TOI、THI</w:t>
      </w:r>
      <w:r>
        <w:rPr>
          <w:rFonts w:ascii="宋体" w:hAnsi="宋体"/>
          <w:kern w:val="2"/>
          <w:sz w:val="18"/>
          <w:szCs w:val="18"/>
        </w:rPr>
        <w:t>、ΔCHbO2、ΔCHb</w:t>
      </w:r>
      <w:r>
        <w:rPr>
          <w:rFonts w:hint="eastAsia" w:ascii="宋体" w:hAnsi="宋体"/>
          <w:kern w:val="2"/>
          <w:sz w:val="18"/>
          <w:szCs w:val="18"/>
        </w:rPr>
        <w:t>和</w:t>
      </w:r>
      <w:r>
        <w:rPr>
          <w:rFonts w:ascii="宋体" w:hAnsi="宋体"/>
          <w:kern w:val="2"/>
          <w:sz w:val="18"/>
          <w:szCs w:val="18"/>
        </w:rPr>
        <w:t>ΔCtHb</w:t>
      </w:r>
      <w:r>
        <w:rPr>
          <w:rFonts w:hint="eastAsia" w:ascii="宋体" w:hAnsi="宋体"/>
          <w:kern w:val="2"/>
          <w:sz w:val="18"/>
          <w:szCs w:val="18"/>
        </w:rPr>
        <w:t>数据和趋势曲线。</w:t>
      </w:r>
    </w:p>
    <w:p w14:paraId="56513D58">
      <w:pPr>
        <w:pStyle w:val="2"/>
        <w:tabs>
          <w:tab w:val="left" w:pos="851"/>
        </w:tabs>
        <w:adjustRightInd w:val="0"/>
        <w:snapToGrid w:val="0"/>
        <w:spacing w:line="360" w:lineRule="auto"/>
        <w:ind w:firstLine="0" w:firstLineChars="0"/>
        <w:jc w:val="left"/>
        <w:rPr>
          <w:rFonts w:ascii="宋体" w:hAnsi="宋体"/>
          <w:kern w:val="2"/>
          <w:sz w:val="18"/>
          <w:szCs w:val="18"/>
        </w:rPr>
      </w:pPr>
      <w:r>
        <w:rPr>
          <w:rFonts w:hint="eastAsia" w:ascii="宋体" w:hAnsi="宋体"/>
          <w:kern w:val="2"/>
          <w:sz w:val="18"/>
          <w:szCs w:val="18"/>
        </w:rPr>
        <w:t>1</w:t>
      </w:r>
      <w:r>
        <w:rPr>
          <w:rFonts w:ascii="宋体" w:hAnsi="宋体"/>
          <w:kern w:val="2"/>
          <w:sz w:val="18"/>
          <w:szCs w:val="18"/>
        </w:rPr>
        <w:t>7.</w:t>
      </w:r>
      <w:r>
        <w:rPr>
          <w:rFonts w:hint="eastAsia" w:ascii="宋体" w:hAnsi="宋体"/>
          <w:kern w:val="2"/>
          <w:sz w:val="18"/>
          <w:szCs w:val="18"/>
        </w:rPr>
        <w:t>回顾有移动</w:t>
      </w:r>
      <w:r>
        <w:rPr>
          <w:rFonts w:ascii="宋体" w:hAnsi="宋体"/>
          <w:kern w:val="2"/>
          <w:sz w:val="18"/>
          <w:szCs w:val="18"/>
        </w:rPr>
        <w:t>刻度线，显示不同时刻的测量参数数值；</w:t>
      </w:r>
      <w:r>
        <w:rPr>
          <w:rFonts w:hint="eastAsia" w:ascii="宋体" w:hAnsi="宋体"/>
          <w:kern w:val="2"/>
          <w:sz w:val="18"/>
          <w:szCs w:val="18"/>
        </w:rPr>
        <w:t>可</w:t>
      </w:r>
      <w:r>
        <w:rPr>
          <w:rFonts w:ascii="宋体" w:hAnsi="宋体"/>
          <w:kern w:val="2"/>
          <w:sz w:val="18"/>
          <w:szCs w:val="18"/>
        </w:rPr>
        <w:t>放大缩小</w:t>
      </w:r>
      <w:r>
        <w:rPr>
          <w:rFonts w:hint="eastAsia" w:ascii="宋体" w:hAnsi="宋体"/>
          <w:kern w:val="2"/>
          <w:sz w:val="18"/>
          <w:szCs w:val="18"/>
        </w:rPr>
        <w:t>时间</w:t>
      </w:r>
      <w:r>
        <w:rPr>
          <w:rFonts w:ascii="宋体" w:hAnsi="宋体"/>
          <w:kern w:val="2"/>
          <w:sz w:val="18"/>
          <w:szCs w:val="18"/>
        </w:rPr>
        <w:t>轴</w:t>
      </w:r>
      <w:r>
        <w:rPr>
          <w:rFonts w:hint="eastAsia" w:ascii="宋体" w:hAnsi="宋体"/>
          <w:kern w:val="2"/>
          <w:sz w:val="18"/>
          <w:szCs w:val="18"/>
        </w:rPr>
        <w:t>。</w:t>
      </w:r>
    </w:p>
    <w:p w14:paraId="4B2A4BEA">
      <w:pPr>
        <w:pStyle w:val="2"/>
        <w:tabs>
          <w:tab w:val="left" w:pos="851"/>
        </w:tabs>
        <w:adjustRightInd w:val="0"/>
        <w:snapToGrid w:val="0"/>
        <w:spacing w:line="360" w:lineRule="auto"/>
        <w:ind w:firstLine="0" w:firstLineChars="0"/>
        <w:jc w:val="left"/>
        <w:rPr>
          <w:rFonts w:ascii="宋体" w:hAnsi="宋体"/>
          <w:kern w:val="2"/>
          <w:sz w:val="18"/>
          <w:szCs w:val="18"/>
        </w:rPr>
      </w:pPr>
      <w:r>
        <w:rPr>
          <w:rFonts w:hint="eastAsia" w:ascii="宋体" w:hAnsi="宋体"/>
          <w:kern w:val="2"/>
          <w:sz w:val="18"/>
          <w:szCs w:val="18"/>
        </w:rPr>
        <w:t>1</w:t>
      </w:r>
      <w:r>
        <w:rPr>
          <w:rFonts w:ascii="宋体" w:hAnsi="宋体"/>
          <w:kern w:val="2"/>
          <w:sz w:val="18"/>
          <w:szCs w:val="18"/>
        </w:rPr>
        <w:t>8.</w:t>
      </w:r>
      <w:r>
        <w:rPr>
          <w:rFonts w:hint="eastAsia" w:ascii="宋体" w:hAnsi="宋体"/>
          <w:kern w:val="2"/>
          <w:sz w:val="18"/>
          <w:szCs w:val="18"/>
        </w:rPr>
        <w:t>使用说明书明确指出产品符合电磁兼容标准有关要求。</w:t>
      </w:r>
    </w:p>
    <w:p w14:paraId="31185F83">
      <w:pPr>
        <w:pStyle w:val="2"/>
        <w:tabs>
          <w:tab w:val="left" w:pos="851"/>
        </w:tabs>
        <w:adjustRightInd w:val="0"/>
        <w:snapToGrid w:val="0"/>
        <w:spacing w:line="360" w:lineRule="auto"/>
        <w:ind w:firstLine="0" w:firstLineChars="0"/>
        <w:jc w:val="left"/>
        <w:rPr>
          <w:rFonts w:ascii="宋体" w:hAnsi="宋体"/>
          <w:kern w:val="2"/>
          <w:sz w:val="18"/>
          <w:szCs w:val="18"/>
        </w:rPr>
      </w:pPr>
      <w:r>
        <w:rPr>
          <w:rFonts w:hint="eastAsia" w:ascii="宋体" w:hAnsi="宋体"/>
          <w:kern w:val="2"/>
          <w:sz w:val="18"/>
          <w:szCs w:val="18"/>
        </w:rPr>
        <w:t>1</w:t>
      </w:r>
      <w:r>
        <w:rPr>
          <w:rFonts w:ascii="宋体" w:hAnsi="宋体"/>
          <w:kern w:val="2"/>
          <w:sz w:val="18"/>
          <w:szCs w:val="18"/>
        </w:rPr>
        <w:t>9.</w:t>
      </w:r>
      <w:r>
        <w:rPr>
          <w:rFonts w:hint="eastAsia" w:ascii="宋体" w:hAnsi="宋体"/>
          <w:kern w:val="2"/>
          <w:sz w:val="18"/>
          <w:szCs w:val="18"/>
        </w:rPr>
        <w:t>使用说明书有“指南和制造商的声明——电磁抗扰度”，明确了抗扰度试验“静电放电G</w:t>
      </w:r>
      <w:r>
        <w:rPr>
          <w:rFonts w:ascii="宋体" w:hAnsi="宋体"/>
          <w:kern w:val="2"/>
          <w:sz w:val="18"/>
          <w:szCs w:val="18"/>
        </w:rPr>
        <w:t>B/T17626.2</w:t>
      </w:r>
      <w:r>
        <w:rPr>
          <w:rFonts w:hint="eastAsia" w:ascii="宋体" w:hAnsi="宋体"/>
          <w:kern w:val="2"/>
          <w:sz w:val="18"/>
          <w:szCs w:val="18"/>
        </w:rPr>
        <w:t>”、“电快速瞬变脉冲群G</w:t>
      </w:r>
      <w:r>
        <w:rPr>
          <w:rFonts w:ascii="宋体" w:hAnsi="宋体"/>
          <w:kern w:val="2"/>
          <w:sz w:val="18"/>
          <w:szCs w:val="18"/>
        </w:rPr>
        <w:t>B/T17626.4</w:t>
      </w:r>
      <w:r>
        <w:rPr>
          <w:rFonts w:hint="eastAsia" w:ascii="宋体" w:hAnsi="宋体"/>
          <w:kern w:val="2"/>
          <w:sz w:val="18"/>
          <w:szCs w:val="18"/>
        </w:rPr>
        <w:t>”、“浪涌G</w:t>
      </w:r>
      <w:r>
        <w:rPr>
          <w:rFonts w:ascii="宋体" w:hAnsi="宋体"/>
          <w:kern w:val="2"/>
          <w:sz w:val="18"/>
          <w:szCs w:val="18"/>
        </w:rPr>
        <w:t>B/T 17626.5</w:t>
      </w:r>
      <w:r>
        <w:rPr>
          <w:rFonts w:hint="eastAsia" w:ascii="宋体" w:hAnsi="宋体"/>
          <w:kern w:val="2"/>
          <w:sz w:val="18"/>
          <w:szCs w:val="18"/>
        </w:rPr>
        <w:t>”的要求。</w:t>
      </w:r>
    </w:p>
    <w:p w14:paraId="05AB42EC">
      <w:pPr>
        <w:pStyle w:val="2"/>
        <w:tabs>
          <w:tab w:val="left" w:pos="851"/>
        </w:tabs>
        <w:adjustRightInd w:val="0"/>
        <w:snapToGrid w:val="0"/>
        <w:spacing w:line="360" w:lineRule="auto"/>
        <w:ind w:firstLine="0" w:firstLineChars="0"/>
        <w:jc w:val="left"/>
        <w:rPr>
          <w:rFonts w:ascii="宋体" w:hAnsi="宋体"/>
          <w:kern w:val="2"/>
          <w:sz w:val="18"/>
          <w:szCs w:val="18"/>
        </w:rPr>
      </w:pPr>
      <w:r>
        <w:rPr>
          <w:rFonts w:ascii="宋体" w:hAnsi="宋体"/>
          <w:kern w:val="2"/>
          <w:sz w:val="18"/>
          <w:szCs w:val="18"/>
        </w:rPr>
        <w:t>20.</w:t>
      </w:r>
      <w:r>
        <w:rPr>
          <w:rFonts w:hint="eastAsia" w:ascii="宋体" w:hAnsi="宋体"/>
          <w:kern w:val="2"/>
          <w:sz w:val="18"/>
          <w:szCs w:val="18"/>
        </w:rPr>
        <w:t>具有历史回顾功能，且可选择性导出所需的测量数据。</w:t>
      </w:r>
    </w:p>
    <w:p w14:paraId="3E5632E5">
      <w:pPr>
        <w:pStyle w:val="2"/>
        <w:tabs>
          <w:tab w:val="left" w:pos="851"/>
        </w:tabs>
        <w:adjustRightInd w:val="0"/>
        <w:snapToGrid w:val="0"/>
        <w:spacing w:line="360" w:lineRule="auto"/>
        <w:ind w:firstLine="0" w:firstLineChars="0"/>
        <w:jc w:val="left"/>
        <w:rPr>
          <w:rFonts w:ascii="宋体" w:hAnsi="宋体"/>
          <w:kern w:val="2"/>
          <w:sz w:val="18"/>
          <w:szCs w:val="18"/>
        </w:rPr>
      </w:pPr>
      <w:r>
        <w:rPr>
          <w:rFonts w:ascii="宋体" w:hAnsi="宋体"/>
          <w:kern w:val="2"/>
          <w:sz w:val="18"/>
          <w:szCs w:val="18"/>
        </w:rPr>
        <w:t>21.</w:t>
      </w:r>
      <w:r>
        <w:rPr>
          <w:rFonts w:hint="eastAsia" w:ascii="宋体" w:hAnsi="宋体"/>
          <w:kern w:val="2"/>
          <w:sz w:val="18"/>
          <w:szCs w:val="18"/>
        </w:rPr>
        <w:t>操作方式：同时满足触摸屏和快捷键方式。</w:t>
      </w:r>
    </w:p>
    <w:p w14:paraId="00359079">
      <w:pPr>
        <w:pStyle w:val="2"/>
        <w:tabs>
          <w:tab w:val="left" w:pos="851"/>
        </w:tabs>
        <w:adjustRightInd w:val="0"/>
        <w:snapToGrid w:val="0"/>
        <w:spacing w:line="360" w:lineRule="auto"/>
        <w:ind w:firstLine="0" w:firstLineChars="0"/>
        <w:jc w:val="left"/>
        <w:rPr>
          <w:rFonts w:ascii="宋体" w:hAnsi="宋体"/>
          <w:kern w:val="2"/>
          <w:sz w:val="18"/>
          <w:szCs w:val="18"/>
        </w:rPr>
      </w:pPr>
      <w:r>
        <w:rPr>
          <w:rFonts w:ascii="宋体" w:hAnsi="宋体"/>
          <w:kern w:val="2"/>
          <w:sz w:val="18"/>
          <w:szCs w:val="18"/>
        </w:rPr>
        <w:t>22</w:t>
      </w:r>
      <w:r>
        <w:rPr>
          <w:rFonts w:hint="eastAsia" w:ascii="宋体" w:hAnsi="宋体"/>
          <w:kern w:val="2"/>
          <w:sz w:val="18"/>
          <w:szCs w:val="18"/>
        </w:rPr>
        <w:t>.探测光源：三种波长的LED；算法</w:t>
      </w:r>
      <w:r>
        <w:rPr>
          <w:rFonts w:ascii="宋体" w:hAnsi="宋体"/>
          <w:kern w:val="2"/>
          <w:sz w:val="18"/>
          <w:szCs w:val="18"/>
        </w:rPr>
        <w:t>：空间分辨算法</w:t>
      </w:r>
      <w:r>
        <w:rPr>
          <w:rFonts w:hint="eastAsia" w:ascii="宋体" w:hAnsi="宋体"/>
          <w:kern w:val="2"/>
          <w:sz w:val="18"/>
          <w:szCs w:val="18"/>
        </w:rPr>
        <w:t>（SRS</w:t>
      </w:r>
      <w:r>
        <w:rPr>
          <w:rFonts w:ascii="宋体" w:hAnsi="宋体"/>
          <w:kern w:val="2"/>
          <w:sz w:val="18"/>
          <w:szCs w:val="18"/>
        </w:rPr>
        <w:t>）。</w:t>
      </w:r>
    </w:p>
    <w:p w14:paraId="5CFEF307">
      <w:pPr>
        <w:pStyle w:val="2"/>
        <w:tabs>
          <w:tab w:val="left" w:pos="851"/>
        </w:tabs>
        <w:adjustRightInd w:val="0"/>
        <w:snapToGrid w:val="0"/>
        <w:spacing w:line="360" w:lineRule="auto"/>
        <w:ind w:firstLine="0" w:firstLineChars="0"/>
        <w:jc w:val="left"/>
        <w:rPr>
          <w:rFonts w:ascii="宋体" w:hAnsi="宋体"/>
          <w:kern w:val="2"/>
          <w:sz w:val="18"/>
          <w:szCs w:val="18"/>
        </w:rPr>
      </w:pPr>
      <w:r>
        <w:rPr>
          <w:rFonts w:ascii="宋体" w:hAnsi="宋体"/>
          <w:kern w:val="2"/>
          <w:sz w:val="18"/>
          <w:szCs w:val="18"/>
        </w:rPr>
        <w:t>23.</w:t>
      </w:r>
      <w:r>
        <w:rPr>
          <w:rFonts w:hint="eastAsia" w:ascii="宋体" w:hAnsi="宋体"/>
          <w:kern w:val="2"/>
          <w:sz w:val="18"/>
          <w:szCs w:val="18"/>
        </w:rPr>
        <w:t>刷新频率:</w:t>
      </w:r>
      <w:r>
        <w:rPr>
          <w:rFonts w:hint="eastAsia" w:ascii="宋体" w:hAnsi="宋体"/>
          <w:kern w:val="2"/>
          <w:sz w:val="18"/>
          <w:szCs w:val="18"/>
          <w:lang w:val="en-US" w:eastAsia="zh-CN"/>
        </w:rPr>
        <w:t>不大于</w:t>
      </w:r>
      <w:r>
        <w:rPr>
          <w:rFonts w:ascii="宋体" w:hAnsi="宋体"/>
          <w:kern w:val="2"/>
          <w:sz w:val="18"/>
          <w:szCs w:val="18"/>
        </w:rPr>
        <w:t>3</w:t>
      </w:r>
      <w:r>
        <w:rPr>
          <w:rFonts w:hint="eastAsia" w:ascii="宋体" w:hAnsi="宋体"/>
          <w:kern w:val="2"/>
          <w:sz w:val="18"/>
          <w:szCs w:val="18"/>
        </w:rPr>
        <w:t>秒/次</w:t>
      </w:r>
      <w:r>
        <w:rPr>
          <w:rFonts w:hint="eastAsia" w:ascii="宋体" w:hAnsi="宋体"/>
          <w:kern w:val="2"/>
          <w:sz w:val="18"/>
          <w:szCs w:val="18"/>
          <w:lang w:eastAsia="zh-CN"/>
        </w:rPr>
        <w:t>。</w:t>
      </w:r>
    </w:p>
    <w:p w14:paraId="3BBE3387">
      <w:pPr>
        <w:pStyle w:val="2"/>
        <w:tabs>
          <w:tab w:val="left" w:pos="851"/>
        </w:tabs>
        <w:adjustRightInd w:val="0"/>
        <w:snapToGrid w:val="0"/>
        <w:spacing w:line="360" w:lineRule="auto"/>
        <w:ind w:firstLine="0" w:firstLineChars="0"/>
        <w:jc w:val="left"/>
        <w:rPr>
          <w:rFonts w:ascii="宋体" w:hAnsi="宋体"/>
          <w:kern w:val="2"/>
          <w:sz w:val="18"/>
          <w:szCs w:val="18"/>
        </w:rPr>
      </w:pPr>
      <w:r>
        <w:rPr>
          <w:rFonts w:ascii="宋体" w:hAnsi="宋体"/>
          <w:kern w:val="2"/>
          <w:sz w:val="18"/>
          <w:szCs w:val="18"/>
        </w:rPr>
        <w:t>2</w:t>
      </w:r>
      <w:r>
        <w:rPr>
          <w:rFonts w:hint="eastAsia" w:ascii="宋体" w:hAnsi="宋体"/>
          <w:kern w:val="2"/>
          <w:sz w:val="18"/>
          <w:szCs w:val="18"/>
          <w:lang w:val="en-US" w:eastAsia="zh-CN"/>
        </w:rPr>
        <w:t>4.</w:t>
      </w:r>
      <w:r>
        <w:rPr>
          <w:rFonts w:hint="eastAsia" w:ascii="宋体" w:hAnsi="宋体"/>
          <w:kern w:val="2"/>
          <w:sz w:val="18"/>
          <w:szCs w:val="18"/>
        </w:rPr>
        <w:t>显示屏幕</w:t>
      </w:r>
      <w:r>
        <w:rPr>
          <w:rFonts w:hint="eastAsia" w:ascii="宋体" w:hAnsi="宋体" w:eastAsia="宋体" w:cs="宋体"/>
          <w:kern w:val="2"/>
          <w:sz w:val="18"/>
          <w:szCs w:val="18"/>
        </w:rPr>
        <w:t>≥</w:t>
      </w:r>
      <w:r>
        <w:rPr>
          <w:rFonts w:hint="eastAsia" w:ascii="宋体" w:hAnsi="宋体"/>
          <w:kern w:val="2"/>
          <w:sz w:val="18"/>
          <w:szCs w:val="18"/>
        </w:rPr>
        <w:t>1</w:t>
      </w:r>
      <w:r>
        <w:rPr>
          <w:rFonts w:ascii="宋体" w:hAnsi="宋体"/>
          <w:kern w:val="2"/>
          <w:sz w:val="18"/>
          <w:szCs w:val="18"/>
        </w:rPr>
        <w:t>1</w:t>
      </w:r>
      <w:r>
        <w:rPr>
          <w:rFonts w:hint="eastAsia" w:ascii="宋体" w:hAnsi="宋体"/>
          <w:kern w:val="2"/>
          <w:sz w:val="18"/>
          <w:szCs w:val="18"/>
        </w:rPr>
        <w:t>英寸</w:t>
      </w:r>
      <w:r>
        <w:rPr>
          <w:rFonts w:hint="eastAsia" w:ascii="宋体" w:hAnsi="宋体"/>
          <w:kern w:val="2"/>
          <w:sz w:val="18"/>
          <w:szCs w:val="18"/>
          <w:lang w:eastAsia="zh-CN"/>
        </w:rPr>
        <w:t>。</w:t>
      </w:r>
    </w:p>
    <w:p w14:paraId="0ACB8FAC">
      <w:pPr>
        <w:pStyle w:val="2"/>
        <w:tabs>
          <w:tab w:val="left" w:pos="851"/>
        </w:tabs>
        <w:adjustRightInd w:val="0"/>
        <w:snapToGrid w:val="0"/>
        <w:spacing w:line="360" w:lineRule="auto"/>
        <w:ind w:firstLine="0" w:firstLineChars="0"/>
        <w:jc w:val="left"/>
        <w:rPr>
          <w:rFonts w:hint="eastAsia" w:ascii="宋体" w:hAnsi="宋体" w:eastAsia="宋体"/>
          <w:kern w:val="2"/>
          <w:sz w:val="18"/>
          <w:szCs w:val="18"/>
          <w:lang w:eastAsia="zh-CN"/>
        </w:rPr>
      </w:pPr>
      <w:r>
        <w:rPr>
          <w:rFonts w:ascii="宋体" w:hAnsi="宋体"/>
          <w:kern w:val="2"/>
          <w:sz w:val="18"/>
          <w:szCs w:val="18"/>
        </w:rPr>
        <w:t>2</w:t>
      </w:r>
      <w:r>
        <w:rPr>
          <w:rFonts w:hint="eastAsia" w:ascii="宋体" w:hAnsi="宋体"/>
          <w:kern w:val="2"/>
          <w:sz w:val="18"/>
          <w:szCs w:val="18"/>
          <w:lang w:val="en-US" w:eastAsia="zh-CN"/>
        </w:rPr>
        <w:t>5</w:t>
      </w:r>
      <w:r>
        <w:rPr>
          <w:rFonts w:ascii="宋体" w:hAnsi="宋体"/>
          <w:kern w:val="2"/>
          <w:sz w:val="18"/>
          <w:szCs w:val="18"/>
        </w:rPr>
        <w:t>.</w:t>
      </w:r>
      <w:r>
        <w:rPr>
          <w:rFonts w:hint="eastAsia" w:ascii="宋体" w:hAnsi="宋体"/>
          <w:kern w:val="2"/>
          <w:sz w:val="18"/>
          <w:szCs w:val="18"/>
        </w:rPr>
        <w:t>LED发光管平均辐射功率≤1</w:t>
      </w:r>
      <w:r>
        <w:rPr>
          <w:rFonts w:ascii="宋体" w:hAnsi="宋体"/>
          <w:kern w:val="2"/>
          <w:sz w:val="18"/>
          <w:szCs w:val="18"/>
        </w:rPr>
        <w:t>.5</w:t>
      </w:r>
      <w:r>
        <w:rPr>
          <w:rFonts w:hint="eastAsia" w:ascii="宋体" w:hAnsi="宋体"/>
          <w:kern w:val="2"/>
          <w:sz w:val="18"/>
          <w:szCs w:val="18"/>
        </w:rPr>
        <w:t>mW，且设备功耗：≤</w:t>
      </w:r>
      <w:r>
        <w:rPr>
          <w:rFonts w:ascii="宋体" w:hAnsi="宋体"/>
          <w:kern w:val="2"/>
          <w:sz w:val="18"/>
          <w:szCs w:val="18"/>
        </w:rPr>
        <w:t>70</w:t>
      </w:r>
      <w:r>
        <w:rPr>
          <w:rFonts w:hint="eastAsia" w:ascii="宋体" w:hAnsi="宋体"/>
          <w:kern w:val="2"/>
          <w:sz w:val="18"/>
          <w:szCs w:val="18"/>
        </w:rPr>
        <w:t>VA</w:t>
      </w:r>
      <w:r>
        <w:rPr>
          <w:rFonts w:hint="eastAsia" w:ascii="宋体" w:hAnsi="宋体"/>
          <w:kern w:val="2"/>
          <w:sz w:val="18"/>
          <w:szCs w:val="18"/>
          <w:lang w:eastAsia="zh-CN"/>
        </w:rPr>
        <w:t>。</w:t>
      </w:r>
    </w:p>
    <w:p w14:paraId="09B22A47">
      <w:pPr>
        <w:pStyle w:val="2"/>
        <w:tabs>
          <w:tab w:val="left" w:pos="851"/>
        </w:tabs>
        <w:adjustRightInd w:val="0"/>
        <w:snapToGrid w:val="0"/>
        <w:spacing w:line="360" w:lineRule="auto"/>
        <w:ind w:firstLine="0" w:firstLineChars="0"/>
        <w:jc w:val="left"/>
        <w:rPr>
          <w:rFonts w:hint="eastAsia" w:ascii="宋体" w:hAnsi="宋体" w:eastAsia="宋体"/>
          <w:kern w:val="2"/>
          <w:sz w:val="18"/>
          <w:szCs w:val="18"/>
          <w:lang w:eastAsia="zh-CN"/>
        </w:rPr>
      </w:pPr>
      <w:r>
        <w:rPr>
          <w:rFonts w:hint="eastAsia" w:ascii="宋体" w:hAnsi="宋体"/>
          <w:kern w:val="2"/>
          <w:sz w:val="18"/>
          <w:szCs w:val="18"/>
        </w:rPr>
        <w:t>2</w:t>
      </w:r>
      <w:r>
        <w:rPr>
          <w:rFonts w:hint="eastAsia" w:ascii="宋体" w:hAnsi="宋体"/>
          <w:kern w:val="2"/>
          <w:sz w:val="18"/>
          <w:szCs w:val="18"/>
          <w:lang w:val="en-US" w:eastAsia="zh-CN"/>
        </w:rPr>
        <w:t>6</w:t>
      </w:r>
      <w:r>
        <w:rPr>
          <w:rFonts w:ascii="宋体" w:hAnsi="宋体"/>
          <w:kern w:val="2"/>
          <w:sz w:val="18"/>
          <w:szCs w:val="18"/>
        </w:rPr>
        <w:t>.</w:t>
      </w:r>
      <w:r>
        <w:rPr>
          <w:rFonts w:hint="eastAsia" w:ascii="宋体" w:hAnsi="宋体"/>
          <w:kern w:val="2"/>
          <w:sz w:val="18"/>
          <w:szCs w:val="18"/>
        </w:rPr>
        <w:t>硬件配置——处理装置：C</w:t>
      </w:r>
      <w:r>
        <w:rPr>
          <w:rFonts w:ascii="宋体" w:hAnsi="宋体"/>
          <w:kern w:val="2"/>
          <w:sz w:val="18"/>
          <w:szCs w:val="18"/>
        </w:rPr>
        <w:t>PU Atmel AT91SAM9G45,ARM9,400MHz,</w:t>
      </w:r>
      <w:r>
        <w:rPr>
          <w:rFonts w:hint="eastAsia" w:ascii="宋体" w:hAnsi="宋体"/>
          <w:kern w:val="2"/>
          <w:sz w:val="18"/>
          <w:szCs w:val="18"/>
        </w:rPr>
        <w:t>系统软件：l</w:t>
      </w:r>
      <w:r>
        <w:rPr>
          <w:rFonts w:ascii="宋体" w:hAnsi="宋体"/>
          <w:kern w:val="2"/>
          <w:sz w:val="18"/>
          <w:szCs w:val="18"/>
        </w:rPr>
        <w:t>inux2.6.30</w:t>
      </w:r>
      <w:r>
        <w:rPr>
          <w:rFonts w:hint="eastAsia" w:ascii="宋体" w:hAnsi="宋体"/>
          <w:kern w:val="2"/>
          <w:sz w:val="18"/>
          <w:szCs w:val="18"/>
          <w:lang w:eastAsia="zh-CN"/>
        </w:rPr>
        <w:t>。</w:t>
      </w:r>
    </w:p>
    <w:p w14:paraId="3A71F06F">
      <w:pPr>
        <w:pStyle w:val="2"/>
        <w:tabs>
          <w:tab w:val="left" w:pos="851"/>
        </w:tabs>
        <w:adjustRightInd w:val="0"/>
        <w:snapToGrid w:val="0"/>
        <w:spacing w:line="360" w:lineRule="auto"/>
        <w:ind w:firstLine="0" w:firstLineChars="0"/>
        <w:jc w:val="left"/>
        <w:rPr>
          <w:rFonts w:hint="eastAsia" w:ascii="宋体" w:hAnsi="宋体"/>
          <w:kern w:val="2"/>
          <w:sz w:val="18"/>
          <w:szCs w:val="18"/>
        </w:rPr>
      </w:pPr>
      <w:r>
        <w:rPr>
          <w:rFonts w:hint="eastAsia" w:ascii="宋体" w:hAnsi="宋体"/>
          <w:kern w:val="2"/>
          <w:sz w:val="18"/>
          <w:szCs w:val="18"/>
        </w:rPr>
        <w:t>2</w:t>
      </w:r>
      <w:r>
        <w:rPr>
          <w:rFonts w:hint="eastAsia" w:ascii="宋体" w:hAnsi="宋体"/>
          <w:kern w:val="2"/>
          <w:sz w:val="18"/>
          <w:szCs w:val="18"/>
          <w:lang w:val="en-US" w:eastAsia="zh-CN"/>
        </w:rPr>
        <w:t>7</w:t>
      </w:r>
      <w:r>
        <w:rPr>
          <w:rFonts w:ascii="宋体" w:hAnsi="宋体"/>
          <w:kern w:val="2"/>
          <w:sz w:val="18"/>
          <w:szCs w:val="18"/>
        </w:rPr>
        <w:t>.</w:t>
      </w:r>
      <w:r>
        <w:rPr>
          <w:rFonts w:hint="eastAsia" w:ascii="宋体" w:hAnsi="宋体"/>
          <w:kern w:val="2"/>
          <w:sz w:val="18"/>
          <w:szCs w:val="18"/>
        </w:rPr>
        <w:t>用户登录可分为管理员和普通用户，其中管理员可以添加或删除普通用户。</w:t>
      </w:r>
    </w:p>
    <w:p w14:paraId="7EEFD6CB">
      <w:pPr>
        <w:pStyle w:val="2"/>
        <w:tabs>
          <w:tab w:val="left" w:pos="851"/>
        </w:tabs>
        <w:adjustRightInd w:val="0"/>
        <w:snapToGrid w:val="0"/>
        <w:spacing w:line="360" w:lineRule="auto"/>
        <w:ind w:firstLine="0" w:firstLineChars="0"/>
        <w:jc w:val="left"/>
        <w:rPr>
          <w:rFonts w:hint="eastAsia" w:ascii="宋体" w:hAnsi="宋体"/>
          <w:kern w:val="2"/>
          <w:sz w:val="18"/>
          <w:szCs w:val="18"/>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QwMDcyYzg4ZmNkYzE3NzU5YjBlMmUxZGNkY2Q4ZTUifQ=="/>
  </w:docVars>
  <w:rsids>
    <w:rsidRoot w:val="00A01405"/>
    <w:rsid w:val="000320C1"/>
    <w:rsid w:val="00043AA8"/>
    <w:rsid w:val="00066D9D"/>
    <w:rsid w:val="000B3B29"/>
    <w:rsid w:val="000E62A1"/>
    <w:rsid w:val="000F29AB"/>
    <w:rsid w:val="001256DB"/>
    <w:rsid w:val="0014397F"/>
    <w:rsid w:val="00157F03"/>
    <w:rsid w:val="0016012F"/>
    <w:rsid w:val="00181675"/>
    <w:rsid w:val="00190FEB"/>
    <w:rsid w:val="001A166D"/>
    <w:rsid w:val="001B0F8E"/>
    <w:rsid w:val="001C1D7F"/>
    <w:rsid w:val="001C50CF"/>
    <w:rsid w:val="002237A7"/>
    <w:rsid w:val="00225D00"/>
    <w:rsid w:val="00254BF4"/>
    <w:rsid w:val="00287273"/>
    <w:rsid w:val="002D5CD2"/>
    <w:rsid w:val="002E37D1"/>
    <w:rsid w:val="00303470"/>
    <w:rsid w:val="00334243"/>
    <w:rsid w:val="00336015"/>
    <w:rsid w:val="00352527"/>
    <w:rsid w:val="003A7A8F"/>
    <w:rsid w:val="003C4EAE"/>
    <w:rsid w:val="003C69A5"/>
    <w:rsid w:val="003E3345"/>
    <w:rsid w:val="00403955"/>
    <w:rsid w:val="004410CD"/>
    <w:rsid w:val="004455F3"/>
    <w:rsid w:val="00450079"/>
    <w:rsid w:val="004666EA"/>
    <w:rsid w:val="00474AE9"/>
    <w:rsid w:val="004C17FE"/>
    <w:rsid w:val="004C65A1"/>
    <w:rsid w:val="004C6B94"/>
    <w:rsid w:val="004C730E"/>
    <w:rsid w:val="004E43CC"/>
    <w:rsid w:val="004F0BD7"/>
    <w:rsid w:val="0050128A"/>
    <w:rsid w:val="005106A8"/>
    <w:rsid w:val="00523687"/>
    <w:rsid w:val="005238BE"/>
    <w:rsid w:val="00524B5A"/>
    <w:rsid w:val="00543747"/>
    <w:rsid w:val="00562DB0"/>
    <w:rsid w:val="00563E25"/>
    <w:rsid w:val="00564DFE"/>
    <w:rsid w:val="00567903"/>
    <w:rsid w:val="005B1B41"/>
    <w:rsid w:val="005D742A"/>
    <w:rsid w:val="005F1892"/>
    <w:rsid w:val="00606228"/>
    <w:rsid w:val="00606F28"/>
    <w:rsid w:val="0061275B"/>
    <w:rsid w:val="00635C25"/>
    <w:rsid w:val="0065790E"/>
    <w:rsid w:val="0066355A"/>
    <w:rsid w:val="0068709E"/>
    <w:rsid w:val="006940A0"/>
    <w:rsid w:val="006978E8"/>
    <w:rsid w:val="006A43BF"/>
    <w:rsid w:val="006B18B2"/>
    <w:rsid w:val="006D51DF"/>
    <w:rsid w:val="006E79D8"/>
    <w:rsid w:val="006F14AC"/>
    <w:rsid w:val="00705DDE"/>
    <w:rsid w:val="00711962"/>
    <w:rsid w:val="007302B7"/>
    <w:rsid w:val="00760D9B"/>
    <w:rsid w:val="007F167E"/>
    <w:rsid w:val="0080786B"/>
    <w:rsid w:val="008577DB"/>
    <w:rsid w:val="0085797D"/>
    <w:rsid w:val="00862B03"/>
    <w:rsid w:val="00872636"/>
    <w:rsid w:val="008A580E"/>
    <w:rsid w:val="008E01EC"/>
    <w:rsid w:val="008F52B7"/>
    <w:rsid w:val="00917679"/>
    <w:rsid w:val="009327CE"/>
    <w:rsid w:val="009335EC"/>
    <w:rsid w:val="009436D2"/>
    <w:rsid w:val="00943B6C"/>
    <w:rsid w:val="00956756"/>
    <w:rsid w:val="009675E8"/>
    <w:rsid w:val="009701E4"/>
    <w:rsid w:val="00971EC1"/>
    <w:rsid w:val="00973B4C"/>
    <w:rsid w:val="00980C67"/>
    <w:rsid w:val="00991AD0"/>
    <w:rsid w:val="009A4514"/>
    <w:rsid w:val="009A60DA"/>
    <w:rsid w:val="009C7366"/>
    <w:rsid w:val="009D0808"/>
    <w:rsid w:val="00A01405"/>
    <w:rsid w:val="00A313A0"/>
    <w:rsid w:val="00A52DB1"/>
    <w:rsid w:val="00A54A94"/>
    <w:rsid w:val="00A5753A"/>
    <w:rsid w:val="00A57768"/>
    <w:rsid w:val="00A608D8"/>
    <w:rsid w:val="00A804D8"/>
    <w:rsid w:val="00A80F2F"/>
    <w:rsid w:val="00A93FEE"/>
    <w:rsid w:val="00A96A0A"/>
    <w:rsid w:val="00AA5D0B"/>
    <w:rsid w:val="00AB6659"/>
    <w:rsid w:val="00AC099A"/>
    <w:rsid w:val="00AC3599"/>
    <w:rsid w:val="00AC5E4F"/>
    <w:rsid w:val="00AC79D3"/>
    <w:rsid w:val="00AE2E37"/>
    <w:rsid w:val="00AE3194"/>
    <w:rsid w:val="00AF6740"/>
    <w:rsid w:val="00B01215"/>
    <w:rsid w:val="00B060B7"/>
    <w:rsid w:val="00B17CB8"/>
    <w:rsid w:val="00B7273D"/>
    <w:rsid w:val="00B7521C"/>
    <w:rsid w:val="00B87260"/>
    <w:rsid w:val="00B9354D"/>
    <w:rsid w:val="00BA0FE8"/>
    <w:rsid w:val="00BA5D68"/>
    <w:rsid w:val="00BB4D91"/>
    <w:rsid w:val="00BD46F1"/>
    <w:rsid w:val="00C0282B"/>
    <w:rsid w:val="00C06158"/>
    <w:rsid w:val="00C458B3"/>
    <w:rsid w:val="00C7304F"/>
    <w:rsid w:val="00C744CF"/>
    <w:rsid w:val="00C81FC3"/>
    <w:rsid w:val="00C8559C"/>
    <w:rsid w:val="00C9118F"/>
    <w:rsid w:val="00CC2E92"/>
    <w:rsid w:val="00CF105C"/>
    <w:rsid w:val="00CF16B0"/>
    <w:rsid w:val="00CF5761"/>
    <w:rsid w:val="00D14E3E"/>
    <w:rsid w:val="00D21776"/>
    <w:rsid w:val="00D23FB0"/>
    <w:rsid w:val="00D25E00"/>
    <w:rsid w:val="00D30865"/>
    <w:rsid w:val="00D57111"/>
    <w:rsid w:val="00D57276"/>
    <w:rsid w:val="00D8114A"/>
    <w:rsid w:val="00DA5A35"/>
    <w:rsid w:val="00DA79C3"/>
    <w:rsid w:val="00DB0231"/>
    <w:rsid w:val="00DC23E6"/>
    <w:rsid w:val="00DC3E9C"/>
    <w:rsid w:val="00DC4CA8"/>
    <w:rsid w:val="00DD5DE6"/>
    <w:rsid w:val="00DD7D17"/>
    <w:rsid w:val="00DF52C4"/>
    <w:rsid w:val="00DF72BB"/>
    <w:rsid w:val="00E400FB"/>
    <w:rsid w:val="00E431A7"/>
    <w:rsid w:val="00E52EB7"/>
    <w:rsid w:val="00E56279"/>
    <w:rsid w:val="00E77045"/>
    <w:rsid w:val="00E86BB0"/>
    <w:rsid w:val="00EA4A52"/>
    <w:rsid w:val="00EA59EC"/>
    <w:rsid w:val="00EB2B73"/>
    <w:rsid w:val="00EB795D"/>
    <w:rsid w:val="00EC5E5B"/>
    <w:rsid w:val="00EC7760"/>
    <w:rsid w:val="00ED129D"/>
    <w:rsid w:val="00ED5910"/>
    <w:rsid w:val="00EF6381"/>
    <w:rsid w:val="00F038B9"/>
    <w:rsid w:val="00F221A8"/>
    <w:rsid w:val="00F3106D"/>
    <w:rsid w:val="00F7189B"/>
    <w:rsid w:val="00F816D6"/>
    <w:rsid w:val="00F85724"/>
    <w:rsid w:val="00F9103F"/>
    <w:rsid w:val="12850B9A"/>
    <w:rsid w:val="1FBAA3A0"/>
    <w:rsid w:val="1FEA0C55"/>
    <w:rsid w:val="32F40036"/>
    <w:rsid w:val="33897E1B"/>
    <w:rsid w:val="369061CA"/>
    <w:rsid w:val="382A0C93"/>
    <w:rsid w:val="42C65A5C"/>
    <w:rsid w:val="43CE3397"/>
    <w:rsid w:val="444111FF"/>
    <w:rsid w:val="4B4455EC"/>
    <w:rsid w:val="4ECA9800"/>
    <w:rsid w:val="51B732BD"/>
    <w:rsid w:val="55A57753"/>
    <w:rsid w:val="59C410F7"/>
    <w:rsid w:val="620C3695"/>
    <w:rsid w:val="65F74551"/>
    <w:rsid w:val="6F7F8C1C"/>
    <w:rsid w:val="73F319D4"/>
    <w:rsid w:val="751A5077"/>
    <w:rsid w:val="7D53BFCF"/>
    <w:rsid w:val="7F3226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kern w:val="0"/>
      <w:sz w:val="24"/>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rFonts w:ascii="Times New Roman" w:hAnsi="Times New Roman" w:eastAsia="宋体" w:cs="Times New Roman"/>
      <w:sz w:val="18"/>
      <w:szCs w:val="18"/>
    </w:rPr>
  </w:style>
  <w:style w:type="character" w:customStyle="1" w:styleId="8">
    <w:name w:val="页脚 字符"/>
    <w:basedOn w:val="6"/>
    <w:link w:val="3"/>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996</Words>
  <Characters>1236</Characters>
  <Lines>9</Lines>
  <Paragraphs>2</Paragraphs>
  <TotalTime>0</TotalTime>
  <ScaleCrop>false</ScaleCrop>
  <LinksUpToDate>false</LinksUpToDate>
  <CharactersWithSpaces>1251</CharactersWithSpaces>
  <Application>WPS Office_12.1.0.28040_F1E327BC-269C-435d-A152-05C5408002CA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2022-06-23T23:22:00Z</dcterms:created>
  <dc:creator>lenovo</dc:creator>
  <cp:lastModifiedBy>。</cp:lastModifiedBy>
  <cp:lastPrinted>2022-06-23T23:22:00Z</cp:lastPrinted>
  <dcterms:modified xsi:type="dcterms:W3CDTF">2026-07-27T01:17:41Z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2052-12.1.0.28040</vt:lpwstr>
  </property>
  <property fmtid="{D5CDD505-2E9C-101B-9397-08002B2CF9AE}" pid="3" name="ICV">
    <vt:lpwstr>17EF5A8F74D240A69580D7B67288AF30_13</vt:lpwstr>
  </property>
  <property fmtid="{D5CDD505-2E9C-101B-9397-08002B2CF9AE}" pid="4" name="KSOTemplateDocerSaveRecord">
    <vt:lpwstr>eyJoZGlkIjoiOTFkODJhZDM0N2Y0NTQ1MjRiMTc3YjNjNjU3MTYxNDYiLCJ1c2VySWQiOiI3NDQ5NDU3ODEifQ==</vt:lpwstr>
  </property>
</Properties>
</file>