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72137">
      <w:pPr>
        <w:jc w:val="center"/>
        <w:rPr>
          <w:rFonts w:eastAsia="黑体"/>
          <w:b/>
          <w:sz w:val="84"/>
          <w:szCs w:val="84"/>
          <w:highlight w:val="none"/>
        </w:rPr>
      </w:pPr>
    </w:p>
    <w:p w14:paraId="1102180B">
      <w:pPr>
        <w:jc w:val="center"/>
        <w:rPr>
          <w:rFonts w:eastAsia="黑体"/>
          <w:b/>
          <w:sz w:val="84"/>
          <w:szCs w:val="84"/>
          <w:highlight w:val="none"/>
        </w:rPr>
      </w:pPr>
    </w:p>
    <w:p w14:paraId="18612867">
      <w:pPr>
        <w:jc w:val="center"/>
        <w:rPr>
          <w:sz w:val="84"/>
          <w:szCs w:val="84"/>
          <w:highlight w:val="none"/>
        </w:rPr>
      </w:pPr>
      <w:r>
        <w:rPr>
          <w:rFonts w:hint="eastAsia" w:eastAsia="黑体"/>
          <w:b/>
          <w:sz w:val="84"/>
          <w:szCs w:val="84"/>
          <w:highlight w:val="none"/>
        </w:rPr>
        <w:t xml:space="preserve"> </w:t>
      </w:r>
      <w:r>
        <w:rPr>
          <w:rFonts w:eastAsia="黑体"/>
          <w:sz w:val="84"/>
          <w:szCs w:val="84"/>
          <w:highlight w:val="none"/>
        </w:rPr>
        <w:t>竞争性磋商文件</w:t>
      </w:r>
    </w:p>
    <w:p w14:paraId="6257B90E">
      <w:pPr>
        <w:jc w:val="center"/>
        <w:rPr>
          <w:rFonts w:eastAsia="黑体"/>
          <w:b/>
          <w:sz w:val="84"/>
          <w:szCs w:val="84"/>
          <w:highlight w:val="none"/>
        </w:rPr>
      </w:pPr>
    </w:p>
    <w:p w14:paraId="5A632C6B">
      <w:pPr>
        <w:jc w:val="center"/>
        <w:rPr>
          <w:rFonts w:eastAsia="黑体"/>
          <w:b/>
          <w:sz w:val="84"/>
          <w:szCs w:val="84"/>
          <w:highlight w:val="none"/>
        </w:rPr>
      </w:pPr>
    </w:p>
    <w:p w14:paraId="29ABF903">
      <w:pPr>
        <w:rPr>
          <w:sz w:val="32"/>
          <w:highlight w:val="none"/>
        </w:rPr>
      </w:pPr>
    </w:p>
    <w:p w14:paraId="457CB065">
      <w:pPr>
        <w:rPr>
          <w:rFonts w:eastAsia="黑体"/>
          <w:sz w:val="44"/>
          <w:highlight w:val="none"/>
        </w:rPr>
      </w:pPr>
    </w:p>
    <w:p w14:paraId="5B87F765">
      <w:pPr>
        <w:widowControl/>
        <w:jc w:val="center"/>
        <w:rPr>
          <w:rFonts w:hint="eastAsia" w:eastAsia="黑体"/>
          <w:sz w:val="36"/>
          <w:szCs w:val="36"/>
          <w:highlight w:val="none"/>
          <w:lang w:eastAsia="zh-CN"/>
        </w:rPr>
      </w:pPr>
      <w:r>
        <w:rPr>
          <w:rFonts w:hint="eastAsia" w:eastAsia="黑体"/>
          <w:sz w:val="36"/>
          <w:szCs w:val="36"/>
          <w:highlight w:val="none"/>
        </w:rPr>
        <w:t>项目编号：</w:t>
      </w:r>
      <w:r>
        <w:rPr>
          <w:rFonts w:hint="eastAsia" w:eastAsia="黑体"/>
          <w:sz w:val="36"/>
          <w:szCs w:val="36"/>
          <w:highlight w:val="none"/>
          <w:lang w:eastAsia="zh-CN"/>
        </w:rPr>
        <w:t>NJFH-20260630</w:t>
      </w:r>
    </w:p>
    <w:p w14:paraId="0A2ABC54">
      <w:pPr>
        <w:widowControl/>
        <w:jc w:val="center"/>
        <w:rPr>
          <w:rFonts w:hint="eastAsia" w:eastAsia="黑体"/>
          <w:sz w:val="36"/>
          <w:szCs w:val="36"/>
          <w:highlight w:val="none"/>
          <w:lang w:eastAsia="zh-CN"/>
        </w:rPr>
      </w:pPr>
      <w:r>
        <w:rPr>
          <w:rFonts w:hint="eastAsia" w:eastAsia="黑体"/>
          <w:sz w:val="36"/>
          <w:szCs w:val="36"/>
          <w:highlight w:val="none"/>
        </w:rPr>
        <w:t xml:space="preserve">   </w:t>
      </w:r>
      <w:r>
        <w:rPr>
          <w:rFonts w:eastAsia="黑体"/>
          <w:sz w:val="36"/>
          <w:szCs w:val="36"/>
          <w:highlight w:val="none"/>
        </w:rPr>
        <w:t>项目名称：</w:t>
      </w:r>
      <w:r>
        <w:rPr>
          <w:rFonts w:hint="eastAsia" w:eastAsia="黑体"/>
          <w:sz w:val="36"/>
          <w:szCs w:val="36"/>
          <w:highlight w:val="none"/>
          <w:lang w:eastAsia="zh-CN"/>
        </w:rPr>
        <w:t>省强制医疗所项目多余土石方资源调查、处置方案编制及资产评估</w:t>
      </w:r>
    </w:p>
    <w:p w14:paraId="2487A5CE">
      <w:pPr>
        <w:ind w:firstLine="440" w:firstLineChars="100"/>
        <w:rPr>
          <w:rFonts w:eastAsia="黑体"/>
          <w:sz w:val="44"/>
          <w:highlight w:val="none"/>
        </w:rPr>
      </w:pPr>
    </w:p>
    <w:p w14:paraId="02F087A9">
      <w:pPr>
        <w:rPr>
          <w:rFonts w:eastAsia="黑体"/>
          <w:sz w:val="32"/>
          <w:highlight w:val="none"/>
        </w:rPr>
      </w:pPr>
    </w:p>
    <w:p w14:paraId="60911E3B">
      <w:pPr>
        <w:rPr>
          <w:rFonts w:eastAsia="黑体"/>
          <w:sz w:val="44"/>
          <w:highlight w:val="none"/>
        </w:rPr>
      </w:pPr>
    </w:p>
    <w:p w14:paraId="3A41B459">
      <w:pPr>
        <w:rPr>
          <w:rFonts w:eastAsia="黑体"/>
          <w:sz w:val="44"/>
          <w:highlight w:val="none"/>
        </w:rPr>
      </w:pPr>
    </w:p>
    <w:p w14:paraId="05B08EEE">
      <w:pPr>
        <w:rPr>
          <w:rFonts w:eastAsia="黑体"/>
          <w:sz w:val="44"/>
          <w:highlight w:val="none"/>
        </w:rPr>
      </w:pPr>
    </w:p>
    <w:p w14:paraId="6167F6B5">
      <w:pPr>
        <w:rPr>
          <w:rFonts w:eastAsia="黑体"/>
          <w:sz w:val="32"/>
          <w:highlight w:val="none"/>
        </w:rPr>
      </w:pPr>
    </w:p>
    <w:p w14:paraId="6C706B12">
      <w:pPr>
        <w:jc w:val="center"/>
        <w:rPr>
          <w:rFonts w:eastAsia="黑体"/>
          <w:sz w:val="44"/>
          <w:highlight w:val="none"/>
        </w:rPr>
      </w:pPr>
      <w:r>
        <w:rPr>
          <w:rFonts w:hint="eastAsia" w:eastAsia="黑体"/>
          <w:sz w:val="44"/>
          <w:highlight w:val="none"/>
        </w:rPr>
        <w:t>南京富弘工程项目管理有限公司</w:t>
      </w:r>
    </w:p>
    <w:p w14:paraId="2FC89244">
      <w:pPr>
        <w:jc w:val="center"/>
        <w:rPr>
          <w:rFonts w:hint="eastAsia" w:eastAsia="黑体"/>
          <w:highlight w:val="none"/>
          <w:lang w:val="en-US" w:eastAsia="zh-CN"/>
        </w:rPr>
      </w:pPr>
      <w:r>
        <w:rPr>
          <w:rFonts w:eastAsia="黑体"/>
          <w:sz w:val="44"/>
          <w:highlight w:val="none"/>
        </w:rPr>
        <w:t>二〇二</w:t>
      </w:r>
      <w:r>
        <w:rPr>
          <w:rFonts w:hint="eastAsia" w:eastAsia="黑体"/>
          <w:sz w:val="44"/>
          <w:highlight w:val="none"/>
        </w:rPr>
        <w:t>六</w:t>
      </w:r>
      <w:r>
        <w:rPr>
          <w:rFonts w:eastAsia="黑体"/>
          <w:sz w:val="44"/>
          <w:highlight w:val="none"/>
        </w:rPr>
        <w:t>年</w:t>
      </w:r>
      <w:r>
        <w:rPr>
          <w:rFonts w:hint="eastAsia" w:eastAsia="黑体"/>
          <w:sz w:val="44"/>
          <w:highlight w:val="none"/>
          <w:lang w:val="en-US" w:eastAsia="zh-CN"/>
        </w:rPr>
        <w:t>六</w:t>
      </w:r>
      <w:r>
        <w:rPr>
          <w:rFonts w:eastAsia="黑体"/>
          <w:sz w:val="44"/>
          <w:highlight w:val="none"/>
        </w:rPr>
        <w:t>月</w:t>
      </w:r>
      <w:r>
        <w:rPr>
          <w:rFonts w:hint="eastAsia" w:eastAsia="黑体"/>
          <w:sz w:val="44"/>
          <w:highlight w:val="none"/>
          <w:lang w:val="en-US" w:eastAsia="zh-CN"/>
        </w:rPr>
        <w:t>三十日</w:t>
      </w:r>
    </w:p>
    <w:p w14:paraId="3CA016F1">
      <w:pPr>
        <w:tabs>
          <w:tab w:val="left" w:pos="1635"/>
        </w:tabs>
        <w:spacing w:line="480" w:lineRule="auto"/>
        <w:ind w:firstLine="301" w:firstLineChars="100"/>
        <w:jc w:val="center"/>
        <w:rPr>
          <w:rFonts w:eastAsia="黑体"/>
          <w:b/>
          <w:sz w:val="30"/>
          <w:szCs w:val="30"/>
          <w:highlight w:val="none"/>
        </w:rPr>
      </w:pPr>
      <w:r>
        <w:rPr>
          <w:rFonts w:eastAsia="黑体"/>
          <w:b/>
          <w:sz w:val="30"/>
          <w:szCs w:val="30"/>
          <w:highlight w:val="none"/>
        </w:rPr>
        <w:br w:type="page"/>
      </w:r>
      <w:r>
        <w:rPr>
          <w:rFonts w:eastAsia="黑体"/>
          <w:b/>
          <w:sz w:val="30"/>
          <w:szCs w:val="30"/>
          <w:highlight w:val="none"/>
        </w:rPr>
        <w:t>目  录</w:t>
      </w:r>
    </w:p>
    <w:p w14:paraId="649CE607">
      <w:pPr>
        <w:rPr>
          <w:highlight w:val="none"/>
        </w:rPr>
      </w:pPr>
    </w:p>
    <w:p w14:paraId="72318982">
      <w:pPr>
        <w:pStyle w:val="21"/>
        <w:tabs>
          <w:tab w:val="right" w:leader="dot" w:pos="9459"/>
        </w:tabs>
        <w:spacing w:line="480" w:lineRule="auto"/>
        <w:rPr>
          <w:rFonts w:ascii="等线" w:hAnsi="等线" w:eastAsia="等线"/>
          <w:b/>
          <w:bCs/>
          <w:szCs w:val="22"/>
          <w:highlight w:val="none"/>
        </w:rPr>
      </w:pPr>
      <w:r>
        <w:rPr>
          <w:sz w:val="30"/>
          <w:szCs w:val="30"/>
          <w:highlight w:val="none"/>
        </w:rPr>
        <w:fldChar w:fldCharType="begin"/>
      </w:r>
      <w:r>
        <w:rPr>
          <w:sz w:val="30"/>
          <w:szCs w:val="30"/>
          <w:highlight w:val="none"/>
        </w:rPr>
        <w:instrText xml:space="preserve"> TOC \o "1-3" \h \z \u </w:instrText>
      </w:r>
      <w:r>
        <w:rPr>
          <w:sz w:val="30"/>
          <w:szCs w:val="30"/>
          <w:highlight w:val="none"/>
        </w:rPr>
        <w:fldChar w:fldCharType="separate"/>
      </w:r>
      <w:r>
        <w:rPr>
          <w:highlight w:val="none"/>
        </w:rPr>
        <w:fldChar w:fldCharType="begin"/>
      </w:r>
      <w:r>
        <w:rPr>
          <w:highlight w:val="none"/>
        </w:rPr>
        <w:instrText xml:space="preserve"> HYPERLINK \l "_Toc43217785" </w:instrText>
      </w:r>
      <w:r>
        <w:rPr>
          <w:highlight w:val="none"/>
        </w:rPr>
        <w:fldChar w:fldCharType="separate"/>
      </w:r>
      <w:r>
        <w:rPr>
          <w:rStyle w:val="36"/>
          <w:b/>
          <w:bCs/>
          <w:color w:val="auto"/>
          <w:highlight w:val="none"/>
        </w:rPr>
        <w:t>第一章  竞争性磋商邀请</w:t>
      </w:r>
      <w:r>
        <w:rPr>
          <w:b/>
          <w:bCs/>
          <w:highlight w:val="none"/>
        </w:rPr>
        <w:tab/>
      </w:r>
      <w:r>
        <w:rPr>
          <w:b/>
          <w:bCs/>
          <w:highlight w:val="none"/>
        </w:rPr>
        <w:fldChar w:fldCharType="begin"/>
      </w:r>
      <w:r>
        <w:rPr>
          <w:b/>
          <w:bCs/>
          <w:highlight w:val="none"/>
        </w:rPr>
        <w:instrText xml:space="preserve"> PAGEREF _Toc43217785 \h </w:instrText>
      </w:r>
      <w:r>
        <w:rPr>
          <w:b/>
          <w:bCs/>
          <w:highlight w:val="none"/>
        </w:rPr>
        <w:fldChar w:fldCharType="separate"/>
      </w:r>
      <w:r>
        <w:rPr>
          <w:b/>
          <w:bCs/>
          <w:highlight w:val="none"/>
        </w:rPr>
        <w:t>2</w:t>
      </w:r>
      <w:r>
        <w:rPr>
          <w:b/>
          <w:bCs/>
          <w:highlight w:val="none"/>
        </w:rPr>
        <w:fldChar w:fldCharType="end"/>
      </w:r>
      <w:r>
        <w:rPr>
          <w:b/>
          <w:bCs/>
          <w:highlight w:val="none"/>
        </w:rPr>
        <w:fldChar w:fldCharType="end"/>
      </w:r>
    </w:p>
    <w:p w14:paraId="717540CD">
      <w:pPr>
        <w:pStyle w:val="21"/>
        <w:tabs>
          <w:tab w:val="right" w:leader="dot" w:pos="9459"/>
        </w:tabs>
        <w:spacing w:line="480" w:lineRule="auto"/>
        <w:rPr>
          <w:rFonts w:ascii="等线" w:hAnsi="等线" w:eastAsia="等线"/>
          <w:b/>
          <w:bCs/>
          <w:szCs w:val="22"/>
          <w:highlight w:val="none"/>
        </w:rPr>
      </w:pPr>
      <w:r>
        <w:rPr>
          <w:highlight w:val="none"/>
        </w:rPr>
        <w:fldChar w:fldCharType="begin"/>
      </w:r>
      <w:r>
        <w:rPr>
          <w:highlight w:val="none"/>
        </w:rPr>
        <w:instrText xml:space="preserve"> HYPERLINK \l "_Toc43217786" </w:instrText>
      </w:r>
      <w:r>
        <w:rPr>
          <w:highlight w:val="none"/>
        </w:rPr>
        <w:fldChar w:fldCharType="separate"/>
      </w:r>
      <w:r>
        <w:rPr>
          <w:rStyle w:val="36"/>
          <w:b/>
          <w:bCs/>
          <w:color w:val="auto"/>
          <w:highlight w:val="none"/>
        </w:rPr>
        <w:t>第二章  竞争性磋商须知</w:t>
      </w:r>
      <w:r>
        <w:rPr>
          <w:b/>
          <w:bCs/>
          <w:highlight w:val="none"/>
        </w:rPr>
        <w:tab/>
      </w:r>
      <w:r>
        <w:rPr>
          <w:b/>
          <w:bCs/>
          <w:highlight w:val="none"/>
        </w:rPr>
        <w:fldChar w:fldCharType="begin"/>
      </w:r>
      <w:r>
        <w:rPr>
          <w:b/>
          <w:bCs/>
          <w:highlight w:val="none"/>
        </w:rPr>
        <w:instrText xml:space="preserve"> PAGEREF _Toc43217786 \h </w:instrText>
      </w:r>
      <w:r>
        <w:rPr>
          <w:b/>
          <w:bCs/>
          <w:highlight w:val="none"/>
        </w:rPr>
        <w:fldChar w:fldCharType="separate"/>
      </w:r>
      <w:r>
        <w:rPr>
          <w:b/>
          <w:bCs/>
          <w:highlight w:val="none"/>
        </w:rPr>
        <w:t>5</w:t>
      </w:r>
      <w:r>
        <w:rPr>
          <w:b/>
          <w:bCs/>
          <w:highlight w:val="none"/>
        </w:rPr>
        <w:fldChar w:fldCharType="end"/>
      </w:r>
      <w:r>
        <w:rPr>
          <w:b/>
          <w:bCs/>
          <w:highlight w:val="none"/>
        </w:rPr>
        <w:fldChar w:fldCharType="end"/>
      </w:r>
    </w:p>
    <w:p w14:paraId="3A43ECFD">
      <w:pPr>
        <w:pStyle w:val="21"/>
        <w:tabs>
          <w:tab w:val="right" w:leader="dot" w:pos="9459"/>
        </w:tabs>
        <w:spacing w:line="480" w:lineRule="auto"/>
        <w:rPr>
          <w:rFonts w:ascii="等线" w:hAnsi="等线" w:eastAsia="等线"/>
          <w:b/>
          <w:bCs/>
          <w:szCs w:val="22"/>
          <w:highlight w:val="none"/>
        </w:rPr>
      </w:pPr>
      <w:r>
        <w:rPr>
          <w:highlight w:val="none"/>
        </w:rPr>
        <w:fldChar w:fldCharType="begin"/>
      </w:r>
      <w:r>
        <w:rPr>
          <w:highlight w:val="none"/>
        </w:rPr>
        <w:instrText xml:space="preserve"> HYPERLINK \l "_Toc43217793" </w:instrText>
      </w:r>
      <w:r>
        <w:rPr>
          <w:highlight w:val="none"/>
        </w:rPr>
        <w:fldChar w:fldCharType="separate"/>
      </w:r>
      <w:r>
        <w:rPr>
          <w:rStyle w:val="36"/>
          <w:rFonts w:ascii="宋体" w:hAnsi="宋体" w:cs="宋体"/>
          <w:b/>
          <w:bCs/>
          <w:color w:val="auto"/>
          <w:kern w:val="0"/>
          <w:highlight w:val="none"/>
        </w:rPr>
        <w:t>★</w:t>
      </w:r>
      <w:r>
        <w:rPr>
          <w:rStyle w:val="36"/>
          <w:rFonts w:ascii="Cambria" w:hAnsi="Cambria"/>
          <w:b/>
          <w:bCs/>
          <w:color w:val="auto"/>
          <w:highlight w:val="none"/>
        </w:rPr>
        <w:t>第三章 磋商项目需求</w:t>
      </w:r>
      <w:r>
        <w:rPr>
          <w:b/>
          <w:bCs/>
          <w:highlight w:val="none"/>
        </w:rPr>
        <w:tab/>
      </w:r>
      <w:r>
        <w:rPr>
          <w:b/>
          <w:bCs/>
          <w:highlight w:val="none"/>
        </w:rPr>
        <w:fldChar w:fldCharType="begin"/>
      </w:r>
      <w:r>
        <w:rPr>
          <w:b/>
          <w:bCs/>
          <w:highlight w:val="none"/>
        </w:rPr>
        <w:instrText xml:space="preserve"> PAGEREF _Toc43217793 \h </w:instrText>
      </w:r>
      <w:r>
        <w:rPr>
          <w:b/>
          <w:bCs/>
          <w:highlight w:val="none"/>
        </w:rPr>
        <w:fldChar w:fldCharType="separate"/>
      </w:r>
      <w:r>
        <w:rPr>
          <w:b/>
          <w:bCs/>
          <w:highlight w:val="none"/>
        </w:rPr>
        <w:t>13</w:t>
      </w:r>
      <w:r>
        <w:rPr>
          <w:b/>
          <w:bCs/>
          <w:highlight w:val="none"/>
        </w:rPr>
        <w:fldChar w:fldCharType="end"/>
      </w:r>
      <w:r>
        <w:rPr>
          <w:b/>
          <w:bCs/>
          <w:highlight w:val="none"/>
        </w:rPr>
        <w:fldChar w:fldCharType="end"/>
      </w:r>
    </w:p>
    <w:p w14:paraId="5AE76AC5">
      <w:pPr>
        <w:pStyle w:val="21"/>
        <w:tabs>
          <w:tab w:val="right" w:leader="dot" w:pos="9459"/>
        </w:tabs>
        <w:spacing w:line="480" w:lineRule="auto"/>
        <w:rPr>
          <w:rFonts w:ascii="等线" w:hAnsi="等线" w:eastAsia="等线"/>
          <w:b/>
          <w:bCs/>
          <w:szCs w:val="22"/>
          <w:highlight w:val="none"/>
        </w:rPr>
      </w:pPr>
      <w:r>
        <w:rPr>
          <w:highlight w:val="none"/>
        </w:rPr>
        <w:fldChar w:fldCharType="begin"/>
      </w:r>
      <w:r>
        <w:rPr>
          <w:highlight w:val="none"/>
        </w:rPr>
        <w:instrText xml:space="preserve"> HYPERLINK \l "_Toc43217794" </w:instrText>
      </w:r>
      <w:r>
        <w:rPr>
          <w:highlight w:val="none"/>
        </w:rPr>
        <w:fldChar w:fldCharType="separate"/>
      </w:r>
      <w:r>
        <w:rPr>
          <w:rStyle w:val="36"/>
          <w:b/>
          <w:bCs/>
          <w:color w:val="auto"/>
          <w:highlight w:val="none"/>
          <w:lang w:val="zh-CN"/>
        </w:rPr>
        <w:t>第四章  评分标准</w:t>
      </w:r>
      <w:r>
        <w:rPr>
          <w:b/>
          <w:bCs/>
          <w:highlight w:val="none"/>
        </w:rPr>
        <w:tab/>
      </w:r>
      <w:r>
        <w:rPr>
          <w:b/>
          <w:bCs/>
          <w:highlight w:val="none"/>
        </w:rPr>
        <w:fldChar w:fldCharType="begin"/>
      </w:r>
      <w:r>
        <w:rPr>
          <w:b/>
          <w:bCs/>
          <w:highlight w:val="none"/>
        </w:rPr>
        <w:instrText xml:space="preserve"> PAGEREF _Toc43217794 \h </w:instrText>
      </w:r>
      <w:r>
        <w:rPr>
          <w:b/>
          <w:bCs/>
          <w:highlight w:val="none"/>
        </w:rPr>
        <w:fldChar w:fldCharType="separate"/>
      </w:r>
      <w:r>
        <w:rPr>
          <w:b/>
          <w:bCs/>
          <w:highlight w:val="none"/>
        </w:rPr>
        <w:t>1</w:t>
      </w:r>
      <w:r>
        <w:rPr>
          <w:rFonts w:hint="eastAsia"/>
          <w:b/>
          <w:bCs/>
          <w:highlight w:val="none"/>
          <w:lang w:val="en-US" w:eastAsia="zh-CN"/>
        </w:rPr>
        <w:t>6</w:t>
      </w:r>
      <w:r>
        <w:rPr>
          <w:b/>
          <w:bCs/>
          <w:highlight w:val="none"/>
        </w:rPr>
        <w:fldChar w:fldCharType="end"/>
      </w:r>
      <w:r>
        <w:rPr>
          <w:b/>
          <w:bCs/>
          <w:highlight w:val="none"/>
        </w:rPr>
        <w:fldChar w:fldCharType="end"/>
      </w:r>
    </w:p>
    <w:p w14:paraId="7AF7DEA1">
      <w:pPr>
        <w:pStyle w:val="21"/>
        <w:tabs>
          <w:tab w:val="right" w:leader="dot" w:pos="9459"/>
        </w:tabs>
        <w:spacing w:line="480" w:lineRule="auto"/>
        <w:rPr>
          <w:rFonts w:ascii="等线" w:hAnsi="等线" w:eastAsia="等线"/>
          <w:b/>
          <w:bCs/>
          <w:szCs w:val="22"/>
          <w:highlight w:val="none"/>
        </w:rPr>
      </w:pPr>
      <w:r>
        <w:rPr>
          <w:highlight w:val="none"/>
        </w:rPr>
        <w:fldChar w:fldCharType="begin"/>
      </w:r>
      <w:r>
        <w:rPr>
          <w:highlight w:val="none"/>
        </w:rPr>
        <w:instrText xml:space="preserve"> HYPERLINK \l "_Toc43217795" </w:instrText>
      </w:r>
      <w:r>
        <w:rPr>
          <w:highlight w:val="none"/>
        </w:rPr>
        <w:fldChar w:fldCharType="separate"/>
      </w:r>
      <w:r>
        <w:rPr>
          <w:rStyle w:val="36"/>
          <w:b/>
          <w:bCs/>
          <w:color w:val="auto"/>
          <w:highlight w:val="none"/>
        </w:rPr>
        <w:t>第五章  合同</w:t>
      </w:r>
      <w:r>
        <w:rPr>
          <w:b/>
          <w:bCs/>
          <w:highlight w:val="none"/>
        </w:rPr>
        <w:tab/>
      </w:r>
      <w:r>
        <w:rPr>
          <w:b/>
          <w:bCs/>
          <w:highlight w:val="none"/>
        </w:rPr>
        <w:fldChar w:fldCharType="begin"/>
      </w:r>
      <w:r>
        <w:rPr>
          <w:b/>
          <w:bCs/>
          <w:highlight w:val="none"/>
        </w:rPr>
        <w:instrText xml:space="preserve"> PAGEREF _Toc43217795 \h </w:instrText>
      </w:r>
      <w:r>
        <w:rPr>
          <w:b/>
          <w:bCs/>
          <w:highlight w:val="none"/>
        </w:rPr>
        <w:fldChar w:fldCharType="separate"/>
      </w:r>
      <w:r>
        <w:rPr>
          <w:b/>
          <w:bCs/>
          <w:highlight w:val="none"/>
        </w:rPr>
        <w:t>1</w:t>
      </w:r>
      <w:r>
        <w:rPr>
          <w:rFonts w:hint="eastAsia"/>
          <w:b/>
          <w:bCs/>
          <w:highlight w:val="none"/>
          <w:lang w:val="en-US" w:eastAsia="zh-CN"/>
        </w:rPr>
        <w:t>9</w:t>
      </w:r>
      <w:r>
        <w:rPr>
          <w:b/>
          <w:bCs/>
          <w:highlight w:val="none"/>
        </w:rPr>
        <w:fldChar w:fldCharType="end"/>
      </w:r>
      <w:r>
        <w:rPr>
          <w:b/>
          <w:bCs/>
          <w:highlight w:val="none"/>
        </w:rPr>
        <w:fldChar w:fldCharType="end"/>
      </w:r>
    </w:p>
    <w:p w14:paraId="1224C93E">
      <w:pPr>
        <w:pStyle w:val="21"/>
        <w:tabs>
          <w:tab w:val="right" w:leader="dot" w:pos="9459"/>
        </w:tabs>
        <w:spacing w:line="480" w:lineRule="auto"/>
        <w:rPr>
          <w:rFonts w:hint="eastAsia" w:ascii="等线" w:hAnsi="等线" w:eastAsia="宋体"/>
          <w:b/>
          <w:bCs/>
          <w:szCs w:val="22"/>
          <w:highlight w:val="none"/>
          <w:lang w:val="en-US" w:eastAsia="zh-CN"/>
        </w:rPr>
      </w:pPr>
      <w:r>
        <w:rPr>
          <w:highlight w:val="none"/>
        </w:rPr>
        <w:fldChar w:fldCharType="begin"/>
      </w:r>
      <w:r>
        <w:rPr>
          <w:highlight w:val="none"/>
        </w:rPr>
        <w:instrText xml:space="preserve"> HYPERLINK \l "_Toc43217797" </w:instrText>
      </w:r>
      <w:r>
        <w:rPr>
          <w:highlight w:val="none"/>
        </w:rPr>
        <w:fldChar w:fldCharType="separate"/>
      </w:r>
      <w:r>
        <w:rPr>
          <w:rStyle w:val="36"/>
          <w:b/>
          <w:bCs/>
          <w:color w:val="auto"/>
          <w:highlight w:val="none"/>
        </w:rPr>
        <w:t>第六章  竞争性磋商文件格式及附件</w:t>
      </w:r>
      <w:r>
        <w:rPr>
          <w:b/>
          <w:bCs/>
          <w:highlight w:val="none"/>
        </w:rPr>
        <w:tab/>
      </w:r>
      <w:r>
        <w:rPr>
          <w:rFonts w:hint="eastAsia"/>
          <w:b/>
          <w:bCs/>
          <w:highlight w:val="none"/>
          <w:lang w:val="en-US" w:eastAsia="zh-CN"/>
        </w:rPr>
        <w:t>2</w:t>
      </w:r>
      <w:r>
        <w:rPr>
          <w:b/>
          <w:bCs/>
          <w:highlight w:val="none"/>
        </w:rPr>
        <w:fldChar w:fldCharType="end"/>
      </w:r>
      <w:r>
        <w:rPr>
          <w:rFonts w:hint="eastAsia"/>
          <w:b/>
          <w:bCs/>
          <w:highlight w:val="none"/>
          <w:lang w:val="en-US" w:eastAsia="zh-CN"/>
        </w:rPr>
        <w:t>5</w:t>
      </w:r>
    </w:p>
    <w:p w14:paraId="284901A7">
      <w:pPr>
        <w:pStyle w:val="24"/>
        <w:tabs>
          <w:tab w:val="right" w:leader="dot" w:pos="9459"/>
        </w:tabs>
        <w:rPr>
          <w:rFonts w:ascii="等线" w:hAnsi="等线" w:eastAsia="等线"/>
          <w:szCs w:val="22"/>
          <w:highlight w:val="none"/>
        </w:rPr>
      </w:pPr>
    </w:p>
    <w:p w14:paraId="13D12B01">
      <w:pPr>
        <w:pStyle w:val="24"/>
        <w:tabs>
          <w:tab w:val="right" w:leader="dot" w:pos="9459"/>
        </w:tabs>
        <w:rPr>
          <w:rFonts w:ascii="等线" w:hAnsi="等线" w:eastAsia="等线"/>
          <w:szCs w:val="22"/>
          <w:highlight w:val="none"/>
        </w:rPr>
      </w:pPr>
    </w:p>
    <w:p w14:paraId="5A6B75D7">
      <w:pPr>
        <w:pStyle w:val="21"/>
        <w:tabs>
          <w:tab w:val="right" w:leader="dot" w:pos="9345"/>
        </w:tabs>
        <w:adjustRightInd w:val="0"/>
        <w:snapToGrid w:val="0"/>
        <w:spacing w:line="360" w:lineRule="auto"/>
        <w:rPr>
          <w:highlight w:val="none"/>
        </w:rPr>
      </w:pPr>
      <w:r>
        <w:rPr>
          <w:highlight w:val="none"/>
        </w:rPr>
        <w:fldChar w:fldCharType="end"/>
      </w:r>
    </w:p>
    <w:p w14:paraId="6794A6F3">
      <w:pPr>
        <w:pStyle w:val="21"/>
        <w:tabs>
          <w:tab w:val="right" w:leader="dot" w:pos="9345"/>
        </w:tabs>
        <w:rPr>
          <w:sz w:val="24"/>
          <w:highlight w:val="none"/>
        </w:rPr>
      </w:pPr>
    </w:p>
    <w:p w14:paraId="4CD59D0E">
      <w:pPr>
        <w:rPr>
          <w:highlight w:val="none"/>
        </w:rPr>
      </w:pPr>
    </w:p>
    <w:p w14:paraId="39F707B0">
      <w:pPr>
        <w:rPr>
          <w:highlight w:val="none"/>
        </w:rPr>
      </w:pPr>
    </w:p>
    <w:p w14:paraId="54EED077">
      <w:pPr>
        <w:rPr>
          <w:highlight w:val="none"/>
        </w:rPr>
      </w:pPr>
    </w:p>
    <w:p w14:paraId="68C043CA">
      <w:pPr>
        <w:rPr>
          <w:highlight w:val="none"/>
        </w:rPr>
      </w:pPr>
    </w:p>
    <w:p w14:paraId="32F57F11">
      <w:pPr>
        <w:rPr>
          <w:highlight w:val="none"/>
        </w:rPr>
      </w:pPr>
    </w:p>
    <w:p w14:paraId="0F186B1F">
      <w:pPr>
        <w:pStyle w:val="26"/>
        <w:rPr>
          <w:highlight w:val="none"/>
        </w:rPr>
      </w:pPr>
      <w:bookmarkStart w:id="0" w:name="_Toc22331"/>
      <w:bookmarkStart w:id="1" w:name="_Toc10991"/>
      <w:bookmarkStart w:id="2" w:name="_Toc8779"/>
      <w:bookmarkStart w:id="3" w:name="_Toc15570"/>
      <w:bookmarkStart w:id="4" w:name="_Toc4802"/>
      <w:bookmarkStart w:id="5" w:name="_Toc504141735"/>
      <w:r>
        <w:rPr>
          <w:highlight w:val="none"/>
        </w:rPr>
        <w:br w:type="page"/>
      </w:r>
      <w:bookmarkStart w:id="6" w:name="_Toc28329"/>
      <w:bookmarkStart w:id="7" w:name="_Toc26656"/>
      <w:bookmarkStart w:id="8" w:name="_Toc18459"/>
      <w:bookmarkStart w:id="9" w:name="_Toc14101"/>
      <w:bookmarkStart w:id="10" w:name="_Toc16445"/>
      <w:bookmarkStart w:id="11" w:name="_Toc43217785"/>
      <w:bookmarkStart w:id="12" w:name="_Toc4125"/>
      <w:bookmarkStart w:id="13" w:name="_Toc31399"/>
      <w:r>
        <w:rPr>
          <w:highlight w:val="none"/>
        </w:rPr>
        <w:t>第一章  竞争性磋商</w:t>
      </w:r>
      <w:r>
        <w:rPr>
          <w:rFonts w:hint="eastAsia"/>
          <w:highlight w:val="none"/>
        </w:rPr>
        <w:t>邀请</w:t>
      </w:r>
      <w:bookmarkEnd w:id="0"/>
      <w:bookmarkEnd w:id="1"/>
      <w:bookmarkEnd w:id="2"/>
      <w:bookmarkEnd w:id="3"/>
      <w:bookmarkEnd w:id="4"/>
      <w:bookmarkEnd w:id="5"/>
      <w:bookmarkEnd w:id="6"/>
      <w:bookmarkEnd w:id="7"/>
      <w:bookmarkEnd w:id="8"/>
      <w:bookmarkEnd w:id="9"/>
      <w:bookmarkEnd w:id="10"/>
      <w:bookmarkEnd w:id="11"/>
      <w:bookmarkEnd w:id="12"/>
      <w:bookmarkEnd w:id="13"/>
    </w:p>
    <w:p w14:paraId="07F4BF7F">
      <w:pPr>
        <w:keepNext w:val="0"/>
        <w:keepLines w:val="0"/>
        <w:widowControl/>
        <w:suppressLineNumbers w:val="0"/>
        <w:shd w:val="clear" w:fill="FFFFFF"/>
        <w:spacing w:before="0" w:beforeAutospacing="0" w:after="0" w:afterAutospacing="0"/>
        <w:ind w:left="0" w:right="0" w:firstLine="480"/>
        <w:jc w:val="left"/>
        <w:rPr>
          <w:rFonts w:ascii="Segoe UI" w:hAnsi="Segoe UI" w:eastAsia="Segoe UI" w:cs="Segoe UI"/>
          <w:i w:val="0"/>
          <w:iCs w:val="0"/>
          <w:caps w:val="0"/>
          <w:color w:val="000000"/>
          <w:spacing w:val="0"/>
          <w:sz w:val="19"/>
          <w:szCs w:val="19"/>
        </w:rPr>
      </w:pPr>
      <w:bookmarkStart w:id="14" w:name="_Toc28359089"/>
      <w:bookmarkStart w:id="15" w:name="_Toc35393798"/>
      <w:bookmarkStart w:id="16" w:name="_Toc32401"/>
      <w:bookmarkStart w:id="17" w:name="_Toc35393629"/>
      <w:bookmarkStart w:id="18" w:name="_Toc28359012"/>
      <w:r>
        <w:rPr>
          <w:rFonts w:hint="eastAsia" w:ascii="宋体" w:hAnsi="宋体" w:eastAsia="宋体" w:cs="宋体"/>
          <w:i w:val="0"/>
          <w:iCs w:val="0"/>
          <w:caps w:val="0"/>
          <w:color w:val="000000"/>
          <w:spacing w:val="0"/>
          <w:kern w:val="0"/>
          <w:sz w:val="24"/>
          <w:szCs w:val="24"/>
          <w:shd w:val="clear" w:fill="FFFFFF"/>
          <w:lang w:val="en-US" w:eastAsia="zh-CN" w:bidi="ar"/>
        </w:rPr>
        <w:t>省强制医疗所项目多余土石方资源调查、处置方案编制及资产评估NJFH-20260630采购项目的潜在供应商应在南京市江宁区东山街道文靖西路108号中前社区院内西楼三楼获取采购文件，并于2026-7-14 14:30（北京时间）前递交响应文件。</w:t>
      </w:r>
    </w:p>
    <w:p w14:paraId="37F067AC">
      <w:pPr>
        <w:pStyle w:val="3"/>
        <w:keepNext w:val="0"/>
        <w:keepLines w:val="0"/>
        <w:widowControl/>
        <w:suppressLineNumbers w:val="0"/>
        <w:shd w:val="clear" w:fill="FFFFFF"/>
        <w:spacing w:before="0" w:beforeAutospacing="0" w:after="0" w:afterAutospacing="0"/>
        <w:ind w:left="0" w:right="0" w:firstLine="0"/>
        <w:rPr>
          <w:rFonts w:hint="default" w:ascii="Segoe UI" w:hAnsi="Segoe UI" w:eastAsia="Segoe UI" w:cs="Segoe UI"/>
          <w:i w:val="0"/>
          <w:iCs w:val="0"/>
          <w:caps w:val="0"/>
          <w:color w:val="000000"/>
          <w:spacing w:val="0"/>
        </w:rPr>
      </w:pPr>
      <w:r>
        <w:rPr>
          <w:rFonts w:ascii="黑体" w:hAnsi="宋体" w:eastAsia="黑体" w:cs="黑体"/>
          <w:i w:val="0"/>
          <w:iCs w:val="0"/>
          <w:caps w:val="0"/>
          <w:color w:val="000000"/>
          <w:spacing w:val="0"/>
          <w:sz w:val="28"/>
          <w:szCs w:val="28"/>
          <w:shd w:val="clear" w:fill="FFFFFF"/>
        </w:rPr>
        <w:t>一、项目基本情况</w:t>
      </w:r>
    </w:p>
    <w:p w14:paraId="64C1BD71">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项目编号：NJFH-20260630</w:t>
      </w:r>
    </w:p>
    <w:p w14:paraId="72AC0C94">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项目名称：省强制医疗所项目多余土石方资源调查、处置方案编制及资产评估</w:t>
      </w:r>
    </w:p>
    <w:p w14:paraId="503E1A52">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采购方式：竞争性磋商</w:t>
      </w:r>
    </w:p>
    <w:p w14:paraId="0A282B1B">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预算金额：550000元</w:t>
      </w:r>
    </w:p>
    <w:p w14:paraId="6FECFC38">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最高限价（如有）：496290元（磋商报价超过项目最高限价作无效响应处理）</w:t>
      </w:r>
    </w:p>
    <w:p w14:paraId="0FA89C84">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采购需求：省强制医疗所项目多余土石方资源调查、处置方案编制及资产评估。具体详见采购文件。</w:t>
      </w:r>
    </w:p>
    <w:p w14:paraId="56B167D5">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合同履行期限：40日历天</w:t>
      </w:r>
    </w:p>
    <w:p w14:paraId="081956D3">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本项目（是/否）接受联合体投标：接受联合体 </w:t>
      </w:r>
    </w:p>
    <w:p w14:paraId="5CF4507A">
      <w:pPr>
        <w:pStyle w:val="3"/>
        <w:keepNext w:val="0"/>
        <w:keepLines w:val="0"/>
        <w:widowControl/>
        <w:suppressLineNumbers w:val="0"/>
        <w:shd w:val="clear" w:fill="FFFFFF"/>
        <w:spacing w:before="0" w:beforeAutospacing="0" w:after="0" w:afterAutospacing="0"/>
        <w:ind w:left="0" w:right="0" w:firstLine="0"/>
        <w:rPr>
          <w:rFonts w:hint="default" w:ascii="Segoe UI" w:hAnsi="Segoe UI" w:eastAsia="Segoe UI" w:cs="Segoe UI"/>
          <w:i w:val="0"/>
          <w:iCs w:val="0"/>
          <w:caps w:val="0"/>
          <w:color w:val="000000"/>
          <w:spacing w:val="0"/>
        </w:rPr>
      </w:pPr>
      <w:r>
        <w:rPr>
          <w:rFonts w:hint="eastAsia" w:ascii="黑体" w:hAnsi="宋体" w:eastAsia="黑体" w:cs="黑体"/>
          <w:i w:val="0"/>
          <w:iCs w:val="0"/>
          <w:caps w:val="0"/>
          <w:color w:val="000000"/>
          <w:spacing w:val="0"/>
          <w:sz w:val="28"/>
          <w:szCs w:val="28"/>
          <w:shd w:val="clear" w:fill="FFFFFF"/>
        </w:rPr>
        <w:t>二、申请人的资格要求：</w:t>
      </w:r>
    </w:p>
    <w:p w14:paraId="6B38C4A5">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1、</w:t>
      </w:r>
      <w:r>
        <w:rPr>
          <w:rStyle w:val="32"/>
          <w:rFonts w:hint="eastAsia" w:ascii="宋体" w:hAnsi="宋体" w:eastAsia="宋体" w:cs="宋体"/>
          <w:i w:val="0"/>
          <w:iCs w:val="0"/>
          <w:caps w:val="0"/>
          <w:color w:val="000000"/>
          <w:spacing w:val="0"/>
          <w:kern w:val="0"/>
          <w:sz w:val="24"/>
          <w:szCs w:val="24"/>
          <w:shd w:val="clear" w:fill="FFFFFF"/>
          <w:lang w:val="en-US" w:eastAsia="zh-CN" w:bidi="ar"/>
        </w:rPr>
        <w:t>满足《中华人民共和国政府采购法》第二十二条规定</w:t>
      </w:r>
      <w:r>
        <w:rPr>
          <w:rFonts w:hint="eastAsia" w:ascii="宋体" w:hAnsi="宋体" w:eastAsia="宋体" w:cs="宋体"/>
          <w:i w:val="0"/>
          <w:iCs w:val="0"/>
          <w:caps w:val="0"/>
          <w:color w:val="000000"/>
          <w:spacing w:val="0"/>
          <w:kern w:val="0"/>
          <w:sz w:val="24"/>
          <w:szCs w:val="24"/>
          <w:shd w:val="clear" w:fill="FFFFFF"/>
          <w:lang w:val="en-US" w:eastAsia="zh-CN" w:bidi="ar"/>
        </w:rPr>
        <w:t>（如为联合体参与比选，联合体各方均需提供以下材料）：</w:t>
      </w:r>
    </w:p>
    <w:p w14:paraId="0BD093DF">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（1）具有独立承担民事责任的能力（提供法人或者其他组织的营业执照，自然人的身份证明，复印件加盖公章）；</w:t>
      </w:r>
    </w:p>
    <w:p w14:paraId="3EF92723">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（2）具有良好的商业信誉和健全的财务会计制度（提供2026年以来任意一个月的资产负债表和利润表，复印件加盖公章）；</w:t>
      </w:r>
    </w:p>
    <w:p w14:paraId="699FEC38">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（3）具有履行合同所必需的设备和专业技术能力（根据项目需求提供履行合同所必需的设备和专业技术能力的证明材料，复印件加盖公章）；</w:t>
      </w:r>
    </w:p>
    <w:p w14:paraId="3AD556D6">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（4）有依法缴纳税收和社会保障资金的良好记录（提供参加本次采购活动前半年内（至少一个月）依法缴纳税收和社会保障资金的相关资料，复印件加盖公章）；</w:t>
      </w:r>
    </w:p>
    <w:p w14:paraId="0D60D576">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（5）参加政府采购活动前三年内，在经营活动中没有重大违法记录（提供参加本次采购活动前 3 年内在经营活动中没有重大违法记录的书面声明的原件）；</w:t>
      </w:r>
    </w:p>
    <w:p w14:paraId="122530A7">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（6）法律、行政法规规定的其他条件（无）。</w:t>
      </w:r>
    </w:p>
    <w:p w14:paraId="5B6ECD0F">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注：依据南京市财政局“关于在政府采购中推行信用承诺制的通知”，供应商只需在资格审查环节针对以上2-5项提供满足相应条件的书面承诺书（南京市政府采购供应商信用记录表暨信用承诺书）。供应商在中标（成交）后，应按采购文件要求，将由信用承诺书替代的证明材料在7个工作日内提交采购人或采购代理机构核验。经核验无误后，由采购人或采购代理机构发出中标（成交）通知书；</w:t>
      </w:r>
    </w:p>
    <w:p w14:paraId="163DF1D4">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第一、确定排序后核查资质审查资料工作由代理机构负责完成，审核结果如实报备至采购人。</w:t>
      </w:r>
    </w:p>
    <w:p w14:paraId="7ADB8C19">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第二、如排序第一名提供的文件存在问题，将按市财政局文件的处罚标准执行。</w:t>
      </w:r>
    </w:p>
    <w:p w14:paraId="749F102F">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第三、如第一名存在问题不能与采购人订立合同则由采购人或代理机构按照排序确定第二名为中标候选人或者由采购人重新组织招标。</w:t>
      </w:r>
    </w:p>
    <w:p w14:paraId="5C0164D9">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2、落实政府采购政策需满足的资格要求：本项目整体专门面向中小企业采购；</w:t>
      </w:r>
    </w:p>
    <w:p w14:paraId="76746824">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残疾人福利性单位、监狱和戒毒企业（简称监狱企业）视同小型、微型企业。（投标供应商须按要求填写并提供《中小微企业声明函》或《残疾人福利性单位声明函》或提供由省级以上监狱管理局、戒毒管理局(含新疆生产建设兵团)出具的属于监狱企业的证明文件。）</w:t>
      </w:r>
    </w:p>
    <w:p w14:paraId="357CA330">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3、本项目的特定资格要求：具有工程测量乙级及以上资质且具备资产评估资质（需包含探矿权和采矿权评估）</w:t>
      </w:r>
    </w:p>
    <w:p w14:paraId="110E0F7F">
      <w:pPr>
        <w:keepNext w:val="0"/>
        <w:keepLines w:val="0"/>
        <w:widowControl/>
        <w:suppressLineNumbers w:val="0"/>
        <w:shd w:val="clear" w:fill="FFFFFF"/>
        <w:spacing w:before="0" w:beforeAutospacing="0" w:after="0" w:afterAutospacing="0"/>
        <w:ind w:left="0" w:right="0" w:firstLine="0"/>
        <w:jc w:val="left"/>
        <w:rPr>
          <w:rFonts w:hint="default" w:ascii="Segoe UI" w:hAnsi="Segoe UI" w:eastAsia="Segoe UI" w:cs="Segoe UI"/>
          <w:i w:val="0"/>
          <w:iCs w:val="0"/>
          <w:caps w:val="0"/>
          <w:color w:val="000000"/>
          <w:spacing w:val="0"/>
          <w:sz w:val="19"/>
          <w:szCs w:val="19"/>
        </w:rPr>
      </w:pPr>
      <w:r>
        <w:rPr>
          <w:rFonts w:hint="eastAsia" w:ascii="黑体" w:hAnsi="宋体" w:eastAsia="黑体" w:cs="黑体"/>
          <w:i w:val="0"/>
          <w:iCs w:val="0"/>
          <w:caps w:val="0"/>
          <w:color w:val="000000"/>
          <w:spacing w:val="0"/>
          <w:kern w:val="0"/>
          <w:sz w:val="28"/>
          <w:szCs w:val="28"/>
          <w:shd w:val="clear" w:fill="FFFFFF"/>
          <w:lang w:val="en-US" w:eastAsia="zh-CN" w:bidi="ar"/>
        </w:rPr>
        <w:t>三、获取采购文件</w:t>
      </w:r>
    </w:p>
    <w:p w14:paraId="5F5CC5C6">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1、时间：2026年7月1日至2026年7月7日，每天09：00至11:30，14:00至17:00（北京时间，节假日除外）</w:t>
      </w:r>
    </w:p>
    <w:p w14:paraId="0E939795">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2、方式：①潜在供应商下载并按要求填报附件“采购文件授权获取表”并盖章扫描后发送至邮箱877018251@qq.com（项目编号为NJFH-20260630），代理机构审核无误后，将在两个工作日内回复邮件；②授权代表持“采购文件授权获取表”盖章原件和本人身份证原件至“南京市江宁区东山街道文靖西路108号中前社区院内西楼三楼”可获取纸质招标文件；③未按要求获取采购文件的供应商不得参与本项目磋商活动。</w:t>
      </w:r>
    </w:p>
    <w:p w14:paraId="6B96C2FC">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3、采购文件售价：本项目不收取采购文件费用。</w:t>
      </w:r>
    </w:p>
    <w:p w14:paraId="2AA649F0">
      <w:pPr>
        <w:pStyle w:val="3"/>
        <w:keepNext w:val="0"/>
        <w:keepLines w:val="0"/>
        <w:widowControl/>
        <w:suppressLineNumbers w:val="0"/>
        <w:shd w:val="clear" w:fill="FFFFFF"/>
        <w:spacing w:before="0" w:beforeAutospacing="0" w:after="0" w:afterAutospacing="0"/>
        <w:ind w:left="0" w:right="0" w:firstLine="0"/>
        <w:rPr>
          <w:rFonts w:hint="default" w:ascii="Segoe UI" w:hAnsi="Segoe UI" w:eastAsia="Segoe UI" w:cs="Segoe UI"/>
          <w:i w:val="0"/>
          <w:iCs w:val="0"/>
          <w:caps w:val="0"/>
          <w:color w:val="000000"/>
          <w:spacing w:val="0"/>
        </w:rPr>
      </w:pPr>
      <w:r>
        <w:rPr>
          <w:rFonts w:hint="eastAsia" w:ascii="黑体" w:hAnsi="宋体" w:eastAsia="黑体" w:cs="黑体"/>
          <w:i w:val="0"/>
          <w:iCs w:val="0"/>
          <w:caps w:val="0"/>
          <w:color w:val="000000"/>
          <w:spacing w:val="0"/>
          <w:sz w:val="28"/>
          <w:szCs w:val="28"/>
          <w:shd w:val="clear" w:fill="FFFFFF"/>
        </w:rPr>
        <w:t>四、响应文件提交</w:t>
      </w:r>
    </w:p>
    <w:p w14:paraId="29C1B23E">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截止时间：2026年7月14日14:30（北京时间）</w:t>
      </w:r>
    </w:p>
    <w:p w14:paraId="3EF685C9">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地点：南京市江宁区东山街道文靖西路108号中前社区院内西楼三楼</w:t>
      </w:r>
    </w:p>
    <w:p w14:paraId="03F9D659">
      <w:pPr>
        <w:pStyle w:val="3"/>
        <w:keepNext w:val="0"/>
        <w:keepLines w:val="0"/>
        <w:widowControl/>
        <w:suppressLineNumbers w:val="0"/>
        <w:shd w:val="clear" w:fill="FFFFFF"/>
        <w:spacing w:before="0" w:beforeAutospacing="0" w:after="0" w:afterAutospacing="0"/>
        <w:ind w:left="0" w:right="0" w:firstLine="0"/>
        <w:rPr>
          <w:rFonts w:hint="default" w:ascii="Segoe UI" w:hAnsi="Segoe UI" w:eastAsia="Segoe UI" w:cs="Segoe UI"/>
          <w:i w:val="0"/>
          <w:iCs w:val="0"/>
          <w:caps w:val="0"/>
          <w:color w:val="000000"/>
          <w:spacing w:val="0"/>
        </w:rPr>
      </w:pPr>
      <w:r>
        <w:rPr>
          <w:rFonts w:hint="eastAsia" w:ascii="黑体" w:hAnsi="宋体" w:eastAsia="黑体" w:cs="黑体"/>
          <w:i w:val="0"/>
          <w:iCs w:val="0"/>
          <w:caps w:val="0"/>
          <w:color w:val="000000"/>
          <w:spacing w:val="0"/>
          <w:sz w:val="28"/>
          <w:szCs w:val="28"/>
          <w:shd w:val="clear" w:fill="FFFFFF"/>
        </w:rPr>
        <w:t>五、开启 </w:t>
      </w:r>
    </w:p>
    <w:p w14:paraId="146DAE49">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时间：2026年7月14日14:30（北京时间）</w:t>
      </w:r>
    </w:p>
    <w:p w14:paraId="0E44EB36">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地点：南京市江宁区东山街道文靖西路108号中前社区院内西楼三楼 </w:t>
      </w:r>
    </w:p>
    <w:p w14:paraId="176E8BFB">
      <w:pPr>
        <w:pStyle w:val="3"/>
        <w:keepNext w:val="0"/>
        <w:keepLines w:val="0"/>
        <w:widowControl/>
        <w:suppressLineNumbers w:val="0"/>
        <w:shd w:val="clear" w:fill="FFFFFF"/>
        <w:spacing w:before="0" w:beforeAutospacing="0" w:after="0" w:afterAutospacing="0"/>
        <w:ind w:left="0" w:right="0" w:firstLine="0"/>
        <w:rPr>
          <w:rFonts w:hint="default" w:ascii="Segoe UI" w:hAnsi="Segoe UI" w:eastAsia="Segoe UI" w:cs="Segoe UI"/>
          <w:i w:val="0"/>
          <w:iCs w:val="0"/>
          <w:caps w:val="0"/>
          <w:color w:val="000000"/>
          <w:spacing w:val="0"/>
        </w:rPr>
      </w:pPr>
      <w:r>
        <w:rPr>
          <w:rFonts w:hint="eastAsia" w:ascii="黑体" w:hAnsi="宋体" w:eastAsia="黑体" w:cs="黑体"/>
          <w:i w:val="0"/>
          <w:iCs w:val="0"/>
          <w:caps w:val="0"/>
          <w:color w:val="000000"/>
          <w:spacing w:val="0"/>
          <w:sz w:val="28"/>
          <w:szCs w:val="28"/>
          <w:shd w:val="clear" w:fill="FFFFFF"/>
        </w:rPr>
        <w:t>六、公告期限</w:t>
      </w:r>
    </w:p>
    <w:p w14:paraId="376ECA3E">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自本公告发布之日起5个工作日。</w:t>
      </w:r>
    </w:p>
    <w:p w14:paraId="34430962">
      <w:pPr>
        <w:pStyle w:val="3"/>
        <w:keepNext w:val="0"/>
        <w:keepLines w:val="0"/>
        <w:widowControl/>
        <w:suppressLineNumbers w:val="0"/>
        <w:shd w:val="clear" w:fill="FFFFFF"/>
        <w:spacing w:before="0" w:beforeAutospacing="0" w:after="0" w:afterAutospacing="0"/>
        <w:ind w:left="0" w:right="0" w:firstLine="0"/>
        <w:rPr>
          <w:rFonts w:hint="default" w:ascii="Segoe UI" w:hAnsi="Segoe UI" w:eastAsia="Segoe UI" w:cs="Segoe UI"/>
          <w:i w:val="0"/>
          <w:iCs w:val="0"/>
          <w:caps w:val="0"/>
          <w:color w:val="000000"/>
          <w:spacing w:val="0"/>
        </w:rPr>
      </w:pPr>
      <w:r>
        <w:rPr>
          <w:rFonts w:hint="eastAsia" w:ascii="黑体" w:hAnsi="宋体" w:eastAsia="黑体" w:cs="黑体"/>
          <w:i w:val="0"/>
          <w:iCs w:val="0"/>
          <w:caps w:val="0"/>
          <w:color w:val="000000"/>
          <w:spacing w:val="0"/>
          <w:sz w:val="28"/>
          <w:szCs w:val="28"/>
          <w:shd w:val="clear" w:fill="FFFFFF"/>
        </w:rPr>
        <w:t>七、其他补充事宜</w:t>
      </w:r>
    </w:p>
    <w:p w14:paraId="798C7D3D">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1、拒绝下述供应商参加本次采购活动：</w:t>
      </w:r>
    </w:p>
    <w:p w14:paraId="12291B17">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（1）供应商单位负责人为同一人或者存在直接控股、管理关系的不同供应商，不得参加同一合同项下的政府采购活动。</w:t>
      </w:r>
    </w:p>
    <w:p w14:paraId="4F962D4B">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（2）除单一来源采购项目外，为采购项目提供整体设计、规范编制或者项目管理、监理、检测等服务的供应商，不得再参加该采购项目的其他采购活动。</w:t>
      </w:r>
    </w:p>
    <w:p w14:paraId="00E5D913">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（3）供应商被“信用中国”网站、“中国政府采购网”列入失信被执行人、重大税收违法案件当事人名单、政府采购严重违法失信行为记录名单。</w:t>
      </w:r>
    </w:p>
    <w:p w14:paraId="715BFF27">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（4）供应商未提供《南京市政府采购供应商信用记录表暨信用承诺书》。</w:t>
      </w:r>
    </w:p>
    <w:p w14:paraId="218DF9B0">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2、根据《关于在政府采购活动中推行信用承诺制的通知》宁财购通〔2021〕5号规定， 参加南京地区政府采购活动的供应商，应以原件扫描盖章件形式向采购人或政府采购代理机构作出信用承诺。供应商应尽早做好承诺工作，点击‘南京公共采购信息网’首页‘南京市政府采购供应商诚信档案’系统链接打开系统页面登录（未注册的供应商应先点击‘供应商注册点这里’并按要求完成注册），然后在“信用记录”模块页面点击“信用记录打印”下载本单位《南京市政府采购供应商信用记录表暨信用承诺书》，由法定代表人签字并盖单位公章，原件扫描件上传至投标文件中一并提交。</w:t>
      </w:r>
    </w:p>
    <w:p w14:paraId="248952B7">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供应商诚信档案注册登记，按以下程序进行：</w:t>
      </w:r>
    </w:p>
    <w:p w14:paraId="6F8F4CF0">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（1）进入“信用南京”或“南京公共采购信息网”网站，点击“南京政府采购供应商诚信档案”图标，或直接输入访问地址，在用户登录界面点击“新用户注册”；</w:t>
      </w:r>
    </w:p>
    <w:p w14:paraId="38B823D0">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（2）在“新用户注册”界面，供应商自行设置用户名、登录密码，如实填写《南京市政府采购供应商诚信档案注册登记表》，并进行信用承诺确认后，提交注册申请；</w:t>
      </w:r>
    </w:p>
    <w:p w14:paraId="0D9F07E0">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（3）系统审核后，供应商即可登录系统进行相关功能操作。</w:t>
      </w:r>
    </w:p>
    <w:p w14:paraId="5AE6B473">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南京市政府采购供应商诚信档案管理系统客服电话：025-52718366；供应商可就用户注册与打印“南京市政府采购供应商信用记录表暨信用承诺书”等事宜进行咨询。</w:t>
      </w:r>
    </w:p>
    <w:p w14:paraId="57E84EBB">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3.拒绝下述供应商参加本次采购活动：</w:t>
      </w:r>
    </w:p>
    <w:p w14:paraId="323BF320">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（1）单位负责人为同一人或者存在直接控股、管理关系的不同供应商。</w:t>
      </w:r>
    </w:p>
    <w:p w14:paraId="142FADB3">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（2）凡为采购项目提供整体设计、规范编制或者项目管理、监理、检测等服务的供应商。</w:t>
      </w:r>
    </w:p>
    <w:p w14:paraId="6CF1F3F3">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（3）供应商被“信用中国”、“中国政府采购网”网站列入失信执行人、重大税收违法案件当事人名单、政府采购严重违法失信行为记录名单。</w:t>
      </w:r>
    </w:p>
    <w:p w14:paraId="08254D31">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（4）供应商未按要求提供《南京市政府采购供应商信用记录表暨信用承诺书》。</w:t>
      </w:r>
    </w:p>
    <w:p w14:paraId="31DEE7C1">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4、供应商申请网上注册的，应当按以下程序进行：</w:t>
      </w:r>
    </w:p>
    <w:p w14:paraId="28C107E9">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（1）登录“信用南京”或“南京公共采购信息网”网站，点击“政府采购供应商诚信档案”图标，在弹出的用户登录界面，点击“新用户注册”；</w:t>
      </w:r>
    </w:p>
    <w:p w14:paraId="225FF83B">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（2）在“新用户注册”界面，供应商自行设置用户名、登录密码，如实填写“南京市政府采购供应商诚信档案注册登记表”，根据网站注册要求如实上传相关资料，并进行信用承诺确认后，提交注册申请；</w:t>
      </w:r>
    </w:p>
    <w:p w14:paraId="4F5BE79D">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（3）系统审核后，供应商即可登录系统进行相关功能操作。</w:t>
      </w:r>
    </w:p>
    <w:p w14:paraId="4D5A2E35">
      <w:pPr>
        <w:keepNext w:val="0"/>
        <w:keepLines w:val="0"/>
        <w:widowControl/>
        <w:suppressLineNumbers w:val="0"/>
        <w:shd w:val="clear" w:fill="FFFFFF"/>
        <w:spacing w:before="0" w:beforeAutospacing="0" w:after="0" w:afterAutospacing="0"/>
        <w:ind w:left="0" w:right="0" w:firstLine="48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 5、供应商参加本项目政府采购活动时，无论是新用户注册或已注册成功的，均应在采购文件发布之日起至投标截止时间前，登录“信用南京”或“南京公共采购信息网”在线打印其“南京市政府采购供应商信用记录表暨信用承诺书”，经法定代表人签名盖章后作为响应文件的有效组成部分。“南京市政府采购供应商信用记录表暨信用承诺书”是其参加本次政府采购活动的必备材料。</w:t>
      </w:r>
    </w:p>
    <w:p w14:paraId="080EB397">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6、勘察现场及答疑：采购人不组织现场勘查，供应商可自行勘察现场或联系采购人。未踏勘现场或踏勘工作不详细的供应商中标后，不得以不完全了解现场情况为理由而向采购人提出任何索赔或其他要求，对此采购人不承担任何责任并将不作任何答复，请各潜在投标供应商务必对采购文件进行仔细认真阅读，在随后的采购中，对采购文件所作出的推论、解释和结论及由此造成的后果由投标供应商负责。</w:t>
      </w:r>
    </w:p>
    <w:p w14:paraId="3582AE36">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7、本项目所属行业为：其他未列明行业</w:t>
      </w:r>
    </w:p>
    <w:p w14:paraId="0F87E97E">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8、本项目接受联合体参与投标，联合体具体要求：</w:t>
      </w:r>
    </w:p>
    <w:p w14:paraId="2B811AD4">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以联合体形式进行投标的，参加联合体的供应商均应当具备政府采购法第二十二条规定的条件，并应当向采购人提交联合协议，载明联合体各方承担的工作和义务。联合体各方应当共同与采购人签订采购合同，就采购合同约定的事项对采购人承担连带责任。</w:t>
      </w:r>
    </w:p>
    <w:p w14:paraId="69EA55AD">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联合体中有同类资质的供应商按照联合体分工承担相同工作的，应当按照资质等级较低的供应商确定资质等级。以联合体形式参加政府采购活动的，联合体各方不得再单独参加或者与其他供应商另外组成联合体参加同一合同项下的政府采购活动。</w:t>
      </w:r>
    </w:p>
    <w:p w14:paraId="4C47DAF2">
      <w:pPr>
        <w:pStyle w:val="3"/>
        <w:keepNext w:val="0"/>
        <w:keepLines w:val="0"/>
        <w:widowControl/>
        <w:suppressLineNumbers w:val="0"/>
        <w:shd w:val="clear" w:fill="FFFFFF"/>
        <w:spacing w:before="0" w:beforeAutospacing="0" w:after="0" w:afterAutospacing="0"/>
        <w:ind w:left="0" w:right="0" w:firstLine="0"/>
        <w:rPr>
          <w:rFonts w:hint="default" w:ascii="Segoe UI" w:hAnsi="Segoe UI" w:eastAsia="Segoe UI" w:cs="Segoe UI"/>
          <w:i w:val="0"/>
          <w:iCs w:val="0"/>
          <w:caps w:val="0"/>
          <w:color w:val="000000"/>
          <w:spacing w:val="0"/>
        </w:rPr>
      </w:pPr>
      <w:r>
        <w:rPr>
          <w:rFonts w:hint="eastAsia" w:ascii="黑体" w:hAnsi="宋体" w:eastAsia="黑体" w:cs="黑体"/>
          <w:i w:val="0"/>
          <w:iCs w:val="0"/>
          <w:caps w:val="0"/>
          <w:color w:val="000000"/>
          <w:spacing w:val="0"/>
          <w:sz w:val="28"/>
          <w:szCs w:val="28"/>
          <w:shd w:val="clear" w:fill="FFFFFF"/>
        </w:rPr>
        <w:t>八、凡对本次采购提出询问，请按以下方式联系。</w:t>
      </w:r>
    </w:p>
    <w:p w14:paraId="0186DC0C">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1.采购人信息</w:t>
      </w:r>
    </w:p>
    <w:p w14:paraId="08F34602">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名 称：南京市江宁区人民政府淳化街道办事处 　　</w:t>
      </w:r>
    </w:p>
    <w:p w14:paraId="1D533F8B">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地址：江苏省南京市江宁区淳化街道</w:t>
      </w:r>
    </w:p>
    <w:p w14:paraId="774AB1CC">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联系方式：臧工　　</w:t>
      </w:r>
    </w:p>
    <w:p w14:paraId="5A468DF3">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2.采购代理机构信息</w:t>
      </w:r>
    </w:p>
    <w:p w14:paraId="36E172C3">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名 称：南京富弘工程项目管理有限公司　</w:t>
      </w:r>
    </w:p>
    <w:p w14:paraId="663D8B29">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地　址：南京市江宁区东山街道文靖西路108号中前社区院内西楼三楼</w:t>
      </w:r>
    </w:p>
    <w:p w14:paraId="641236FD">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联系方式：13776545772　</w:t>
      </w:r>
    </w:p>
    <w:p w14:paraId="17F3E98A">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3.项目联系方式</w:t>
      </w:r>
    </w:p>
    <w:p w14:paraId="50AD234C">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项目联系人：姜工</w:t>
      </w:r>
    </w:p>
    <w:p w14:paraId="2897FD58">
      <w:pPr>
        <w:keepNext w:val="0"/>
        <w:keepLines w:val="0"/>
        <w:widowControl/>
        <w:suppressLineNumbers w:val="0"/>
        <w:shd w:val="clear" w:fill="FFFFFF"/>
        <w:spacing w:before="0" w:beforeAutospacing="0" w:after="0" w:afterAutospacing="0"/>
        <w:ind w:left="0" w:right="0" w:firstLine="720"/>
        <w:jc w:val="left"/>
        <w:rPr>
          <w:rFonts w:hint="default" w:ascii="Segoe UI" w:hAnsi="Segoe UI" w:eastAsia="Segoe UI" w:cs="Segoe UI"/>
          <w:i w:val="0"/>
          <w:iCs w:val="0"/>
          <w:caps w:val="0"/>
          <w:color w:val="000000"/>
          <w:spacing w:val="0"/>
          <w:sz w:val="19"/>
          <w:szCs w:val="19"/>
        </w:rPr>
      </w:pPr>
      <w:r>
        <w:rPr>
          <w:rFonts w:hint="eastAsia" w:ascii="宋体" w:hAnsi="宋体" w:eastAsia="宋体" w:cs="宋体"/>
          <w:i w:val="0"/>
          <w:iCs w:val="0"/>
          <w:caps w:val="0"/>
          <w:color w:val="000000"/>
          <w:spacing w:val="0"/>
          <w:kern w:val="0"/>
          <w:sz w:val="24"/>
          <w:szCs w:val="24"/>
          <w:shd w:val="clear" w:fill="FFFFFF"/>
          <w:lang w:val="en-US" w:eastAsia="zh-CN" w:bidi="ar"/>
        </w:rPr>
        <w:t>电　话：13776545772　</w:t>
      </w:r>
    </w:p>
    <w:p w14:paraId="36D243BA">
      <w:pPr>
        <w:ind w:firstLine="480" w:firstLineChars="200"/>
        <w:rPr>
          <w:rFonts w:ascii="宋体" w:hAnsi="宋体" w:cs="宋体"/>
          <w:color w:val="000000"/>
          <w:sz w:val="24"/>
          <w:highlight w:val="none"/>
          <w:shd w:val="clear" w:color="auto" w:fill="FFFFFF"/>
        </w:rPr>
      </w:pPr>
    </w:p>
    <w:bookmarkEnd w:id="14"/>
    <w:bookmarkEnd w:id="15"/>
    <w:bookmarkEnd w:id="16"/>
    <w:bookmarkEnd w:id="17"/>
    <w:bookmarkEnd w:id="18"/>
    <w:p w14:paraId="48BD3047">
      <w:pPr>
        <w:ind w:firstLine="480" w:firstLineChars="200"/>
        <w:jc w:val="center"/>
        <w:rPr>
          <w:rFonts w:ascii="Cambria" w:hAnsi="Cambria"/>
          <w:b/>
          <w:bCs/>
          <w:sz w:val="32"/>
          <w:szCs w:val="32"/>
          <w:highlight w:val="none"/>
        </w:rPr>
      </w:pPr>
      <w:bookmarkStart w:id="19" w:name="_Toc504141736"/>
      <w:bookmarkStart w:id="20" w:name="_Toc3663"/>
      <w:bookmarkStart w:id="21" w:name="_Toc4835"/>
      <w:bookmarkStart w:id="22" w:name="_Toc11159"/>
      <w:bookmarkStart w:id="23" w:name="_Toc24440"/>
      <w:bookmarkStart w:id="24" w:name="_Toc10849"/>
      <w:bookmarkStart w:id="25" w:name="_Toc26743"/>
      <w:bookmarkStart w:id="26" w:name="_Toc28132"/>
      <w:bookmarkStart w:id="27" w:name="_Toc14061"/>
      <w:bookmarkStart w:id="28" w:name="_Toc3015"/>
      <w:bookmarkStart w:id="29" w:name="_Toc16475"/>
      <w:bookmarkStart w:id="30" w:name="_Toc6289"/>
      <w:r>
        <w:rPr>
          <w:rFonts w:hint="eastAsia" w:ascii="宋体" w:hAnsi="宋体" w:cs="宋体"/>
          <w:color w:val="000000"/>
          <w:sz w:val="24"/>
          <w:highlight w:val="none"/>
          <w:shd w:val="clear" w:color="auto" w:fill="FFFFFF"/>
        </w:rPr>
        <w:br w:type="page"/>
      </w:r>
      <w:bookmarkStart w:id="31" w:name="_Toc29693"/>
      <w:bookmarkStart w:id="32" w:name="_Toc43217786"/>
      <w:r>
        <w:rPr>
          <w:rFonts w:ascii="Cambria" w:hAnsi="Cambria"/>
          <w:b/>
          <w:bCs/>
          <w:sz w:val="32"/>
          <w:szCs w:val="32"/>
          <w:highlight w:val="none"/>
        </w:rPr>
        <w:t>第二章  竞争性磋商须知</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1CF1F1D5">
      <w:pPr>
        <w:ind w:firstLine="562" w:firstLineChars="200"/>
        <w:jc w:val="center"/>
        <w:rPr>
          <w:highlight w:val="none"/>
        </w:rPr>
      </w:pPr>
      <w:r>
        <w:rPr>
          <w:rFonts w:hint="eastAsia"/>
          <w:b/>
          <w:sz w:val="28"/>
          <w:highlight w:val="none"/>
          <w:lang w:val="zh-CN"/>
        </w:rPr>
        <w:t>前附表</w:t>
      </w:r>
    </w:p>
    <w:tbl>
      <w:tblPr>
        <w:tblStyle w:val="29"/>
        <w:tblW w:w="10988" w:type="dxa"/>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919"/>
        <w:gridCol w:w="957"/>
        <w:gridCol w:w="2500"/>
        <w:gridCol w:w="6063"/>
      </w:tblGrid>
      <w:tr w14:paraId="40E2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549" w:type="dxa"/>
            <w:tcBorders>
              <w:top w:val="single" w:color="auto" w:sz="4" w:space="0"/>
              <w:left w:val="single" w:color="auto" w:sz="4" w:space="0"/>
              <w:bottom w:val="single" w:color="auto" w:sz="4" w:space="0"/>
              <w:right w:val="single" w:color="auto" w:sz="4" w:space="0"/>
            </w:tcBorders>
            <w:vAlign w:val="center"/>
          </w:tcPr>
          <w:p w14:paraId="08D72A49">
            <w:pPr>
              <w:jc w:val="center"/>
              <w:rPr>
                <w:b/>
                <w:sz w:val="24"/>
                <w:highlight w:val="none"/>
              </w:rPr>
            </w:pPr>
            <w:bookmarkStart w:id="33" w:name="_Toc11826"/>
            <w:bookmarkStart w:id="34" w:name="_Toc11048"/>
            <w:bookmarkStart w:id="35" w:name="_Toc24504"/>
            <w:bookmarkStart w:id="36" w:name="_Toc22366"/>
            <w:bookmarkStart w:id="37" w:name="_Toc32753"/>
            <w:bookmarkStart w:id="38" w:name="_Toc28353"/>
            <w:bookmarkStart w:id="39" w:name="_Toc18735"/>
            <w:bookmarkStart w:id="40" w:name="_Toc32136"/>
            <w:bookmarkStart w:id="41" w:name="_Toc504141737"/>
            <w:bookmarkStart w:id="42" w:name="_Toc8989"/>
            <w:bookmarkStart w:id="43" w:name="_Toc10178"/>
            <w:bookmarkStart w:id="44" w:name="_Toc2932"/>
            <w:r>
              <w:rPr>
                <w:b/>
                <w:sz w:val="24"/>
                <w:highlight w:val="none"/>
              </w:rPr>
              <w:t>序号</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417DE4F2">
            <w:pPr>
              <w:jc w:val="center"/>
              <w:rPr>
                <w:b/>
                <w:sz w:val="24"/>
                <w:highlight w:val="none"/>
              </w:rPr>
            </w:pPr>
            <w:r>
              <w:rPr>
                <w:b/>
                <w:sz w:val="24"/>
                <w:highlight w:val="none"/>
              </w:rPr>
              <w:t>项  目</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15C4FB1F">
            <w:pPr>
              <w:jc w:val="center"/>
              <w:rPr>
                <w:b/>
                <w:sz w:val="24"/>
                <w:highlight w:val="none"/>
              </w:rPr>
            </w:pPr>
            <w:r>
              <w:rPr>
                <w:b/>
                <w:sz w:val="24"/>
                <w:highlight w:val="none"/>
              </w:rPr>
              <w:t>内         容</w:t>
            </w:r>
          </w:p>
        </w:tc>
      </w:tr>
      <w:tr w14:paraId="5256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549" w:type="dxa"/>
            <w:tcBorders>
              <w:top w:val="single" w:color="auto" w:sz="4" w:space="0"/>
              <w:left w:val="single" w:color="auto" w:sz="4" w:space="0"/>
              <w:bottom w:val="single" w:color="auto" w:sz="4" w:space="0"/>
              <w:right w:val="single" w:color="auto" w:sz="4" w:space="0"/>
            </w:tcBorders>
            <w:vAlign w:val="center"/>
          </w:tcPr>
          <w:p w14:paraId="50528EBE">
            <w:pPr>
              <w:jc w:val="center"/>
              <w:rPr>
                <w:sz w:val="24"/>
                <w:highlight w:val="none"/>
              </w:rPr>
            </w:pPr>
            <w:r>
              <w:rPr>
                <w:sz w:val="24"/>
                <w:highlight w:val="none"/>
              </w:rPr>
              <w:t>1</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0A3AE5B8">
            <w:pPr>
              <w:jc w:val="center"/>
              <w:rPr>
                <w:sz w:val="24"/>
                <w:highlight w:val="none"/>
              </w:rPr>
            </w:pPr>
            <w:r>
              <w:rPr>
                <w:sz w:val="24"/>
                <w:highlight w:val="none"/>
              </w:rPr>
              <w:t>项目编号</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108B7D64">
            <w:pPr>
              <w:widowControl/>
              <w:spacing w:line="280" w:lineRule="atLeast"/>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NJFH-20260630</w:t>
            </w:r>
          </w:p>
        </w:tc>
      </w:tr>
      <w:tr w14:paraId="6E30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549" w:type="dxa"/>
            <w:tcBorders>
              <w:top w:val="single" w:color="auto" w:sz="4" w:space="0"/>
              <w:left w:val="single" w:color="auto" w:sz="4" w:space="0"/>
              <w:bottom w:val="single" w:color="auto" w:sz="4" w:space="0"/>
              <w:right w:val="single" w:color="auto" w:sz="4" w:space="0"/>
            </w:tcBorders>
            <w:vAlign w:val="center"/>
          </w:tcPr>
          <w:p w14:paraId="4EE24766">
            <w:pPr>
              <w:jc w:val="center"/>
              <w:rPr>
                <w:sz w:val="24"/>
                <w:highlight w:val="none"/>
              </w:rPr>
            </w:pPr>
            <w:r>
              <w:rPr>
                <w:sz w:val="24"/>
                <w:highlight w:val="none"/>
              </w:rPr>
              <w:t>2</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59DA00A0">
            <w:pPr>
              <w:jc w:val="center"/>
              <w:rPr>
                <w:rFonts w:ascii="宋体" w:cs="宋体"/>
                <w:sz w:val="24"/>
                <w:highlight w:val="none"/>
                <w:lang w:val="zh-CN"/>
              </w:rPr>
            </w:pPr>
            <w:r>
              <w:rPr>
                <w:rFonts w:ascii="宋体" w:cs="宋体"/>
                <w:sz w:val="24"/>
                <w:highlight w:val="none"/>
                <w:lang w:val="zh-CN"/>
              </w:rPr>
              <w:t>项目名称</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1B56DB89">
            <w:pPr>
              <w:rPr>
                <w:rFonts w:ascii="宋体" w:cs="宋体"/>
                <w:sz w:val="24"/>
                <w:highlight w:val="none"/>
                <w:lang w:val="zh-CN"/>
              </w:rPr>
            </w:pPr>
            <w:r>
              <w:rPr>
                <w:rFonts w:hint="eastAsia" w:ascii="宋体" w:cs="宋体"/>
                <w:sz w:val="24"/>
                <w:highlight w:val="none"/>
                <w:lang w:val="zh-CN"/>
              </w:rPr>
              <w:t>省强制医疗所项目多余土石方资源调查、处置方案编制及资产评估</w:t>
            </w:r>
          </w:p>
        </w:tc>
      </w:tr>
      <w:tr w14:paraId="262E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49" w:type="dxa"/>
            <w:tcBorders>
              <w:top w:val="single" w:color="auto" w:sz="4" w:space="0"/>
              <w:left w:val="single" w:color="auto" w:sz="4" w:space="0"/>
              <w:bottom w:val="single" w:color="auto" w:sz="4" w:space="0"/>
              <w:right w:val="single" w:color="auto" w:sz="4" w:space="0"/>
            </w:tcBorders>
            <w:vAlign w:val="center"/>
          </w:tcPr>
          <w:p w14:paraId="618F1BC3">
            <w:pPr>
              <w:jc w:val="center"/>
              <w:rPr>
                <w:sz w:val="24"/>
                <w:highlight w:val="none"/>
              </w:rPr>
            </w:pPr>
            <w:r>
              <w:rPr>
                <w:sz w:val="24"/>
                <w:highlight w:val="none"/>
              </w:rPr>
              <w:t>3</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4A28FC0E">
            <w:pPr>
              <w:jc w:val="center"/>
              <w:rPr>
                <w:sz w:val="24"/>
                <w:highlight w:val="none"/>
              </w:rPr>
            </w:pPr>
            <w:r>
              <w:rPr>
                <w:rFonts w:hint="eastAsia"/>
                <w:sz w:val="24"/>
                <w:highlight w:val="none"/>
              </w:rPr>
              <w:t>采购代理机构</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215A745D">
            <w:pPr>
              <w:rPr>
                <w:rFonts w:ascii="宋体" w:cs="宋体"/>
                <w:sz w:val="24"/>
                <w:highlight w:val="none"/>
                <w:lang w:val="zh-CN"/>
              </w:rPr>
            </w:pPr>
            <w:r>
              <w:rPr>
                <w:rFonts w:hint="eastAsia" w:ascii="宋体" w:cs="宋体"/>
                <w:sz w:val="24"/>
                <w:highlight w:val="none"/>
                <w:lang w:val="zh-CN"/>
              </w:rPr>
              <w:t>南京富弘工程项目管理有限公司</w:t>
            </w:r>
          </w:p>
        </w:tc>
      </w:tr>
      <w:tr w14:paraId="451F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549" w:type="dxa"/>
            <w:tcBorders>
              <w:top w:val="single" w:color="auto" w:sz="4" w:space="0"/>
              <w:left w:val="single" w:color="auto" w:sz="4" w:space="0"/>
              <w:bottom w:val="single" w:color="auto" w:sz="4" w:space="0"/>
              <w:right w:val="single" w:color="auto" w:sz="4" w:space="0"/>
            </w:tcBorders>
            <w:vAlign w:val="center"/>
          </w:tcPr>
          <w:p w14:paraId="6CA1DB5F">
            <w:pPr>
              <w:jc w:val="center"/>
              <w:rPr>
                <w:sz w:val="24"/>
                <w:highlight w:val="none"/>
              </w:rPr>
            </w:pPr>
            <w:r>
              <w:rPr>
                <w:sz w:val="24"/>
                <w:highlight w:val="none"/>
              </w:rPr>
              <w:t>4</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1869B1A4">
            <w:pPr>
              <w:jc w:val="center"/>
              <w:rPr>
                <w:sz w:val="24"/>
                <w:highlight w:val="none"/>
              </w:rPr>
            </w:pPr>
            <w:r>
              <w:rPr>
                <w:rFonts w:hint="eastAsia"/>
                <w:sz w:val="24"/>
                <w:highlight w:val="none"/>
              </w:rPr>
              <w:t>采购代理机构</w:t>
            </w:r>
            <w:r>
              <w:rPr>
                <w:sz w:val="24"/>
                <w:highlight w:val="none"/>
              </w:rPr>
              <w:t>地址</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29D0AA3C">
            <w:pPr>
              <w:rPr>
                <w:rFonts w:ascii="宋体" w:cs="宋体"/>
                <w:sz w:val="24"/>
                <w:highlight w:val="none"/>
                <w:lang w:val="zh-CN"/>
              </w:rPr>
            </w:pPr>
            <w:r>
              <w:rPr>
                <w:rFonts w:hint="eastAsia" w:ascii="宋体" w:cs="宋体"/>
                <w:sz w:val="24"/>
                <w:highlight w:val="none"/>
                <w:lang w:val="zh-CN"/>
              </w:rPr>
              <w:t>南京市江宁区东山街道文靖西路108号中前社区院内西楼三楼</w:t>
            </w:r>
          </w:p>
        </w:tc>
      </w:tr>
      <w:tr w14:paraId="1CC10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49" w:type="dxa"/>
            <w:tcBorders>
              <w:top w:val="single" w:color="auto" w:sz="4" w:space="0"/>
              <w:left w:val="single" w:color="auto" w:sz="4" w:space="0"/>
              <w:bottom w:val="single" w:color="auto" w:sz="4" w:space="0"/>
              <w:right w:val="single" w:color="auto" w:sz="4" w:space="0"/>
            </w:tcBorders>
            <w:vAlign w:val="center"/>
          </w:tcPr>
          <w:p w14:paraId="65C39180">
            <w:pPr>
              <w:jc w:val="center"/>
              <w:rPr>
                <w:sz w:val="24"/>
                <w:highlight w:val="none"/>
              </w:rPr>
            </w:pPr>
            <w:r>
              <w:rPr>
                <w:sz w:val="24"/>
                <w:highlight w:val="none"/>
              </w:rPr>
              <w:t>5</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1AB1CBE5">
            <w:pPr>
              <w:jc w:val="center"/>
              <w:rPr>
                <w:sz w:val="24"/>
                <w:highlight w:val="none"/>
              </w:rPr>
            </w:pPr>
            <w:r>
              <w:rPr>
                <w:sz w:val="24"/>
                <w:highlight w:val="none"/>
              </w:rPr>
              <w:t>磋商文件获取方法</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61CF7BE5">
            <w:pPr>
              <w:rPr>
                <w:rFonts w:hint="eastAsia" w:ascii="宋体" w:cs="宋体"/>
                <w:sz w:val="24"/>
                <w:highlight w:val="none"/>
                <w:lang w:val="zh-CN"/>
              </w:rPr>
            </w:pPr>
            <w:r>
              <w:rPr>
                <w:rFonts w:hint="eastAsia" w:ascii="宋体" w:cs="宋体"/>
                <w:sz w:val="24"/>
                <w:highlight w:val="none"/>
                <w:lang w:val="en-US" w:eastAsia="zh-CN"/>
              </w:rPr>
              <w:t>1、</w:t>
            </w:r>
            <w:r>
              <w:rPr>
                <w:rFonts w:hint="eastAsia" w:ascii="宋体" w:cs="宋体"/>
                <w:sz w:val="24"/>
                <w:highlight w:val="none"/>
                <w:lang w:val="zh-CN"/>
              </w:rPr>
              <w:t>时间：</w:t>
            </w:r>
            <w:r>
              <w:rPr>
                <w:rFonts w:hint="eastAsia" w:ascii="宋体" w:hAnsi="宋体" w:cs="宋体"/>
                <w:color w:val="000000"/>
                <w:sz w:val="24"/>
                <w:highlight w:val="none"/>
                <w:shd w:val="clear" w:color="auto" w:fill="FFFFFF"/>
                <w:lang w:eastAsia="zh-CN"/>
              </w:rPr>
              <w:t>2026年7月1日至2026年7月7日</w:t>
            </w:r>
            <w:r>
              <w:rPr>
                <w:rFonts w:hint="eastAsia" w:ascii="宋体" w:cs="宋体"/>
                <w:sz w:val="24"/>
                <w:highlight w:val="none"/>
                <w:lang w:val="zh-CN"/>
              </w:rPr>
              <w:t>，每天09：00至11:30，14:00至17:00（北京时间，节假日除外）</w:t>
            </w:r>
          </w:p>
          <w:p w14:paraId="6DB47BF0">
            <w:pPr>
              <w:rPr>
                <w:rFonts w:hint="eastAsia" w:ascii="宋体" w:cs="宋体"/>
                <w:sz w:val="24"/>
                <w:highlight w:val="none"/>
                <w:lang w:val="zh-CN"/>
              </w:rPr>
            </w:pPr>
            <w:r>
              <w:rPr>
                <w:rFonts w:hint="eastAsia" w:ascii="宋体" w:cs="宋体"/>
                <w:sz w:val="24"/>
                <w:highlight w:val="none"/>
                <w:lang w:val="en-US" w:eastAsia="zh-CN"/>
              </w:rPr>
              <w:t>2、方式：</w:t>
            </w:r>
            <w:r>
              <w:rPr>
                <w:rFonts w:hint="eastAsia" w:ascii="宋体" w:cs="宋体"/>
                <w:sz w:val="24"/>
                <w:highlight w:val="none"/>
                <w:lang w:val="zh-CN"/>
              </w:rPr>
              <w:t>①潜在供应商下载并按要求填报附件“采购文件授权获取表”并盖章扫描后发送至邮箱</w:t>
            </w:r>
            <w:r>
              <w:rPr>
                <w:rFonts w:hint="eastAsia" w:ascii="宋体" w:cs="宋体"/>
                <w:sz w:val="24"/>
                <w:highlight w:val="none"/>
                <w:lang w:val="en-US" w:eastAsia="zh-CN"/>
              </w:rPr>
              <w:t>877018251@qq.com</w:t>
            </w:r>
            <w:r>
              <w:rPr>
                <w:rFonts w:hint="eastAsia" w:ascii="宋体" w:cs="宋体"/>
                <w:sz w:val="24"/>
                <w:highlight w:val="none"/>
                <w:lang w:val="zh-CN"/>
              </w:rPr>
              <w:t>（</w:t>
            </w:r>
            <w:r>
              <w:rPr>
                <w:rFonts w:hint="eastAsia" w:ascii="宋体" w:cs="宋体"/>
                <w:sz w:val="24"/>
                <w:highlight w:val="none"/>
                <w:lang w:val="en-US" w:eastAsia="zh-CN"/>
              </w:rPr>
              <w:t>项目编号</w:t>
            </w:r>
            <w:r>
              <w:rPr>
                <w:rFonts w:hint="eastAsia" w:ascii="宋体" w:cs="宋体"/>
                <w:sz w:val="24"/>
                <w:highlight w:val="none"/>
                <w:lang w:val="zh-CN"/>
              </w:rPr>
              <w:t>为</w:t>
            </w:r>
            <w:r>
              <w:rPr>
                <w:rFonts w:hint="eastAsia" w:ascii="宋体" w:cs="宋体"/>
                <w:sz w:val="24"/>
                <w:highlight w:val="none"/>
                <w:lang w:val="zh-CN" w:eastAsia="zh-CN"/>
              </w:rPr>
              <w:t>NJFH-20260630</w:t>
            </w:r>
            <w:r>
              <w:rPr>
                <w:rFonts w:hint="eastAsia" w:ascii="宋体" w:cs="宋体"/>
                <w:sz w:val="24"/>
                <w:highlight w:val="none"/>
                <w:lang w:val="zh-CN"/>
              </w:rPr>
              <w:t>），代理机构审核无误后，将在两个工作日内回复邮件；②授权代表持“采购文件授权获取表”盖章原件和本人身份证原件至“</w:t>
            </w:r>
            <w:r>
              <w:rPr>
                <w:rFonts w:hint="eastAsia" w:ascii="宋体" w:cs="宋体"/>
                <w:sz w:val="24"/>
                <w:highlight w:val="none"/>
                <w:lang w:val="zh-CN" w:eastAsia="zh-CN"/>
              </w:rPr>
              <w:t>南京市江宁区东山街道文靖西路108号中前社区院内西楼三楼</w:t>
            </w:r>
            <w:r>
              <w:rPr>
                <w:rFonts w:hint="eastAsia" w:ascii="宋体" w:cs="宋体"/>
                <w:sz w:val="24"/>
                <w:highlight w:val="none"/>
                <w:lang w:val="zh-CN"/>
              </w:rPr>
              <w:t>”可获取纸质招标文件；③未按要求获取采购文件的供应商不得参与本项目磋商活动。</w:t>
            </w:r>
          </w:p>
          <w:p w14:paraId="78E6B9D3">
            <w:pPr>
              <w:rPr>
                <w:rFonts w:ascii="宋体" w:cs="宋体"/>
                <w:sz w:val="24"/>
                <w:highlight w:val="none"/>
                <w:lang w:val="zh-CN"/>
              </w:rPr>
            </w:pPr>
            <w:r>
              <w:rPr>
                <w:rFonts w:hint="eastAsia" w:ascii="宋体" w:cs="宋体"/>
                <w:sz w:val="24"/>
                <w:highlight w:val="none"/>
                <w:lang w:val="en-US"/>
              </w:rPr>
              <w:t>3</w:t>
            </w:r>
            <w:r>
              <w:rPr>
                <w:rFonts w:hint="eastAsia" w:ascii="宋体" w:cs="宋体"/>
                <w:sz w:val="24"/>
                <w:highlight w:val="none"/>
                <w:lang w:val="zh-CN"/>
              </w:rPr>
              <w:t>、采购文件售价：本项目不收取采购文件费用。</w:t>
            </w:r>
          </w:p>
        </w:tc>
      </w:tr>
      <w:tr w14:paraId="3D68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49" w:type="dxa"/>
            <w:tcBorders>
              <w:top w:val="single" w:color="auto" w:sz="4" w:space="0"/>
              <w:left w:val="single" w:color="auto" w:sz="4" w:space="0"/>
              <w:bottom w:val="single" w:color="auto" w:sz="4" w:space="0"/>
              <w:right w:val="single" w:color="auto" w:sz="4" w:space="0"/>
            </w:tcBorders>
            <w:vAlign w:val="center"/>
          </w:tcPr>
          <w:p w14:paraId="34DC95CB">
            <w:pPr>
              <w:jc w:val="center"/>
              <w:rPr>
                <w:sz w:val="24"/>
                <w:highlight w:val="none"/>
              </w:rPr>
            </w:pPr>
            <w:r>
              <w:rPr>
                <w:sz w:val="24"/>
                <w:highlight w:val="none"/>
              </w:rPr>
              <w:t>6</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0D6B6564">
            <w:pPr>
              <w:jc w:val="center"/>
              <w:rPr>
                <w:sz w:val="24"/>
                <w:highlight w:val="none"/>
              </w:rPr>
            </w:pPr>
            <w:r>
              <w:rPr>
                <w:rFonts w:hint="eastAsia"/>
                <w:sz w:val="24"/>
                <w:highlight w:val="none"/>
              </w:rPr>
              <w:t>项目采购限价</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6C1D5C3B">
            <w:pPr>
              <w:spacing w:line="360" w:lineRule="exact"/>
              <w:jc w:val="left"/>
              <w:rPr>
                <w:rFonts w:ascii="宋体" w:hAnsi="宋体"/>
                <w:b/>
                <w:bCs/>
                <w:sz w:val="24"/>
                <w:highlight w:val="none"/>
              </w:rPr>
            </w:pPr>
            <w:r>
              <w:rPr>
                <w:rFonts w:hint="eastAsia" w:ascii="宋体" w:hAnsi="宋体" w:cs="宋体"/>
                <w:sz w:val="24"/>
                <w:highlight w:val="none"/>
              </w:rPr>
              <w:t>人民币大写：</w:t>
            </w:r>
            <w:r>
              <w:rPr>
                <w:rFonts w:hint="eastAsia" w:ascii="宋体" w:hAnsi="宋体" w:cs="宋体"/>
                <w:sz w:val="24"/>
                <w:highlight w:val="none"/>
                <w:lang w:val="en-US" w:eastAsia="zh-CN"/>
              </w:rPr>
              <w:t>肆拾玖万陆仟贰佰玖拾元</w:t>
            </w:r>
            <w:r>
              <w:rPr>
                <w:rFonts w:hint="eastAsia" w:ascii="宋体" w:hAnsi="宋体" w:cs="宋体"/>
                <w:sz w:val="24"/>
                <w:highlight w:val="none"/>
              </w:rPr>
              <w:t>（</w:t>
            </w:r>
            <w:r>
              <w:rPr>
                <w:rFonts w:hint="eastAsia" w:ascii="宋体" w:hAnsi="宋体" w:cs="宋体"/>
                <w:sz w:val="24"/>
                <w:highlight w:val="none"/>
                <w:lang w:val="zh-CN"/>
              </w:rPr>
              <w:t>￥</w:t>
            </w:r>
            <w:r>
              <w:rPr>
                <w:rFonts w:hint="eastAsia" w:ascii="宋体" w:hAnsi="宋体" w:cs="宋体"/>
                <w:color w:val="000000"/>
                <w:sz w:val="24"/>
                <w:highlight w:val="none"/>
                <w:shd w:val="clear" w:color="auto" w:fill="FFFFFF"/>
                <w:lang w:val="en-US" w:eastAsia="zh-CN"/>
              </w:rPr>
              <w:t>496290</w:t>
            </w:r>
            <w:r>
              <w:rPr>
                <w:rFonts w:hint="eastAsia" w:ascii="宋体" w:hAnsi="宋体" w:cs="宋体"/>
                <w:color w:val="000000"/>
                <w:sz w:val="24"/>
                <w:highlight w:val="none"/>
                <w:shd w:val="clear" w:color="auto" w:fill="FFFFFF"/>
              </w:rPr>
              <w:t>元</w:t>
            </w:r>
            <w:r>
              <w:rPr>
                <w:rFonts w:hint="eastAsia" w:ascii="宋体" w:hAnsi="宋体" w:cs="宋体"/>
                <w:sz w:val="24"/>
                <w:highlight w:val="none"/>
              </w:rPr>
              <w:t>），</w:t>
            </w:r>
            <w:r>
              <w:rPr>
                <w:rFonts w:hint="eastAsia" w:ascii="宋体" w:hAnsi="宋体" w:cs="宋体"/>
                <w:sz w:val="24"/>
                <w:highlight w:val="none"/>
                <w:lang w:val="zh-CN"/>
              </w:rPr>
              <w:t>超过此限价按未实质性响应磋商文件要求处理</w:t>
            </w:r>
          </w:p>
        </w:tc>
      </w:tr>
      <w:tr w14:paraId="6498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49" w:type="dxa"/>
            <w:tcBorders>
              <w:top w:val="single" w:color="auto" w:sz="4" w:space="0"/>
              <w:left w:val="single" w:color="auto" w:sz="4" w:space="0"/>
              <w:bottom w:val="single" w:color="auto" w:sz="4" w:space="0"/>
              <w:right w:val="single" w:color="auto" w:sz="4" w:space="0"/>
            </w:tcBorders>
            <w:vAlign w:val="center"/>
          </w:tcPr>
          <w:p w14:paraId="6248695C">
            <w:pPr>
              <w:jc w:val="center"/>
              <w:rPr>
                <w:sz w:val="24"/>
                <w:highlight w:val="none"/>
              </w:rPr>
            </w:pPr>
            <w:r>
              <w:rPr>
                <w:rFonts w:hint="eastAsia"/>
                <w:sz w:val="24"/>
                <w:highlight w:val="none"/>
              </w:rPr>
              <w:t>7</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0EFED321">
            <w:pPr>
              <w:jc w:val="center"/>
              <w:rPr>
                <w:sz w:val="24"/>
                <w:highlight w:val="none"/>
              </w:rPr>
            </w:pPr>
            <w:r>
              <w:rPr>
                <w:rFonts w:hint="eastAsia"/>
                <w:sz w:val="24"/>
                <w:highlight w:val="none"/>
              </w:rPr>
              <w:t>磋商保证金</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60F65142">
            <w:pPr>
              <w:spacing w:line="360" w:lineRule="exact"/>
              <w:jc w:val="left"/>
              <w:rPr>
                <w:rFonts w:ascii="宋体" w:hAnsi="宋体" w:cs="宋体"/>
                <w:sz w:val="24"/>
                <w:highlight w:val="none"/>
              </w:rPr>
            </w:pPr>
            <w:r>
              <w:rPr>
                <w:rFonts w:hint="eastAsia" w:ascii="宋体" w:hAnsi="宋体" w:cs="宋体"/>
                <w:sz w:val="24"/>
                <w:highlight w:val="none"/>
              </w:rPr>
              <w:t>本项目不收取磋商保证金</w:t>
            </w:r>
          </w:p>
        </w:tc>
      </w:tr>
      <w:tr w14:paraId="4AFA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49" w:type="dxa"/>
            <w:tcBorders>
              <w:top w:val="single" w:color="auto" w:sz="4" w:space="0"/>
              <w:left w:val="single" w:color="auto" w:sz="4" w:space="0"/>
              <w:bottom w:val="single" w:color="auto" w:sz="4" w:space="0"/>
              <w:right w:val="single" w:color="auto" w:sz="4" w:space="0"/>
            </w:tcBorders>
            <w:vAlign w:val="center"/>
          </w:tcPr>
          <w:p w14:paraId="3F0DEA4F">
            <w:pPr>
              <w:jc w:val="center"/>
              <w:rPr>
                <w:sz w:val="24"/>
                <w:highlight w:val="none"/>
              </w:rPr>
            </w:pPr>
            <w:r>
              <w:rPr>
                <w:rFonts w:hint="eastAsia"/>
                <w:sz w:val="24"/>
                <w:highlight w:val="none"/>
              </w:rPr>
              <w:t>8</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13E2BEE8">
            <w:pPr>
              <w:jc w:val="center"/>
              <w:rPr>
                <w:sz w:val="24"/>
                <w:highlight w:val="none"/>
              </w:rPr>
            </w:pPr>
            <w:r>
              <w:rPr>
                <w:rFonts w:hint="eastAsia"/>
                <w:sz w:val="24"/>
                <w:highlight w:val="none"/>
              </w:rPr>
              <w:t>服务期限</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7CC27476">
            <w:pPr>
              <w:snapToGrid w:val="0"/>
              <w:rPr>
                <w:rFonts w:ascii="宋体" w:hAnsi="宋体"/>
                <w:b/>
                <w:sz w:val="24"/>
                <w:highlight w:val="none"/>
              </w:rPr>
            </w:pPr>
            <w:r>
              <w:rPr>
                <w:rFonts w:hint="eastAsia" w:ascii="宋体" w:hAnsi="宋体" w:cs="宋体"/>
                <w:color w:val="000000"/>
                <w:sz w:val="24"/>
                <w:highlight w:val="none"/>
                <w:shd w:val="clear" w:color="auto" w:fill="FFFFFF"/>
                <w:lang w:val="en-US" w:eastAsia="zh-CN"/>
              </w:rPr>
              <w:t>40日历天</w:t>
            </w:r>
          </w:p>
        </w:tc>
      </w:tr>
      <w:tr w14:paraId="62B1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549" w:type="dxa"/>
            <w:tcBorders>
              <w:top w:val="single" w:color="auto" w:sz="4" w:space="0"/>
              <w:left w:val="single" w:color="auto" w:sz="4" w:space="0"/>
              <w:bottom w:val="single" w:color="auto" w:sz="4" w:space="0"/>
              <w:right w:val="single" w:color="auto" w:sz="4" w:space="0"/>
            </w:tcBorders>
            <w:vAlign w:val="center"/>
          </w:tcPr>
          <w:p w14:paraId="150439E8">
            <w:pPr>
              <w:jc w:val="center"/>
              <w:rPr>
                <w:sz w:val="24"/>
                <w:highlight w:val="none"/>
              </w:rPr>
            </w:pPr>
            <w:r>
              <w:rPr>
                <w:rFonts w:hint="eastAsia"/>
                <w:sz w:val="24"/>
                <w:highlight w:val="none"/>
              </w:rPr>
              <w:t>9</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5E2E26FC">
            <w:pPr>
              <w:jc w:val="center"/>
              <w:rPr>
                <w:sz w:val="24"/>
                <w:highlight w:val="none"/>
              </w:rPr>
            </w:pPr>
            <w:r>
              <w:rPr>
                <w:rFonts w:hint="eastAsia"/>
                <w:sz w:val="24"/>
                <w:highlight w:val="none"/>
              </w:rPr>
              <w:t>所属行业</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2B9A8A1C">
            <w:pPr>
              <w:autoSpaceDE w:val="0"/>
              <w:autoSpaceDN w:val="0"/>
              <w:adjustRightInd w:val="0"/>
              <w:jc w:val="left"/>
              <w:rPr>
                <w:sz w:val="24"/>
                <w:highlight w:val="none"/>
              </w:rPr>
            </w:pPr>
            <w:r>
              <w:rPr>
                <w:rFonts w:hint="eastAsia" w:ascii="宋体" w:hAnsi="宋体" w:cs="宋体"/>
                <w:color w:val="000000"/>
                <w:sz w:val="24"/>
                <w:highlight w:val="none"/>
                <w:shd w:val="clear" w:color="auto" w:fill="FFFFFF"/>
              </w:rPr>
              <w:t>其他</w:t>
            </w:r>
            <w:r>
              <w:rPr>
                <w:rFonts w:hint="eastAsia" w:ascii="宋体" w:hAnsi="宋体" w:cs="宋体"/>
                <w:color w:val="000000"/>
                <w:sz w:val="24"/>
                <w:highlight w:val="none"/>
                <w:shd w:val="clear" w:color="auto" w:fill="FFFFFF"/>
                <w:lang w:val="en-US" w:eastAsia="zh-CN"/>
              </w:rPr>
              <w:t>未列明行业</w:t>
            </w:r>
          </w:p>
        </w:tc>
      </w:tr>
      <w:tr w14:paraId="32D2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49" w:type="dxa"/>
            <w:vMerge w:val="restart"/>
            <w:tcBorders>
              <w:top w:val="single" w:color="auto" w:sz="4" w:space="0"/>
              <w:left w:val="single" w:color="auto" w:sz="4" w:space="0"/>
              <w:bottom w:val="single" w:color="auto" w:sz="4" w:space="0"/>
              <w:right w:val="single" w:color="auto" w:sz="4" w:space="0"/>
            </w:tcBorders>
            <w:vAlign w:val="center"/>
          </w:tcPr>
          <w:p w14:paraId="3DFD8BC7">
            <w:pPr>
              <w:jc w:val="center"/>
              <w:rPr>
                <w:sz w:val="24"/>
                <w:highlight w:val="none"/>
              </w:rPr>
            </w:pPr>
            <w:r>
              <w:rPr>
                <w:rFonts w:hint="eastAsia"/>
                <w:sz w:val="24"/>
                <w:highlight w:val="none"/>
              </w:rPr>
              <w:t>10</w:t>
            </w:r>
          </w:p>
        </w:tc>
        <w:tc>
          <w:tcPr>
            <w:tcW w:w="919" w:type="dxa"/>
            <w:vMerge w:val="restart"/>
            <w:tcBorders>
              <w:top w:val="single" w:color="auto" w:sz="4" w:space="0"/>
              <w:left w:val="single" w:color="auto" w:sz="4" w:space="0"/>
              <w:bottom w:val="single" w:color="auto" w:sz="4" w:space="0"/>
              <w:right w:val="single" w:color="auto" w:sz="4" w:space="0"/>
            </w:tcBorders>
            <w:vAlign w:val="center"/>
          </w:tcPr>
          <w:p w14:paraId="42E81FAB">
            <w:pPr>
              <w:rPr>
                <w:rFonts w:ascii="宋体" w:hAnsi="宋体" w:cs="宋体"/>
                <w:sz w:val="24"/>
                <w:highlight w:val="none"/>
              </w:rPr>
            </w:pPr>
            <w:r>
              <w:rPr>
                <w:rFonts w:hint="eastAsia" w:ascii="宋体" w:hAnsi="宋体" w:cs="宋体"/>
                <w:sz w:val="24"/>
                <w:highlight w:val="none"/>
              </w:rPr>
              <w:t>响应性文件递交信息</w:t>
            </w:r>
          </w:p>
        </w:tc>
        <w:tc>
          <w:tcPr>
            <w:tcW w:w="957" w:type="dxa"/>
            <w:tcBorders>
              <w:top w:val="single" w:color="auto" w:sz="4" w:space="0"/>
              <w:left w:val="single" w:color="auto" w:sz="4" w:space="0"/>
              <w:bottom w:val="single" w:color="auto" w:sz="4" w:space="0"/>
              <w:right w:val="single" w:color="auto" w:sz="4" w:space="0"/>
            </w:tcBorders>
            <w:vAlign w:val="center"/>
          </w:tcPr>
          <w:p w14:paraId="5E13BCCF">
            <w:pPr>
              <w:jc w:val="center"/>
              <w:rPr>
                <w:rFonts w:ascii="宋体" w:hAnsi="宋体" w:cs="宋体"/>
                <w:sz w:val="24"/>
                <w:highlight w:val="none"/>
              </w:rPr>
            </w:pPr>
            <w:r>
              <w:rPr>
                <w:rFonts w:hint="eastAsia" w:ascii="宋体" w:hAnsi="宋体" w:cs="宋体"/>
                <w:sz w:val="24"/>
                <w:highlight w:val="none"/>
              </w:rPr>
              <w:t>时间</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363F3B4C">
            <w:pPr>
              <w:rPr>
                <w:rFonts w:hint="eastAsia" w:ascii="宋体" w:hAnsi="宋体" w:eastAsia="宋体" w:cs="宋体"/>
                <w:sz w:val="24"/>
                <w:highlight w:val="none"/>
                <w:lang w:eastAsia="zh-CN"/>
              </w:rPr>
            </w:pPr>
            <w:r>
              <w:rPr>
                <w:rFonts w:hint="eastAsia" w:ascii="宋体" w:hAnsi="宋体" w:cs="宋体"/>
                <w:sz w:val="24"/>
                <w:highlight w:val="none"/>
                <w:lang w:val="zh-CN"/>
              </w:rPr>
              <w:t>2026年7月14日</w:t>
            </w:r>
            <w:r>
              <w:rPr>
                <w:rFonts w:hint="eastAsia" w:ascii="宋体" w:hAnsi="宋体" w:cs="宋体"/>
                <w:sz w:val="24"/>
                <w:highlight w:val="none"/>
                <w:lang w:eastAsia="zh-CN"/>
              </w:rPr>
              <w:t>14：00</w:t>
            </w:r>
            <w:r>
              <w:rPr>
                <w:rFonts w:hint="eastAsia" w:ascii="宋体" w:hAnsi="宋体" w:cs="宋体"/>
                <w:sz w:val="24"/>
                <w:highlight w:val="none"/>
                <w:lang w:val="zh-CN"/>
              </w:rPr>
              <w:t>—</w:t>
            </w:r>
            <w:r>
              <w:rPr>
                <w:rFonts w:hint="eastAsia" w:ascii="宋体" w:hAnsi="宋体" w:cs="宋体"/>
                <w:sz w:val="24"/>
                <w:highlight w:val="none"/>
                <w:lang w:eastAsia="zh-CN"/>
              </w:rPr>
              <w:t>14:30</w:t>
            </w:r>
          </w:p>
        </w:tc>
      </w:tr>
      <w:tr w14:paraId="73BF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549" w:type="dxa"/>
            <w:vMerge w:val="continue"/>
            <w:tcBorders>
              <w:top w:val="single" w:color="auto" w:sz="4" w:space="0"/>
              <w:left w:val="single" w:color="auto" w:sz="4" w:space="0"/>
              <w:bottom w:val="single" w:color="auto" w:sz="4" w:space="0"/>
              <w:right w:val="single" w:color="auto" w:sz="4" w:space="0"/>
            </w:tcBorders>
            <w:vAlign w:val="center"/>
          </w:tcPr>
          <w:p w14:paraId="58597C00">
            <w:pPr>
              <w:widowControl/>
              <w:jc w:val="left"/>
              <w:rPr>
                <w:sz w:val="24"/>
                <w:highlight w:val="none"/>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7BF6DECB">
            <w:pPr>
              <w:rPr>
                <w:rFonts w:ascii="宋体" w:hAnsi="宋体" w:cs="宋体"/>
                <w:sz w:val="24"/>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48CE06EF">
            <w:pPr>
              <w:jc w:val="center"/>
              <w:rPr>
                <w:rFonts w:ascii="宋体" w:hAnsi="宋体" w:cs="宋体"/>
                <w:sz w:val="24"/>
                <w:highlight w:val="none"/>
              </w:rPr>
            </w:pPr>
            <w:r>
              <w:rPr>
                <w:rFonts w:hint="eastAsia" w:ascii="宋体" w:hAnsi="宋体" w:cs="宋体"/>
                <w:sz w:val="24"/>
                <w:highlight w:val="none"/>
              </w:rPr>
              <w:t>地点</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22ECDBF6">
            <w:pPr>
              <w:rPr>
                <w:rFonts w:ascii="宋体" w:hAnsi="宋体" w:cs="宋体"/>
                <w:sz w:val="24"/>
                <w:highlight w:val="none"/>
              </w:rPr>
            </w:pPr>
            <w:r>
              <w:rPr>
                <w:rFonts w:hint="eastAsia" w:ascii="宋体" w:hAnsi="宋体" w:cs="宋体"/>
                <w:sz w:val="24"/>
                <w:highlight w:val="none"/>
              </w:rPr>
              <w:t>南京富弘工程项目管理有限公司（南京市江宁区东山街道文靖西路108号中前社区院内西楼三楼）</w:t>
            </w:r>
          </w:p>
        </w:tc>
      </w:tr>
      <w:tr w14:paraId="382D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549" w:type="dxa"/>
            <w:vMerge w:val="continue"/>
            <w:tcBorders>
              <w:top w:val="single" w:color="auto" w:sz="4" w:space="0"/>
              <w:left w:val="single" w:color="auto" w:sz="4" w:space="0"/>
              <w:bottom w:val="single" w:color="auto" w:sz="4" w:space="0"/>
              <w:right w:val="single" w:color="auto" w:sz="4" w:space="0"/>
            </w:tcBorders>
            <w:vAlign w:val="center"/>
          </w:tcPr>
          <w:p w14:paraId="0AB05F8B">
            <w:pPr>
              <w:widowControl/>
              <w:jc w:val="left"/>
              <w:rPr>
                <w:sz w:val="24"/>
                <w:highlight w:val="none"/>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2B4E0FEB">
            <w:pPr>
              <w:rPr>
                <w:rFonts w:ascii="宋体" w:hAnsi="宋体" w:cs="宋体"/>
                <w:sz w:val="24"/>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6CC57B97">
            <w:pPr>
              <w:jc w:val="center"/>
              <w:rPr>
                <w:rFonts w:ascii="宋体" w:hAnsi="宋体" w:cs="宋体"/>
                <w:sz w:val="24"/>
                <w:highlight w:val="none"/>
              </w:rPr>
            </w:pPr>
            <w:r>
              <w:rPr>
                <w:rFonts w:hint="eastAsia" w:ascii="宋体" w:hAnsi="宋体" w:cs="宋体"/>
                <w:sz w:val="24"/>
                <w:highlight w:val="none"/>
              </w:rPr>
              <w:t>要求</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6F234C29">
            <w:pPr>
              <w:rPr>
                <w:rFonts w:ascii="宋体" w:hAnsi="宋体" w:cs="宋体"/>
                <w:sz w:val="24"/>
                <w:highlight w:val="none"/>
              </w:rPr>
            </w:pPr>
            <w:r>
              <w:rPr>
                <w:rFonts w:hint="eastAsia" w:ascii="宋体" w:hAnsi="宋体" w:cs="宋体"/>
                <w:sz w:val="24"/>
                <w:highlight w:val="none"/>
                <w:lang w:val="zh-CN"/>
              </w:rPr>
              <w:t>投标申请人的法定代表人或其授权的委托代理人持个人有效身份证件原件及复印件、单位介绍信原件（或授权委托书原件）在指定地点提交磋商响应性文件。</w:t>
            </w:r>
          </w:p>
        </w:tc>
      </w:tr>
      <w:tr w14:paraId="11ED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49" w:type="dxa"/>
            <w:tcBorders>
              <w:top w:val="single" w:color="auto" w:sz="4" w:space="0"/>
              <w:left w:val="single" w:color="auto" w:sz="4" w:space="0"/>
              <w:bottom w:val="single" w:color="auto" w:sz="4" w:space="0"/>
              <w:right w:val="single" w:color="auto" w:sz="4" w:space="0"/>
            </w:tcBorders>
            <w:vAlign w:val="center"/>
          </w:tcPr>
          <w:p w14:paraId="4A8FD948">
            <w:pPr>
              <w:jc w:val="center"/>
              <w:rPr>
                <w:sz w:val="24"/>
                <w:highlight w:val="none"/>
              </w:rPr>
            </w:pPr>
            <w:r>
              <w:rPr>
                <w:sz w:val="24"/>
                <w:highlight w:val="none"/>
              </w:rPr>
              <w:t>1</w:t>
            </w:r>
            <w:r>
              <w:rPr>
                <w:rFonts w:hint="eastAsia"/>
                <w:sz w:val="24"/>
                <w:highlight w:val="none"/>
              </w:rPr>
              <w:t>1</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0B8F831D">
            <w:pPr>
              <w:jc w:val="center"/>
              <w:rPr>
                <w:sz w:val="24"/>
                <w:highlight w:val="none"/>
              </w:rPr>
            </w:pPr>
            <w:r>
              <w:rPr>
                <w:sz w:val="24"/>
                <w:highlight w:val="none"/>
              </w:rPr>
              <w:t>响应性文件份数</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1BA5AEDA">
            <w:pPr>
              <w:rPr>
                <w:rFonts w:ascii="宋体" w:hAnsi="宋体" w:cs="宋体"/>
                <w:sz w:val="24"/>
                <w:highlight w:val="none"/>
              </w:rPr>
            </w:pPr>
            <w:r>
              <w:rPr>
                <w:rFonts w:hint="eastAsia" w:ascii="宋体" w:hAnsi="宋体" w:cs="宋体"/>
                <w:sz w:val="24"/>
                <w:highlight w:val="none"/>
              </w:rPr>
              <w:t>正本份数：壹份；副本份数：叁份</w:t>
            </w:r>
          </w:p>
          <w:p w14:paraId="3E31A754">
            <w:pPr>
              <w:rPr>
                <w:rFonts w:ascii="宋体" w:hAnsi="宋体" w:cs="宋体"/>
                <w:sz w:val="24"/>
                <w:highlight w:val="none"/>
              </w:rPr>
            </w:pPr>
            <w:r>
              <w:rPr>
                <w:rFonts w:hint="eastAsia" w:ascii="宋体" w:hAnsi="宋体" w:cs="宋体"/>
                <w:sz w:val="24"/>
                <w:highlight w:val="none"/>
              </w:rPr>
              <w:t>每份投标文件须清楚标明“正本”或“副本”字样。电子版投标文件（U盘）壹份（随纸质文件一并提交）。当纸质副本文件、电子版文件和纸质正本文件不一致时，以纸质正本文件为准。</w:t>
            </w:r>
          </w:p>
        </w:tc>
      </w:tr>
      <w:tr w14:paraId="0C01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49" w:type="dxa"/>
            <w:vMerge w:val="restart"/>
            <w:tcBorders>
              <w:top w:val="single" w:color="auto" w:sz="4" w:space="0"/>
              <w:left w:val="single" w:color="auto" w:sz="4" w:space="0"/>
              <w:bottom w:val="single" w:color="auto" w:sz="4" w:space="0"/>
              <w:right w:val="single" w:color="auto" w:sz="4" w:space="0"/>
            </w:tcBorders>
            <w:vAlign w:val="center"/>
          </w:tcPr>
          <w:p w14:paraId="505642B2">
            <w:pPr>
              <w:jc w:val="center"/>
              <w:rPr>
                <w:sz w:val="24"/>
                <w:highlight w:val="none"/>
              </w:rPr>
            </w:pPr>
            <w:r>
              <w:rPr>
                <w:sz w:val="24"/>
                <w:highlight w:val="none"/>
              </w:rPr>
              <w:t>1</w:t>
            </w:r>
            <w:r>
              <w:rPr>
                <w:rFonts w:hint="eastAsia"/>
                <w:sz w:val="24"/>
                <w:highlight w:val="none"/>
              </w:rPr>
              <w:t>2</w:t>
            </w:r>
          </w:p>
        </w:tc>
        <w:tc>
          <w:tcPr>
            <w:tcW w:w="919" w:type="dxa"/>
            <w:vMerge w:val="restart"/>
            <w:tcBorders>
              <w:top w:val="single" w:color="auto" w:sz="4" w:space="0"/>
              <w:left w:val="single" w:color="auto" w:sz="4" w:space="0"/>
              <w:bottom w:val="single" w:color="auto" w:sz="4" w:space="0"/>
              <w:right w:val="single" w:color="auto" w:sz="4" w:space="0"/>
            </w:tcBorders>
            <w:vAlign w:val="center"/>
          </w:tcPr>
          <w:p w14:paraId="18498573">
            <w:pPr>
              <w:jc w:val="center"/>
              <w:rPr>
                <w:sz w:val="24"/>
                <w:highlight w:val="none"/>
              </w:rPr>
            </w:pPr>
            <w:r>
              <w:rPr>
                <w:sz w:val="24"/>
                <w:highlight w:val="none"/>
              </w:rPr>
              <w:t xml:space="preserve">磋商 </w:t>
            </w:r>
            <w:r>
              <w:rPr>
                <w:rFonts w:hint="eastAsia"/>
                <w:sz w:val="24"/>
                <w:highlight w:val="none"/>
              </w:rPr>
              <w:t xml:space="preserve"> </w:t>
            </w:r>
            <w:r>
              <w:rPr>
                <w:sz w:val="24"/>
                <w:highlight w:val="none"/>
              </w:rPr>
              <w:t>信息</w:t>
            </w:r>
          </w:p>
        </w:tc>
        <w:tc>
          <w:tcPr>
            <w:tcW w:w="957" w:type="dxa"/>
            <w:tcBorders>
              <w:top w:val="single" w:color="auto" w:sz="4" w:space="0"/>
              <w:left w:val="single" w:color="auto" w:sz="4" w:space="0"/>
              <w:bottom w:val="single" w:color="auto" w:sz="4" w:space="0"/>
              <w:right w:val="single" w:color="auto" w:sz="4" w:space="0"/>
            </w:tcBorders>
            <w:vAlign w:val="center"/>
          </w:tcPr>
          <w:p w14:paraId="57915E00">
            <w:pPr>
              <w:jc w:val="center"/>
              <w:rPr>
                <w:sz w:val="24"/>
                <w:highlight w:val="none"/>
              </w:rPr>
            </w:pPr>
            <w:r>
              <w:rPr>
                <w:sz w:val="24"/>
                <w:highlight w:val="none"/>
              </w:rPr>
              <w:t>时间</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7ECFFBF0">
            <w:pPr>
              <w:rPr>
                <w:rFonts w:hint="eastAsia" w:eastAsia="宋体"/>
                <w:sz w:val="24"/>
                <w:highlight w:val="none"/>
                <w:lang w:eastAsia="zh-CN"/>
              </w:rPr>
            </w:pPr>
            <w:r>
              <w:rPr>
                <w:rFonts w:hint="eastAsia" w:ascii="宋体" w:hAnsi="宋体" w:cs="宋体"/>
                <w:sz w:val="24"/>
                <w:highlight w:val="none"/>
                <w:lang w:val="zh-CN"/>
              </w:rPr>
              <w:t>2026年7月14日</w:t>
            </w:r>
            <w:r>
              <w:rPr>
                <w:rFonts w:hint="eastAsia" w:ascii="宋体" w:hAnsi="宋体" w:cs="宋体"/>
                <w:sz w:val="24"/>
                <w:highlight w:val="none"/>
                <w:lang w:eastAsia="zh-CN"/>
              </w:rPr>
              <w:t>14:30</w:t>
            </w:r>
          </w:p>
        </w:tc>
      </w:tr>
      <w:tr w14:paraId="59BF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49" w:type="dxa"/>
            <w:vMerge w:val="continue"/>
            <w:tcBorders>
              <w:top w:val="single" w:color="auto" w:sz="4" w:space="0"/>
              <w:left w:val="single" w:color="auto" w:sz="4" w:space="0"/>
              <w:bottom w:val="single" w:color="auto" w:sz="4" w:space="0"/>
              <w:right w:val="single" w:color="auto" w:sz="4" w:space="0"/>
            </w:tcBorders>
            <w:vAlign w:val="center"/>
          </w:tcPr>
          <w:p w14:paraId="2521A585">
            <w:pPr>
              <w:widowControl/>
              <w:jc w:val="left"/>
              <w:rPr>
                <w:sz w:val="24"/>
                <w:highlight w:val="none"/>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16D7A800">
            <w:pPr>
              <w:widowControl/>
              <w:jc w:val="left"/>
              <w:rPr>
                <w:sz w:val="24"/>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6A54C2D1">
            <w:pPr>
              <w:jc w:val="center"/>
              <w:rPr>
                <w:sz w:val="24"/>
                <w:highlight w:val="none"/>
              </w:rPr>
            </w:pPr>
            <w:r>
              <w:rPr>
                <w:sz w:val="24"/>
                <w:highlight w:val="none"/>
              </w:rPr>
              <w:t>地点</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50C2BC51">
            <w:pPr>
              <w:rPr>
                <w:sz w:val="24"/>
                <w:highlight w:val="none"/>
              </w:rPr>
            </w:pPr>
            <w:r>
              <w:rPr>
                <w:rFonts w:hint="eastAsia" w:ascii="宋体" w:cs="宋体"/>
                <w:sz w:val="24"/>
                <w:highlight w:val="none"/>
                <w:lang w:val="zh-CN"/>
              </w:rPr>
              <w:t>南京市江宁区东山街道文靖西路108号中前社区院内西楼三楼</w:t>
            </w:r>
          </w:p>
        </w:tc>
      </w:tr>
      <w:tr w14:paraId="74F2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49" w:type="dxa"/>
            <w:tcBorders>
              <w:top w:val="single" w:color="auto" w:sz="4" w:space="0"/>
              <w:left w:val="single" w:color="auto" w:sz="4" w:space="0"/>
              <w:bottom w:val="single" w:color="auto" w:sz="4" w:space="0"/>
              <w:right w:val="single" w:color="auto" w:sz="4" w:space="0"/>
            </w:tcBorders>
            <w:vAlign w:val="center"/>
          </w:tcPr>
          <w:p w14:paraId="085C7648">
            <w:pPr>
              <w:widowControl/>
              <w:jc w:val="left"/>
              <w:rPr>
                <w:rFonts w:hint="default" w:eastAsia="宋体"/>
                <w:sz w:val="24"/>
                <w:highlight w:val="none"/>
                <w:lang w:val="en-US" w:eastAsia="zh-CN"/>
              </w:rPr>
            </w:pPr>
            <w:r>
              <w:rPr>
                <w:rFonts w:hint="eastAsia"/>
                <w:sz w:val="24"/>
                <w:highlight w:val="none"/>
                <w:lang w:val="en-US" w:eastAsia="zh-CN"/>
              </w:rPr>
              <w:t>13</w:t>
            </w:r>
          </w:p>
        </w:tc>
        <w:tc>
          <w:tcPr>
            <w:tcW w:w="1876" w:type="dxa"/>
            <w:gridSpan w:val="2"/>
            <w:tcBorders>
              <w:top w:val="single" w:color="auto" w:sz="4" w:space="0"/>
              <w:left w:val="single" w:color="auto" w:sz="4" w:space="0"/>
              <w:bottom w:val="single" w:color="auto" w:sz="4" w:space="0"/>
              <w:right w:val="single" w:color="auto" w:sz="4" w:space="0"/>
            </w:tcBorders>
            <w:vAlign w:val="center"/>
          </w:tcPr>
          <w:p w14:paraId="2BFC8906">
            <w:pPr>
              <w:jc w:val="center"/>
              <w:rPr>
                <w:rFonts w:hint="eastAsia" w:eastAsia="宋体"/>
                <w:sz w:val="24"/>
                <w:highlight w:val="none"/>
                <w:lang w:val="en-US" w:eastAsia="zh-CN"/>
              </w:rPr>
            </w:pPr>
            <w:r>
              <w:rPr>
                <w:rFonts w:hint="eastAsia"/>
                <w:sz w:val="24"/>
                <w:highlight w:val="none"/>
                <w:lang w:val="en-US" w:eastAsia="zh-CN"/>
              </w:rPr>
              <w:t>联合体</w:t>
            </w:r>
          </w:p>
        </w:tc>
        <w:tc>
          <w:tcPr>
            <w:tcW w:w="8563" w:type="dxa"/>
            <w:gridSpan w:val="2"/>
            <w:tcBorders>
              <w:top w:val="single" w:color="auto" w:sz="4" w:space="0"/>
              <w:left w:val="single" w:color="auto" w:sz="4" w:space="0"/>
              <w:bottom w:val="single" w:color="auto" w:sz="4" w:space="0"/>
              <w:right w:val="single" w:color="auto" w:sz="4" w:space="0"/>
            </w:tcBorders>
            <w:vAlign w:val="center"/>
          </w:tcPr>
          <w:p w14:paraId="71C78D88">
            <w:pPr>
              <w:rPr>
                <w:rFonts w:hint="eastAsia" w:ascii="宋体" w:hAnsi="宋体" w:eastAsia="宋体" w:cs="宋体"/>
                <w:sz w:val="24"/>
                <w:highlight w:val="none"/>
                <w:lang w:val="zh-CN"/>
              </w:rPr>
            </w:pPr>
            <w:r>
              <w:rPr>
                <w:rFonts w:hint="eastAsia" w:ascii="宋体" w:hAnsi="宋体" w:eastAsia="宋体" w:cs="宋体"/>
                <w:sz w:val="24"/>
                <w:highlight w:val="none"/>
                <w:lang w:val="zh-CN"/>
              </w:rPr>
              <w:t>（1）只允许两个法人或者其他组织组成一个联合体，以一个供应商的身份共同参加政府采购。</w:t>
            </w:r>
          </w:p>
          <w:p w14:paraId="3CD0874B">
            <w:pPr>
              <w:rPr>
                <w:rFonts w:hint="eastAsia" w:ascii="宋体" w:hAnsi="宋体" w:eastAsia="宋体" w:cs="宋体"/>
                <w:sz w:val="24"/>
                <w:highlight w:val="none"/>
                <w:lang w:val="zh-CN"/>
              </w:rPr>
            </w:pPr>
            <w:r>
              <w:rPr>
                <w:rFonts w:hint="eastAsia" w:ascii="宋体" w:hAnsi="宋体" w:eastAsia="宋体" w:cs="宋体"/>
                <w:sz w:val="24"/>
                <w:highlight w:val="none"/>
                <w:lang w:val="zh-CN"/>
              </w:rPr>
              <w:t>（</w:t>
            </w:r>
            <w:r>
              <w:rPr>
                <w:rFonts w:hint="eastAsia" w:ascii="宋体" w:hAnsi="宋体" w:eastAsia="宋体" w:cs="宋体"/>
                <w:sz w:val="24"/>
                <w:highlight w:val="none"/>
                <w:lang w:val="en-US" w:eastAsia="zh-CN"/>
              </w:rPr>
              <w:t>2</w:t>
            </w:r>
            <w:r>
              <w:rPr>
                <w:rFonts w:hint="eastAsia" w:ascii="宋体" w:hAnsi="宋体" w:eastAsia="宋体" w:cs="宋体"/>
                <w:sz w:val="24"/>
                <w:highlight w:val="none"/>
                <w:lang w:val="zh-CN"/>
              </w:rPr>
              <w:t>）以联合体形式参加采购的，联合体各方均应当符合《中华人民共和国政府采购法》第二十二条第一款规定的条件；采购人根据采购项目的特殊要求规定供应商特定条件的，联合体各方中至少应当有一方符合采购人规定的特定条件。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26E3265C">
            <w:pPr>
              <w:rPr>
                <w:rFonts w:hint="eastAsia" w:ascii="宋体" w:hAnsi="宋体" w:eastAsia="宋体" w:cs="宋体"/>
                <w:sz w:val="24"/>
                <w:highlight w:val="none"/>
                <w:lang w:val="zh-CN"/>
              </w:rPr>
            </w:pPr>
            <w:r>
              <w:rPr>
                <w:rFonts w:hint="eastAsia" w:ascii="宋体" w:hAnsi="宋体" w:eastAsia="宋体" w:cs="宋体"/>
                <w:sz w:val="24"/>
                <w:highlight w:val="none"/>
                <w:lang w:val="zh-CN"/>
              </w:rPr>
              <w:t>（</w:t>
            </w:r>
            <w:r>
              <w:rPr>
                <w:rFonts w:hint="eastAsia" w:ascii="宋体" w:hAnsi="宋体" w:eastAsia="宋体" w:cs="宋体"/>
                <w:sz w:val="24"/>
                <w:highlight w:val="none"/>
                <w:lang w:val="en-US" w:eastAsia="zh-CN"/>
              </w:rPr>
              <w:t>3</w:t>
            </w:r>
            <w:r>
              <w:rPr>
                <w:rFonts w:hint="eastAsia" w:ascii="宋体" w:hAnsi="宋体" w:eastAsia="宋体" w:cs="宋体"/>
                <w:sz w:val="24"/>
                <w:highlight w:val="none"/>
                <w:lang w:val="zh-CN"/>
              </w:rPr>
              <w:t>）联合体各方之间应当签订联合体协议，明确约定联合体各方承担的工作和相应的责任，并将联合体协议连同响应文件一并提交。</w:t>
            </w:r>
          </w:p>
          <w:p w14:paraId="639814B6">
            <w:pPr>
              <w:rPr>
                <w:rFonts w:hint="eastAsia" w:ascii="宋体" w:cs="宋体"/>
                <w:sz w:val="24"/>
                <w:highlight w:val="none"/>
                <w:lang w:val="zh-CN"/>
              </w:rPr>
            </w:pPr>
            <w:r>
              <w:rPr>
                <w:rFonts w:hint="eastAsia" w:ascii="宋体" w:hAnsi="宋体" w:eastAsia="宋体" w:cs="宋体"/>
                <w:sz w:val="24"/>
                <w:highlight w:val="none"/>
                <w:lang w:val="zh-CN"/>
              </w:rPr>
              <w:t>（</w:t>
            </w:r>
            <w:r>
              <w:rPr>
                <w:rFonts w:hint="eastAsia" w:ascii="宋体" w:hAnsi="宋体" w:eastAsia="宋体" w:cs="宋体"/>
                <w:sz w:val="24"/>
                <w:highlight w:val="none"/>
                <w:lang w:val="en-US" w:eastAsia="zh-CN"/>
              </w:rPr>
              <w:t>4</w:t>
            </w:r>
            <w:r>
              <w:rPr>
                <w:rFonts w:hint="eastAsia" w:ascii="宋体" w:hAnsi="宋体" w:eastAsia="宋体" w:cs="宋体"/>
                <w:sz w:val="24"/>
                <w:highlight w:val="none"/>
                <w:lang w:val="zh-CN"/>
              </w:rPr>
              <w:t>）以联合体形式参加政府采购活动的，联合体各方不得再单独参加或者与其他供应商另外组成联合体参加同一合同项下的政府采购活动。</w:t>
            </w:r>
          </w:p>
        </w:tc>
      </w:tr>
      <w:tr w14:paraId="127D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549" w:type="dxa"/>
            <w:vMerge w:val="restart"/>
            <w:tcBorders>
              <w:top w:val="single" w:color="auto" w:sz="4" w:space="0"/>
              <w:left w:val="single" w:color="auto" w:sz="4" w:space="0"/>
              <w:right w:val="single" w:color="auto" w:sz="4" w:space="0"/>
            </w:tcBorders>
            <w:vAlign w:val="center"/>
          </w:tcPr>
          <w:p w14:paraId="1D10E8DB">
            <w:pPr>
              <w:jc w:val="center"/>
              <w:rPr>
                <w:sz w:val="24"/>
                <w:highlight w:val="none"/>
              </w:rPr>
            </w:pPr>
            <w:r>
              <w:rPr>
                <w:sz w:val="24"/>
                <w:highlight w:val="none"/>
              </w:rPr>
              <w:t>14</w:t>
            </w:r>
          </w:p>
        </w:tc>
        <w:tc>
          <w:tcPr>
            <w:tcW w:w="919" w:type="dxa"/>
            <w:vMerge w:val="restart"/>
            <w:tcBorders>
              <w:top w:val="single" w:color="auto" w:sz="4" w:space="0"/>
              <w:left w:val="single" w:color="auto" w:sz="4" w:space="0"/>
              <w:right w:val="single" w:color="auto" w:sz="4" w:space="0"/>
            </w:tcBorders>
            <w:vAlign w:val="center"/>
          </w:tcPr>
          <w:p w14:paraId="2CC1E576">
            <w:pPr>
              <w:spacing w:line="440" w:lineRule="exact"/>
              <w:jc w:val="center"/>
              <w:rPr>
                <w:sz w:val="24"/>
                <w:highlight w:val="none"/>
              </w:rPr>
            </w:pPr>
            <w:r>
              <w:rPr>
                <w:sz w:val="24"/>
                <w:highlight w:val="none"/>
              </w:rPr>
              <w:t>联系 事项</w:t>
            </w:r>
          </w:p>
        </w:tc>
        <w:tc>
          <w:tcPr>
            <w:tcW w:w="957" w:type="dxa"/>
            <w:vMerge w:val="restart"/>
            <w:tcBorders>
              <w:top w:val="single" w:color="auto" w:sz="4" w:space="0"/>
              <w:left w:val="single" w:color="auto" w:sz="4" w:space="0"/>
              <w:right w:val="single" w:color="auto" w:sz="4" w:space="0"/>
            </w:tcBorders>
            <w:vAlign w:val="center"/>
          </w:tcPr>
          <w:p w14:paraId="258CB9C8">
            <w:pPr>
              <w:spacing w:line="440" w:lineRule="exact"/>
              <w:rPr>
                <w:sz w:val="24"/>
                <w:highlight w:val="none"/>
              </w:rPr>
            </w:pPr>
            <w:r>
              <w:rPr>
                <w:sz w:val="24"/>
                <w:highlight w:val="none"/>
              </w:rPr>
              <w:t>采购</w:t>
            </w:r>
            <w:r>
              <w:rPr>
                <w:rFonts w:hint="eastAsia"/>
                <w:sz w:val="24"/>
                <w:highlight w:val="none"/>
              </w:rPr>
              <w:t xml:space="preserve">  </w:t>
            </w:r>
            <w:r>
              <w:rPr>
                <w:sz w:val="24"/>
                <w:highlight w:val="none"/>
              </w:rPr>
              <w:t>单</w:t>
            </w:r>
            <w:r>
              <w:rPr>
                <w:rFonts w:hint="eastAsia"/>
                <w:sz w:val="24"/>
                <w:highlight w:val="none"/>
              </w:rPr>
              <w:t xml:space="preserve">  </w:t>
            </w:r>
            <w:r>
              <w:rPr>
                <w:sz w:val="24"/>
                <w:highlight w:val="none"/>
              </w:rPr>
              <w:t>位</w:t>
            </w:r>
          </w:p>
        </w:tc>
        <w:tc>
          <w:tcPr>
            <w:tcW w:w="2500" w:type="dxa"/>
            <w:tcBorders>
              <w:top w:val="single" w:color="auto" w:sz="4" w:space="0"/>
              <w:left w:val="single" w:color="auto" w:sz="4" w:space="0"/>
              <w:bottom w:val="single" w:color="auto" w:sz="4" w:space="0"/>
              <w:right w:val="single" w:color="auto" w:sz="4" w:space="0"/>
            </w:tcBorders>
            <w:vAlign w:val="center"/>
          </w:tcPr>
          <w:p w14:paraId="22C0064C">
            <w:pPr>
              <w:rPr>
                <w:sz w:val="24"/>
                <w:highlight w:val="none"/>
              </w:rPr>
            </w:pPr>
            <w:r>
              <w:rPr>
                <w:rFonts w:hint="eastAsia"/>
                <w:sz w:val="24"/>
                <w:highlight w:val="none"/>
                <w:lang w:val="en-US" w:eastAsia="zh-CN"/>
              </w:rPr>
              <w:t>名称</w:t>
            </w:r>
          </w:p>
        </w:tc>
        <w:tc>
          <w:tcPr>
            <w:tcW w:w="6063" w:type="dxa"/>
            <w:tcBorders>
              <w:top w:val="single" w:color="auto" w:sz="4" w:space="0"/>
              <w:left w:val="single" w:color="auto" w:sz="4" w:space="0"/>
              <w:bottom w:val="single" w:color="auto" w:sz="4" w:space="0"/>
              <w:right w:val="single" w:color="auto" w:sz="4" w:space="0"/>
            </w:tcBorders>
            <w:vAlign w:val="center"/>
          </w:tcPr>
          <w:p w14:paraId="3BBE66E1">
            <w:pPr>
              <w:rPr>
                <w:sz w:val="24"/>
                <w:highlight w:val="none"/>
              </w:rPr>
            </w:pPr>
            <w:r>
              <w:rPr>
                <w:rFonts w:hint="eastAsia" w:ascii="宋体" w:hAnsi="宋体" w:cs="宋体"/>
                <w:i w:val="0"/>
                <w:iCs w:val="0"/>
                <w:caps w:val="0"/>
                <w:color w:val="000000"/>
                <w:spacing w:val="0"/>
                <w:sz w:val="24"/>
                <w:szCs w:val="24"/>
                <w:highlight w:val="none"/>
                <w:shd w:val="clear" w:fill="FFFFFF"/>
                <w:lang w:val="en-US" w:eastAsia="zh-CN"/>
              </w:rPr>
              <w:t>南京市江宁区人民政府淳化街道办事处</w:t>
            </w:r>
          </w:p>
        </w:tc>
      </w:tr>
      <w:tr w14:paraId="370E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49" w:type="dxa"/>
            <w:vMerge w:val="continue"/>
            <w:tcBorders>
              <w:left w:val="single" w:color="auto" w:sz="4" w:space="0"/>
              <w:right w:val="single" w:color="auto" w:sz="4" w:space="0"/>
            </w:tcBorders>
            <w:vAlign w:val="center"/>
          </w:tcPr>
          <w:p w14:paraId="76B095D5">
            <w:pPr>
              <w:spacing w:line="440" w:lineRule="exact"/>
              <w:jc w:val="center"/>
              <w:rPr>
                <w:sz w:val="24"/>
                <w:highlight w:val="none"/>
              </w:rPr>
            </w:pPr>
          </w:p>
        </w:tc>
        <w:tc>
          <w:tcPr>
            <w:tcW w:w="919" w:type="dxa"/>
            <w:vMerge w:val="continue"/>
            <w:tcBorders>
              <w:left w:val="single" w:color="auto" w:sz="4" w:space="0"/>
              <w:right w:val="single" w:color="auto" w:sz="4" w:space="0"/>
            </w:tcBorders>
            <w:vAlign w:val="center"/>
          </w:tcPr>
          <w:p w14:paraId="6F71107A">
            <w:pPr>
              <w:spacing w:line="440" w:lineRule="exact"/>
              <w:jc w:val="center"/>
              <w:rPr>
                <w:sz w:val="24"/>
                <w:highlight w:val="none"/>
              </w:rPr>
            </w:pPr>
          </w:p>
        </w:tc>
        <w:tc>
          <w:tcPr>
            <w:tcW w:w="957" w:type="dxa"/>
            <w:vMerge w:val="continue"/>
            <w:tcBorders>
              <w:left w:val="single" w:color="auto" w:sz="4" w:space="0"/>
              <w:bottom w:val="single" w:color="auto" w:sz="4" w:space="0"/>
              <w:right w:val="single" w:color="auto" w:sz="4" w:space="0"/>
            </w:tcBorders>
            <w:vAlign w:val="center"/>
          </w:tcPr>
          <w:p w14:paraId="5F91FB26">
            <w:pPr>
              <w:spacing w:line="440" w:lineRule="exact"/>
              <w:rPr>
                <w:sz w:val="24"/>
                <w:highlight w:val="none"/>
              </w:rPr>
            </w:pPr>
          </w:p>
        </w:tc>
        <w:tc>
          <w:tcPr>
            <w:tcW w:w="2500" w:type="dxa"/>
            <w:tcBorders>
              <w:top w:val="single" w:color="auto" w:sz="4" w:space="0"/>
              <w:left w:val="single" w:color="auto" w:sz="4" w:space="0"/>
              <w:bottom w:val="single" w:color="auto" w:sz="4" w:space="0"/>
              <w:right w:val="single" w:color="auto" w:sz="4" w:space="0"/>
            </w:tcBorders>
            <w:vAlign w:val="center"/>
          </w:tcPr>
          <w:p w14:paraId="7E5CD11E">
            <w:pPr>
              <w:rPr>
                <w:sz w:val="24"/>
                <w:highlight w:val="none"/>
              </w:rPr>
            </w:pPr>
            <w:r>
              <w:rPr>
                <w:rFonts w:hint="eastAsia"/>
                <w:sz w:val="24"/>
                <w:highlight w:val="none"/>
                <w:lang w:val="en-US" w:eastAsia="zh-CN"/>
              </w:rPr>
              <w:t>地址</w:t>
            </w:r>
          </w:p>
        </w:tc>
        <w:tc>
          <w:tcPr>
            <w:tcW w:w="6063" w:type="dxa"/>
            <w:tcBorders>
              <w:top w:val="single" w:color="auto" w:sz="4" w:space="0"/>
              <w:left w:val="single" w:color="auto" w:sz="4" w:space="0"/>
              <w:bottom w:val="single" w:color="auto" w:sz="4" w:space="0"/>
              <w:right w:val="single" w:color="auto" w:sz="4" w:space="0"/>
            </w:tcBorders>
            <w:vAlign w:val="center"/>
          </w:tcPr>
          <w:p w14:paraId="49CF76D1">
            <w:pPr>
              <w:rPr>
                <w:sz w:val="24"/>
                <w:highlight w:val="none"/>
              </w:rPr>
            </w:pPr>
            <w:r>
              <w:rPr>
                <w:rFonts w:hint="eastAsia" w:ascii="宋体" w:hAnsi="宋体" w:cs="宋体"/>
                <w:i w:val="0"/>
                <w:iCs w:val="0"/>
                <w:caps w:val="0"/>
                <w:color w:val="000000"/>
                <w:spacing w:val="0"/>
                <w:sz w:val="24"/>
                <w:szCs w:val="24"/>
                <w:highlight w:val="none"/>
                <w:shd w:val="clear" w:fill="FFFFFF"/>
                <w:lang w:val="en-US" w:eastAsia="zh-CN"/>
              </w:rPr>
              <w:t>江苏省南京市江宁区淳化街道</w:t>
            </w:r>
          </w:p>
        </w:tc>
      </w:tr>
      <w:tr w14:paraId="053B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49" w:type="dxa"/>
            <w:vMerge w:val="continue"/>
            <w:tcBorders>
              <w:left w:val="single" w:color="auto" w:sz="4" w:space="0"/>
              <w:right w:val="single" w:color="auto" w:sz="4" w:space="0"/>
            </w:tcBorders>
            <w:vAlign w:val="center"/>
          </w:tcPr>
          <w:p w14:paraId="2F408565">
            <w:pPr>
              <w:spacing w:line="440" w:lineRule="exact"/>
              <w:jc w:val="center"/>
              <w:rPr>
                <w:sz w:val="24"/>
                <w:highlight w:val="none"/>
              </w:rPr>
            </w:pPr>
          </w:p>
        </w:tc>
        <w:tc>
          <w:tcPr>
            <w:tcW w:w="919" w:type="dxa"/>
            <w:vMerge w:val="continue"/>
            <w:tcBorders>
              <w:left w:val="single" w:color="auto" w:sz="4" w:space="0"/>
              <w:right w:val="single" w:color="auto" w:sz="4" w:space="0"/>
            </w:tcBorders>
            <w:vAlign w:val="center"/>
          </w:tcPr>
          <w:p w14:paraId="594A48E2">
            <w:pPr>
              <w:spacing w:line="440" w:lineRule="exact"/>
              <w:jc w:val="center"/>
              <w:rPr>
                <w:sz w:val="24"/>
                <w:highlight w:val="none"/>
              </w:rPr>
            </w:pPr>
          </w:p>
        </w:tc>
        <w:tc>
          <w:tcPr>
            <w:tcW w:w="957" w:type="dxa"/>
            <w:vMerge w:val="restart"/>
            <w:tcBorders>
              <w:top w:val="single" w:color="auto" w:sz="4" w:space="0"/>
              <w:left w:val="single" w:color="auto" w:sz="4" w:space="0"/>
              <w:right w:val="single" w:color="auto" w:sz="4" w:space="0"/>
            </w:tcBorders>
            <w:vAlign w:val="center"/>
          </w:tcPr>
          <w:p w14:paraId="11DAF419">
            <w:pPr>
              <w:jc w:val="center"/>
              <w:rPr>
                <w:sz w:val="24"/>
                <w:highlight w:val="none"/>
              </w:rPr>
            </w:pPr>
            <w:r>
              <w:rPr>
                <w:rFonts w:hint="eastAsia"/>
                <w:sz w:val="24"/>
                <w:highlight w:val="none"/>
              </w:rPr>
              <w:t>采购代理机构</w:t>
            </w:r>
          </w:p>
        </w:tc>
        <w:tc>
          <w:tcPr>
            <w:tcW w:w="2500" w:type="dxa"/>
            <w:tcBorders>
              <w:top w:val="single" w:color="auto" w:sz="4" w:space="0"/>
              <w:left w:val="single" w:color="auto" w:sz="4" w:space="0"/>
              <w:bottom w:val="single" w:color="auto" w:sz="4" w:space="0"/>
              <w:right w:val="single" w:color="auto" w:sz="4" w:space="0"/>
            </w:tcBorders>
            <w:vAlign w:val="center"/>
          </w:tcPr>
          <w:p w14:paraId="17D32F70">
            <w:pPr>
              <w:rPr>
                <w:sz w:val="24"/>
                <w:highlight w:val="none"/>
              </w:rPr>
            </w:pPr>
            <w:r>
              <w:rPr>
                <w:sz w:val="24"/>
                <w:highlight w:val="none"/>
              </w:rPr>
              <w:t>联系人</w:t>
            </w:r>
          </w:p>
        </w:tc>
        <w:tc>
          <w:tcPr>
            <w:tcW w:w="6063" w:type="dxa"/>
            <w:tcBorders>
              <w:top w:val="single" w:color="auto" w:sz="4" w:space="0"/>
              <w:left w:val="single" w:color="auto" w:sz="4" w:space="0"/>
              <w:bottom w:val="single" w:color="auto" w:sz="4" w:space="0"/>
              <w:right w:val="single" w:color="auto" w:sz="4" w:space="0"/>
            </w:tcBorders>
            <w:vAlign w:val="center"/>
          </w:tcPr>
          <w:p w14:paraId="1BCF92B0">
            <w:pPr>
              <w:pStyle w:val="22"/>
              <w:rPr>
                <w:sz w:val="24"/>
                <w:szCs w:val="24"/>
                <w:highlight w:val="none"/>
              </w:rPr>
            </w:pPr>
            <w:r>
              <w:rPr>
                <w:rFonts w:hint="eastAsia"/>
                <w:sz w:val="24"/>
                <w:szCs w:val="24"/>
                <w:highlight w:val="none"/>
                <w:lang w:val="en-US" w:eastAsia="zh-CN"/>
              </w:rPr>
              <w:t>姜激扬</w:t>
            </w:r>
          </w:p>
        </w:tc>
      </w:tr>
      <w:tr w14:paraId="4608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9" w:type="dxa"/>
            <w:vMerge w:val="continue"/>
            <w:tcBorders>
              <w:left w:val="single" w:color="auto" w:sz="4" w:space="0"/>
              <w:right w:val="single" w:color="auto" w:sz="4" w:space="0"/>
            </w:tcBorders>
            <w:vAlign w:val="center"/>
          </w:tcPr>
          <w:p w14:paraId="49C167B6">
            <w:pPr>
              <w:widowControl/>
              <w:jc w:val="left"/>
              <w:rPr>
                <w:sz w:val="24"/>
                <w:highlight w:val="none"/>
              </w:rPr>
            </w:pPr>
          </w:p>
        </w:tc>
        <w:tc>
          <w:tcPr>
            <w:tcW w:w="919" w:type="dxa"/>
            <w:vMerge w:val="continue"/>
            <w:tcBorders>
              <w:left w:val="single" w:color="auto" w:sz="4" w:space="0"/>
              <w:right w:val="single" w:color="auto" w:sz="4" w:space="0"/>
            </w:tcBorders>
            <w:vAlign w:val="center"/>
          </w:tcPr>
          <w:p w14:paraId="1BB490F4">
            <w:pPr>
              <w:widowControl/>
              <w:jc w:val="left"/>
              <w:rPr>
                <w:sz w:val="24"/>
                <w:highlight w:val="none"/>
              </w:rPr>
            </w:pPr>
          </w:p>
        </w:tc>
        <w:tc>
          <w:tcPr>
            <w:tcW w:w="957" w:type="dxa"/>
            <w:vMerge w:val="continue"/>
            <w:tcBorders>
              <w:left w:val="single" w:color="auto" w:sz="4" w:space="0"/>
              <w:right w:val="single" w:color="auto" w:sz="4" w:space="0"/>
            </w:tcBorders>
            <w:vAlign w:val="center"/>
          </w:tcPr>
          <w:p w14:paraId="7929A054">
            <w:pPr>
              <w:widowControl/>
              <w:rPr>
                <w:sz w:val="24"/>
                <w:highlight w:val="none"/>
              </w:rPr>
            </w:pPr>
          </w:p>
        </w:tc>
        <w:tc>
          <w:tcPr>
            <w:tcW w:w="2500" w:type="dxa"/>
            <w:tcBorders>
              <w:top w:val="single" w:color="auto" w:sz="4" w:space="0"/>
              <w:left w:val="single" w:color="auto" w:sz="4" w:space="0"/>
              <w:bottom w:val="single" w:color="auto" w:sz="4" w:space="0"/>
              <w:right w:val="single" w:color="auto" w:sz="4" w:space="0"/>
            </w:tcBorders>
            <w:vAlign w:val="center"/>
          </w:tcPr>
          <w:p w14:paraId="4CF89F7D">
            <w:pPr>
              <w:rPr>
                <w:sz w:val="24"/>
                <w:highlight w:val="none"/>
              </w:rPr>
            </w:pPr>
            <w:r>
              <w:rPr>
                <w:sz w:val="24"/>
                <w:highlight w:val="none"/>
              </w:rPr>
              <w:t>联系电话</w:t>
            </w:r>
          </w:p>
        </w:tc>
        <w:tc>
          <w:tcPr>
            <w:tcW w:w="6063" w:type="dxa"/>
            <w:tcBorders>
              <w:top w:val="single" w:color="auto" w:sz="4" w:space="0"/>
              <w:left w:val="single" w:color="auto" w:sz="4" w:space="0"/>
              <w:bottom w:val="single" w:color="auto" w:sz="4" w:space="0"/>
              <w:right w:val="single" w:color="auto" w:sz="4" w:space="0"/>
            </w:tcBorders>
            <w:vAlign w:val="center"/>
          </w:tcPr>
          <w:p w14:paraId="790B6AAE">
            <w:pPr>
              <w:pStyle w:val="22"/>
              <w:rPr>
                <w:sz w:val="24"/>
                <w:szCs w:val="24"/>
                <w:highlight w:val="none"/>
              </w:rPr>
            </w:pPr>
            <w:r>
              <w:rPr>
                <w:rFonts w:hint="eastAsia" w:ascii="宋体" w:hAnsi="宋体" w:cs="宋体"/>
                <w:kern w:val="2"/>
                <w:sz w:val="24"/>
                <w:szCs w:val="24"/>
                <w:highlight w:val="none"/>
                <w:lang w:val="en-US" w:eastAsia="zh-CN" w:bidi="ar-SA"/>
              </w:rPr>
              <w:t>13776545772</w:t>
            </w:r>
          </w:p>
        </w:tc>
      </w:tr>
    </w:tbl>
    <w:p w14:paraId="4F4DD83A">
      <w:pPr>
        <w:autoSpaceDE w:val="0"/>
        <w:autoSpaceDN w:val="0"/>
        <w:adjustRightInd w:val="0"/>
        <w:spacing w:line="360" w:lineRule="auto"/>
        <w:outlineLvl w:val="1"/>
        <w:rPr>
          <w:b/>
          <w:bCs/>
          <w:sz w:val="24"/>
          <w:highlight w:val="none"/>
          <w:lang w:val="zh-CN"/>
        </w:rPr>
      </w:pPr>
      <w:bookmarkStart w:id="45" w:name="_Toc9933250"/>
      <w:bookmarkStart w:id="46" w:name="_Toc43217787"/>
      <w:bookmarkStart w:id="47" w:name="_Toc22383"/>
      <w:r>
        <w:rPr>
          <w:b/>
          <w:bCs/>
          <w:sz w:val="24"/>
          <w:highlight w:val="none"/>
          <w:lang w:val="zh-CN"/>
        </w:rPr>
        <w:br w:type="page"/>
      </w:r>
      <w:r>
        <w:rPr>
          <w:b/>
          <w:bCs/>
          <w:sz w:val="24"/>
          <w:highlight w:val="none"/>
          <w:lang w:val="zh-CN"/>
        </w:rPr>
        <w:t>一、总则</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86D06BA">
      <w:pPr>
        <w:autoSpaceDE w:val="0"/>
        <w:autoSpaceDN w:val="0"/>
        <w:adjustRightInd w:val="0"/>
        <w:ind w:firstLine="482" w:firstLineChars="200"/>
        <w:rPr>
          <w:b/>
          <w:sz w:val="24"/>
          <w:highlight w:val="none"/>
          <w:lang w:val="zh-CN"/>
        </w:rPr>
      </w:pPr>
      <w:r>
        <w:rPr>
          <w:b/>
          <w:sz w:val="24"/>
          <w:highlight w:val="none"/>
          <w:lang w:val="zh-CN"/>
        </w:rPr>
        <w:t>1.适用法律</w:t>
      </w:r>
    </w:p>
    <w:p w14:paraId="09A80FB9">
      <w:pPr>
        <w:ind w:firstLine="480" w:firstLineChars="200"/>
        <w:rPr>
          <w:rFonts w:ascii="宋体" w:hAnsi="宋体"/>
          <w:sz w:val="24"/>
          <w:highlight w:val="none"/>
          <w:lang w:val="zh-CN"/>
        </w:rPr>
      </w:pPr>
      <w:r>
        <w:rPr>
          <w:rFonts w:hint="eastAsia" w:ascii="宋体" w:hAnsi="宋体"/>
          <w:sz w:val="24"/>
          <w:highlight w:val="none"/>
          <w:lang w:val="zh-CN"/>
        </w:rPr>
        <w:t>1.1 《中华人民共和国政府采购法》、《中华人民共和国政府采购法实施条例》、《政府采购竞争性磋商采购方式管理暂行办法》等有关法律、规章和规定等。</w:t>
      </w:r>
    </w:p>
    <w:p w14:paraId="0F6FF351">
      <w:pPr>
        <w:autoSpaceDE w:val="0"/>
        <w:autoSpaceDN w:val="0"/>
        <w:adjustRightInd w:val="0"/>
        <w:ind w:firstLine="482" w:firstLineChars="200"/>
        <w:rPr>
          <w:b/>
          <w:sz w:val="24"/>
          <w:highlight w:val="none"/>
          <w:lang w:val="zh-CN"/>
        </w:rPr>
      </w:pPr>
      <w:r>
        <w:rPr>
          <w:b/>
          <w:sz w:val="24"/>
          <w:highlight w:val="none"/>
          <w:lang w:val="zh-CN"/>
        </w:rPr>
        <w:t>2</w:t>
      </w:r>
      <w:r>
        <w:rPr>
          <w:rFonts w:hint="eastAsia"/>
          <w:b/>
          <w:sz w:val="24"/>
          <w:highlight w:val="none"/>
        </w:rPr>
        <w:t>.</w:t>
      </w:r>
      <w:r>
        <w:rPr>
          <w:b/>
          <w:sz w:val="24"/>
          <w:highlight w:val="none"/>
          <w:lang w:val="zh-CN"/>
        </w:rPr>
        <w:t>定义</w:t>
      </w:r>
    </w:p>
    <w:p w14:paraId="54D62C5D">
      <w:pPr>
        <w:ind w:firstLine="480" w:firstLineChars="200"/>
        <w:rPr>
          <w:rFonts w:ascii="宋体" w:hAnsi="宋体"/>
          <w:sz w:val="24"/>
          <w:highlight w:val="none"/>
          <w:lang w:val="zh-CN"/>
        </w:rPr>
      </w:pPr>
      <w:r>
        <w:rPr>
          <w:rFonts w:hint="eastAsia" w:ascii="宋体" w:hAnsi="宋体"/>
          <w:sz w:val="24"/>
          <w:highlight w:val="none"/>
          <w:lang w:val="zh-CN"/>
        </w:rPr>
        <w:t>2.1 “供应商”是指参加投标竞争，并符合采购文件规定资格条件的法人、其他组织或者自然人。</w:t>
      </w:r>
    </w:p>
    <w:p w14:paraId="3770BFA1">
      <w:pPr>
        <w:ind w:firstLine="480" w:firstLineChars="200"/>
        <w:rPr>
          <w:rFonts w:ascii="宋体" w:hAnsi="宋体"/>
          <w:sz w:val="24"/>
          <w:highlight w:val="none"/>
          <w:lang w:val="zh-CN"/>
        </w:rPr>
      </w:pPr>
      <w:r>
        <w:rPr>
          <w:rFonts w:hint="eastAsia" w:ascii="宋体" w:hAnsi="宋体"/>
          <w:sz w:val="24"/>
          <w:highlight w:val="none"/>
          <w:lang w:val="zh-CN"/>
        </w:rPr>
        <w:t>2.2 “产品”指本采购文件中所述产品及相关服务。</w:t>
      </w:r>
    </w:p>
    <w:p w14:paraId="7B746724">
      <w:pPr>
        <w:ind w:firstLine="480" w:firstLineChars="200"/>
        <w:rPr>
          <w:rFonts w:ascii="宋体" w:hAnsi="宋体"/>
          <w:sz w:val="24"/>
          <w:highlight w:val="none"/>
          <w:lang w:val="zh-CN"/>
        </w:rPr>
      </w:pPr>
      <w:r>
        <w:rPr>
          <w:rFonts w:hint="eastAsia" w:ascii="宋体" w:hAnsi="宋体"/>
          <w:sz w:val="24"/>
          <w:highlight w:val="none"/>
          <w:lang w:val="zh-CN"/>
        </w:rPr>
        <w:t>2.3 “用户或使用单位”是指使用服务的单位。</w:t>
      </w:r>
    </w:p>
    <w:p w14:paraId="3BA5C03F">
      <w:pPr>
        <w:autoSpaceDE w:val="0"/>
        <w:autoSpaceDN w:val="0"/>
        <w:adjustRightInd w:val="0"/>
        <w:ind w:firstLine="420"/>
        <w:rPr>
          <w:b/>
          <w:sz w:val="24"/>
          <w:highlight w:val="none"/>
          <w:lang w:val="zh-CN"/>
        </w:rPr>
      </w:pPr>
      <w:r>
        <w:rPr>
          <w:b/>
          <w:sz w:val="24"/>
          <w:highlight w:val="none"/>
          <w:lang w:val="zh-CN"/>
        </w:rPr>
        <w:t>3</w:t>
      </w:r>
      <w:r>
        <w:rPr>
          <w:rFonts w:hint="eastAsia"/>
          <w:b/>
          <w:sz w:val="24"/>
          <w:highlight w:val="none"/>
        </w:rPr>
        <w:t>.</w:t>
      </w:r>
      <w:r>
        <w:rPr>
          <w:b/>
          <w:sz w:val="24"/>
          <w:highlight w:val="none"/>
          <w:lang w:val="zh-CN"/>
        </w:rPr>
        <w:t>政策功能</w:t>
      </w:r>
    </w:p>
    <w:p w14:paraId="60CD0794">
      <w:pPr>
        <w:ind w:firstLine="480" w:firstLineChars="200"/>
        <w:rPr>
          <w:rFonts w:ascii="宋体" w:hAnsi="宋体"/>
          <w:sz w:val="24"/>
          <w:highlight w:val="none"/>
          <w:lang w:val="zh-CN"/>
        </w:rPr>
      </w:pPr>
      <w:r>
        <w:rPr>
          <w:rFonts w:hint="eastAsia" w:ascii="宋体" w:hAnsi="宋体"/>
          <w:sz w:val="24"/>
          <w:highlight w:val="none"/>
          <w:lang w:val="zh-CN"/>
        </w:rPr>
        <w:t>本项目整体专门面向中小型（含微型）企业。参加磋商的中小企业，应当提供《中小企业声明函》（“中小企业划型标准”详《关于印发中小企业划型标准规定的通知》工信部联企业〔2011〕300号）。其他具体详磋商文件第四章。</w:t>
      </w:r>
    </w:p>
    <w:p w14:paraId="34A898AD">
      <w:pPr>
        <w:autoSpaceDE w:val="0"/>
        <w:autoSpaceDN w:val="0"/>
        <w:adjustRightInd w:val="0"/>
        <w:ind w:firstLine="482" w:firstLineChars="200"/>
        <w:rPr>
          <w:b/>
          <w:sz w:val="24"/>
          <w:highlight w:val="none"/>
          <w:lang w:val="zh-CN"/>
        </w:rPr>
      </w:pPr>
      <w:r>
        <w:rPr>
          <w:rFonts w:hint="eastAsia" w:ascii="宋体" w:hAnsi="宋体" w:cs="宋体"/>
          <w:b/>
          <w:sz w:val="24"/>
          <w:highlight w:val="none"/>
          <w:lang w:val="zh-CN"/>
        </w:rPr>
        <w:t>4.</w:t>
      </w:r>
      <w:r>
        <w:rPr>
          <w:b/>
          <w:sz w:val="24"/>
          <w:highlight w:val="none"/>
          <w:lang w:val="zh-CN"/>
        </w:rPr>
        <w:t>参与竞争性磋商供应商资格条件</w:t>
      </w:r>
    </w:p>
    <w:p w14:paraId="42F5EB81">
      <w:pPr>
        <w:autoSpaceDE w:val="0"/>
        <w:autoSpaceDN w:val="0"/>
        <w:adjustRightInd w:val="0"/>
        <w:ind w:firstLine="482" w:firstLineChars="200"/>
        <w:rPr>
          <w:b/>
          <w:sz w:val="24"/>
          <w:highlight w:val="none"/>
        </w:rPr>
      </w:pPr>
      <w:r>
        <w:rPr>
          <w:rFonts w:hint="eastAsia"/>
          <w:b/>
          <w:sz w:val="24"/>
          <w:highlight w:val="none"/>
        </w:rPr>
        <w:t>（一）满足《中华人民共和国政府采购法》第二十二条规定；</w:t>
      </w:r>
    </w:p>
    <w:p w14:paraId="4ACE700D">
      <w:pPr>
        <w:ind w:firstLine="480" w:firstLineChars="200"/>
        <w:rPr>
          <w:rFonts w:hint="eastAsia" w:ascii="宋体" w:hAnsi="宋体" w:eastAsia="宋体" w:cs="宋体"/>
          <w:color w:val="000000"/>
          <w:sz w:val="24"/>
          <w:highlight w:val="none"/>
          <w:shd w:val="clear" w:color="auto" w:fill="FFFFFF"/>
          <w:lang w:val="zh-CN" w:eastAsia="zh-CN"/>
        </w:rPr>
      </w:pPr>
      <w:r>
        <w:rPr>
          <w:rFonts w:hint="eastAsia" w:ascii="宋体" w:hAnsi="宋体" w:eastAsia="宋体" w:cs="宋体"/>
          <w:color w:val="000000"/>
          <w:sz w:val="24"/>
          <w:highlight w:val="none"/>
          <w:shd w:val="clear" w:color="auto" w:fill="FFFFFF"/>
          <w:lang w:val="en-US" w:eastAsia="zh-CN"/>
        </w:rPr>
        <w:t>1、</w:t>
      </w:r>
      <w:r>
        <w:rPr>
          <w:rFonts w:hint="eastAsia" w:ascii="宋体" w:hAnsi="宋体" w:eastAsia="宋体" w:cs="宋体"/>
          <w:color w:val="000000"/>
          <w:sz w:val="24"/>
          <w:highlight w:val="none"/>
          <w:shd w:val="clear" w:color="auto" w:fill="FFFFFF"/>
          <w:lang w:val="zh-CN" w:eastAsia="zh-CN"/>
        </w:rPr>
        <w:t>具有独立承担民事责任的能力（提供法人或者其他组织的营业执照，自然人的身份证明，复印件加盖公章）；</w:t>
      </w:r>
    </w:p>
    <w:p w14:paraId="15D63B43">
      <w:pPr>
        <w:ind w:firstLine="480" w:firstLineChars="200"/>
        <w:rPr>
          <w:rFonts w:hint="eastAsia" w:ascii="宋体" w:hAnsi="宋体" w:eastAsia="宋体" w:cs="宋体"/>
          <w:color w:val="000000"/>
          <w:sz w:val="24"/>
          <w:highlight w:val="none"/>
          <w:shd w:val="clear" w:color="auto" w:fill="FFFFFF"/>
          <w:lang w:val="zh-CN" w:eastAsia="zh-CN"/>
        </w:rPr>
      </w:pPr>
      <w:r>
        <w:rPr>
          <w:rFonts w:hint="eastAsia" w:ascii="宋体" w:hAnsi="宋体" w:eastAsia="宋体" w:cs="宋体"/>
          <w:color w:val="000000"/>
          <w:sz w:val="24"/>
          <w:highlight w:val="none"/>
          <w:shd w:val="clear" w:color="auto" w:fill="FFFFFF"/>
          <w:lang w:val="en-US" w:eastAsia="zh-CN"/>
        </w:rPr>
        <w:t>2、</w:t>
      </w:r>
      <w:r>
        <w:rPr>
          <w:rFonts w:hint="eastAsia" w:ascii="宋体" w:hAnsi="宋体" w:eastAsia="宋体" w:cs="宋体"/>
          <w:color w:val="000000"/>
          <w:sz w:val="24"/>
          <w:highlight w:val="none"/>
          <w:shd w:val="clear" w:color="auto" w:fill="FFFFFF"/>
          <w:lang w:val="zh-CN" w:eastAsia="zh-CN"/>
        </w:rPr>
        <w:t>具有良好的商业信誉和健全的财务会计制度（</w:t>
      </w:r>
      <w:r>
        <w:rPr>
          <w:rFonts w:hint="eastAsia" w:ascii="宋体" w:hAnsi="宋体" w:cs="宋体"/>
          <w:color w:val="000000"/>
          <w:sz w:val="24"/>
          <w:highlight w:val="none"/>
          <w:shd w:val="clear" w:color="auto" w:fill="FFFFFF"/>
          <w:lang w:val="zh-CN" w:eastAsia="zh-CN"/>
        </w:rPr>
        <w:t>提供2026年以来任意一个月的资产负债表和利润表</w:t>
      </w:r>
      <w:r>
        <w:rPr>
          <w:rFonts w:hint="eastAsia" w:ascii="宋体" w:hAnsi="宋体" w:eastAsia="宋体" w:cs="宋体"/>
          <w:color w:val="000000"/>
          <w:sz w:val="24"/>
          <w:highlight w:val="none"/>
          <w:shd w:val="clear" w:color="auto" w:fill="FFFFFF"/>
          <w:lang w:val="zh-CN" w:eastAsia="zh-CN"/>
        </w:rPr>
        <w:t>，复印件加盖公章）；</w:t>
      </w:r>
    </w:p>
    <w:p w14:paraId="3214E550">
      <w:pPr>
        <w:ind w:firstLine="480" w:firstLineChars="200"/>
        <w:rPr>
          <w:rFonts w:hint="eastAsia" w:ascii="宋体" w:hAnsi="宋体" w:eastAsia="宋体" w:cs="宋体"/>
          <w:color w:val="000000"/>
          <w:sz w:val="24"/>
          <w:highlight w:val="none"/>
          <w:shd w:val="clear" w:color="auto" w:fill="FFFFFF"/>
          <w:lang w:val="zh-CN" w:eastAsia="zh-CN"/>
        </w:rPr>
      </w:pPr>
      <w:r>
        <w:rPr>
          <w:rFonts w:hint="eastAsia" w:ascii="宋体" w:hAnsi="宋体" w:eastAsia="宋体" w:cs="宋体"/>
          <w:color w:val="000000"/>
          <w:sz w:val="24"/>
          <w:highlight w:val="none"/>
          <w:shd w:val="clear" w:color="auto" w:fill="FFFFFF"/>
          <w:lang w:val="en-US" w:eastAsia="zh-CN"/>
        </w:rPr>
        <w:t>3、</w:t>
      </w:r>
      <w:r>
        <w:rPr>
          <w:rFonts w:hint="eastAsia" w:ascii="宋体" w:hAnsi="宋体" w:eastAsia="宋体" w:cs="宋体"/>
          <w:color w:val="000000"/>
          <w:sz w:val="24"/>
          <w:highlight w:val="none"/>
          <w:shd w:val="clear" w:color="auto" w:fill="FFFFFF"/>
          <w:lang w:val="zh-CN" w:eastAsia="zh-CN"/>
        </w:rPr>
        <w:t>具有履行合同所必需的设备和专业技术能力（根据项目需求提供履行合同所必需的设备和专业技术能力的证明材料，复印件加盖公章）；</w:t>
      </w:r>
    </w:p>
    <w:p w14:paraId="47698967">
      <w:pPr>
        <w:ind w:firstLine="480" w:firstLineChars="200"/>
        <w:rPr>
          <w:rFonts w:hint="eastAsia" w:ascii="宋体" w:hAnsi="宋体" w:eastAsia="宋体" w:cs="宋体"/>
          <w:color w:val="000000"/>
          <w:sz w:val="24"/>
          <w:highlight w:val="none"/>
          <w:shd w:val="clear" w:color="auto" w:fill="FFFFFF"/>
          <w:lang w:val="zh-CN" w:eastAsia="zh-CN"/>
        </w:rPr>
      </w:pPr>
      <w:r>
        <w:rPr>
          <w:rFonts w:hint="eastAsia" w:ascii="宋体" w:hAnsi="宋体" w:eastAsia="宋体" w:cs="宋体"/>
          <w:color w:val="000000"/>
          <w:sz w:val="24"/>
          <w:highlight w:val="none"/>
          <w:shd w:val="clear" w:color="auto" w:fill="FFFFFF"/>
          <w:lang w:val="en-US" w:eastAsia="zh-CN"/>
        </w:rPr>
        <w:t>4、</w:t>
      </w:r>
      <w:r>
        <w:rPr>
          <w:rFonts w:hint="eastAsia" w:ascii="宋体" w:hAnsi="宋体" w:eastAsia="宋体" w:cs="宋体"/>
          <w:color w:val="000000"/>
          <w:sz w:val="24"/>
          <w:highlight w:val="none"/>
          <w:shd w:val="clear" w:color="auto" w:fill="FFFFFF"/>
          <w:lang w:val="zh-CN" w:eastAsia="zh-CN"/>
        </w:rPr>
        <w:t>有依法缴纳税收和社会保障资金的良好记录（提供参加本次采购活动前半年内（至少一个月）依法缴纳税收和社会保障资金的相关资料，复印件加盖公章）；</w:t>
      </w:r>
    </w:p>
    <w:p w14:paraId="08C1680E">
      <w:pPr>
        <w:ind w:firstLine="480" w:firstLineChars="200"/>
        <w:rPr>
          <w:rFonts w:hint="eastAsia" w:ascii="宋体" w:hAnsi="宋体" w:eastAsia="宋体" w:cs="宋体"/>
          <w:color w:val="000000"/>
          <w:sz w:val="24"/>
          <w:highlight w:val="none"/>
          <w:shd w:val="clear" w:color="auto" w:fill="FFFFFF"/>
          <w:lang w:val="zh-CN" w:eastAsia="zh-CN"/>
        </w:rPr>
      </w:pPr>
      <w:r>
        <w:rPr>
          <w:rFonts w:hint="eastAsia" w:ascii="宋体" w:hAnsi="宋体" w:eastAsia="宋体" w:cs="宋体"/>
          <w:color w:val="000000"/>
          <w:sz w:val="24"/>
          <w:highlight w:val="none"/>
          <w:shd w:val="clear" w:color="auto" w:fill="FFFFFF"/>
          <w:lang w:val="en-US" w:eastAsia="zh-CN"/>
        </w:rPr>
        <w:t>5、</w:t>
      </w:r>
      <w:r>
        <w:rPr>
          <w:rFonts w:hint="eastAsia" w:ascii="宋体" w:hAnsi="宋体" w:eastAsia="宋体" w:cs="宋体"/>
          <w:color w:val="000000"/>
          <w:sz w:val="24"/>
          <w:highlight w:val="none"/>
          <w:shd w:val="clear" w:color="auto" w:fill="FFFFFF"/>
          <w:lang w:val="zh-CN" w:eastAsia="zh-CN"/>
        </w:rPr>
        <w:t>参加政府采购活动前三年内，在经营活动中没有重大违法记录（提供参加本次采购活动前 3 年内在经营活动中没有重大违法记录的书面声明的原件）；</w:t>
      </w:r>
    </w:p>
    <w:p w14:paraId="382FA345">
      <w:pPr>
        <w:ind w:firstLine="480" w:firstLineChars="200"/>
        <w:rPr>
          <w:rFonts w:hint="eastAsia" w:ascii="宋体" w:hAnsi="宋体" w:eastAsia="宋体" w:cs="宋体"/>
          <w:color w:val="000000"/>
          <w:sz w:val="24"/>
          <w:highlight w:val="none"/>
          <w:shd w:val="clear" w:color="auto" w:fill="FFFFFF"/>
          <w:lang w:val="zh-CN" w:eastAsia="zh-CN"/>
        </w:rPr>
      </w:pPr>
      <w:r>
        <w:rPr>
          <w:rFonts w:hint="eastAsia" w:ascii="宋体" w:hAnsi="宋体" w:eastAsia="宋体" w:cs="宋体"/>
          <w:color w:val="000000"/>
          <w:sz w:val="24"/>
          <w:highlight w:val="none"/>
          <w:shd w:val="clear" w:color="auto" w:fill="FFFFFF"/>
          <w:lang w:val="en-US" w:eastAsia="zh-CN"/>
        </w:rPr>
        <w:t>6、</w:t>
      </w:r>
      <w:r>
        <w:rPr>
          <w:rFonts w:hint="eastAsia" w:ascii="宋体" w:hAnsi="宋体" w:eastAsia="宋体" w:cs="宋体"/>
          <w:color w:val="000000"/>
          <w:sz w:val="24"/>
          <w:highlight w:val="none"/>
          <w:shd w:val="clear" w:color="auto" w:fill="FFFFFF"/>
          <w:lang w:val="zh-CN" w:eastAsia="zh-CN"/>
        </w:rPr>
        <w:t>法律、行政法规规定的其他条件（无）。</w:t>
      </w:r>
    </w:p>
    <w:p w14:paraId="00C94A4C">
      <w:pPr>
        <w:ind w:firstLine="480" w:firstLineChars="200"/>
        <w:rPr>
          <w:rFonts w:hint="eastAsia" w:ascii="宋体" w:hAnsi="宋体" w:eastAsia="宋体" w:cs="宋体"/>
          <w:color w:val="000000"/>
          <w:sz w:val="24"/>
          <w:highlight w:val="none"/>
          <w:shd w:val="clear" w:color="auto" w:fill="FFFFFF"/>
          <w:lang w:val="zh-CN" w:eastAsia="zh-CN"/>
        </w:rPr>
      </w:pPr>
      <w:r>
        <w:rPr>
          <w:rFonts w:hint="eastAsia" w:ascii="宋体" w:hAnsi="宋体" w:eastAsia="宋体" w:cs="宋体"/>
          <w:color w:val="000000"/>
          <w:sz w:val="24"/>
          <w:highlight w:val="none"/>
          <w:shd w:val="clear" w:color="auto" w:fill="FFFFFF"/>
          <w:lang w:val="zh-CN" w:eastAsia="zh-CN"/>
        </w:rPr>
        <w:t>注：依据南京市财政局“关于在政府采购中推行信用承诺制的通知”，供应商只需在资格审查环节针对以上</w:t>
      </w:r>
      <w:r>
        <w:rPr>
          <w:rFonts w:hint="eastAsia" w:ascii="宋体" w:hAnsi="宋体" w:eastAsia="宋体" w:cs="宋体"/>
          <w:color w:val="000000"/>
          <w:sz w:val="24"/>
          <w:highlight w:val="none"/>
          <w:shd w:val="clear" w:color="auto" w:fill="FFFFFF"/>
          <w:lang w:val="en-US" w:eastAsia="zh-CN"/>
        </w:rPr>
        <w:t>2-5</w:t>
      </w:r>
      <w:r>
        <w:rPr>
          <w:rFonts w:hint="eastAsia" w:ascii="宋体" w:hAnsi="宋体" w:eastAsia="宋体" w:cs="宋体"/>
          <w:color w:val="000000"/>
          <w:sz w:val="24"/>
          <w:highlight w:val="none"/>
          <w:shd w:val="clear" w:color="auto" w:fill="FFFFFF"/>
          <w:lang w:val="zh-CN" w:eastAsia="zh-CN"/>
        </w:rPr>
        <w:t>项提供满足相应条件的书面承诺书（南京市政府采购供应商信用记录表暨信用承诺书）。供应商在中标（成交）后，应按采购文件要求，将由信用承诺书替代的证明材料在7个工作日内提交采购人或采购代理机构核验。经核验无误后，由采购人或采购代理机构发出中标（成交）通知书；</w:t>
      </w:r>
    </w:p>
    <w:p w14:paraId="34FECC1B">
      <w:pPr>
        <w:ind w:firstLine="480" w:firstLineChars="200"/>
        <w:rPr>
          <w:rFonts w:hint="eastAsia" w:ascii="宋体" w:hAnsi="宋体" w:eastAsia="宋体" w:cs="宋体"/>
          <w:color w:val="000000"/>
          <w:sz w:val="24"/>
          <w:highlight w:val="none"/>
          <w:shd w:val="clear" w:color="auto" w:fill="FFFFFF"/>
          <w:lang w:val="zh-CN" w:eastAsia="zh-CN"/>
        </w:rPr>
      </w:pPr>
      <w:r>
        <w:rPr>
          <w:rFonts w:hint="eastAsia" w:ascii="宋体" w:hAnsi="宋体" w:eastAsia="宋体" w:cs="宋体"/>
          <w:color w:val="000000"/>
          <w:sz w:val="24"/>
          <w:highlight w:val="none"/>
          <w:shd w:val="clear" w:color="auto" w:fill="FFFFFF"/>
          <w:lang w:val="zh-CN" w:eastAsia="zh-CN"/>
        </w:rPr>
        <w:t>第一、确定排序后核查资质审查资料工作由代理机构负责完成，审核结果如实报备至采购人。</w:t>
      </w:r>
    </w:p>
    <w:p w14:paraId="17C2A32A">
      <w:pPr>
        <w:ind w:firstLine="480" w:firstLineChars="200"/>
        <w:rPr>
          <w:rFonts w:hint="eastAsia" w:ascii="宋体" w:hAnsi="宋体" w:eastAsia="宋体" w:cs="宋体"/>
          <w:color w:val="000000"/>
          <w:sz w:val="24"/>
          <w:highlight w:val="none"/>
          <w:shd w:val="clear" w:color="auto" w:fill="FFFFFF"/>
          <w:lang w:val="zh-CN" w:eastAsia="zh-CN"/>
        </w:rPr>
      </w:pPr>
      <w:r>
        <w:rPr>
          <w:rFonts w:hint="eastAsia" w:ascii="宋体" w:hAnsi="宋体" w:eastAsia="宋体" w:cs="宋体"/>
          <w:color w:val="000000"/>
          <w:sz w:val="24"/>
          <w:highlight w:val="none"/>
          <w:shd w:val="clear" w:color="auto" w:fill="FFFFFF"/>
          <w:lang w:val="zh-CN" w:eastAsia="zh-CN"/>
        </w:rPr>
        <w:t>第二、如排序第一名提供的文件存在问题，将按市财政局文件的处罚标准执行。</w:t>
      </w:r>
    </w:p>
    <w:p w14:paraId="29F80AD1">
      <w:pPr>
        <w:ind w:firstLine="480" w:firstLineChars="200"/>
        <w:rPr>
          <w:rFonts w:hint="eastAsia" w:ascii="宋体" w:hAnsi="宋体" w:eastAsia="宋体" w:cs="宋体"/>
          <w:color w:val="000000"/>
          <w:sz w:val="24"/>
          <w:highlight w:val="none"/>
          <w:shd w:val="clear" w:color="auto" w:fill="FFFFFF"/>
          <w:lang w:val="en-US" w:eastAsia="zh-CN"/>
        </w:rPr>
      </w:pPr>
      <w:r>
        <w:rPr>
          <w:rFonts w:hint="eastAsia" w:ascii="宋体" w:hAnsi="宋体" w:eastAsia="宋体" w:cs="宋体"/>
          <w:color w:val="000000"/>
          <w:sz w:val="24"/>
          <w:highlight w:val="none"/>
          <w:shd w:val="clear" w:color="auto" w:fill="FFFFFF"/>
          <w:lang w:val="zh-CN" w:eastAsia="zh-CN"/>
        </w:rPr>
        <w:t>第三、如第一名存在问题不能与采购人订立合同则由采购人或代理机构按照排序确定第二名为中标候选人或者由采购人重新组织招标。</w:t>
      </w:r>
    </w:p>
    <w:p w14:paraId="285DDEF2">
      <w:pPr>
        <w:numPr>
          <w:ilvl w:val="0"/>
          <w:numId w:val="0"/>
        </w:numPr>
        <w:ind w:firstLine="482" w:firstLineChars="200"/>
        <w:rPr>
          <w:rFonts w:hint="eastAsia" w:ascii="宋体" w:hAnsi="宋体" w:eastAsia="宋体" w:cs="宋体"/>
          <w:color w:val="000000"/>
          <w:sz w:val="24"/>
          <w:highlight w:val="none"/>
          <w:shd w:val="clear" w:color="auto" w:fill="FFFFFF"/>
          <w:lang w:val="en-US" w:eastAsia="zh-CN"/>
        </w:rPr>
      </w:pPr>
      <w:r>
        <w:rPr>
          <w:rFonts w:hint="eastAsia"/>
          <w:b/>
          <w:sz w:val="24"/>
          <w:highlight w:val="none"/>
        </w:rPr>
        <w:t>（二）</w:t>
      </w:r>
      <w:r>
        <w:rPr>
          <w:b/>
          <w:sz w:val="24"/>
          <w:highlight w:val="none"/>
        </w:rPr>
        <w:t>采购人根据采购项目的特殊要求规定的特定条件</w:t>
      </w:r>
      <w:r>
        <w:rPr>
          <w:rFonts w:hint="eastAsia"/>
          <w:b/>
          <w:sz w:val="24"/>
          <w:highlight w:val="none"/>
        </w:rPr>
        <w:t>：</w:t>
      </w:r>
      <w:r>
        <w:rPr>
          <w:rFonts w:hint="eastAsia" w:ascii="宋体" w:hAnsi="宋体" w:eastAsia="宋体" w:cs="宋体"/>
          <w:color w:val="000000"/>
          <w:sz w:val="24"/>
          <w:highlight w:val="none"/>
          <w:shd w:val="clear" w:color="auto" w:fill="FFFFFF"/>
          <w:lang w:val="zh-CN" w:eastAsia="zh-CN"/>
        </w:rPr>
        <w:t>具有</w:t>
      </w:r>
      <w:r>
        <w:rPr>
          <w:rFonts w:hint="eastAsia" w:ascii="宋体" w:hAnsi="宋体" w:eastAsia="宋体" w:cs="宋体"/>
          <w:color w:val="000000"/>
          <w:sz w:val="24"/>
          <w:highlight w:val="none"/>
          <w:shd w:val="clear" w:color="auto" w:fill="FFFFFF"/>
          <w:lang w:val="en-US" w:eastAsia="zh-CN"/>
        </w:rPr>
        <w:t>工程测量乙级及以上</w:t>
      </w:r>
      <w:r>
        <w:rPr>
          <w:rFonts w:hint="eastAsia" w:ascii="宋体" w:hAnsi="宋体" w:cs="宋体"/>
          <w:color w:val="000000"/>
          <w:sz w:val="24"/>
          <w:highlight w:val="none"/>
          <w:shd w:val="clear" w:color="auto" w:fill="FFFFFF"/>
          <w:lang w:val="en-US" w:eastAsia="zh-CN"/>
        </w:rPr>
        <w:t>资质</w:t>
      </w:r>
      <w:r>
        <w:rPr>
          <w:rFonts w:hint="eastAsia" w:ascii="宋体" w:hAnsi="宋体" w:eastAsia="宋体" w:cs="宋体"/>
          <w:color w:val="000000"/>
          <w:sz w:val="24"/>
          <w:highlight w:val="none"/>
          <w:shd w:val="clear" w:color="auto" w:fill="FFFFFF"/>
          <w:lang w:val="en-US" w:eastAsia="zh-CN"/>
        </w:rPr>
        <w:t>且具备</w:t>
      </w:r>
      <w:r>
        <w:rPr>
          <w:rFonts w:hint="eastAsia" w:ascii="宋体" w:hAnsi="宋体" w:eastAsia="宋体" w:cs="宋体"/>
          <w:color w:val="000000"/>
          <w:sz w:val="24"/>
          <w:highlight w:val="none"/>
          <w:shd w:val="clear" w:color="auto" w:fill="FFFFFF"/>
          <w:lang w:val="zh-CN" w:eastAsia="zh-CN"/>
        </w:rPr>
        <w:t>资产评估资质（需</w:t>
      </w:r>
      <w:r>
        <w:rPr>
          <w:rFonts w:hint="eastAsia" w:ascii="宋体" w:hAnsi="宋体" w:eastAsia="宋体" w:cs="宋体"/>
          <w:color w:val="000000"/>
          <w:sz w:val="24"/>
          <w:highlight w:val="none"/>
          <w:shd w:val="clear" w:color="auto" w:fill="FFFFFF"/>
          <w:lang w:val="en-US" w:eastAsia="zh-CN"/>
        </w:rPr>
        <w:t>包含探矿权和采矿权评估）</w:t>
      </w:r>
    </w:p>
    <w:p w14:paraId="40AA4CE6">
      <w:pPr>
        <w:spacing w:before="20" w:after="20"/>
        <w:ind w:firstLine="480" w:firstLineChars="200"/>
        <w:rPr>
          <w:rFonts w:ascii="宋体" w:hAnsi="宋体" w:cs="宋体"/>
          <w:sz w:val="24"/>
          <w:highlight w:val="none"/>
          <w:lang w:val="en"/>
        </w:rPr>
      </w:pPr>
      <w:r>
        <w:rPr>
          <w:rFonts w:hint="eastAsia" w:ascii="宋体" w:hAnsi="宋体" w:cs="宋体"/>
          <w:color w:val="000000"/>
          <w:sz w:val="24"/>
          <w:highlight w:val="none"/>
          <w:shd w:val="clear" w:color="auto" w:fill="FFFFFF"/>
        </w:rPr>
        <w:t>（</w:t>
      </w:r>
      <w:r>
        <w:rPr>
          <w:rFonts w:hint="eastAsia"/>
          <w:b/>
          <w:sz w:val="24"/>
          <w:highlight w:val="none"/>
        </w:rPr>
        <w:t>三）落实政府采购政策需满足的资格要求：</w:t>
      </w:r>
      <w:r>
        <w:rPr>
          <w:rFonts w:hint="eastAsia" w:ascii="宋体" w:hAnsi="宋体" w:cs="宋体"/>
          <w:color w:val="000000"/>
          <w:sz w:val="24"/>
          <w:highlight w:val="none"/>
          <w:shd w:val="clear" w:color="auto" w:fill="FFFFFF"/>
        </w:rPr>
        <w:t>本项目专门面向中小企业采购，供应商应为中小微企业，提供《中小企业声明函》，（监狱和戒毒企业视同小型、微型企业，提供由省级以上监狱管理局、戒毒管理局(含新疆生产建设兵团)出具的属于监狱企业的证明文件；残疾人福利性单位视同小型、微型企业，提供《残疾人福利性单位声明函》。</w:t>
      </w:r>
    </w:p>
    <w:p w14:paraId="6054E7C6">
      <w:pPr>
        <w:autoSpaceDE w:val="0"/>
        <w:autoSpaceDN w:val="0"/>
        <w:adjustRightInd w:val="0"/>
        <w:ind w:firstLine="482" w:firstLineChars="200"/>
        <w:rPr>
          <w:b/>
          <w:sz w:val="24"/>
          <w:highlight w:val="none"/>
        </w:rPr>
      </w:pPr>
      <w:r>
        <w:rPr>
          <w:rFonts w:hint="eastAsia"/>
          <w:b/>
          <w:sz w:val="24"/>
          <w:highlight w:val="none"/>
        </w:rPr>
        <w:t>（四） 拒绝下述供应商参加本次采购活动：</w:t>
      </w:r>
    </w:p>
    <w:p w14:paraId="344C7710">
      <w:pPr>
        <w:ind w:firstLine="480" w:firstLineChars="200"/>
        <w:rPr>
          <w:rFonts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1</w:t>
      </w:r>
      <w:r>
        <w:rPr>
          <w:rFonts w:hint="eastAsia" w:ascii="宋体" w:hAnsi="宋体"/>
          <w:sz w:val="24"/>
          <w:highlight w:val="none"/>
          <w:lang w:val="zh-CN"/>
        </w:rPr>
        <w:t>）供应商单位负责人为同一人或者存在直接控股、管理关系的不同供应商，不得参加同一合同项下的政府采购活动。</w:t>
      </w:r>
    </w:p>
    <w:p w14:paraId="74807C5F">
      <w:pPr>
        <w:ind w:firstLine="480" w:firstLineChars="200"/>
        <w:rPr>
          <w:rFonts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2</w:t>
      </w:r>
      <w:r>
        <w:rPr>
          <w:rFonts w:hint="eastAsia" w:ascii="宋体" w:hAnsi="宋体"/>
          <w:sz w:val="24"/>
          <w:highlight w:val="none"/>
          <w:lang w:val="zh-CN"/>
        </w:rPr>
        <w:t>）除单一来源采购项目外，为采购项目提供整体设计、规范编制或者项目管理、监理、检测等服务的供应商，不得再参加该采购项目的其他采购活动。</w:t>
      </w:r>
    </w:p>
    <w:p w14:paraId="0030475F">
      <w:pPr>
        <w:ind w:firstLine="480" w:firstLineChars="200"/>
        <w:rPr>
          <w:rFonts w:ascii="宋体" w:hAnsi="宋体"/>
          <w:sz w:val="24"/>
          <w:highlight w:val="none"/>
          <w:lang w:val="zh-CN"/>
        </w:rPr>
      </w:pPr>
      <w:r>
        <w:rPr>
          <w:rFonts w:hint="eastAsia" w:ascii="宋体" w:hAnsi="宋体"/>
          <w:sz w:val="24"/>
          <w:highlight w:val="none"/>
          <w:lang w:val="zh-CN"/>
        </w:rPr>
        <w:t>（</w:t>
      </w:r>
      <w:r>
        <w:rPr>
          <w:rFonts w:hint="eastAsia" w:ascii="宋体" w:hAnsi="宋体"/>
          <w:sz w:val="24"/>
          <w:highlight w:val="none"/>
        </w:rPr>
        <w:t>3</w:t>
      </w:r>
      <w:r>
        <w:rPr>
          <w:rFonts w:hint="eastAsia" w:ascii="宋体" w:hAnsi="宋体"/>
          <w:sz w:val="24"/>
          <w:highlight w:val="none"/>
          <w:lang w:val="zh-CN"/>
        </w:rPr>
        <w:t>）供应商被“信用中国”网站、“中国政府采购网”列入失信被执行人、重大税收违法案件当事人名单、政府采购严重违法失信行为记录名单。</w:t>
      </w:r>
    </w:p>
    <w:p w14:paraId="572EA88E">
      <w:pPr>
        <w:autoSpaceDE w:val="0"/>
        <w:autoSpaceDN w:val="0"/>
        <w:adjustRightInd w:val="0"/>
        <w:ind w:firstLine="482" w:firstLineChars="200"/>
        <w:rPr>
          <w:b/>
          <w:sz w:val="24"/>
          <w:highlight w:val="none"/>
          <w:lang w:val="zh-CN"/>
        </w:rPr>
      </w:pPr>
      <w:r>
        <w:rPr>
          <w:rFonts w:hint="eastAsia"/>
          <w:b/>
          <w:sz w:val="24"/>
          <w:highlight w:val="none"/>
          <w:lang w:val="zh-CN"/>
        </w:rPr>
        <w:t>5.供应商的义务及注意事项</w:t>
      </w:r>
    </w:p>
    <w:p w14:paraId="34052D66">
      <w:pPr>
        <w:spacing w:line="400" w:lineRule="exact"/>
        <w:ind w:firstLine="482" w:firstLineChars="200"/>
        <w:jc w:val="left"/>
        <w:rPr>
          <w:rFonts w:ascii="宋体" w:hAnsi="宋体"/>
          <w:sz w:val="24"/>
          <w:highlight w:val="none"/>
          <w:lang w:val="zh-CN"/>
        </w:rPr>
      </w:pPr>
      <w:r>
        <w:rPr>
          <w:b/>
          <w:sz w:val="24"/>
          <w:highlight w:val="none"/>
        </w:rPr>
        <w:t>5.1</w:t>
      </w:r>
      <w:r>
        <w:rPr>
          <w:rFonts w:hint="eastAsia" w:ascii="宋体" w:hAnsi="宋体"/>
          <w:b/>
          <w:sz w:val="24"/>
          <w:highlight w:val="none"/>
          <w:lang w:val="zh-CN"/>
        </w:rPr>
        <w:t>集中现场</w:t>
      </w:r>
      <w:r>
        <w:rPr>
          <w:rFonts w:hint="eastAsia" w:ascii="宋体" w:hAnsi="宋体"/>
          <w:b/>
          <w:sz w:val="24"/>
          <w:highlight w:val="none"/>
        </w:rPr>
        <w:t>答疑/勘察</w:t>
      </w:r>
      <w:r>
        <w:rPr>
          <w:rFonts w:hint="eastAsia" w:ascii="宋体" w:hAnsi="宋体"/>
          <w:b/>
          <w:sz w:val="24"/>
          <w:highlight w:val="none"/>
          <w:lang w:val="zh-CN"/>
        </w:rPr>
        <w:t>：</w:t>
      </w:r>
      <w:r>
        <w:rPr>
          <w:rFonts w:hint="eastAsia" w:ascii="宋体" w:hAnsi="宋体"/>
          <w:sz w:val="24"/>
          <w:highlight w:val="none"/>
          <w:lang w:val="zh-CN"/>
        </w:rPr>
        <w:t>采购人不组织，供应商可自行查勘，在随后的采购中，对现场资料和数据所作出的推论、解释和结论及由此造成的后果由供应商负责。</w:t>
      </w:r>
    </w:p>
    <w:p w14:paraId="45AB73CD">
      <w:pPr>
        <w:ind w:firstLine="482" w:firstLineChars="200"/>
        <w:rPr>
          <w:b/>
          <w:sz w:val="24"/>
          <w:highlight w:val="none"/>
        </w:rPr>
      </w:pPr>
      <w:r>
        <w:rPr>
          <w:b/>
          <w:sz w:val="24"/>
          <w:highlight w:val="none"/>
        </w:rPr>
        <w:t>5.2 义务</w:t>
      </w:r>
    </w:p>
    <w:p w14:paraId="5D865FD4">
      <w:pPr>
        <w:ind w:firstLine="480" w:firstLineChars="200"/>
        <w:rPr>
          <w:rFonts w:ascii="宋体" w:hAnsi="宋体"/>
          <w:sz w:val="24"/>
          <w:highlight w:val="none"/>
          <w:lang w:val="zh-CN"/>
        </w:rPr>
      </w:pPr>
      <w:r>
        <w:rPr>
          <w:rFonts w:hint="eastAsia" w:ascii="宋体" w:hAnsi="宋体"/>
          <w:sz w:val="24"/>
          <w:highlight w:val="none"/>
          <w:lang w:val="zh-CN"/>
        </w:rPr>
        <w:t>5.2.1供应商应当认真阅读本磋商文件，完全明了本项目之名称、用途、数量、质量和提供服务时间，完全明了应具备的资格条件。</w:t>
      </w:r>
    </w:p>
    <w:p w14:paraId="0717387D">
      <w:pPr>
        <w:ind w:firstLine="480" w:firstLineChars="200"/>
        <w:rPr>
          <w:rFonts w:ascii="宋体" w:hAnsi="宋体"/>
          <w:sz w:val="24"/>
          <w:highlight w:val="none"/>
          <w:lang w:val="zh-CN"/>
        </w:rPr>
      </w:pPr>
      <w:r>
        <w:rPr>
          <w:rFonts w:hint="eastAsia" w:ascii="宋体" w:hAnsi="宋体"/>
          <w:sz w:val="24"/>
          <w:highlight w:val="none"/>
          <w:lang w:val="zh-CN"/>
        </w:rPr>
        <w:t>5.2.2供应商应当按照磋商文件的要求编制响应性文件。响应性文件应对磋商文件提出的实质性要求和条件作出完全响应。</w:t>
      </w:r>
    </w:p>
    <w:p w14:paraId="20DEB92D">
      <w:pPr>
        <w:ind w:firstLine="480" w:firstLineChars="200"/>
        <w:rPr>
          <w:rFonts w:ascii="宋体" w:hAnsi="宋体"/>
          <w:sz w:val="24"/>
          <w:highlight w:val="none"/>
          <w:lang w:val="zh-CN"/>
        </w:rPr>
      </w:pPr>
      <w:r>
        <w:rPr>
          <w:rFonts w:hint="eastAsia" w:ascii="宋体" w:hAnsi="宋体"/>
          <w:sz w:val="24"/>
          <w:highlight w:val="none"/>
          <w:lang w:val="zh-CN"/>
        </w:rPr>
        <w:t>5.2.3供应商应在磋商截止时间前，将密封的响应性文件送达磋商地点。</w:t>
      </w:r>
    </w:p>
    <w:p w14:paraId="1B72BBCE">
      <w:pPr>
        <w:ind w:firstLine="480" w:firstLineChars="200"/>
        <w:rPr>
          <w:rFonts w:ascii="宋体" w:hAnsi="宋体"/>
          <w:sz w:val="24"/>
          <w:highlight w:val="none"/>
          <w:lang w:val="zh-CN"/>
        </w:rPr>
      </w:pPr>
      <w:r>
        <w:rPr>
          <w:rFonts w:hint="eastAsia" w:ascii="宋体" w:hAnsi="宋体"/>
          <w:sz w:val="24"/>
          <w:highlight w:val="none"/>
          <w:lang w:val="zh-CN"/>
        </w:rPr>
        <w:t>5.2.4供应商不得相互串通报价，不得排挤其他供应商的公平竞争，损害采购人或者其他供应商的合法权益。供应商不得与采购人串通磋商，损害国家利益，公众利益或者他人的合法权益。</w:t>
      </w:r>
    </w:p>
    <w:p w14:paraId="1B9B9A1E">
      <w:pPr>
        <w:ind w:firstLine="480" w:firstLineChars="200"/>
        <w:rPr>
          <w:rFonts w:ascii="宋体" w:hAnsi="宋体"/>
          <w:sz w:val="24"/>
          <w:highlight w:val="none"/>
          <w:lang w:val="zh-CN"/>
        </w:rPr>
      </w:pPr>
      <w:r>
        <w:rPr>
          <w:rFonts w:hint="eastAsia" w:ascii="宋体" w:hAnsi="宋体"/>
          <w:sz w:val="24"/>
          <w:highlight w:val="none"/>
          <w:lang w:val="zh-CN"/>
        </w:rPr>
        <w:t>5.2.5供应商在磋商截止时间前，对所递交的响应性文件可以补充、修改或者撤回，并书面通知代理机构。补充、修改的内容为响应性文件的组成部分。</w:t>
      </w:r>
    </w:p>
    <w:p w14:paraId="3B7420EE">
      <w:pPr>
        <w:ind w:firstLine="472" w:firstLineChars="196"/>
        <w:rPr>
          <w:b/>
          <w:sz w:val="24"/>
          <w:highlight w:val="none"/>
        </w:rPr>
      </w:pPr>
      <w:r>
        <w:rPr>
          <w:b/>
          <w:sz w:val="24"/>
          <w:highlight w:val="none"/>
        </w:rPr>
        <w:t>5.3 注意事项</w:t>
      </w:r>
    </w:p>
    <w:p w14:paraId="71200E7E">
      <w:pPr>
        <w:ind w:firstLine="480" w:firstLineChars="200"/>
        <w:rPr>
          <w:sz w:val="24"/>
          <w:highlight w:val="none"/>
        </w:rPr>
      </w:pPr>
      <w:r>
        <w:rPr>
          <w:sz w:val="24"/>
          <w:highlight w:val="none"/>
        </w:rPr>
        <w:t>5.3.1本项目采购方式是</w:t>
      </w:r>
      <w:r>
        <w:rPr>
          <w:b/>
          <w:sz w:val="24"/>
          <w:highlight w:val="none"/>
        </w:rPr>
        <w:t>竞争性磋商</w:t>
      </w:r>
      <w:r>
        <w:rPr>
          <w:sz w:val="24"/>
          <w:highlight w:val="none"/>
        </w:rPr>
        <w:t>，整个项目是一个整体、不可分割。</w:t>
      </w:r>
    </w:p>
    <w:p w14:paraId="75D8F546">
      <w:pPr>
        <w:ind w:firstLine="480" w:firstLineChars="200"/>
        <w:rPr>
          <w:sz w:val="24"/>
          <w:highlight w:val="none"/>
        </w:rPr>
      </w:pPr>
      <w:r>
        <w:rPr>
          <w:sz w:val="24"/>
          <w:highlight w:val="none"/>
        </w:rPr>
        <w:t>5.3.2验收标准</w:t>
      </w:r>
    </w:p>
    <w:p w14:paraId="1F46883A">
      <w:pPr>
        <w:ind w:firstLine="480" w:firstLineChars="200"/>
        <w:rPr>
          <w:sz w:val="24"/>
          <w:highlight w:val="none"/>
        </w:rPr>
      </w:pPr>
      <w:r>
        <w:rPr>
          <w:sz w:val="24"/>
          <w:highlight w:val="none"/>
        </w:rPr>
        <w:t>5.3.2.1磋商文件中明确的标准和技术要求，未明确部分按照国家最新的相关标准；</w:t>
      </w:r>
    </w:p>
    <w:p w14:paraId="6FE4CE0B">
      <w:pPr>
        <w:ind w:firstLine="480" w:firstLineChars="200"/>
        <w:rPr>
          <w:sz w:val="24"/>
          <w:highlight w:val="none"/>
        </w:rPr>
      </w:pPr>
      <w:r>
        <w:rPr>
          <w:sz w:val="24"/>
          <w:highlight w:val="none"/>
        </w:rPr>
        <w:t>5.3.2.2供应商随响应性文件提供的货物制造国制造及验收的官方标准或货物验收大纲，经采购单位确认后，将作为对货物的验收依据之一；</w:t>
      </w:r>
    </w:p>
    <w:p w14:paraId="37C165F2">
      <w:pPr>
        <w:ind w:firstLine="480" w:firstLineChars="200"/>
        <w:rPr>
          <w:sz w:val="24"/>
          <w:highlight w:val="none"/>
        </w:rPr>
      </w:pPr>
      <w:r>
        <w:rPr>
          <w:sz w:val="24"/>
          <w:highlight w:val="none"/>
        </w:rPr>
        <w:t>5.3.2.3供应商在澄清响应文件时作出的承诺，经采购单位确认后，将作为对货物的验收依据之一；</w:t>
      </w:r>
    </w:p>
    <w:p w14:paraId="1170C8C3">
      <w:pPr>
        <w:ind w:firstLine="480" w:firstLineChars="200"/>
        <w:rPr>
          <w:sz w:val="24"/>
          <w:highlight w:val="none"/>
        </w:rPr>
      </w:pPr>
      <w:r>
        <w:rPr>
          <w:sz w:val="24"/>
          <w:highlight w:val="none"/>
        </w:rPr>
        <w:t>5.3.2.4项目完毕后，由采购单位组织按国家相关标准进行验收。</w:t>
      </w:r>
    </w:p>
    <w:p w14:paraId="2ED29E22">
      <w:pPr>
        <w:ind w:firstLine="480" w:firstLineChars="200"/>
        <w:rPr>
          <w:sz w:val="24"/>
          <w:highlight w:val="none"/>
        </w:rPr>
      </w:pPr>
      <w:r>
        <w:rPr>
          <w:sz w:val="24"/>
          <w:highlight w:val="none"/>
        </w:rPr>
        <w:t>5.3</w:t>
      </w:r>
      <w:r>
        <w:rPr>
          <w:rFonts w:hint="eastAsia"/>
          <w:sz w:val="24"/>
          <w:highlight w:val="none"/>
        </w:rPr>
        <w:t>.</w:t>
      </w:r>
      <w:r>
        <w:rPr>
          <w:sz w:val="24"/>
          <w:highlight w:val="none"/>
        </w:rPr>
        <w:t>3供应商应认真阅读磋商文件中所有的事项、格式、条款和规范等要求，如果没有按照磋商文件要求提交全部资料，或者没有对磋商文件作出实质性响应，相应风险应由供应商承担，包括作无效磋商处理。</w:t>
      </w:r>
    </w:p>
    <w:p w14:paraId="61094827">
      <w:pPr>
        <w:ind w:firstLine="480" w:firstLineChars="200"/>
        <w:rPr>
          <w:sz w:val="24"/>
          <w:highlight w:val="none"/>
        </w:rPr>
      </w:pPr>
      <w:r>
        <w:rPr>
          <w:sz w:val="24"/>
          <w:highlight w:val="none"/>
        </w:rPr>
        <w:t>5.3.4任何供应商中标，须保证所供货物能通过当地有关职能部门验收，否则采购单位有权拒绝支付合同款项。</w:t>
      </w:r>
    </w:p>
    <w:p w14:paraId="3C21FD26">
      <w:pPr>
        <w:ind w:firstLine="480" w:firstLineChars="200"/>
        <w:rPr>
          <w:sz w:val="24"/>
          <w:highlight w:val="none"/>
        </w:rPr>
      </w:pPr>
      <w:r>
        <w:rPr>
          <w:sz w:val="24"/>
          <w:highlight w:val="none"/>
        </w:rPr>
        <w:t>5.3.5供应商应保证采购人在使用该货物或其任何一部分时不受第三方提出侵犯其专利权、版权、商标权或其他权利的起诉。一旦出现侵权，供应商应承担全部责任。</w:t>
      </w:r>
    </w:p>
    <w:p w14:paraId="7EF973BE">
      <w:pPr>
        <w:ind w:firstLine="472" w:firstLineChars="196"/>
        <w:rPr>
          <w:b/>
          <w:sz w:val="24"/>
          <w:highlight w:val="none"/>
        </w:rPr>
      </w:pPr>
      <w:r>
        <w:rPr>
          <w:rFonts w:hint="eastAsia"/>
          <w:b/>
          <w:sz w:val="24"/>
          <w:highlight w:val="none"/>
        </w:rPr>
        <w:t>5.4★</w:t>
      </w:r>
      <w:r>
        <w:rPr>
          <w:rFonts w:ascii="宋体" w:hAnsi="宋体" w:cs="宋体"/>
          <w:sz w:val="24"/>
          <w:highlight w:val="none"/>
        </w:rPr>
        <w:t>政府采购信用承诺</w:t>
      </w:r>
    </w:p>
    <w:p w14:paraId="42DA312A">
      <w:pPr>
        <w:ind w:firstLine="480" w:firstLineChars="200"/>
        <w:rPr>
          <w:sz w:val="24"/>
          <w:highlight w:val="none"/>
        </w:rPr>
      </w:pPr>
      <w:r>
        <w:rPr>
          <w:rFonts w:hint="eastAsia"/>
          <w:sz w:val="24"/>
          <w:highlight w:val="none"/>
        </w:rPr>
        <w:t>根据《南京市政府采购供应商信用管理工作暂行办法》（宁财规〔2018〕10号）有关规定，凡在南京地区参加采购活动的供应商，应当事先登录“信用南京”或南京公共采购信息网主页“政府采购供应商诚信档案”栏目进行注册登记。由于特殊原因未及时注册的供应商可先行获取采购文件，但必须在投标截止时间前2天内办理登记注册手续。</w:t>
      </w:r>
    </w:p>
    <w:p w14:paraId="479CFCE3">
      <w:pPr>
        <w:ind w:firstLine="480" w:firstLineChars="200"/>
        <w:rPr>
          <w:sz w:val="24"/>
          <w:highlight w:val="none"/>
        </w:rPr>
      </w:pPr>
      <w:r>
        <w:rPr>
          <w:rFonts w:hint="eastAsia"/>
          <w:sz w:val="24"/>
          <w:highlight w:val="none"/>
        </w:rPr>
        <w:t>5.4.1供应商申请网上注册的，应当按以下程序进行：</w:t>
      </w:r>
    </w:p>
    <w:p w14:paraId="6C9E6821">
      <w:pPr>
        <w:ind w:firstLine="480" w:firstLineChars="200"/>
        <w:rPr>
          <w:sz w:val="24"/>
          <w:highlight w:val="none"/>
        </w:rPr>
      </w:pPr>
      <w:r>
        <w:rPr>
          <w:rFonts w:hint="eastAsia"/>
          <w:sz w:val="24"/>
          <w:highlight w:val="none"/>
        </w:rPr>
        <w:t>（1）登录“信用南京”或“南京公共采购信息网”网站，点击“政府采购供应商诚信档案”图标，在弹出的用户登录界面，点击“新用户注册”；</w:t>
      </w:r>
    </w:p>
    <w:p w14:paraId="140DA7C3">
      <w:pPr>
        <w:ind w:firstLine="480" w:firstLineChars="200"/>
        <w:rPr>
          <w:sz w:val="24"/>
          <w:highlight w:val="none"/>
        </w:rPr>
      </w:pPr>
      <w:r>
        <w:rPr>
          <w:rFonts w:hint="eastAsia"/>
          <w:sz w:val="24"/>
          <w:highlight w:val="none"/>
        </w:rPr>
        <w:t>（2）在“新用户注册”界面，供应商自行设置用户名、登录密码，如实填写“南京市政府采购供应商诚信档案注册登记表”，根据网站注册要求如实上传相关资料，并进行信用承诺确认后，提交注册申请；</w:t>
      </w:r>
    </w:p>
    <w:p w14:paraId="6AE99B5C">
      <w:pPr>
        <w:ind w:firstLine="480" w:firstLineChars="200"/>
        <w:rPr>
          <w:sz w:val="24"/>
          <w:highlight w:val="none"/>
        </w:rPr>
      </w:pPr>
      <w:r>
        <w:rPr>
          <w:rFonts w:hint="eastAsia"/>
          <w:sz w:val="24"/>
          <w:highlight w:val="none"/>
        </w:rPr>
        <w:t>（3）系统审核后，供应商即可登录系统进行相关功能操作。</w:t>
      </w:r>
    </w:p>
    <w:p w14:paraId="1EFA091E">
      <w:pPr>
        <w:ind w:firstLine="480" w:firstLineChars="200"/>
        <w:rPr>
          <w:sz w:val="24"/>
          <w:highlight w:val="none"/>
        </w:rPr>
      </w:pPr>
      <w:r>
        <w:rPr>
          <w:rFonts w:hint="eastAsia"/>
          <w:sz w:val="24"/>
          <w:highlight w:val="none"/>
        </w:rPr>
        <w:t>5.4.2供应商参加本项目采购活动时，无论是新用户注册或已注册成功的，均应在采购文件发布之日起至投标截止时间前，登录“信用南京”或“南京公共采购信息网”在线打印其“南京市政府采购供应商信用记录表暨信用承诺书”，经法定代表人签名盖章后作为响应文件的有效组成部分。“南京市政府采购供应商信用记录表暨信用承诺书”是其参加本次政府采购活动的必备材料。</w:t>
      </w:r>
    </w:p>
    <w:p w14:paraId="793C7E90">
      <w:pPr>
        <w:ind w:firstLine="480" w:firstLineChars="200"/>
        <w:rPr>
          <w:sz w:val="24"/>
          <w:highlight w:val="none"/>
        </w:rPr>
      </w:pPr>
      <w:r>
        <w:rPr>
          <w:rFonts w:hint="eastAsia"/>
          <w:sz w:val="24"/>
          <w:highlight w:val="none"/>
        </w:rPr>
        <w:t>5.4.3“南京市政府采购供应商信用记录表暨信用承诺书”一式两份，一份装订在响应文件中，一份用封套单独加以密封，并在封套上注明“信用记录表”字样，随响应文件一并递交。未按上述要求提供信用记录表的，响应文件将被拒绝接收。</w:t>
      </w:r>
    </w:p>
    <w:p w14:paraId="20D06322">
      <w:pPr>
        <w:ind w:firstLine="480" w:firstLineChars="200"/>
        <w:rPr>
          <w:sz w:val="24"/>
          <w:highlight w:val="none"/>
        </w:rPr>
      </w:pPr>
      <w:r>
        <w:rPr>
          <w:rFonts w:hint="eastAsia"/>
          <w:sz w:val="24"/>
          <w:highlight w:val="none"/>
        </w:rPr>
        <w:t>5.4.5南京市政府采购供应商诚信档案管理系统客服电话：025-52718366；供应商可就用户注册与打印“南京市政府采购供应商信用记录表暨信用承诺书”等事宜进行咨询。</w:t>
      </w:r>
    </w:p>
    <w:p w14:paraId="7577DCE6">
      <w:pPr>
        <w:ind w:firstLine="480" w:firstLineChars="200"/>
        <w:rPr>
          <w:sz w:val="24"/>
          <w:highlight w:val="none"/>
        </w:rPr>
      </w:pPr>
      <w:r>
        <w:rPr>
          <w:rFonts w:hint="eastAsia"/>
          <w:sz w:val="24"/>
          <w:highlight w:val="none"/>
        </w:rPr>
        <w:t>5.4.6根据《关于在政府采购活动中推行信用承诺制的通知》宁财购通〔2021〕5号规定， 参加南京地区政府采购活动的供应商，应以书面形式向采购人或政府采购代理机构作出信用承诺。供应商应尽早做好承诺工作，点击‘南京公共采购信息网’首页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 响应文件一并递交（对信用承诺书有份数要求和封装要求的，各代理机构可自行补充）。</w:t>
      </w:r>
    </w:p>
    <w:p w14:paraId="126263AF">
      <w:pPr>
        <w:ind w:firstLine="480" w:firstLineChars="200"/>
        <w:rPr>
          <w:sz w:val="24"/>
          <w:highlight w:val="none"/>
        </w:rPr>
      </w:pPr>
      <w:r>
        <w:rPr>
          <w:sz w:val="24"/>
          <w:highlight w:val="none"/>
        </w:rPr>
        <w:t>5.</w:t>
      </w:r>
      <w:r>
        <w:rPr>
          <w:rFonts w:hint="eastAsia"/>
          <w:sz w:val="24"/>
          <w:highlight w:val="none"/>
        </w:rPr>
        <w:t>5</w:t>
      </w:r>
      <w:r>
        <w:rPr>
          <w:sz w:val="24"/>
          <w:highlight w:val="none"/>
        </w:rPr>
        <w:t>本次项目</w:t>
      </w:r>
      <w:r>
        <w:rPr>
          <w:b/>
          <w:sz w:val="24"/>
          <w:highlight w:val="none"/>
        </w:rPr>
        <w:t>接受联合体磋商</w:t>
      </w:r>
      <w:r>
        <w:rPr>
          <w:sz w:val="24"/>
          <w:highlight w:val="none"/>
        </w:rPr>
        <w:t>。</w:t>
      </w:r>
    </w:p>
    <w:p w14:paraId="6396FB6D">
      <w:pPr>
        <w:tabs>
          <w:tab w:val="left" w:pos="1260"/>
        </w:tabs>
        <w:ind w:firstLine="482" w:firstLineChars="200"/>
        <w:rPr>
          <w:b/>
          <w:sz w:val="24"/>
          <w:highlight w:val="none"/>
        </w:rPr>
      </w:pPr>
      <w:r>
        <w:rPr>
          <w:b/>
          <w:sz w:val="24"/>
          <w:highlight w:val="none"/>
        </w:rPr>
        <w:t>6.磋商文件的澄清、修改</w:t>
      </w:r>
    </w:p>
    <w:p w14:paraId="3238700C">
      <w:pPr>
        <w:ind w:firstLine="480" w:firstLineChars="200"/>
        <w:rPr>
          <w:sz w:val="24"/>
          <w:highlight w:val="none"/>
        </w:rPr>
      </w:pPr>
      <w:r>
        <w:rPr>
          <w:sz w:val="24"/>
          <w:highlight w:val="none"/>
        </w:rPr>
        <w:t>6.1任何要求对磋商文件进行澄清的供应商，应在磋商文件规定的响应性文件提交</w:t>
      </w:r>
      <w:r>
        <w:rPr>
          <w:b/>
          <w:sz w:val="24"/>
          <w:highlight w:val="none"/>
        </w:rPr>
        <w:t>截止日期五天前</w:t>
      </w:r>
      <w:r>
        <w:rPr>
          <w:sz w:val="24"/>
          <w:highlight w:val="none"/>
        </w:rPr>
        <w:t>按磋商文件中的联系方式以书面形式通知</w:t>
      </w:r>
      <w:r>
        <w:rPr>
          <w:rFonts w:hint="eastAsia"/>
          <w:sz w:val="24"/>
          <w:highlight w:val="none"/>
        </w:rPr>
        <w:t>代理机构</w:t>
      </w:r>
      <w:r>
        <w:rPr>
          <w:sz w:val="24"/>
          <w:highlight w:val="none"/>
        </w:rPr>
        <w:t>，</w:t>
      </w:r>
      <w:r>
        <w:rPr>
          <w:rFonts w:hint="eastAsia"/>
          <w:sz w:val="24"/>
          <w:highlight w:val="none"/>
        </w:rPr>
        <w:t>代理机构</w:t>
      </w:r>
      <w:r>
        <w:rPr>
          <w:sz w:val="24"/>
          <w:highlight w:val="none"/>
        </w:rPr>
        <w:t>将及时予以答复；在磋商文件公布期间，</w:t>
      </w:r>
      <w:r>
        <w:rPr>
          <w:rFonts w:hint="eastAsia"/>
          <w:sz w:val="24"/>
          <w:highlight w:val="none"/>
        </w:rPr>
        <w:t>代理机构</w:t>
      </w:r>
      <w:r>
        <w:rPr>
          <w:sz w:val="24"/>
          <w:highlight w:val="none"/>
        </w:rPr>
        <w:t>可主动对磋商文件进行澄清，磋商文件实质性变动的除外。</w:t>
      </w:r>
    </w:p>
    <w:p w14:paraId="3A2F41F8">
      <w:pPr>
        <w:ind w:firstLine="480" w:firstLineChars="200"/>
        <w:rPr>
          <w:sz w:val="24"/>
          <w:highlight w:val="none"/>
        </w:rPr>
      </w:pPr>
      <w:r>
        <w:rPr>
          <w:sz w:val="24"/>
          <w:highlight w:val="none"/>
        </w:rPr>
        <w:t>6.2磋商文件公布期间如有实质性变动的，</w:t>
      </w:r>
      <w:r>
        <w:rPr>
          <w:rFonts w:hint="eastAsia"/>
          <w:sz w:val="24"/>
          <w:highlight w:val="none"/>
        </w:rPr>
        <w:t>代理机构</w:t>
      </w:r>
      <w:r>
        <w:rPr>
          <w:sz w:val="24"/>
          <w:highlight w:val="none"/>
        </w:rPr>
        <w:t>将在原磋商采购信息发布媒体上发布变更公告，并自变更之日起公布期限顺延，相关供应商应请及时关注。如果潜在供应商因自身的原因未能及时获取相应信息，供应商将承担被拒绝参加磋商或被视为非实质性响应磋商文件的风险。</w:t>
      </w:r>
    </w:p>
    <w:p w14:paraId="4202971E">
      <w:pPr>
        <w:ind w:firstLine="482" w:firstLineChars="200"/>
        <w:rPr>
          <w:b/>
          <w:sz w:val="24"/>
          <w:highlight w:val="none"/>
        </w:rPr>
      </w:pPr>
      <w:r>
        <w:rPr>
          <w:rFonts w:hint="eastAsia"/>
          <w:b/>
          <w:sz w:val="24"/>
          <w:highlight w:val="none"/>
        </w:rPr>
        <w:t>7</w:t>
      </w:r>
      <w:r>
        <w:rPr>
          <w:b/>
          <w:sz w:val="24"/>
          <w:highlight w:val="none"/>
        </w:rPr>
        <w:t>. 磋商有效期</w:t>
      </w:r>
    </w:p>
    <w:p w14:paraId="786C336F">
      <w:pPr>
        <w:ind w:firstLine="480" w:firstLineChars="200"/>
        <w:rPr>
          <w:sz w:val="24"/>
          <w:highlight w:val="none"/>
        </w:rPr>
      </w:pPr>
      <w:r>
        <w:rPr>
          <w:rFonts w:hint="eastAsia"/>
          <w:sz w:val="24"/>
          <w:highlight w:val="none"/>
        </w:rPr>
        <w:t>7</w:t>
      </w:r>
      <w:r>
        <w:rPr>
          <w:sz w:val="24"/>
          <w:highlight w:val="none"/>
        </w:rPr>
        <w:t>.1磋商有效期为磋商文件规定的磋商之日后</w:t>
      </w:r>
      <w:r>
        <w:rPr>
          <w:rFonts w:hint="eastAsia"/>
          <w:sz w:val="24"/>
          <w:highlight w:val="none"/>
        </w:rPr>
        <w:t>30</w:t>
      </w:r>
      <w:r>
        <w:rPr>
          <w:sz w:val="24"/>
          <w:highlight w:val="none"/>
        </w:rPr>
        <w:t>天。</w:t>
      </w:r>
    </w:p>
    <w:p w14:paraId="69FE2BD9">
      <w:pPr>
        <w:ind w:firstLine="480" w:firstLineChars="200"/>
        <w:rPr>
          <w:sz w:val="24"/>
          <w:highlight w:val="none"/>
        </w:rPr>
      </w:pPr>
      <w:r>
        <w:rPr>
          <w:rFonts w:hint="eastAsia"/>
          <w:sz w:val="24"/>
          <w:highlight w:val="none"/>
        </w:rPr>
        <w:t>7.2在特殊情况下，采购人于原磋商有效期满之前，可向磋商供应商提出延长磋商有效期的要求。供应商可以拒绝采购人的这种要求。同意延长的供应商既不能要求也不允许修改其响应性文件。</w:t>
      </w:r>
    </w:p>
    <w:p w14:paraId="56E50DDB">
      <w:pPr>
        <w:autoSpaceDE w:val="0"/>
        <w:autoSpaceDN w:val="0"/>
        <w:adjustRightInd w:val="0"/>
        <w:ind w:firstLine="479" w:firstLineChars="199"/>
        <w:rPr>
          <w:b/>
          <w:bCs/>
          <w:sz w:val="24"/>
          <w:highlight w:val="none"/>
          <w:lang w:val="zh-CN"/>
        </w:rPr>
      </w:pPr>
      <w:r>
        <w:rPr>
          <w:rFonts w:hint="eastAsia"/>
          <w:b/>
          <w:bCs/>
          <w:sz w:val="24"/>
          <w:highlight w:val="none"/>
          <w:lang w:val="zh-CN"/>
        </w:rPr>
        <w:t>8</w:t>
      </w:r>
      <w:r>
        <w:rPr>
          <w:b/>
          <w:bCs/>
          <w:sz w:val="24"/>
          <w:highlight w:val="none"/>
          <w:lang w:val="zh-CN"/>
        </w:rPr>
        <w:t>．磋商费用</w:t>
      </w:r>
    </w:p>
    <w:p w14:paraId="2C516539">
      <w:pPr>
        <w:autoSpaceDE w:val="0"/>
        <w:autoSpaceDN w:val="0"/>
        <w:adjustRightInd w:val="0"/>
        <w:ind w:firstLine="420"/>
        <w:rPr>
          <w:sz w:val="24"/>
          <w:highlight w:val="none"/>
          <w:lang w:val="zh-CN"/>
        </w:rPr>
      </w:pPr>
      <w:r>
        <w:rPr>
          <w:rFonts w:hint="eastAsia"/>
          <w:sz w:val="24"/>
          <w:highlight w:val="none"/>
        </w:rPr>
        <w:t>8</w:t>
      </w:r>
      <w:r>
        <w:rPr>
          <w:sz w:val="24"/>
          <w:highlight w:val="none"/>
        </w:rPr>
        <w:t>.1供应商</w:t>
      </w:r>
      <w:r>
        <w:rPr>
          <w:sz w:val="24"/>
          <w:highlight w:val="none"/>
          <w:lang w:val="zh-CN"/>
        </w:rPr>
        <w:t>应承担所有与准备和参加磋商有关的费用，</w:t>
      </w:r>
      <w:r>
        <w:rPr>
          <w:rFonts w:hint="eastAsia"/>
          <w:sz w:val="24"/>
          <w:highlight w:val="none"/>
          <w:lang w:val="zh-CN"/>
        </w:rPr>
        <w:t>代理机构</w:t>
      </w:r>
      <w:r>
        <w:rPr>
          <w:sz w:val="24"/>
          <w:highlight w:val="none"/>
          <w:lang w:val="zh-CN"/>
        </w:rPr>
        <w:t>和采购人在任何情况下均无义务和责任承担这些费用。</w:t>
      </w:r>
    </w:p>
    <w:p w14:paraId="4D59A8DA">
      <w:pPr>
        <w:pStyle w:val="11"/>
        <w:ind w:left="0" w:leftChars="0" w:firstLine="0" w:firstLineChars="0"/>
        <w:rPr>
          <w:rFonts w:hint="default" w:eastAsia="宋体"/>
          <w:lang w:val="en-US" w:eastAsia="zh-CN"/>
        </w:rPr>
      </w:pPr>
      <w:r>
        <w:rPr>
          <w:rFonts w:hint="eastAsia"/>
          <w:lang w:val="en-US" w:eastAsia="zh-CN"/>
        </w:rPr>
        <w:t xml:space="preserve">    </w:t>
      </w:r>
      <w:r>
        <w:rPr>
          <w:rFonts w:hint="eastAsia" w:ascii="Calibri" w:hAnsi="Calibri" w:eastAsia="宋体" w:cs="Times New Roman"/>
          <w:kern w:val="2"/>
          <w:sz w:val="24"/>
          <w:szCs w:val="24"/>
          <w:highlight w:val="none"/>
          <w:lang w:val="en-US" w:eastAsia="zh-CN" w:bidi="ar-SA"/>
        </w:rPr>
        <w:t>8.2招标代理费</w:t>
      </w:r>
      <w:r>
        <w:rPr>
          <w:rFonts w:hint="eastAsia" w:cs="Times New Roman"/>
          <w:kern w:val="2"/>
          <w:sz w:val="24"/>
          <w:szCs w:val="24"/>
          <w:highlight w:val="none"/>
          <w:lang w:val="en-US" w:eastAsia="zh-CN" w:bidi="ar-SA"/>
        </w:rPr>
        <w:t>:</w:t>
      </w:r>
    </w:p>
    <w:p w14:paraId="0DD31D8D">
      <w:pPr>
        <w:autoSpaceDE w:val="0"/>
        <w:autoSpaceDN w:val="0"/>
        <w:adjustRightInd w:val="0"/>
        <w:ind w:firstLine="420"/>
        <w:rPr>
          <w:rFonts w:hint="eastAsia"/>
          <w:sz w:val="24"/>
          <w:highlight w:val="none"/>
          <w:lang w:val="zh-CN"/>
        </w:rPr>
      </w:pPr>
      <w:bookmarkStart w:id="48" w:name="_Toc504141738"/>
      <w:bookmarkStart w:id="49" w:name="_Toc27537"/>
      <w:bookmarkStart w:id="50" w:name="_Toc4853"/>
      <w:bookmarkStart w:id="51" w:name="_Toc28108"/>
      <w:bookmarkStart w:id="52" w:name="_Toc25711"/>
      <w:bookmarkStart w:id="53" w:name="_Toc20699"/>
      <w:bookmarkStart w:id="54" w:name="_Toc12217"/>
      <w:bookmarkStart w:id="55" w:name="_Toc9933251"/>
      <w:bookmarkStart w:id="56" w:name="_Toc8640"/>
      <w:bookmarkStart w:id="57" w:name="_Toc10774"/>
      <w:bookmarkStart w:id="58" w:name="_Toc25749"/>
      <w:bookmarkStart w:id="59" w:name="_Toc5467"/>
      <w:bookmarkStart w:id="60" w:name="_Toc345336137"/>
      <w:bookmarkStart w:id="61" w:name="_Toc15276"/>
      <w:bookmarkStart w:id="62" w:name="_Toc43217788"/>
      <w:bookmarkStart w:id="63" w:name="_Toc3329"/>
      <w:r>
        <w:rPr>
          <w:rFonts w:hint="eastAsia"/>
          <w:sz w:val="24"/>
          <w:highlight w:val="none"/>
          <w:lang w:val="en-US" w:eastAsia="zh-CN"/>
        </w:rPr>
        <w:t>(1)</w:t>
      </w:r>
      <w:r>
        <w:rPr>
          <w:rFonts w:hint="eastAsia"/>
          <w:sz w:val="24"/>
          <w:highlight w:val="none"/>
          <w:lang w:val="zh-CN"/>
        </w:rPr>
        <w:t>本项目代理费由中标(成交)供应商支付，甲方不另行支付。</w:t>
      </w:r>
    </w:p>
    <w:p w14:paraId="2DCA49E3">
      <w:pPr>
        <w:autoSpaceDE w:val="0"/>
        <w:autoSpaceDN w:val="0"/>
        <w:adjustRightInd w:val="0"/>
        <w:ind w:firstLine="420"/>
        <w:rPr>
          <w:rFonts w:hint="eastAsia"/>
          <w:sz w:val="24"/>
          <w:highlight w:val="none"/>
          <w:lang w:val="zh-CN"/>
        </w:rPr>
      </w:pPr>
      <w:r>
        <w:rPr>
          <w:rFonts w:hint="eastAsia"/>
          <w:sz w:val="24"/>
          <w:highlight w:val="none"/>
          <w:lang w:val="en-US" w:eastAsia="zh-CN"/>
        </w:rPr>
        <w:t>(2)</w:t>
      </w:r>
      <w:r>
        <w:rPr>
          <w:rFonts w:hint="eastAsia"/>
          <w:sz w:val="24"/>
          <w:highlight w:val="none"/>
          <w:lang w:val="zh-CN"/>
        </w:rPr>
        <w:t>支付原因:为优化项目预算执行、简化资金支付流程、提高采购效率，经甲方统筹安排，本项目代理费由中标(成交)供应商计入投标报价中。</w:t>
      </w:r>
    </w:p>
    <w:p w14:paraId="1300D630">
      <w:pPr>
        <w:autoSpaceDE w:val="0"/>
        <w:autoSpaceDN w:val="0"/>
        <w:adjustRightInd w:val="0"/>
        <w:ind w:firstLine="420"/>
        <w:rPr>
          <w:rFonts w:hint="eastAsia"/>
          <w:sz w:val="24"/>
          <w:highlight w:val="none"/>
          <w:lang w:val="zh-CN"/>
        </w:rPr>
      </w:pPr>
      <w:r>
        <w:rPr>
          <w:rFonts w:hint="eastAsia"/>
          <w:sz w:val="24"/>
          <w:highlight w:val="none"/>
          <w:lang w:val="en-US" w:eastAsia="zh-CN"/>
        </w:rPr>
        <w:t>(3)</w:t>
      </w:r>
      <w:r>
        <w:rPr>
          <w:rFonts w:hint="eastAsia"/>
          <w:sz w:val="24"/>
          <w:highlight w:val="none"/>
          <w:lang w:val="zh-CN"/>
        </w:rPr>
        <w:t>支付方式:中标(成交)供应商在领取中标(成交)通知书前，一次性向乙方足额支付代理费，由乙方向其开具合法有效票据。未按要求支付的，甲方或乙方有权不予发放中标(成交)通知书，并取消其中标(成交)资格。</w:t>
      </w:r>
    </w:p>
    <w:p w14:paraId="478511A2">
      <w:pPr>
        <w:autoSpaceDE w:val="0"/>
        <w:autoSpaceDN w:val="0"/>
        <w:adjustRightInd w:val="0"/>
        <w:ind w:firstLine="420"/>
        <w:rPr>
          <w:rFonts w:hint="eastAsia"/>
          <w:sz w:val="24"/>
          <w:highlight w:val="none"/>
          <w:lang w:val="zh-CN"/>
        </w:rPr>
      </w:pPr>
      <w:r>
        <w:rPr>
          <w:rFonts w:hint="eastAsia"/>
          <w:sz w:val="24"/>
          <w:highlight w:val="none"/>
          <w:lang w:val="en-US" w:eastAsia="zh-CN"/>
        </w:rPr>
        <w:t>(4)</w:t>
      </w:r>
      <w:r>
        <w:rPr>
          <w:rFonts w:hint="eastAsia"/>
          <w:sz w:val="24"/>
          <w:highlight w:val="none"/>
          <w:lang w:val="zh-CN"/>
        </w:rPr>
        <w:t>计费标准及确立依据:</w:t>
      </w:r>
    </w:p>
    <w:p w14:paraId="61E09C45">
      <w:pPr>
        <w:autoSpaceDE w:val="0"/>
        <w:autoSpaceDN w:val="0"/>
        <w:adjustRightInd w:val="0"/>
        <w:ind w:firstLine="420"/>
        <w:rPr>
          <w:rFonts w:hint="eastAsia"/>
          <w:sz w:val="24"/>
          <w:highlight w:val="none"/>
          <w:lang w:val="zh-CN"/>
        </w:rPr>
      </w:pPr>
      <w:r>
        <w:rPr>
          <w:rFonts w:hint="eastAsia"/>
          <w:sz w:val="24"/>
          <w:highlight w:val="none"/>
          <w:lang w:val="zh-CN"/>
        </w:rPr>
        <w:t>计费基数:本项目招标代理费计算基数以中标(成交)金额为计费基数</w:t>
      </w:r>
      <w:r>
        <w:rPr>
          <w:rFonts w:hint="eastAsia"/>
          <w:sz w:val="24"/>
          <w:highlight w:val="none"/>
          <w:lang w:val="en-US" w:eastAsia="zh-CN"/>
        </w:rPr>
        <w:t>,</w:t>
      </w:r>
      <w:r>
        <w:rPr>
          <w:rFonts w:hint="eastAsia"/>
          <w:sz w:val="24"/>
          <w:highlight w:val="none"/>
          <w:lang w:val="zh-CN"/>
        </w:rPr>
        <w:t>收费标准:招标代理费以各标段中标金额为基数，按计价格(2002)1980号文标准的80%计算，不足3000元按3000元收取。</w:t>
      </w:r>
    </w:p>
    <w:p w14:paraId="5BFC3BC1">
      <w:pPr>
        <w:autoSpaceDE w:val="0"/>
        <w:autoSpaceDN w:val="0"/>
        <w:adjustRightInd w:val="0"/>
        <w:ind w:firstLine="420"/>
        <w:rPr>
          <w:b/>
          <w:sz w:val="24"/>
          <w:highlight w:val="none"/>
        </w:rPr>
      </w:pPr>
      <w:r>
        <w:rPr>
          <w:b/>
          <w:sz w:val="24"/>
          <w:highlight w:val="none"/>
        </w:rPr>
        <w:t>二、响应性文件的编制</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68D53D2">
      <w:pPr>
        <w:ind w:firstLine="482" w:firstLineChars="200"/>
        <w:rPr>
          <w:b/>
          <w:sz w:val="24"/>
          <w:highlight w:val="none"/>
        </w:rPr>
      </w:pPr>
      <w:r>
        <w:rPr>
          <w:rFonts w:hint="eastAsia"/>
          <w:b/>
          <w:sz w:val="24"/>
          <w:highlight w:val="none"/>
        </w:rPr>
        <w:t>9</w:t>
      </w:r>
      <w:r>
        <w:rPr>
          <w:b/>
          <w:sz w:val="24"/>
          <w:highlight w:val="none"/>
        </w:rPr>
        <w:t>.响应性文件的语言、计量单位、货币和编制</w:t>
      </w:r>
    </w:p>
    <w:p w14:paraId="26D59108">
      <w:pPr>
        <w:ind w:firstLine="480" w:firstLineChars="200"/>
        <w:rPr>
          <w:sz w:val="24"/>
          <w:highlight w:val="none"/>
        </w:rPr>
      </w:pPr>
      <w:r>
        <w:rPr>
          <w:rFonts w:hint="eastAsia"/>
          <w:sz w:val="24"/>
          <w:highlight w:val="none"/>
        </w:rPr>
        <w:t>9</w:t>
      </w:r>
      <w:r>
        <w:rPr>
          <w:sz w:val="24"/>
          <w:highlight w:val="none"/>
        </w:rPr>
        <w:t>.1供应商提交的响应性文件、技术文件和资料，以及供应商与</w:t>
      </w:r>
      <w:r>
        <w:rPr>
          <w:rFonts w:hint="eastAsia"/>
          <w:sz w:val="24"/>
          <w:highlight w:val="none"/>
        </w:rPr>
        <w:t>代理机构</w:t>
      </w:r>
      <w:r>
        <w:rPr>
          <w:sz w:val="24"/>
          <w:highlight w:val="none"/>
        </w:rPr>
        <w:t>就有关磋商的所有来往函电均应使用中文。响应性文件中若有英文或其他语言文字的资料，应提供相应的中文翻译资料。</w:t>
      </w:r>
      <w:r>
        <w:rPr>
          <w:sz w:val="24"/>
          <w:highlight w:val="none"/>
          <w:lang w:val="zh-CN"/>
        </w:rPr>
        <w:t>对不同文本磋商响应文件的解释发生异议的，以中文文本为准。</w:t>
      </w:r>
    </w:p>
    <w:p w14:paraId="6A29AF8E">
      <w:pPr>
        <w:ind w:firstLine="480" w:firstLineChars="200"/>
        <w:rPr>
          <w:sz w:val="24"/>
          <w:highlight w:val="none"/>
        </w:rPr>
      </w:pPr>
      <w:r>
        <w:rPr>
          <w:rFonts w:hint="eastAsia"/>
          <w:sz w:val="24"/>
          <w:highlight w:val="none"/>
        </w:rPr>
        <w:t>9</w:t>
      </w:r>
      <w:r>
        <w:rPr>
          <w:sz w:val="24"/>
          <w:highlight w:val="none"/>
        </w:rPr>
        <w:t>.2供应商所使用的计量单位应为国家法定计量单位。</w:t>
      </w:r>
    </w:p>
    <w:p w14:paraId="5C40B7A5">
      <w:pPr>
        <w:ind w:firstLine="480" w:firstLineChars="200"/>
        <w:rPr>
          <w:highlight w:val="none"/>
          <w:lang w:val="zh-CN"/>
        </w:rPr>
      </w:pPr>
      <w:r>
        <w:rPr>
          <w:rFonts w:hint="eastAsia"/>
          <w:sz w:val="24"/>
          <w:highlight w:val="none"/>
        </w:rPr>
        <w:t>9</w:t>
      </w:r>
      <w:r>
        <w:rPr>
          <w:sz w:val="24"/>
          <w:highlight w:val="none"/>
        </w:rPr>
        <w:t>.3供应商应用人民币报价。</w:t>
      </w:r>
    </w:p>
    <w:p w14:paraId="39D225B6">
      <w:pPr>
        <w:autoSpaceDE w:val="0"/>
        <w:autoSpaceDN w:val="0"/>
        <w:adjustRightInd w:val="0"/>
        <w:ind w:firstLine="420"/>
        <w:rPr>
          <w:sz w:val="24"/>
          <w:highlight w:val="none"/>
          <w:lang w:val="zh-CN"/>
        </w:rPr>
      </w:pPr>
      <w:r>
        <w:rPr>
          <w:rFonts w:hint="eastAsia"/>
          <w:sz w:val="24"/>
          <w:highlight w:val="none"/>
          <w:lang w:val="zh-CN"/>
        </w:rPr>
        <w:t>9</w:t>
      </w:r>
      <w:r>
        <w:rPr>
          <w:sz w:val="24"/>
          <w:highlight w:val="none"/>
          <w:lang w:val="zh-CN"/>
        </w:rPr>
        <w:t>.4 磋商响应文件应字迹清楚、内容齐全、不得涂改。如有修改，修改处须有供应商公章或磋商专用章和法定代表人或其授权磋商代表签字。</w:t>
      </w:r>
    </w:p>
    <w:p w14:paraId="4DFD78C1">
      <w:pPr>
        <w:autoSpaceDE w:val="0"/>
        <w:autoSpaceDN w:val="0"/>
        <w:adjustRightInd w:val="0"/>
        <w:ind w:firstLine="420"/>
        <w:rPr>
          <w:sz w:val="24"/>
          <w:highlight w:val="none"/>
          <w:lang w:val="zh-CN"/>
        </w:rPr>
      </w:pPr>
      <w:r>
        <w:rPr>
          <w:rFonts w:hint="eastAsia"/>
          <w:sz w:val="24"/>
          <w:highlight w:val="none"/>
          <w:lang w:val="zh-CN"/>
        </w:rPr>
        <w:t>9</w:t>
      </w:r>
      <w:r>
        <w:rPr>
          <w:sz w:val="24"/>
          <w:highlight w:val="none"/>
          <w:lang w:val="zh-CN"/>
        </w:rPr>
        <w:t>.5 磋商响应文件应按照竞争性磋商文件规定的顺序，统一用A4规格幅面打印、装订成册并编制目录，由于编排混乱导致磋商响应文件被误读或查找不到，责任由供应商承担。</w:t>
      </w:r>
    </w:p>
    <w:p w14:paraId="100E6274">
      <w:pPr>
        <w:ind w:firstLine="480" w:firstLineChars="200"/>
        <w:rPr>
          <w:sz w:val="24"/>
          <w:highlight w:val="none"/>
        </w:rPr>
      </w:pPr>
      <w:r>
        <w:rPr>
          <w:rFonts w:hint="eastAsia"/>
          <w:sz w:val="24"/>
          <w:highlight w:val="none"/>
          <w:lang w:val="zh-CN"/>
        </w:rPr>
        <w:t>9</w:t>
      </w:r>
      <w:r>
        <w:rPr>
          <w:sz w:val="24"/>
          <w:highlight w:val="none"/>
          <w:lang w:val="zh-CN"/>
        </w:rPr>
        <w:t>.6 供应商应在磋商响应文件中写清相应的项目编号、项目名称、供应商全称、地址、电话、传真等。</w:t>
      </w:r>
    </w:p>
    <w:p w14:paraId="12E3A38E">
      <w:pPr>
        <w:ind w:firstLine="482" w:firstLineChars="200"/>
        <w:rPr>
          <w:b/>
          <w:sz w:val="24"/>
          <w:highlight w:val="none"/>
        </w:rPr>
      </w:pPr>
      <w:r>
        <w:rPr>
          <w:rFonts w:hint="eastAsia"/>
          <w:b/>
          <w:sz w:val="24"/>
          <w:highlight w:val="none"/>
        </w:rPr>
        <w:t>10</w:t>
      </w:r>
      <w:r>
        <w:rPr>
          <w:b/>
          <w:sz w:val="24"/>
          <w:highlight w:val="none"/>
        </w:rPr>
        <w:t>.响应性文件的组成</w:t>
      </w:r>
    </w:p>
    <w:p w14:paraId="420646E4">
      <w:pPr>
        <w:autoSpaceDE w:val="0"/>
        <w:autoSpaceDN w:val="0"/>
        <w:adjustRightInd w:val="0"/>
        <w:ind w:firstLine="420"/>
        <w:rPr>
          <w:b/>
          <w:sz w:val="24"/>
          <w:highlight w:val="none"/>
        </w:rPr>
      </w:pPr>
      <w:r>
        <w:rPr>
          <w:rFonts w:hint="eastAsia"/>
          <w:sz w:val="24"/>
          <w:highlight w:val="none"/>
          <w:lang w:val="zh-CN"/>
        </w:rPr>
        <w:t>10</w:t>
      </w:r>
      <w:r>
        <w:rPr>
          <w:sz w:val="24"/>
          <w:highlight w:val="none"/>
          <w:lang w:val="zh-CN"/>
        </w:rPr>
        <w:t xml:space="preserve">.1 </w:t>
      </w:r>
      <w:r>
        <w:rPr>
          <w:sz w:val="24"/>
          <w:highlight w:val="none"/>
        </w:rPr>
        <w:t>供应商应当根据竞争性磋商文件要求编制磋商响应文件，并根据自己的商务能力、技术水平对竞争性磋商文件提出的要求和条件逐条标明是否响应。</w:t>
      </w:r>
    </w:p>
    <w:p w14:paraId="05DA7D89">
      <w:pPr>
        <w:ind w:firstLine="480" w:firstLineChars="200"/>
        <w:rPr>
          <w:sz w:val="24"/>
          <w:highlight w:val="none"/>
          <w:lang w:val="zh-CN"/>
        </w:rPr>
      </w:pPr>
      <w:r>
        <w:rPr>
          <w:rFonts w:hint="eastAsia"/>
          <w:sz w:val="24"/>
          <w:highlight w:val="none"/>
        </w:rPr>
        <w:t>10</w:t>
      </w:r>
      <w:r>
        <w:rPr>
          <w:sz w:val="24"/>
          <w:highlight w:val="none"/>
        </w:rPr>
        <w:t>.2</w:t>
      </w:r>
      <w:r>
        <w:rPr>
          <w:sz w:val="24"/>
          <w:highlight w:val="none"/>
          <w:lang w:val="zh-CN"/>
        </w:rPr>
        <w:t>磋商响应文件由商务部分、技术部分、价格部分，以及其他部分组成。</w:t>
      </w:r>
    </w:p>
    <w:p w14:paraId="2A0EA90B">
      <w:pPr>
        <w:autoSpaceDE w:val="0"/>
        <w:autoSpaceDN w:val="0"/>
        <w:adjustRightInd w:val="0"/>
        <w:ind w:firstLine="420"/>
        <w:rPr>
          <w:sz w:val="24"/>
          <w:highlight w:val="none"/>
          <w:lang w:val="zh-CN"/>
        </w:rPr>
      </w:pPr>
      <w:r>
        <w:rPr>
          <w:rFonts w:hint="eastAsia"/>
          <w:b/>
          <w:sz w:val="24"/>
          <w:highlight w:val="none"/>
        </w:rPr>
        <w:t>11</w:t>
      </w:r>
      <w:r>
        <w:rPr>
          <w:b/>
          <w:sz w:val="24"/>
          <w:highlight w:val="none"/>
        </w:rPr>
        <w:t>.响应性文件的商务部分</w:t>
      </w:r>
      <w:r>
        <w:rPr>
          <w:sz w:val="24"/>
          <w:highlight w:val="none"/>
        </w:rPr>
        <w:t>:</w:t>
      </w:r>
      <w:r>
        <w:rPr>
          <w:sz w:val="24"/>
          <w:highlight w:val="none"/>
          <w:lang w:val="zh-CN"/>
        </w:rPr>
        <w:t xml:space="preserve"> 商务部分是证明供应商有资格参加磋商和成交后有能力履行合同的文件，</w:t>
      </w:r>
      <w:r>
        <w:rPr>
          <w:sz w:val="24"/>
          <w:highlight w:val="none"/>
        </w:rPr>
        <w:t>这些文件应能满足竞争性磋商采购的要求</w:t>
      </w:r>
      <w:r>
        <w:rPr>
          <w:sz w:val="24"/>
          <w:highlight w:val="none"/>
          <w:lang w:val="zh-CN"/>
        </w:rPr>
        <w:t>，包括但不限于下列文件，其中加</w:t>
      </w:r>
      <w:r>
        <w:rPr>
          <w:b/>
          <w:sz w:val="24"/>
          <w:highlight w:val="none"/>
        </w:rPr>
        <w:t>*</w:t>
      </w:r>
      <w:r>
        <w:rPr>
          <w:sz w:val="24"/>
          <w:highlight w:val="none"/>
          <w:lang w:val="zh-CN"/>
        </w:rPr>
        <w:t>项目不得有缺失或无效。</w:t>
      </w:r>
    </w:p>
    <w:p w14:paraId="7EC47587">
      <w:pPr>
        <w:ind w:firstLine="480" w:firstLineChars="200"/>
        <w:rPr>
          <w:rFonts w:eastAsia="宋体" w:cs="Times New Roman"/>
          <w:sz w:val="24"/>
          <w:highlight w:val="none"/>
          <w:lang w:val="zh-CN"/>
        </w:rPr>
      </w:pPr>
      <w:r>
        <w:rPr>
          <w:rFonts w:hint="eastAsia" w:eastAsia="宋体" w:cs="Times New Roman"/>
          <w:sz w:val="24"/>
          <w:highlight w:val="none"/>
          <w:lang w:val="zh-CN"/>
        </w:rPr>
        <w:t>（1）★磋商申请及声明；</w:t>
      </w:r>
    </w:p>
    <w:p w14:paraId="07325D0E">
      <w:pPr>
        <w:ind w:firstLine="480" w:firstLineChars="200"/>
        <w:rPr>
          <w:rFonts w:hint="eastAsia" w:eastAsia="宋体" w:cs="Times New Roman"/>
          <w:sz w:val="24"/>
          <w:highlight w:val="none"/>
          <w:lang w:val="zh-CN"/>
        </w:rPr>
      </w:pPr>
      <w:r>
        <w:rPr>
          <w:rFonts w:hint="eastAsia" w:eastAsia="宋体" w:cs="Times New Roman"/>
          <w:sz w:val="24"/>
          <w:highlight w:val="none"/>
          <w:lang w:val="zh-CN"/>
        </w:rPr>
        <w:t>（</w:t>
      </w:r>
      <w:r>
        <w:rPr>
          <w:rFonts w:eastAsia="宋体" w:cs="Times New Roman"/>
          <w:sz w:val="24"/>
          <w:highlight w:val="none"/>
          <w:lang w:val="zh-CN"/>
        </w:rPr>
        <w:t>2</w:t>
      </w:r>
      <w:r>
        <w:rPr>
          <w:rFonts w:hint="eastAsia" w:eastAsia="宋体" w:cs="Times New Roman"/>
          <w:sz w:val="24"/>
          <w:highlight w:val="none"/>
          <w:lang w:val="zh-CN"/>
        </w:rPr>
        <w:t>）★法定代表人授权书原件、法定代表人和授权委托人身份证复印件；</w:t>
      </w:r>
    </w:p>
    <w:p w14:paraId="0F0C7DB4">
      <w:pPr>
        <w:ind w:firstLine="480" w:firstLineChars="200"/>
        <w:rPr>
          <w:rFonts w:hint="eastAsia" w:eastAsia="宋体" w:cs="Times New Roman"/>
          <w:sz w:val="24"/>
          <w:highlight w:val="none"/>
          <w:lang w:val="zh-CN"/>
        </w:rPr>
      </w:pPr>
      <w:r>
        <w:rPr>
          <w:rFonts w:hint="eastAsia" w:eastAsia="宋体" w:cs="Times New Roman"/>
          <w:sz w:val="24"/>
          <w:highlight w:val="none"/>
          <w:lang w:val="zh-CN"/>
        </w:rPr>
        <w:t>（</w:t>
      </w:r>
      <w:r>
        <w:rPr>
          <w:rFonts w:eastAsia="宋体" w:cs="Times New Roman"/>
          <w:sz w:val="24"/>
          <w:highlight w:val="none"/>
          <w:lang w:val="zh-CN"/>
        </w:rPr>
        <w:t>3</w:t>
      </w:r>
      <w:r>
        <w:rPr>
          <w:rFonts w:hint="eastAsia" w:eastAsia="宋体" w:cs="Times New Roman"/>
          <w:sz w:val="24"/>
          <w:highlight w:val="none"/>
          <w:lang w:val="zh-CN"/>
        </w:rPr>
        <w:t>）第二章4.1《中华人民共和国政府采购法》规定的条件证明文件；</w:t>
      </w:r>
    </w:p>
    <w:p w14:paraId="36A5C435">
      <w:pPr>
        <w:ind w:firstLine="480" w:firstLineChars="200"/>
        <w:rPr>
          <w:rFonts w:eastAsia="宋体" w:cs="Times New Roman"/>
          <w:sz w:val="24"/>
          <w:highlight w:val="none"/>
          <w:lang w:val="zh-CN"/>
        </w:rPr>
      </w:pPr>
      <w:r>
        <w:rPr>
          <w:rFonts w:hint="eastAsia" w:eastAsia="宋体" w:cs="Times New Roman"/>
          <w:sz w:val="24"/>
          <w:highlight w:val="none"/>
          <w:lang w:val="zh-CN"/>
        </w:rPr>
        <w:t>（</w:t>
      </w:r>
      <w:r>
        <w:rPr>
          <w:rFonts w:eastAsia="宋体" w:cs="Times New Roman"/>
          <w:sz w:val="24"/>
          <w:highlight w:val="none"/>
          <w:lang w:val="zh-CN"/>
        </w:rPr>
        <w:t>4</w:t>
      </w:r>
      <w:r>
        <w:rPr>
          <w:rFonts w:hint="eastAsia" w:eastAsia="宋体" w:cs="Times New Roman"/>
          <w:sz w:val="24"/>
          <w:highlight w:val="none"/>
          <w:lang w:val="zh-CN"/>
        </w:rPr>
        <w:t>）★第二章4.2</w:t>
      </w:r>
      <w:r>
        <w:rPr>
          <w:rFonts w:eastAsia="宋体" w:cs="Times New Roman"/>
          <w:sz w:val="24"/>
          <w:highlight w:val="none"/>
          <w:lang w:val="zh-CN"/>
        </w:rPr>
        <w:t>采购人根据采购项目的特殊要求</w:t>
      </w:r>
      <w:r>
        <w:rPr>
          <w:rFonts w:hint="eastAsia" w:eastAsia="宋体" w:cs="Times New Roman"/>
          <w:sz w:val="24"/>
          <w:highlight w:val="none"/>
          <w:lang w:val="zh-CN"/>
        </w:rPr>
        <w:t>提出</w:t>
      </w:r>
      <w:r>
        <w:rPr>
          <w:rFonts w:eastAsia="宋体" w:cs="Times New Roman"/>
          <w:sz w:val="24"/>
          <w:highlight w:val="none"/>
          <w:lang w:val="zh-CN"/>
        </w:rPr>
        <w:t>的特定条件</w:t>
      </w:r>
      <w:r>
        <w:rPr>
          <w:rFonts w:hint="eastAsia" w:eastAsia="宋体" w:cs="Times New Roman"/>
          <w:sz w:val="24"/>
          <w:highlight w:val="none"/>
          <w:lang w:val="zh-CN"/>
        </w:rPr>
        <w:t xml:space="preserve">证明文件； </w:t>
      </w:r>
    </w:p>
    <w:p w14:paraId="4D37F1CA">
      <w:pPr>
        <w:ind w:firstLine="480" w:firstLineChars="200"/>
        <w:rPr>
          <w:rFonts w:hint="eastAsia" w:eastAsia="宋体" w:cs="Times New Roman"/>
          <w:sz w:val="24"/>
          <w:highlight w:val="none"/>
          <w:lang w:val="zh-CN"/>
        </w:rPr>
      </w:pPr>
      <w:r>
        <w:rPr>
          <w:rFonts w:hint="eastAsia" w:eastAsia="宋体" w:cs="Times New Roman"/>
          <w:sz w:val="24"/>
          <w:highlight w:val="none"/>
          <w:lang w:val="zh-CN"/>
        </w:rPr>
        <w:t>（5）★《磋商报价</w:t>
      </w:r>
      <w:r>
        <w:rPr>
          <w:rFonts w:hint="eastAsia" w:eastAsia="宋体" w:cs="Times New Roman"/>
          <w:sz w:val="24"/>
          <w:highlight w:val="none"/>
          <w:lang w:val="zh-CN" w:eastAsia="zh-CN"/>
        </w:rPr>
        <w:t>汇总</w:t>
      </w:r>
      <w:r>
        <w:rPr>
          <w:rFonts w:hint="eastAsia" w:eastAsia="宋体" w:cs="Times New Roman"/>
          <w:sz w:val="24"/>
          <w:highlight w:val="none"/>
          <w:lang w:val="zh-CN"/>
        </w:rPr>
        <w:t>表》；</w:t>
      </w:r>
    </w:p>
    <w:p w14:paraId="67D2EB36">
      <w:pPr>
        <w:ind w:firstLine="480" w:firstLineChars="200"/>
        <w:rPr>
          <w:rFonts w:hint="eastAsia" w:eastAsia="宋体" w:cs="Times New Roman"/>
          <w:sz w:val="24"/>
          <w:highlight w:val="none"/>
          <w:lang w:val="zh-CN"/>
        </w:rPr>
      </w:pPr>
      <w:r>
        <w:rPr>
          <w:rFonts w:hint="eastAsia" w:eastAsia="宋体" w:cs="Times New Roman"/>
          <w:sz w:val="24"/>
          <w:highlight w:val="none"/>
          <w:lang w:val="zh-CN"/>
        </w:rPr>
        <w:t>（6）★南京市政府采购供应商信用记录表暨信用承诺书；</w:t>
      </w:r>
    </w:p>
    <w:p w14:paraId="1E860F8D">
      <w:pPr>
        <w:ind w:firstLine="480" w:firstLineChars="200"/>
        <w:rPr>
          <w:rFonts w:hint="eastAsia" w:eastAsia="宋体" w:cs="Times New Roman"/>
          <w:sz w:val="24"/>
          <w:highlight w:val="none"/>
          <w:lang w:val="zh-CN"/>
        </w:rPr>
      </w:pPr>
      <w:r>
        <w:rPr>
          <w:rFonts w:hint="eastAsia" w:eastAsia="宋体" w:cs="Times New Roman"/>
          <w:sz w:val="24"/>
          <w:highlight w:val="none"/>
          <w:lang w:val="zh-CN"/>
        </w:rPr>
        <w:t>（7）★质量承诺书</w:t>
      </w:r>
    </w:p>
    <w:p w14:paraId="23516B05">
      <w:pPr>
        <w:ind w:firstLine="480" w:firstLineChars="200"/>
        <w:rPr>
          <w:rFonts w:hint="eastAsia" w:eastAsia="宋体" w:cs="Times New Roman"/>
          <w:sz w:val="24"/>
          <w:highlight w:val="none"/>
          <w:lang w:val="zh-CN"/>
        </w:rPr>
      </w:pPr>
      <w:r>
        <w:rPr>
          <w:rFonts w:hint="eastAsia" w:eastAsia="宋体" w:cs="Times New Roman"/>
          <w:sz w:val="24"/>
          <w:highlight w:val="none"/>
          <w:lang w:val="zh-CN"/>
        </w:rPr>
        <w:t>（8）★商务条款偏离表</w:t>
      </w:r>
    </w:p>
    <w:p w14:paraId="7BBB4499">
      <w:pPr>
        <w:ind w:firstLine="480" w:firstLineChars="200"/>
        <w:rPr>
          <w:rFonts w:hint="eastAsia" w:eastAsia="宋体" w:cs="Times New Roman"/>
          <w:sz w:val="24"/>
          <w:highlight w:val="none"/>
          <w:lang w:val="zh-CN"/>
        </w:rPr>
      </w:pPr>
      <w:r>
        <w:rPr>
          <w:rFonts w:hint="eastAsia" w:eastAsia="宋体" w:cs="Times New Roman"/>
          <w:sz w:val="24"/>
          <w:highlight w:val="none"/>
          <w:lang w:val="zh-CN"/>
        </w:rPr>
        <w:t xml:space="preserve">（9）★授权委托代理人劳动合同和近三月内供应商企业为其缴纳的任意一个月社保缴纳证明（ </w:t>
      </w:r>
      <w:r>
        <w:rPr>
          <w:rFonts w:hint="eastAsia" w:cs="Times New Roman"/>
          <w:sz w:val="24"/>
          <w:highlight w:val="none"/>
          <w:lang w:val="en-US" w:eastAsia="zh-CN"/>
        </w:rPr>
        <w:t>2026年4月至2026年6月</w:t>
      </w:r>
      <w:r>
        <w:rPr>
          <w:rFonts w:hint="eastAsia" w:eastAsia="宋体" w:cs="Times New Roman"/>
          <w:sz w:val="24"/>
          <w:highlight w:val="none"/>
          <w:lang w:val="zh-CN"/>
        </w:rPr>
        <w:t>）。</w:t>
      </w:r>
    </w:p>
    <w:p w14:paraId="39C9D87B">
      <w:pPr>
        <w:ind w:firstLine="480" w:firstLineChars="200"/>
        <w:rPr>
          <w:rFonts w:hint="eastAsia" w:eastAsia="宋体" w:cs="Times New Roman"/>
          <w:sz w:val="24"/>
          <w:highlight w:val="none"/>
          <w:lang w:val="en-US" w:eastAsia="zh-CN"/>
        </w:rPr>
      </w:pPr>
      <w:r>
        <w:rPr>
          <w:rFonts w:hint="eastAsia" w:eastAsia="宋体" w:cs="Times New Roman"/>
          <w:sz w:val="24"/>
          <w:highlight w:val="none"/>
          <w:lang w:val="zh-CN"/>
        </w:rPr>
        <w:t>（</w:t>
      </w:r>
      <w:r>
        <w:rPr>
          <w:rFonts w:hint="eastAsia" w:eastAsia="宋体" w:cs="Times New Roman"/>
          <w:sz w:val="24"/>
          <w:highlight w:val="none"/>
          <w:lang w:val="en-US" w:eastAsia="zh-CN"/>
        </w:rPr>
        <w:t>10</w:t>
      </w:r>
      <w:r>
        <w:rPr>
          <w:rFonts w:hint="eastAsia" w:eastAsia="宋体" w:cs="Times New Roman"/>
          <w:sz w:val="24"/>
          <w:highlight w:val="none"/>
          <w:lang w:val="zh-CN"/>
        </w:rPr>
        <w:t>）★</w:t>
      </w:r>
      <w:r>
        <w:rPr>
          <w:rFonts w:hint="eastAsia" w:eastAsia="宋体" w:cs="Times New Roman"/>
          <w:sz w:val="24"/>
          <w:highlight w:val="none"/>
          <w:lang w:val="en-US" w:eastAsia="zh-CN"/>
        </w:rPr>
        <w:t>中小企业声明函</w:t>
      </w:r>
    </w:p>
    <w:p w14:paraId="6BD3A99F">
      <w:pPr>
        <w:ind w:firstLine="480" w:firstLineChars="200"/>
        <w:rPr>
          <w:rFonts w:hint="eastAsia" w:eastAsia="宋体" w:cs="Times New Roman"/>
          <w:sz w:val="24"/>
          <w:highlight w:val="none"/>
          <w:lang w:val="en-US"/>
        </w:rPr>
      </w:pPr>
      <w:r>
        <w:rPr>
          <w:rFonts w:hint="eastAsia" w:eastAsia="宋体" w:cs="Times New Roman"/>
          <w:sz w:val="24"/>
          <w:highlight w:val="none"/>
          <w:lang w:val="en-US"/>
        </w:rPr>
        <w:t>（11）项目参与人员的职称等能力证书复印件；</w:t>
      </w:r>
    </w:p>
    <w:p w14:paraId="4C3A5115">
      <w:pPr>
        <w:ind w:firstLine="480" w:firstLineChars="200"/>
        <w:rPr>
          <w:rFonts w:hint="eastAsia" w:eastAsia="宋体" w:cs="Times New Roman"/>
          <w:sz w:val="24"/>
          <w:highlight w:val="none"/>
          <w:lang w:val="en-US"/>
        </w:rPr>
      </w:pPr>
      <w:r>
        <w:rPr>
          <w:rFonts w:hint="eastAsia" w:eastAsia="宋体" w:cs="Times New Roman"/>
          <w:sz w:val="24"/>
          <w:highlight w:val="none"/>
          <w:lang w:val="zh-CN"/>
        </w:rPr>
        <w:t>（</w:t>
      </w:r>
      <w:r>
        <w:rPr>
          <w:rFonts w:eastAsia="宋体" w:cs="Times New Roman"/>
          <w:sz w:val="24"/>
          <w:highlight w:val="none"/>
          <w:lang w:val="zh-CN"/>
        </w:rPr>
        <w:t>1</w:t>
      </w:r>
      <w:r>
        <w:rPr>
          <w:rFonts w:hint="eastAsia" w:eastAsia="宋体" w:cs="Times New Roman"/>
          <w:sz w:val="24"/>
          <w:highlight w:val="none"/>
          <w:lang w:val="en-US"/>
        </w:rPr>
        <w:t>2</w:t>
      </w:r>
      <w:r>
        <w:rPr>
          <w:rFonts w:hint="eastAsia" w:eastAsia="宋体" w:cs="Times New Roman"/>
          <w:sz w:val="24"/>
          <w:highlight w:val="none"/>
          <w:lang w:val="zh-CN"/>
        </w:rPr>
        <w:t>）类似</w:t>
      </w:r>
      <w:r>
        <w:rPr>
          <w:rFonts w:hint="eastAsia" w:eastAsia="宋体" w:cs="Times New Roman"/>
          <w:sz w:val="24"/>
          <w:highlight w:val="none"/>
          <w:lang w:val="en-US"/>
        </w:rPr>
        <w:t>业绩；</w:t>
      </w:r>
    </w:p>
    <w:p w14:paraId="302BB5DB">
      <w:pPr>
        <w:ind w:firstLine="480" w:firstLineChars="200"/>
        <w:rPr>
          <w:rFonts w:hint="eastAsia" w:eastAsia="宋体" w:cs="Times New Roman"/>
          <w:sz w:val="24"/>
          <w:highlight w:val="none"/>
          <w:lang w:val="zh-CN"/>
        </w:rPr>
      </w:pPr>
      <w:r>
        <w:rPr>
          <w:rFonts w:hint="eastAsia" w:eastAsia="宋体" w:cs="Times New Roman"/>
          <w:sz w:val="24"/>
          <w:highlight w:val="none"/>
          <w:lang w:val="zh-CN"/>
        </w:rPr>
        <w:t>（</w:t>
      </w:r>
      <w:r>
        <w:rPr>
          <w:rFonts w:eastAsia="宋体" w:cs="Times New Roman"/>
          <w:sz w:val="24"/>
          <w:highlight w:val="none"/>
          <w:lang w:val="zh-CN"/>
        </w:rPr>
        <w:t>1</w:t>
      </w:r>
      <w:r>
        <w:rPr>
          <w:rFonts w:hint="eastAsia" w:eastAsia="宋体" w:cs="Times New Roman"/>
          <w:sz w:val="24"/>
          <w:highlight w:val="none"/>
          <w:lang w:val="zh-CN"/>
        </w:rPr>
        <w:t>3）响应供应商认为需要提供的其他证明文件和商务资料。</w:t>
      </w:r>
    </w:p>
    <w:p w14:paraId="1314B893">
      <w:pPr>
        <w:ind w:firstLine="480" w:firstLineChars="200"/>
        <w:rPr>
          <w:rFonts w:hint="eastAsia" w:ascii="宋体" w:hAnsi="宋体" w:cs="宋体"/>
          <w:sz w:val="24"/>
          <w:highlight w:val="none"/>
          <w:lang w:val="zh-CN"/>
        </w:rPr>
      </w:pPr>
      <w:r>
        <w:rPr>
          <w:rFonts w:hint="eastAsia" w:eastAsia="宋体" w:cs="Times New Roman"/>
          <w:sz w:val="24"/>
          <w:highlight w:val="none"/>
          <w:lang w:val="zh-CN"/>
        </w:rPr>
        <w:t xml:space="preserve">响应货物如果属于节能产品和环境标志产品，应在响应文件中予以明确标注，并提供相应证书的复印件。否则，磋商评审时不予认可。 </w:t>
      </w:r>
      <w:r>
        <w:rPr>
          <w:rFonts w:hint="eastAsia" w:ascii="宋体" w:hAnsi="宋体" w:cs="宋体"/>
          <w:sz w:val="24"/>
          <w:highlight w:val="none"/>
          <w:lang w:val="zh-CN"/>
        </w:rPr>
        <w:t xml:space="preserve">    </w:t>
      </w:r>
    </w:p>
    <w:p w14:paraId="7AB85F8B">
      <w:pPr>
        <w:ind w:firstLine="420"/>
        <w:rPr>
          <w:b/>
          <w:sz w:val="24"/>
          <w:highlight w:val="none"/>
        </w:rPr>
      </w:pPr>
      <w:r>
        <w:rPr>
          <w:rFonts w:hint="eastAsia"/>
          <w:b/>
          <w:sz w:val="24"/>
          <w:highlight w:val="none"/>
        </w:rPr>
        <w:t>12</w:t>
      </w:r>
      <w:r>
        <w:rPr>
          <w:b/>
          <w:sz w:val="24"/>
          <w:highlight w:val="none"/>
        </w:rPr>
        <w:t>.报价部分</w:t>
      </w:r>
    </w:p>
    <w:p w14:paraId="0E36450B">
      <w:pPr>
        <w:autoSpaceDE w:val="0"/>
        <w:autoSpaceDN w:val="0"/>
        <w:adjustRightInd w:val="0"/>
        <w:ind w:firstLine="420"/>
        <w:rPr>
          <w:sz w:val="24"/>
          <w:highlight w:val="none"/>
          <w:lang w:val="zh-CN"/>
        </w:rPr>
      </w:pPr>
      <w:r>
        <w:rPr>
          <w:rFonts w:hint="eastAsia"/>
          <w:sz w:val="24"/>
          <w:highlight w:val="none"/>
          <w:lang w:val="zh-CN"/>
        </w:rPr>
        <w:t>12</w:t>
      </w:r>
      <w:r>
        <w:rPr>
          <w:sz w:val="24"/>
          <w:highlight w:val="none"/>
          <w:lang w:val="zh-CN"/>
        </w:rPr>
        <w:t>.1价格部分是对货物和服务价格构成的说明，竞争性磋商文件如没有特别说明的话，对每一项货物和服务仅接受一个价格。</w:t>
      </w:r>
    </w:p>
    <w:p w14:paraId="5303800D">
      <w:pPr>
        <w:snapToGrid w:val="0"/>
        <w:ind w:firstLine="480" w:firstLineChars="200"/>
        <w:rPr>
          <w:sz w:val="24"/>
          <w:highlight w:val="none"/>
          <w:lang w:val="zh-CN"/>
        </w:rPr>
      </w:pPr>
      <w:r>
        <w:rPr>
          <w:rFonts w:hint="eastAsia"/>
          <w:sz w:val="24"/>
          <w:highlight w:val="none"/>
          <w:lang w:val="zh-CN"/>
        </w:rPr>
        <w:t>12.2磋商报价是磋商文件所确定的采购范围内的全部货物或服务的价格体现。磋商报价：包括但不限于人员劳资、交通费、风险评估费等，应包括供应商为完成</w:t>
      </w:r>
      <w:r>
        <w:rPr>
          <w:rFonts w:hint="eastAsia"/>
          <w:sz w:val="24"/>
          <w:highlight w:val="none"/>
        </w:rPr>
        <w:t>服务</w:t>
      </w:r>
      <w:r>
        <w:rPr>
          <w:rFonts w:hint="eastAsia"/>
          <w:sz w:val="24"/>
          <w:highlight w:val="none"/>
          <w:lang w:val="zh-CN"/>
        </w:rPr>
        <w:t>所承担的全部费用、利润、税金、政策性文件规定及及合同包含内的所有风险、责任等各项应有费用，不论其在采购文件中是否有提及。响应供应商应根据上述因素自行考虑磋商报价。</w:t>
      </w:r>
    </w:p>
    <w:p w14:paraId="48545062">
      <w:pPr>
        <w:snapToGrid w:val="0"/>
        <w:ind w:firstLine="480" w:firstLineChars="200"/>
        <w:rPr>
          <w:sz w:val="24"/>
          <w:highlight w:val="none"/>
        </w:rPr>
      </w:pPr>
      <w:r>
        <w:rPr>
          <w:rFonts w:hint="eastAsia"/>
          <w:sz w:val="24"/>
          <w:highlight w:val="none"/>
        </w:rPr>
        <w:t>12</w:t>
      </w:r>
      <w:r>
        <w:rPr>
          <w:sz w:val="24"/>
          <w:highlight w:val="none"/>
        </w:rPr>
        <w:t>.3供应商</w:t>
      </w:r>
      <w:r>
        <w:rPr>
          <w:sz w:val="24"/>
          <w:highlight w:val="none"/>
          <w:lang w:val="zh-CN"/>
        </w:rPr>
        <w:t>应在《磋商报价汇总表》、《磋商分项报价表》等中标明拟提供货物和服务的单价、总价以及分项报价。</w:t>
      </w:r>
    </w:p>
    <w:p w14:paraId="659C9B63">
      <w:pPr>
        <w:snapToGrid w:val="0"/>
        <w:ind w:firstLine="480" w:firstLineChars="200"/>
        <w:rPr>
          <w:b/>
          <w:sz w:val="24"/>
          <w:highlight w:val="none"/>
          <w:lang w:val="zh-CN"/>
        </w:rPr>
      </w:pPr>
      <w:r>
        <w:rPr>
          <w:rFonts w:hint="eastAsia"/>
          <w:sz w:val="24"/>
          <w:highlight w:val="none"/>
        </w:rPr>
        <w:t>12</w:t>
      </w:r>
      <w:r>
        <w:rPr>
          <w:sz w:val="24"/>
          <w:highlight w:val="none"/>
        </w:rPr>
        <w:t>.4</w:t>
      </w:r>
      <w:r>
        <w:rPr>
          <w:b/>
          <w:sz w:val="24"/>
          <w:highlight w:val="none"/>
          <w:lang w:val="zh-CN"/>
        </w:rPr>
        <w:t>供应商应</w:t>
      </w:r>
      <w:r>
        <w:rPr>
          <w:b/>
          <w:sz w:val="24"/>
          <w:highlight w:val="none"/>
        </w:rPr>
        <w:t>仔细阅读和理解磋商文件中有关项目需求、义务、付款方式、付款条件和时间进度安排，</w:t>
      </w:r>
      <w:r>
        <w:rPr>
          <w:b/>
          <w:sz w:val="24"/>
          <w:highlight w:val="none"/>
          <w:lang w:val="zh-CN"/>
        </w:rPr>
        <w:t>充分考虑到市场价格变动以及项目实施过程中的不可预见因素，</w:t>
      </w:r>
      <w:r>
        <w:rPr>
          <w:b/>
          <w:sz w:val="24"/>
          <w:highlight w:val="none"/>
        </w:rPr>
        <w:t>结合企业自身条件进行报价，</w:t>
      </w:r>
      <w:r>
        <w:rPr>
          <w:b/>
          <w:sz w:val="24"/>
          <w:highlight w:val="none"/>
          <w:lang w:val="zh-CN"/>
        </w:rPr>
        <w:t>一旦成交，总价格不变。如果有漏项，视同让利。</w:t>
      </w:r>
    </w:p>
    <w:p w14:paraId="4402125C">
      <w:pPr>
        <w:snapToGrid w:val="0"/>
        <w:ind w:firstLine="482" w:firstLineChars="200"/>
        <w:rPr>
          <w:b/>
          <w:sz w:val="24"/>
          <w:highlight w:val="none"/>
          <w:lang w:val="zh-CN"/>
        </w:rPr>
      </w:pPr>
      <w:r>
        <w:rPr>
          <w:rFonts w:hint="eastAsia"/>
          <w:b/>
          <w:sz w:val="24"/>
          <w:highlight w:val="none"/>
          <w:lang w:val="zh-CN"/>
        </w:rPr>
        <w:t>12</w:t>
      </w:r>
      <w:r>
        <w:rPr>
          <w:b/>
          <w:sz w:val="24"/>
          <w:highlight w:val="none"/>
          <w:lang w:val="zh-CN"/>
        </w:rPr>
        <w:t>.5 经磋商后，如果成交价高于或低于供应商在磋商响应文件报价的话，分项报价同比例调整。</w:t>
      </w:r>
    </w:p>
    <w:p w14:paraId="1E8734C2">
      <w:pPr>
        <w:snapToGrid w:val="0"/>
        <w:ind w:firstLine="480" w:firstLineChars="200"/>
        <w:rPr>
          <w:sz w:val="24"/>
          <w:highlight w:val="none"/>
        </w:rPr>
      </w:pPr>
      <w:r>
        <w:rPr>
          <w:rFonts w:hint="eastAsia"/>
          <w:sz w:val="24"/>
          <w:highlight w:val="none"/>
        </w:rPr>
        <w:t>12</w:t>
      </w:r>
      <w:r>
        <w:rPr>
          <w:sz w:val="24"/>
          <w:highlight w:val="none"/>
        </w:rPr>
        <w:t>.6报价表必须由供应商法人代表或委托授权人签字、或加盖单位公章。如有优惠条款，请单独列明，但不得影响报价，影响货物或服务整体功能。</w:t>
      </w:r>
    </w:p>
    <w:p w14:paraId="43FFA814">
      <w:pPr>
        <w:snapToGrid w:val="0"/>
        <w:ind w:firstLine="482" w:firstLineChars="200"/>
        <w:rPr>
          <w:b/>
          <w:sz w:val="24"/>
          <w:highlight w:val="none"/>
        </w:rPr>
      </w:pPr>
      <w:r>
        <w:rPr>
          <w:rFonts w:hint="eastAsia"/>
          <w:b/>
          <w:sz w:val="24"/>
          <w:highlight w:val="none"/>
        </w:rPr>
        <w:t>12</w:t>
      </w:r>
      <w:r>
        <w:rPr>
          <w:b/>
          <w:sz w:val="24"/>
          <w:highlight w:val="none"/>
        </w:rPr>
        <w:t>.7 政府采购提倡公平竞争，反对盲目压价参与磋商，任何盲目压价和低于成本报价将会被拒绝。</w:t>
      </w:r>
    </w:p>
    <w:p w14:paraId="41DFEA8C">
      <w:pPr>
        <w:ind w:firstLine="482" w:firstLineChars="200"/>
        <w:rPr>
          <w:b/>
          <w:sz w:val="24"/>
          <w:highlight w:val="none"/>
        </w:rPr>
      </w:pPr>
      <w:r>
        <w:rPr>
          <w:rFonts w:hint="eastAsia"/>
          <w:b/>
          <w:sz w:val="24"/>
          <w:highlight w:val="none"/>
        </w:rPr>
        <w:t>13</w:t>
      </w:r>
      <w:r>
        <w:rPr>
          <w:b/>
          <w:sz w:val="24"/>
          <w:highlight w:val="none"/>
        </w:rPr>
        <w:t>.技术部分</w:t>
      </w:r>
    </w:p>
    <w:p w14:paraId="4635CA2F">
      <w:pPr>
        <w:ind w:firstLine="480" w:firstLineChars="200"/>
        <w:rPr>
          <w:b/>
          <w:sz w:val="24"/>
          <w:highlight w:val="none"/>
        </w:rPr>
      </w:pPr>
      <w:r>
        <w:rPr>
          <w:sz w:val="24"/>
          <w:highlight w:val="none"/>
          <w:lang w:val="zh-CN"/>
        </w:rPr>
        <w:t>技术部分是证明</w:t>
      </w:r>
      <w:r>
        <w:rPr>
          <w:sz w:val="24"/>
          <w:highlight w:val="none"/>
        </w:rPr>
        <w:t>供应商提供的货物和服务是合格的、并符合竞争性磋商文件要求的证明文件，以及</w:t>
      </w:r>
      <w:r>
        <w:rPr>
          <w:sz w:val="24"/>
          <w:highlight w:val="none"/>
          <w:lang w:val="zh-CN"/>
        </w:rPr>
        <w:t>对货物和服务的详细说明，这些文件可以是文字资料、图纸和数据等。提供的货物如与竞争性磋商文件要求有不符之处，应说明其差别之所在。包括但不限于下列文件，其中加</w:t>
      </w:r>
      <w:r>
        <w:rPr>
          <w:b/>
          <w:sz w:val="24"/>
          <w:highlight w:val="none"/>
        </w:rPr>
        <w:t>*</w:t>
      </w:r>
      <w:r>
        <w:rPr>
          <w:sz w:val="24"/>
          <w:highlight w:val="none"/>
          <w:lang w:val="zh-CN"/>
        </w:rPr>
        <w:t>项目不得有缺失或无效。</w:t>
      </w:r>
    </w:p>
    <w:p w14:paraId="189A584D">
      <w:pPr>
        <w:tabs>
          <w:tab w:val="left" w:pos="732"/>
        </w:tabs>
        <w:autoSpaceDE w:val="0"/>
        <w:autoSpaceDN w:val="0"/>
        <w:adjustRightInd w:val="0"/>
        <w:ind w:firstLine="480" w:firstLineChars="200"/>
        <w:rPr>
          <w:kern w:val="0"/>
          <w:sz w:val="24"/>
          <w:highlight w:val="none"/>
          <w:lang w:val="zh-CN"/>
        </w:rPr>
      </w:pPr>
      <w:bookmarkStart w:id="64" w:name="_Toc345336138"/>
      <w:r>
        <w:rPr>
          <w:kern w:val="0"/>
          <w:sz w:val="24"/>
          <w:highlight w:val="none"/>
          <w:lang w:val="zh-CN"/>
        </w:rPr>
        <w:t>（1）</w:t>
      </w:r>
      <w:r>
        <w:rPr>
          <w:rFonts w:hint="eastAsia" w:ascii="宋体" w:hAnsi="宋体" w:cs="宋体"/>
          <w:b/>
          <w:kern w:val="0"/>
          <w:sz w:val="24"/>
          <w:highlight w:val="none"/>
        </w:rPr>
        <w:t>★</w:t>
      </w:r>
      <w:r>
        <w:rPr>
          <w:rFonts w:hint="eastAsia"/>
          <w:sz w:val="24"/>
          <w:highlight w:val="none"/>
          <w:lang w:val="zh-CN"/>
        </w:rPr>
        <w:t>项目</w:t>
      </w:r>
      <w:r>
        <w:rPr>
          <w:sz w:val="24"/>
          <w:highlight w:val="none"/>
          <w:lang w:val="zh-CN"/>
        </w:rPr>
        <w:t>实施方案；</w:t>
      </w:r>
    </w:p>
    <w:p w14:paraId="743A32AC">
      <w:pPr>
        <w:autoSpaceDE w:val="0"/>
        <w:autoSpaceDN w:val="0"/>
        <w:adjustRightInd w:val="0"/>
        <w:ind w:firstLine="480" w:firstLineChars="200"/>
        <w:rPr>
          <w:sz w:val="24"/>
          <w:highlight w:val="none"/>
          <w:lang w:val="zh-CN"/>
        </w:rPr>
      </w:pPr>
      <w:r>
        <w:rPr>
          <w:sz w:val="24"/>
          <w:highlight w:val="none"/>
          <w:lang w:val="zh-CN"/>
        </w:rPr>
        <w:t>（</w:t>
      </w:r>
      <w:r>
        <w:rPr>
          <w:rFonts w:hint="eastAsia"/>
          <w:sz w:val="24"/>
          <w:highlight w:val="none"/>
        </w:rPr>
        <w:t>2</w:t>
      </w:r>
      <w:r>
        <w:rPr>
          <w:sz w:val="24"/>
          <w:highlight w:val="none"/>
          <w:lang w:val="zh-CN"/>
        </w:rPr>
        <w:t>）</w:t>
      </w:r>
      <w:r>
        <w:rPr>
          <w:rFonts w:hint="eastAsia" w:ascii="宋体" w:hAnsi="宋体" w:cs="宋体"/>
          <w:b/>
          <w:kern w:val="0"/>
          <w:sz w:val="24"/>
          <w:highlight w:val="none"/>
        </w:rPr>
        <w:t>★</w:t>
      </w:r>
      <w:r>
        <w:rPr>
          <w:sz w:val="24"/>
          <w:highlight w:val="none"/>
          <w:lang w:val="zh-CN"/>
        </w:rPr>
        <w:t>《</w:t>
      </w:r>
      <w:r>
        <w:rPr>
          <w:rFonts w:hint="eastAsia"/>
          <w:sz w:val="24"/>
          <w:highlight w:val="none"/>
          <w:lang w:val="zh-CN"/>
        </w:rPr>
        <w:t>技术条款偏离</w:t>
      </w:r>
      <w:r>
        <w:rPr>
          <w:sz w:val="24"/>
          <w:highlight w:val="none"/>
          <w:lang w:val="zh-CN"/>
        </w:rPr>
        <w:t>》；</w:t>
      </w:r>
    </w:p>
    <w:p w14:paraId="77B6F33B">
      <w:pPr>
        <w:autoSpaceDE w:val="0"/>
        <w:autoSpaceDN w:val="0"/>
        <w:adjustRightInd w:val="0"/>
        <w:ind w:firstLine="480" w:firstLineChars="200"/>
        <w:rPr>
          <w:sz w:val="24"/>
          <w:highlight w:val="none"/>
          <w:lang w:val="zh-CN"/>
        </w:rPr>
      </w:pPr>
      <w:r>
        <w:rPr>
          <w:sz w:val="24"/>
          <w:highlight w:val="none"/>
          <w:lang w:val="zh-CN"/>
        </w:rPr>
        <w:t>（</w:t>
      </w:r>
      <w:r>
        <w:rPr>
          <w:rFonts w:hint="eastAsia"/>
          <w:sz w:val="24"/>
          <w:highlight w:val="none"/>
        </w:rPr>
        <w:t>3</w:t>
      </w:r>
      <w:r>
        <w:rPr>
          <w:sz w:val="24"/>
          <w:highlight w:val="none"/>
          <w:lang w:val="zh-CN"/>
        </w:rPr>
        <w:t>）供应商认为需要提供的其他技术文件或资料等。</w:t>
      </w:r>
    </w:p>
    <w:p w14:paraId="409E1D4A">
      <w:pPr>
        <w:ind w:firstLine="482" w:firstLineChars="200"/>
        <w:outlineLvl w:val="1"/>
        <w:rPr>
          <w:b/>
          <w:sz w:val="24"/>
          <w:highlight w:val="none"/>
        </w:rPr>
      </w:pPr>
      <w:bookmarkStart w:id="65" w:name="_Toc10660"/>
      <w:bookmarkStart w:id="66" w:name="_Toc25657"/>
      <w:bookmarkStart w:id="67" w:name="_Toc32189"/>
      <w:bookmarkStart w:id="68" w:name="_Toc16489"/>
      <w:bookmarkStart w:id="69" w:name="_Toc504141739"/>
      <w:bookmarkStart w:id="70" w:name="_Toc30439"/>
      <w:bookmarkStart w:id="71" w:name="_Toc9933252"/>
      <w:bookmarkStart w:id="72" w:name="_Toc10318"/>
      <w:bookmarkStart w:id="73" w:name="_Toc28102"/>
      <w:bookmarkStart w:id="74" w:name="_Toc18928"/>
      <w:bookmarkStart w:id="75" w:name="_Toc10399"/>
      <w:bookmarkStart w:id="76" w:name="_Toc21818"/>
      <w:bookmarkStart w:id="77" w:name="_Toc43217789"/>
      <w:bookmarkStart w:id="78" w:name="_Toc6584"/>
      <w:bookmarkStart w:id="79" w:name="_Toc4248"/>
      <w:r>
        <w:rPr>
          <w:b/>
          <w:sz w:val="24"/>
          <w:highlight w:val="none"/>
        </w:rPr>
        <w:t>三、响应性文件递交</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0CD6674B">
      <w:pPr>
        <w:ind w:firstLine="480" w:firstLineChars="200"/>
        <w:rPr>
          <w:sz w:val="24"/>
          <w:highlight w:val="none"/>
        </w:rPr>
      </w:pPr>
      <w:r>
        <w:rPr>
          <w:rFonts w:hint="eastAsia"/>
          <w:sz w:val="24"/>
          <w:highlight w:val="none"/>
        </w:rPr>
        <w:t>14</w:t>
      </w:r>
      <w:r>
        <w:rPr>
          <w:sz w:val="24"/>
          <w:highlight w:val="none"/>
        </w:rPr>
        <w:t>. 响应性文件应于规定时间内递交至</w:t>
      </w:r>
      <w:r>
        <w:rPr>
          <w:rFonts w:hint="eastAsia"/>
          <w:sz w:val="24"/>
          <w:highlight w:val="none"/>
        </w:rPr>
        <w:t>代理机构</w:t>
      </w:r>
      <w:r>
        <w:rPr>
          <w:sz w:val="24"/>
          <w:highlight w:val="none"/>
        </w:rPr>
        <w:t>指定的地点。</w:t>
      </w:r>
    </w:p>
    <w:p w14:paraId="18455FB2">
      <w:pPr>
        <w:ind w:firstLine="480" w:firstLineChars="200"/>
        <w:rPr>
          <w:sz w:val="24"/>
          <w:highlight w:val="none"/>
        </w:rPr>
      </w:pPr>
      <w:r>
        <w:rPr>
          <w:sz w:val="24"/>
          <w:highlight w:val="none"/>
        </w:rPr>
        <w:t>1</w:t>
      </w:r>
      <w:r>
        <w:rPr>
          <w:rFonts w:hint="eastAsia"/>
          <w:sz w:val="24"/>
          <w:highlight w:val="none"/>
        </w:rPr>
        <w:t>5</w:t>
      </w:r>
      <w:r>
        <w:rPr>
          <w:sz w:val="24"/>
          <w:highlight w:val="none"/>
        </w:rPr>
        <w:t>. 响应性文件应装订成册，密封封装，封面注明项目编号、项目名称、供应商名称、地址、电话等。响应性文件需提供正本</w:t>
      </w:r>
      <w:r>
        <w:rPr>
          <w:b/>
          <w:sz w:val="24"/>
          <w:highlight w:val="none"/>
        </w:rPr>
        <w:t>壹</w:t>
      </w:r>
      <w:r>
        <w:rPr>
          <w:sz w:val="24"/>
          <w:highlight w:val="none"/>
        </w:rPr>
        <w:t>份、副本</w:t>
      </w:r>
      <w:r>
        <w:rPr>
          <w:rFonts w:hint="eastAsia"/>
          <w:sz w:val="24"/>
          <w:highlight w:val="none"/>
        </w:rPr>
        <w:t>叁</w:t>
      </w:r>
      <w:r>
        <w:rPr>
          <w:sz w:val="24"/>
          <w:highlight w:val="none"/>
        </w:rPr>
        <w:t>份，且须法人代表或授权代表</w:t>
      </w:r>
      <w:r>
        <w:rPr>
          <w:b/>
          <w:sz w:val="24"/>
          <w:highlight w:val="none"/>
          <w:u w:val="single"/>
        </w:rPr>
        <w:t>签署</w:t>
      </w:r>
      <w:r>
        <w:rPr>
          <w:sz w:val="24"/>
          <w:highlight w:val="none"/>
        </w:rPr>
        <w:t>。</w:t>
      </w:r>
    </w:p>
    <w:p w14:paraId="3874F306">
      <w:pPr>
        <w:autoSpaceDE w:val="0"/>
        <w:autoSpaceDN w:val="0"/>
        <w:adjustRightInd w:val="0"/>
        <w:ind w:firstLine="480" w:firstLineChars="200"/>
        <w:rPr>
          <w:b/>
          <w:bCs/>
          <w:sz w:val="24"/>
          <w:highlight w:val="none"/>
          <w:lang w:val="zh-CN"/>
        </w:rPr>
      </w:pPr>
      <w:r>
        <w:rPr>
          <w:rFonts w:hint="eastAsia"/>
          <w:sz w:val="24"/>
          <w:highlight w:val="none"/>
        </w:rPr>
        <w:t>16</w:t>
      </w:r>
      <w:r>
        <w:rPr>
          <w:sz w:val="24"/>
          <w:highlight w:val="none"/>
        </w:rPr>
        <w:t>.</w:t>
      </w:r>
      <w:r>
        <w:rPr>
          <w:b/>
          <w:bCs/>
          <w:sz w:val="24"/>
          <w:highlight w:val="none"/>
          <w:lang w:val="zh-CN"/>
        </w:rPr>
        <w:t>有下列情形之一的磋商响应文件将拒收：</w:t>
      </w:r>
    </w:p>
    <w:p w14:paraId="799C1254">
      <w:pPr>
        <w:autoSpaceDE w:val="0"/>
        <w:autoSpaceDN w:val="0"/>
        <w:adjustRightInd w:val="0"/>
        <w:ind w:firstLine="420"/>
        <w:rPr>
          <w:sz w:val="24"/>
          <w:highlight w:val="none"/>
          <w:lang w:val="zh-CN"/>
        </w:rPr>
      </w:pPr>
      <w:r>
        <w:rPr>
          <w:sz w:val="24"/>
          <w:highlight w:val="none"/>
          <w:lang w:val="zh-CN"/>
        </w:rPr>
        <w:t>（</w:t>
      </w:r>
      <w:r>
        <w:rPr>
          <w:rFonts w:hint="eastAsia"/>
          <w:sz w:val="24"/>
          <w:highlight w:val="none"/>
        </w:rPr>
        <w:t>1</w:t>
      </w:r>
      <w:r>
        <w:rPr>
          <w:sz w:val="24"/>
          <w:highlight w:val="none"/>
          <w:lang w:val="zh-CN"/>
        </w:rPr>
        <w:t>）在竞争性磋商文件要求提交磋商响应文件的截止时间之后送达的等。</w:t>
      </w:r>
    </w:p>
    <w:p w14:paraId="737828F5">
      <w:pPr>
        <w:ind w:firstLine="482" w:firstLineChars="200"/>
        <w:outlineLvl w:val="1"/>
        <w:rPr>
          <w:b/>
          <w:sz w:val="24"/>
          <w:highlight w:val="none"/>
          <w:lang w:val="zh-CN"/>
        </w:rPr>
      </w:pPr>
      <w:r>
        <w:rPr>
          <w:rFonts w:hint="eastAsia"/>
          <w:b/>
          <w:sz w:val="24"/>
          <w:highlight w:val="none"/>
          <w:lang w:val="zh-CN"/>
        </w:rPr>
        <w:t>17. 诚实信用</w:t>
      </w:r>
    </w:p>
    <w:p w14:paraId="63C8365D">
      <w:pPr>
        <w:ind w:firstLine="480" w:firstLineChars="200"/>
        <w:rPr>
          <w:sz w:val="24"/>
          <w:highlight w:val="none"/>
          <w:lang w:val="zh-CN"/>
        </w:rPr>
      </w:pPr>
      <w:r>
        <w:rPr>
          <w:rFonts w:hint="eastAsia"/>
          <w:sz w:val="24"/>
          <w:highlight w:val="none"/>
          <w:lang w:val="zh-CN"/>
        </w:rPr>
        <w:t>17.</w:t>
      </w:r>
      <w:r>
        <w:rPr>
          <w:sz w:val="24"/>
          <w:highlight w:val="none"/>
          <w:lang w:val="zh-CN"/>
        </w:rPr>
        <w:t>1</w:t>
      </w:r>
      <w:r>
        <w:rPr>
          <w:rFonts w:hint="eastAsia"/>
          <w:sz w:val="24"/>
          <w:highlight w:val="none"/>
          <w:lang w:val="zh-CN"/>
        </w:rPr>
        <w:t xml:space="preserve"> 供应商之间不得相互串通报价，不得妨碍其他供应商的公平竞争，不得损害采购人或者其他供应商的合法权益。</w:t>
      </w:r>
    </w:p>
    <w:p w14:paraId="12DA7544">
      <w:pPr>
        <w:ind w:firstLine="480" w:firstLineChars="200"/>
        <w:rPr>
          <w:sz w:val="24"/>
          <w:highlight w:val="none"/>
          <w:lang w:val="zh-CN"/>
        </w:rPr>
      </w:pPr>
      <w:r>
        <w:rPr>
          <w:rFonts w:hint="eastAsia"/>
          <w:sz w:val="24"/>
          <w:highlight w:val="none"/>
          <w:lang w:val="zh-CN"/>
        </w:rPr>
        <w:t>17.2 供应商不得以向采购代理机构工作人员、磋商小组成员行贿或者采取其他不正当手段谋取成交。</w:t>
      </w:r>
    </w:p>
    <w:p w14:paraId="61D15F42">
      <w:pPr>
        <w:ind w:firstLine="482" w:firstLineChars="200"/>
        <w:rPr>
          <w:rFonts w:ascii="宋体" w:hAnsi="宋体"/>
          <w:b/>
          <w:sz w:val="24"/>
          <w:highlight w:val="none"/>
        </w:rPr>
      </w:pPr>
      <w:bookmarkStart w:id="80" w:name="_Toc28875"/>
      <w:bookmarkStart w:id="81" w:name="_Toc5353"/>
      <w:bookmarkStart w:id="82" w:name="_Toc18310"/>
      <w:bookmarkStart w:id="83" w:name="_Toc503338390"/>
      <w:bookmarkStart w:id="84" w:name="_Toc16994"/>
      <w:bookmarkStart w:id="85" w:name="_Toc18423"/>
      <w:bookmarkStart w:id="86" w:name="_Toc860"/>
      <w:bookmarkStart w:id="87" w:name="_Toc18191"/>
      <w:bookmarkStart w:id="88" w:name="_Toc14571"/>
      <w:bookmarkStart w:id="89" w:name="_Toc12808"/>
      <w:bookmarkStart w:id="90" w:name="_Toc15072"/>
      <w:bookmarkStart w:id="91" w:name="_Toc9921"/>
      <w:r>
        <w:rPr>
          <w:rFonts w:hint="eastAsia" w:ascii="宋体" w:hAnsi="宋体"/>
          <w:b/>
          <w:sz w:val="24"/>
          <w:highlight w:val="none"/>
        </w:rPr>
        <w:t>四、</w:t>
      </w:r>
      <w:bookmarkEnd w:id="80"/>
      <w:bookmarkEnd w:id="81"/>
      <w:bookmarkEnd w:id="82"/>
      <w:bookmarkEnd w:id="83"/>
      <w:bookmarkEnd w:id="84"/>
      <w:bookmarkEnd w:id="85"/>
      <w:bookmarkEnd w:id="86"/>
      <w:r>
        <w:rPr>
          <w:rFonts w:hint="eastAsia" w:ascii="宋体" w:hAnsi="宋体"/>
          <w:b/>
          <w:sz w:val="24"/>
          <w:highlight w:val="none"/>
        </w:rPr>
        <w:t>磋商</w:t>
      </w:r>
      <w:bookmarkEnd w:id="87"/>
      <w:bookmarkEnd w:id="88"/>
      <w:bookmarkEnd w:id="89"/>
      <w:bookmarkEnd w:id="90"/>
      <w:bookmarkEnd w:id="91"/>
    </w:p>
    <w:p w14:paraId="3840519A">
      <w:pPr>
        <w:ind w:firstLine="480" w:firstLineChars="200"/>
        <w:rPr>
          <w:sz w:val="24"/>
          <w:highlight w:val="none"/>
          <w:lang w:val="zh-CN"/>
        </w:rPr>
      </w:pPr>
      <w:r>
        <w:rPr>
          <w:rFonts w:hint="eastAsia"/>
          <w:sz w:val="24"/>
          <w:highlight w:val="none"/>
          <w:lang w:val="zh-CN"/>
        </w:rPr>
        <w:t>18.采购代理机构将按本磋商文件规定的时间和地点组织磋商小组分别与供应商进行磋商。</w:t>
      </w:r>
    </w:p>
    <w:p w14:paraId="168746A2">
      <w:pPr>
        <w:ind w:firstLine="480" w:firstLineChars="200"/>
        <w:rPr>
          <w:sz w:val="24"/>
          <w:highlight w:val="none"/>
          <w:lang w:val="zh-CN"/>
        </w:rPr>
      </w:pPr>
      <w:r>
        <w:rPr>
          <w:rFonts w:hint="eastAsia"/>
          <w:sz w:val="24"/>
          <w:highlight w:val="none"/>
          <w:lang w:val="zh-CN"/>
        </w:rPr>
        <w:t>19.磋商小组（3人以上、含3人）将由采购代理机构依法组织相关专家评委及采购人代表组成。</w:t>
      </w:r>
    </w:p>
    <w:p w14:paraId="5EAD657A">
      <w:pPr>
        <w:ind w:firstLine="482" w:firstLineChars="200"/>
        <w:rPr>
          <w:rFonts w:ascii="宋体" w:hAnsi="宋体"/>
          <w:b/>
          <w:sz w:val="24"/>
          <w:highlight w:val="none"/>
        </w:rPr>
      </w:pPr>
      <w:r>
        <w:rPr>
          <w:rFonts w:hint="eastAsia" w:ascii="宋体" w:hAnsi="宋体"/>
          <w:b/>
          <w:sz w:val="24"/>
          <w:highlight w:val="none"/>
        </w:rPr>
        <w:t>20.磋商程序</w:t>
      </w:r>
    </w:p>
    <w:p w14:paraId="3D1AF51A">
      <w:pPr>
        <w:ind w:firstLine="480" w:firstLineChars="200"/>
        <w:rPr>
          <w:rFonts w:ascii="宋体" w:hAnsi="宋体"/>
          <w:sz w:val="24"/>
          <w:highlight w:val="none"/>
        </w:rPr>
      </w:pPr>
      <w:r>
        <w:rPr>
          <w:rFonts w:hint="eastAsia" w:ascii="宋体" w:hAnsi="宋体"/>
          <w:sz w:val="24"/>
          <w:highlight w:val="none"/>
        </w:rPr>
        <w:t>20.1响应性文件初审</w:t>
      </w:r>
    </w:p>
    <w:p w14:paraId="4E39C2FB">
      <w:pPr>
        <w:ind w:firstLine="480" w:firstLineChars="200"/>
        <w:rPr>
          <w:rFonts w:ascii="宋体" w:hAnsi="宋体"/>
          <w:sz w:val="24"/>
          <w:highlight w:val="none"/>
        </w:rPr>
      </w:pPr>
      <w:r>
        <w:rPr>
          <w:rFonts w:hint="eastAsia" w:ascii="宋体" w:hAnsi="宋体"/>
          <w:sz w:val="24"/>
          <w:highlight w:val="none"/>
        </w:rPr>
        <w:t>20.1.1资格性检查。依据法律法规和磋商文件的规定，对响应性文件中资格证明等进行审查，以确定磋商供应商是否具备磋商资格。</w:t>
      </w:r>
    </w:p>
    <w:p w14:paraId="18F9FD8A">
      <w:pPr>
        <w:ind w:firstLine="480" w:firstLineChars="200"/>
        <w:rPr>
          <w:rFonts w:ascii="宋体" w:hAnsi="宋体"/>
          <w:sz w:val="24"/>
          <w:highlight w:val="none"/>
        </w:rPr>
      </w:pPr>
      <w:r>
        <w:rPr>
          <w:rFonts w:hint="eastAsia" w:ascii="宋体" w:hAnsi="宋体"/>
          <w:sz w:val="24"/>
          <w:highlight w:val="none"/>
        </w:rPr>
        <w:t>20.1.2符合性检查。依据磋商文件规定，从响应性文件的有效性、完整性和对磋商文件的响应程度进行审查，以确定是否对磋商文件的实质性要求作出响应。实质性响应是指供应商响应性文件与磋商文件要求的全部条款、条件和规格相符，没有重大偏离或保留。所谓重大偏离或保留是指影响合同的内容、服务质量；或者在实质上与磋商文件不一致，而且限制了采购人的权利或磋商供应商的义务，纠正这些偏离或保留将会对其他实质上响应要求的供应商的竞争地位产生不公正的影响。磋商小组决定供应商的响应性只根据响应性文件本身的内容，而不寻求外部的证据。如果响应性文件实质上没有响应磋商文件的要求，磋商小组将予以拒绝，供应商不得通过修改或撤销不合要求的偏离或保留而使其成为实质上响应。磋商小组将允许修正响应文件中不构成重大偏离的、微小的、非正规的、不一致的或不规则的地方，但这些修改不能影响任何供应商相应的名次排列。</w:t>
      </w:r>
    </w:p>
    <w:p w14:paraId="49804F41">
      <w:pPr>
        <w:ind w:firstLine="480" w:firstLineChars="200"/>
        <w:rPr>
          <w:rFonts w:ascii="宋体" w:hAnsi="宋体"/>
          <w:sz w:val="24"/>
          <w:highlight w:val="none"/>
        </w:rPr>
      </w:pPr>
      <w:r>
        <w:rPr>
          <w:rFonts w:hint="eastAsia" w:ascii="宋体" w:hAnsi="宋体"/>
          <w:sz w:val="24"/>
          <w:highlight w:val="none"/>
        </w:rPr>
        <w:t>20.2磋商和澄清。在磋商澄清环节，对响应性文件中提供的货物和服务含义不明确、同类问题表述不一致或者明显文字和计算错误的内容，磋商小组可以要求供应商作出必要的澄清、说明或者纠正。供应商的澄清、说明、补正应当采用书面形式，由其授权代表签字，但不得改变响应性文件的实质性内容。</w:t>
      </w:r>
    </w:p>
    <w:p w14:paraId="5A6D4C53">
      <w:pPr>
        <w:autoSpaceDE w:val="0"/>
        <w:autoSpaceDN w:val="0"/>
        <w:adjustRightInd w:val="0"/>
        <w:ind w:firstLine="420"/>
        <w:rPr>
          <w:rFonts w:ascii="宋体" w:hAnsi="宋体"/>
          <w:sz w:val="24"/>
          <w:highlight w:val="none"/>
        </w:rPr>
      </w:pPr>
      <w:r>
        <w:rPr>
          <w:rFonts w:ascii="宋体" w:hAnsi="宋体"/>
          <w:sz w:val="24"/>
          <w:highlight w:val="none"/>
          <w:lang w:val="zh-CN"/>
        </w:rPr>
        <w:t>2</w:t>
      </w:r>
      <w:r>
        <w:rPr>
          <w:rFonts w:hint="eastAsia" w:ascii="宋体" w:hAnsi="宋体"/>
          <w:sz w:val="24"/>
          <w:highlight w:val="none"/>
        </w:rPr>
        <w:t>0.3</w:t>
      </w:r>
      <w:r>
        <w:rPr>
          <w:rFonts w:ascii="宋体" w:hAnsi="宋体"/>
          <w:sz w:val="24"/>
          <w:highlight w:val="none"/>
          <w:lang w:val="zh-CN"/>
        </w:rPr>
        <w:t xml:space="preserve"> </w:t>
      </w:r>
      <w:r>
        <w:rPr>
          <w:rFonts w:hint="eastAsia" w:ascii="宋体" w:hAnsi="宋体"/>
          <w:sz w:val="24"/>
          <w:highlight w:val="none"/>
          <w:lang w:val="zh-CN"/>
        </w:rPr>
        <w:t>磋商小组所有成员集中与供应商分别就竞争性磋商采购项目的商务和价格进行磋商，磋商的轮次原则上采用两轮报价机制。即供应商在响应文件中填写的报价为第一轮报价,在技术、商务、服务等报价以外内容磋商 (谈判) 结束后，代理机构应让所有实质性响应的供应商在规定时间内提交最后报价(即第二轮报价)。所有提交最后报价的供应商代表应当集中在评审室或开标厅监控范围内，当场提交最后报价表，待全部提交完毕后，再集体退出评审现场。</w:t>
      </w:r>
    </w:p>
    <w:p w14:paraId="2E15F295">
      <w:pPr>
        <w:autoSpaceDE w:val="0"/>
        <w:autoSpaceDN w:val="0"/>
        <w:adjustRightInd w:val="0"/>
        <w:ind w:firstLine="420"/>
        <w:rPr>
          <w:rFonts w:ascii="宋体" w:hAnsi="宋体"/>
          <w:sz w:val="24"/>
          <w:highlight w:val="none"/>
          <w:lang w:val="zh-CN"/>
        </w:rPr>
      </w:pPr>
      <w:r>
        <w:rPr>
          <w:rFonts w:ascii="宋体" w:hAnsi="宋体"/>
          <w:sz w:val="24"/>
          <w:highlight w:val="none"/>
          <w:lang w:val="zh-CN"/>
        </w:rPr>
        <w:t>2</w:t>
      </w:r>
      <w:r>
        <w:rPr>
          <w:rFonts w:hint="eastAsia" w:ascii="宋体" w:hAnsi="宋体"/>
          <w:sz w:val="24"/>
          <w:highlight w:val="none"/>
        </w:rPr>
        <w:t>0</w:t>
      </w:r>
      <w:r>
        <w:rPr>
          <w:rFonts w:ascii="宋体" w:hAnsi="宋体"/>
          <w:sz w:val="24"/>
          <w:highlight w:val="none"/>
          <w:lang w:val="zh-CN"/>
        </w:rPr>
        <w:t>.4 磋商小组制定一个符合采购人要求的最优方案，或直接根据响应性文件要求所有供应商在规定时间内作最后报价。</w:t>
      </w:r>
    </w:p>
    <w:p w14:paraId="1B07FD39">
      <w:pPr>
        <w:autoSpaceDE w:val="0"/>
        <w:autoSpaceDN w:val="0"/>
        <w:adjustRightInd w:val="0"/>
        <w:ind w:firstLine="420"/>
        <w:rPr>
          <w:rFonts w:ascii="宋体" w:hAnsi="宋体"/>
          <w:b/>
          <w:sz w:val="24"/>
          <w:highlight w:val="none"/>
          <w:lang w:val="zh-CN"/>
        </w:rPr>
      </w:pPr>
      <w:r>
        <w:rPr>
          <w:rFonts w:ascii="宋体" w:hAnsi="宋体"/>
          <w:b/>
          <w:sz w:val="24"/>
          <w:highlight w:val="none"/>
          <w:lang w:val="zh-CN"/>
        </w:rPr>
        <w:t>2</w:t>
      </w:r>
      <w:r>
        <w:rPr>
          <w:rFonts w:hint="eastAsia" w:ascii="宋体" w:hAnsi="宋体"/>
          <w:b/>
          <w:sz w:val="24"/>
          <w:highlight w:val="none"/>
        </w:rPr>
        <w:t>1</w:t>
      </w:r>
      <w:r>
        <w:rPr>
          <w:rFonts w:ascii="宋体" w:hAnsi="宋体"/>
          <w:b/>
          <w:sz w:val="24"/>
          <w:highlight w:val="none"/>
          <w:lang w:val="zh-CN"/>
        </w:rPr>
        <w:t>、</w:t>
      </w:r>
      <w:r>
        <w:rPr>
          <w:rFonts w:ascii="宋体" w:hAnsi="宋体"/>
          <w:b/>
          <w:bCs/>
          <w:kern w:val="0"/>
          <w:sz w:val="24"/>
          <w:highlight w:val="none"/>
          <w:lang w:val="zh-CN"/>
        </w:rPr>
        <w:t>评分方法和标准。</w:t>
      </w:r>
    </w:p>
    <w:p w14:paraId="1C8A24F0">
      <w:pPr>
        <w:widowControl/>
        <w:adjustRightInd w:val="0"/>
        <w:snapToGrid w:val="0"/>
        <w:ind w:firstLine="480" w:firstLineChars="200"/>
        <w:rPr>
          <w:rFonts w:ascii="宋体" w:hAnsi="宋体"/>
          <w:bCs/>
          <w:kern w:val="0"/>
          <w:sz w:val="24"/>
          <w:highlight w:val="none"/>
          <w:lang w:val="zh-CN"/>
        </w:rPr>
      </w:pPr>
      <w:r>
        <w:rPr>
          <w:rFonts w:ascii="宋体" w:hAnsi="宋体"/>
          <w:bCs/>
          <w:kern w:val="0"/>
          <w:sz w:val="24"/>
          <w:highlight w:val="none"/>
          <w:lang w:val="zh-CN"/>
        </w:rPr>
        <w:t>2</w:t>
      </w:r>
      <w:r>
        <w:rPr>
          <w:rFonts w:hint="eastAsia" w:ascii="宋体" w:hAnsi="宋体"/>
          <w:bCs/>
          <w:kern w:val="0"/>
          <w:sz w:val="24"/>
          <w:highlight w:val="none"/>
        </w:rPr>
        <w:t>1</w:t>
      </w:r>
      <w:r>
        <w:rPr>
          <w:rFonts w:ascii="宋体" w:hAnsi="宋体"/>
          <w:bCs/>
          <w:kern w:val="0"/>
          <w:sz w:val="24"/>
          <w:highlight w:val="none"/>
          <w:lang w:val="zh-CN"/>
        </w:rPr>
        <w:t xml:space="preserve">.1 </w:t>
      </w:r>
      <w:r>
        <w:rPr>
          <w:rFonts w:ascii="宋体" w:hAnsi="宋体"/>
          <w:kern w:val="0"/>
          <w:sz w:val="24"/>
          <w:highlight w:val="none"/>
          <w:lang w:val="zh-CN"/>
        </w:rPr>
        <w:t>采用综合评分法。即</w:t>
      </w:r>
      <w:r>
        <w:rPr>
          <w:rFonts w:ascii="宋体" w:hAnsi="宋体"/>
          <w:kern w:val="0"/>
          <w:sz w:val="24"/>
          <w:highlight w:val="none"/>
        </w:rPr>
        <w:t>在满足磋商文件实质性要求前提下，按照磋商文件中规定的各项因素进行综合评审后，以评审总得分最高的供应商作为成交候选供应商或者成交供应商的评分方法。</w:t>
      </w:r>
    </w:p>
    <w:p w14:paraId="7AB7CB9F">
      <w:pPr>
        <w:ind w:firstLine="480" w:firstLineChars="200"/>
        <w:rPr>
          <w:rFonts w:ascii="宋体" w:hAnsi="宋体"/>
          <w:b/>
          <w:sz w:val="24"/>
          <w:highlight w:val="none"/>
        </w:rPr>
      </w:pPr>
      <w:r>
        <w:rPr>
          <w:rFonts w:ascii="宋体" w:hAnsi="宋体"/>
          <w:bCs/>
          <w:kern w:val="0"/>
          <w:sz w:val="24"/>
          <w:highlight w:val="none"/>
          <w:lang w:val="zh-CN"/>
        </w:rPr>
        <w:t>2</w:t>
      </w:r>
      <w:r>
        <w:rPr>
          <w:rFonts w:hint="eastAsia" w:ascii="宋体" w:hAnsi="宋体"/>
          <w:bCs/>
          <w:kern w:val="0"/>
          <w:sz w:val="24"/>
          <w:highlight w:val="none"/>
        </w:rPr>
        <w:t>1</w:t>
      </w:r>
      <w:r>
        <w:rPr>
          <w:rFonts w:ascii="宋体" w:hAnsi="宋体"/>
          <w:bCs/>
          <w:kern w:val="0"/>
          <w:sz w:val="24"/>
          <w:highlight w:val="none"/>
          <w:lang w:val="zh-CN"/>
        </w:rPr>
        <w:t xml:space="preserve">.2 </w:t>
      </w:r>
      <w:r>
        <w:rPr>
          <w:rFonts w:ascii="宋体" w:hAnsi="宋体"/>
          <w:kern w:val="0"/>
          <w:sz w:val="24"/>
          <w:highlight w:val="none"/>
        </w:rPr>
        <w:t>综合评分的</w:t>
      </w:r>
      <w:r>
        <w:rPr>
          <w:rFonts w:ascii="宋体" w:hAnsi="宋体"/>
          <w:kern w:val="0"/>
          <w:sz w:val="24"/>
          <w:highlight w:val="none"/>
          <w:lang w:val="zh-CN"/>
        </w:rPr>
        <w:t>主要因素是：</w:t>
      </w:r>
      <w:r>
        <w:rPr>
          <w:rFonts w:hint="eastAsia" w:ascii="宋体" w:hAnsi="宋体"/>
          <w:b/>
          <w:kern w:val="0"/>
          <w:sz w:val="24"/>
          <w:highlight w:val="none"/>
        </w:rPr>
        <w:t>详见评标标准</w:t>
      </w:r>
      <w:r>
        <w:rPr>
          <w:rFonts w:ascii="宋体" w:hAnsi="宋体"/>
          <w:b/>
          <w:sz w:val="24"/>
          <w:highlight w:val="none"/>
        </w:rPr>
        <w:t>。</w:t>
      </w:r>
    </w:p>
    <w:p w14:paraId="780B9B0E">
      <w:pPr>
        <w:widowControl/>
        <w:adjustRightInd w:val="0"/>
        <w:snapToGrid w:val="0"/>
        <w:ind w:firstLine="480" w:firstLineChars="200"/>
        <w:rPr>
          <w:rFonts w:ascii="宋体" w:hAnsi="宋体"/>
          <w:sz w:val="24"/>
          <w:highlight w:val="none"/>
          <w:lang w:val="zh-CN"/>
        </w:rPr>
      </w:pPr>
      <w:r>
        <w:rPr>
          <w:rFonts w:ascii="宋体" w:hAnsi="宋体"/>
          <w:bCs/>
          <w:kern w:val="0"/>
          <w:sz w:val="24"/>
          <w:highlight w:val="none"/>
          <w:lang w:val="zh-CN"/>
        </w:rPr>
        <w:t>2</w:t>
      </w:r>
      <w:r>
        <w:rPr>
          <w:rFonts w:hint="eastAsia" w:ascii="宋体" w:hAnsi="宋体"/>
          <w:bCs/>
          <w:kern w:val="0"/>
          <w:sz w:val="24"/>
          <w:highlight w:val="none"/>
        </w:rPr>
        <w:t>1</w:t>
      </w:r>
      <w:r>
        <w:rPr>
          <w:rFonts w:ascii="宋体" w:hAnsi="宋体"/>
          <w:bCs/>
          <w:kern w:val="0"/>
          <w:sz w:val="24"/>
          <w:highlight w:val="none"/>
          <w:lang w:val="zh-CN"/>
        </w:rPr>
        <w:t>.3</w:t>
      </w:r>
      <w:r>
        <w:rPr>
          <w:rFonts w:ascii="宋体" w:hAnsi="宋体"/>
          <w:sz w:val="24"/>
          <w:highlight w:val="none"/>
        </w:rPr>
        <w:t xml:space="preserve"> </w:t>
      </w:r>
      <w:r>
        <w:rPr>
          <w:rFonts w:ascii="宋体" w:hAnsi="宋体"/>
          <w:b/>
          <w:sz w:val="24"/>
          <w:highlight w:val="none"/>
        </w:rPr>
        <w:t>评分标准详见第四章</w:t>
      </w:r>
    </w:p>
    <w:p w14:paraId="70485182">
      <w:pPr>
        <w:ind w:firstLine="482" w:firstLineChars="200"/>
        <w:rPr>
          <w:rFonts w:ascii="宋体" w:hAnsi="宋体"/>
          <w:b/>
          <w:sz w:val="24"/>
          <w:highlight w:val="none"/>
        </w:rPr>
      </w:pPr>
      <w:bookmarkStart w:id="92" w:name="_Toc6256"/>
      <w:bookmarkStart w:id="93" w:name="_Toc503338391"/>
      <w:bookmarkStart w:id="94" w:name="_Toc639"/>
      <w:bookmarkStart w:id="95" w:name="_Toc1346"/>
      <w:bookmarkStart w:id="96" w:name="_Toc18780"/>
      <w:bookmarkStart w:id="97" w:name="_Toc31192"/>
      <w:bookmarkStart w:id="98" w:name="_Toc13872"/>
      <w:bookmarkStart w:id="99" w:name="_Toc30851"/>
      <w:bookmarkStart w:id="100" w:name="_Toc1898"/>
      <w:bookmarkStart w:id="101" w:name="_Toc1911"/>
      <w:bookmarkStart w:id="102" w:name="_Toc26445"/>
      <w:r>
        <w:rPr>
          <w:rFonts w:hint="eastAsia" w:ascii="宋体" w:hAnsi="宋体"/>
          <w:b/>
          <w:sz w:val="24"/>
          <w:highlight w:val="none"/>
        </w:rPr>
        <w:t>五、无效磋商响应文件</w:t>
      </w:r>
      <w:bookmarkEnd w:id="92"/>
      <w:bookmarkEnd w:id="93"/>
      <w:bookmarkEnd w:id="94"/>
      <w:bookmarkEnd w:id="95"/>
      <w:bookmarkEnd w:id="96"/>
      <w:bookmarkEnd w:id="97"/>
      <w:bookmarkEnd w:id="98"/>
      <w:bookmarkEnd w:id="99"/>
      <w:bookmarkEnd w:id="100"/>
      <w:bookmarkEnd w:id="101"/>
      <w:bookmarkEnd w:id="102"/>
    </w:p>
    <w:p w14:paraId="216BD7F2">
      <w:pPr>
        <w:ind w:firstLine="480" w:firstLineChars="200"/>
        <w:rPr>
          <w:rFonts w:ascii="宋体" w:hAnsi="宋体"/>
          <w:sz w:val="24"/>
          <w:highlight w:val="none"/>
        </w:rPr>
      </w:pPr>
      <w:r>
        <w:rPr>
          <w:rFonts w:hint="eastAsia" w:ascii="宋体" w:hAnsi="宋体"/>
          <w:sz w:val="24"/>
          <w:highlight w:val="none"/>
        </w:rPr>
        <w:t>22.1.出现下列情形之一的供应商磋商响应文件按照无效处理：</w:t>
      </w:r>
    </w:p>
    <w:p w14:paraId="41483229">
      <w:pPr>
        <w:ind w:firstLine="480" w:firstLineChars="200"/>
        <w:rPr>
          <w:rFonts w:ascii="宋体" w:hAnsi="宋体"/>
          <w:sz w:val="24"/>
          <w:highlight w:val="none"/>
          <w:lang w:val="zh-CN"/>
        </w:rPr>
      </w:pPr>
      <w:bookmarkStart w:id="103" w:name="_Toc503338392"/>
      <w:bookmarkStart w:id="104" w:name="_Toc8320"/>
      <w:bookmarkStart w:id="105" w:name="_Toc27412"/>
      <w:bookmarkStart w:id="106" w:name="_Toc32100"/>
      <w:bookmarkStart w:id="107" w:name="_Toc30663"/>
      <w:bookmarkStart w:id="108" w:name="_Toc693"/>
      <w:bookmarkStart w:id="109" w:name="_Toc10792"/>
      <w:bookmarkStart w:id="110" w:name="_Toc9400"/>
      <w:bookmarkStart w:id="111" w:name="_Toc12421"/>
      <w:bookmarkStart w:id="112" w:name="_Toc26095"/>
      <w:bookmarkStart w:id="113" w:name="_Toc3994"/>
      <w:bookmarkStart w:id="114" w:name="_Toc17634"/>
      <w:r>
        <w:rPr>
          <w:rFonts w:hint="eastAsia" w:ascii="宋体" w:hAnsi="宋体"/>
          <w:sz w:val="24"/>
          <w:highlight w:val="none"/>
          <w:lang w:val="zh-CN"/>
        </w:rPr>
        <w:t>（1）投标文件</w:t>
      </w:r>
      <w:r>
        <w:rPr>
          <w:rFonts w:hint="eastAsia" w:ascii="宋体" w:hAnsi="宋体"/>
          <w:sz w:val="24"/>
          <w:highlight w:val="none"/>
        </w:rPr>
        <w:t>未按照招标文件要求签署</w:t>
      </w:r>
      <w:r>
        <w:rPr>
          <w:rFonts w:hint="eastAsia" w:ascii="宋体" w:hAnsi="宋体"/>
          <w:sz w:val="24"/>
          <w:highlight w:val="none"/>
          <w:lang w:val="zh-CN"/>
        </w:rPr>
        <w:t>、盖章的；</w:t>
      </w:r>
    </w:p>
    <w:p w14:paraId="09B9212B">
      <w:pPr>
        <w:ind w:firstLine="480" w:firstLineChars="200"/>
        <w:rPr>
          <w:rFonts w:ascii="宋体" w:hAnsi="宋体"/>
          <w:sz w:val="24"/>
          <w:highlight w:val="none"/>
          <w:lang w:val="zh-CN"/>
        </w:rPr>
      </w:pPr>
      <w:r>
        <w:rPr>
          <w:rFonts w:hint="eastAsia" w:ascii="宋体" w:hAnsi="宋体"/>
          <w:sz w:val="24"/>
          <w:highlight w:val="none"/>
          <w:lang w:val="zh-CN"/>
        </w:rPr>
        <w:t>（2）不具备招标文件中规定的资格要求的；</w:t>
      </w:r>
    </w:p>
    <w:p w14:paraId="1E3A3308">
      <w:pPr>
        <w:ind w:firstLine="480" w:firstLineChars="200"/>
        <w:rPr>
          <w:rFonts w:ascii="宋体" w:hAnsi="宋体"/>
          <w:sz w:val="24"/>
          <w:highlight w:val="none"/>
          <w:lang w:val="zh-CN"/>
        </w:rPr>
      </w:pPr>
      <w:r>
        <w:rPr>
          <w:rFonts w:hint="eastAsia" w:ascii="宋体" w:hAnsi="宋体"/>
          <w:sz w:val="24"/>
          <w:highlight w:val="none"/>
          <w:lang w:val="zh-CN"/>
        </w:rPr>
        <w:t>（3）报价超过招标文件中规定的预算金额或者最高限价的；</w:t>
      </w:r>
    </w:p>
    <w:p w14:paraId="39C48D87">
      <w:pPr>
        <w:ind w:firstLine="480" w:firstLineChars="200"/>
        <w:rPr>
          <w:rFonts w:ascii="宋体" w:hAnsi="宋体"/>
          <w:sz w:val="24"/>
          <w:highlight w:val="none"/>
          <w:lang w:val="zh-CN"/>
        </w:rPr>
      </w:pPr>
      <w:r>
        <w:rPr>
          <w:rFonts w:hint="eastAsia" w:ascii="宋体" w:hAnsi="宋体"/>
          <w:sz w:val="24"/>
          <w:highlight w:val="none"/>
          <w:lang w:val="zh-CN"/>
        </w:rPr>
        <w:t>（4）投标文件含有采购人不能接受的附加条件的；</w:t>
      </w:r>
    </w:p>
    <w:p w14:paraId="447642CB">
      <w:pPr>
        <w:ind w:firstLine="480" w:firstLineChars="200"/>
        <w:rPr>
          <w:rFonts w:ascii="宋体" w:hAnsi="宋体"/>
          <w:sz w:val="24"/>
          <w:highlight w:val="none"/>
          <w:lang w:val="zh-CN"/>
        </w:rPr>
      </w:pPr>
      <w:r>
        <w:rPr>
          <w:rFonts w:hint="eastAsia" w:ascii="宋体" w:hAnsi="宋体"/>
          <w:sz w:val="24"/>
          <w:highlight w:val="none"/>
          <w:lang w:val="zh-CN"/>
        </w:rPr>
        <w:t>（5）评标委员会认为投标供应商的报价明显低于其他通过符合性审查投标供应商的报价，有可能影响产品质量或者不能诚信履约的，未在评标现场合理的时间内提供书面说明或相关证明材料，不能证明其报价合理的；</w:t>
      </w:r>
    </w:p>
    <w:p w14:paraId="07ED3BEB">
      <w:pPr>
        <w:ind w:firstLine="420" w:firstLineChars="200"/>
        <w:rPr>
          <w:rFonts w:ascii="宋体" w:hAnsi="宋体" w:cs="宋体"/>
          <w:szCs w:val="21"/>
          <w:highlight w:val="none"/>
          <w:lang w:val="zh-CN"/>
        </w:rPr>
      </w:pPr>
      <w:r>
        <w:rPr>
          <w:rFonts w:hint="eastAsia" w:ascii="宋体" w:hAnsi="宋体" w:cs="宋体"/>
          <w:szCs w:val="21"/>
          <w:highlight w:val="none"/>
          <w:lang w:val="zh-CN"/>
        </w:rPr>
        <w:t>（</w:t>
      </w:r>
      <w:r>
        <w:rPr>
          <w:rFonts w:ascii="宋体" w:hAnsi="宋体" w:cs="宋体"/>
          <w:szCs w:val="21"/>
          <w:highlight w:val="none"/>
          <w:lang w:val="zh-CN"/>
        </w:rPr>
        <w:t>6</w:t>
      </w:r>
      <w:r>
        <w:rPr>
          <w:rFonts w:hint="eastAsia" w:ascii="宋体" w:hAnsi="宋体" w:cs="宋体"/>
          <w:szCs w:val="21"/>
          <w:highlight w:val="none"/>
          <w:lang w:val="zh-CN"/>
        </w:rPr>
        <w:t>）不符合法律、法规和招标文件规定的其他无效情形。</w:t>
      </w:r>
    </w:p>
    <w:p w14:paraId="33205581">
      <w:pPr>
        <w:ind w:firstLine="480" w:firstLineChars="200"/>
        <w:rPr>
          <w:rFonts w:ascii="宋体" w:hAnsi="宋体"/>
          <w:sz w:val="24"/>
          <w:highlight w:val="none"/>
          <w:lang w:val="zh-CN"/>
        </w:rPr>
      </w:pPr>
      <w:r>
        <w:rPr>
          <w:rFonts w:hint="eastAsia" w:ascii="宋体" w:hAnsi="宋体"/>
          <w:sz w:val="24"/>
          <w:highlight w:val="none"/>
        </w:rPr>
        <w:t>22.2</w:t>
      </w:r>
      <w:r>
        <w:rPr>
          <w:rFonts w:hint="eastAsia" w:ascii="宋体" w:hAnsi="宋体"/>
          <w:sz w:val="24"/>
          <w:highlight w:val="none"/>
          <w:lang w:val="zh-CN"/>
        </w:rPr>
        <w:t>有下列情形之一的，视为投标供应商串通投标，其投标无效：</w:t>
      </w:r>
    </w:p>
    <w:p w14:paraId="7A7CF300">
      <w:pPr>
        <w:ind w:firstLine="480" w:firstLineChars="200"/>
        <w:rPr>
          <w:rFonts w:ascii="宋体" w:hAnsi="宋体"/>
          <w:sz w:val="24"/>
          <w:highlight w:val="none"/>
          <w:lang w:val="zh-CN"/>
        </w:rPr>
      </w:pPr>
      <w:r>
        <w:rPr>
          <w:rFonts w:hint="eastAsia" w:ascii="宋体" w:hAnsi="宋体"/>
          <w:sz w:val="24"/>
          <w:highlight w:val="none"/>
          <w:lang w:val="zh-CN"/>
        </w:rPr>
        <w:t>（1）不同投标供应商的投标文件由同一单位或者个人编制；</w:t>
      </w:r>
    </w:p>
    <w:p w14:paraId="26834F99">
      <w:pPr>
        <w:ind w:firstLine="480" w:firstLineChars="200"/>
        <w:rPr>
          <w:rFonts w:ascii="宋体" w:hAnsi="宋体"/>
          <w:sz w:val="24"/>
          <w:highlight w:val="none"/>
          <w:lang w:val="zh-CN"/>
        </w:rPr>
      </w:pPr>
      <w:r>
        <w:rPr>
          <w:rFonts w:hint="eastAsia" w:ascii="宋体" w:hAnsi="宋体"/>
          <w:sz w:val="24"/>
          <w:highlight w:val="none"/>
          <w:lang w:val="zh-CN"/>
        </w:rPr>
        <w:t>（2）不同投标供应商委托同一单位或者个人办理投标事宜；</w:t>
      </w:r>
    </w:p>
    <w:p w14:paraId="16915928">
      <w:pPr>
        <w:ind w:firstLine="480" w:firstLineChars="200"/>
        <w:rPr>
          <w:rFonts w:ascii="宋体" w:hAnsi="宋体"/>
          <w:sz w:val="24"/>
          <w:highlight w:val="none"/>
          <w:lang w:val="zh-CN"/>
        </w:rPr>
      </w:pPr>
      <w:r>
        <w:rPr>
          <w:rFonts w:hint="eastAsia" w:ascii="宋体" w:hAnsi="宋体"/>
          <w:sz w:val="24"/>
          <w:highlight w:val="none"/>
          <w:lang w:val="zh-CN"/>
        </w:rPr>
        <w:t>（3）不同投标供应商的投标文件载明的项目管理成员或者联系人员为同一人；</w:t>
      </w:r>
    </w:p>
    <w:p w14:paraId="61160C53">
      <w:pPr>
        <w:ind w:firstLine="480" w:firstLineChars="200"/>
        <w:rPr>
          <w:rFonts w:ascii="宋体" w:hAnsi="宋体"/>
          <w:sz w:val="24"/>
          <w:highlight w:val="none"/>
          <w:lang w:val="zh-CN"/>
        </w:rPr>
      </w:pPr>
      <w:r>
        <w:rPr>
          <w:rFonts w:hint="eastAsia" w:ascii="宋体" w:hAnsi="宋体"/>
          <w:sz w:val="24"/>
          <w:highlight w:val="none"/>
          <w:lang w:val="zh-CN"/>
        </w:rPr>
        <w:t>（4）不同投标供应商的投标文件异常一致或者投标报价呈规律性差异；</w:t>
      </w:r>
    </w:p>
    <w:p w14:paraId="25E3C038">
      <w:pPr>
        <w:ind w:firstLine="480" w:firstLineChars="200"/>
        <w:rPr>
          <w:rFonts w:ascii="宋体" w:hAnsi="宋体"/>
          <w:sz w:val="24"/>
          <w:highlight w:val="none"/>
          <w:lang w:val="zh-CN"/>
        </w:rPr>
      </w:pPr>
      <w:r>
        <w:rPr>
          <w:rFonts w:hint="eastAsia" w:ascii="宋体" w:hAnsi="宋体"/>
          <w:sz w:val="24"/>
          <w:highlight w:val="none"/>
          <w:lang w:val="zh-CN"/>
        </w:rPr>
        <w:t>（5）不同投标供应商的投标文件相互混装。</w:t>
      </w:r>
    </w:p>
    <w:p w14:paraId="2D51E5AF">
      <w:pPr>
        <w:ind w:firstLine="482" w:firstLineChars="200"/>
        <w:rPr>
          <w:rFonts w:ascii="宋体" w:hAnsi="宋体"/>
          <w:b/>
          <w:sz w:val="24"/>
          <w:highlight w:val="none"/>
        </w:rPr>
      </w:pPr>
      <w:r>
        <w:rPr>
          <w:rFonts w:hint="eastAsia" w:ascii="宋体" w:hAnsi="宋体"/>
          <w:b/>
          <w:sz w:val="24"/>
          <w:highlight w:val="none"/>
        </w:rPr>
        <w:t>六、成交及合同授予</w:t>
      </w:r>
      <w:bookmarkEnd w:id="103"/>
      <w:bookmarkEnd w:id="104"/>
      <w:bookmarkEnd w:id="105"/>
      <w:bookmarkEnd w:id="106"/>
      <w:bookmarkEnd w:id="107"/>
      <w:bookmarkEnd w:id="108"/>
      <w:bookmarkEnd w:id="109"/>
      <w:bookmarkEnd w:id="110"/>
      <w:bookmarkEnd w:id="111"/>
      <w:bookmarkEnd w:id="112"/>
      <w:bookmarkEnd w:id="113"/>
      <w:bookmarkEnd w:id="114"/>
    </w:p>
    <w:p w14:paraId="39E52D09">
      <w:pPr>
        <w:autoSpaceDE w:val="0"/>
        <w:autoSpaceDN w:val="0"/>
        <w:adjustRightInd w:val="0"/>
        <w:ind w:firstLine="420"/>
        <w:rPr>
          <w:rFonts w:ascii="宋体" w:hAnsi="宋体"/>
          <w:b/>
          <w:bCs/>
          <w:sz w:val="24"/>
          <w:highlight w:val="none"/>
          <w:lang w:val="zh-CN"/>
        </w:rPr>
      </w:pPr>
      <w:r>
        <w:rPr>
          <w:rFonts w:ascii="宋体" w:hAnsi="宋体"/>
          <w:b/>
          <w:bCs/>
          <w:sz w:val="24"/>
          <w:highlight w:val="none"/>
          <w:lang w:val="zh-CN"/>
        </w:rPr>
        <w:t>2</w:t>
      </w:r>
      <w:r>
        <w:rPr>
          <w:rFonts w:hint="eastAsia" w:ascii="宋体" w:hAnsi="宋体"/>
          <w:b/>
          <w:bCs/>
          <w:sz w:val="24"/>
          <w:highlight w:val="none"/>
        </w:rPr>
        <w:t>3</w:t>
      </w:r>
      <w:r>
        <w:rPr>
          <w:rFonts w:ascii="宋体" w:hAnsi="宋体"/>
          <w:b/>
          <w:bCs/>
          <w:sz w:val="24"/>
          <w:highlight w:val="none"/>
          <w:lang w:val="zh-CN"/>
        </w:rPr>
        <w:t>、确定成交供应商</w:t>
      </w:r>
    </w:p>
    <w:p w14:paraId="27FD9088">
      <w:pPr>
        <w:ind w:firstLine="480" w:firstLineChars="200"/>
        <w:rPr>
          <w:rFonts w:ascii="宋体" w:hAnsi="宋体"/>
          <w:sz w:val="24"/>
          <w:highlight w:val="none"/>
          <w:lang w:val="zh-CN"/>
        </w:rPr>
      </w:pPr>
      <w:r>
        <w:rPr>
          <w:rFonts w:hint="eastAsia" w:ascii="宋体" w:hAnsi="宋体"/>
          <w:sz w:val="24"/>
          <w:highlight w:val="none"/>
          <w:lang w:val="zh-CN"/>
        </w:rPr>
        <w:t>23.1综合比较与评价后按照得分高低顺序对供应商进行排列。得分相同的，按磋商报价由低到高顺序排列。得分且磋商报价相同的，按技术指标优劣顺序排列。综合排名第一名的供应商确定为成交供应商。磋商小组认为，排在前面的成交候选供应商的最低报价或者某些分项报价明显不合理或者低于成本，有可能影响服务质量和不能诚信履约的，应当要求其在规定的期限内提供书面文件予以解释说明，并提交相关证明材料；否则，磋商小组可以取消该供应商的成交候选资格，按顺序由排在后面的成交候选供应商递补，以此类推。</w:t>
      </w:r>
    </w:p>
    <w:p w14:paraId="459E7837">
      <w:pPr>
        <w:ind w:firstLine="480" w:firstLineChars="200"/>
        <w:rPr>
          <w:rFonts w:ascii="宋体" w:hAnsi="宋体"/>
          <w:sz w:val="24"/>
          <w:highlight w:val="none"/>
          <w:lang w:val="zh-CN"/>
        </w:rPr>
      </w:pPr>
      <w:r>
        <w:rPr>
          <w:rFonts w:hint="eastAsia" w:ascii="宋体" w:hAnsi="宋体"/>
          <w:sz w:val="24"/>
          <w:highlight w:val="none"/>
          <w:lang w:val="zh-CN"/>
        </w:rPr>
        <w:t>23.2 成交供应商确定后，将在原采购公告发布媒体上发布公告，向成交供应商发出成交通知书。成交供应商应按成交通知书规定的时间、地点与采购单位签订采购合同。</w:t>
      </w:r>
    </w:p>
    <w:p w14:paraId="6B76A268">
      <w:pPr>
        <w:ind w:firstLine="480" w:firstLineChars="200"/>
        <w:rPr>
          <w:rFonts w:ascii="宋体" w:hAnsi="宋体"/>
          <w:sz w:val="24"/>
          <w:highlight w:val="none"/>
          <w:lang w:val="zh-CN"/>
        </w:rPr>
      </w:pPr>
      <w:r>
        <w:rPr>
          <w:rFonts w:hint="eastAsia" w:ascii="宋体" w:hAnsi="宋体"/>
          <w:sz w:val="24"/>
          <w:highlight w:val="none"/>
          <w:lang w:val="zh-CN"/>
        </w:rPr>
        <w:t>23.</w:t>
      </w:r>
      <w:r>
        <w:rPr>
          <w:rFonts w:hint="eastAsia" w:ascii="宋体" w:hAnsi="宋体"/>
          <w:sz w:val="24"/>
          <w:highlight w:val="none"/>
        </w:rPr>
        <w:t>3</w:t>
      </w:r>
      <w:r>
        <w:rPr>
          <w:rFonts w:hint="eastAsia" w:ascii="宋体" w:hAnsi="宋体"/>
          <w:sz w:val="24"/>
          <w:highlight w:val="none"/>
          <w:lang w:val="zh-CN"/>
        </w:rPr>
        <w:t xml:space="preserve"> 成交通知书对采购人和成交供应商具有同等法律效力。</w:t>
      </w:r>
    </w:p>
    <w:p w14:paraId="4141541C">
      <w:pPr>
        <w:ind w:firstLine="480" w:firstLineChars="200"/>
        <w:rPr>
          <w:rFonts w:ascii="宋体" w:hAnsi="宋体"/>
          <w:sz w:val="24"/>
          <w:highlight w:val="none"/>
          <w:lang w:val="zh-CN"/>
        </w:rPr>
      </w:pPr>
      <w:r>
        <w:rPr>
          <w:rFonts w:hint="eastAsia" w:ascii="宋体" w:hAnsi="宋体"/>
          <w:sz w:val="24"/>
          <w:highlight w:val="none"/>
          <w:lang w:val="zh-CN"/>
        </w:rPr>
        <w:t>2</w:t>
      </w:r>
      <w:r>
        <w:rPr>
          <w:rFonts w:hint="eastAsia" w:ascii="宋体" w:hAnsi="宋体"/>
          <w:sz w:val="24"/>
          <w:highlight w:val="none"/>
        </w:rPr>
        <w:t>3</w:t>
      </w:r>
      <w:r>
        <w:rPr>
          <w:rFonts w:hint="eastAsia" w:ascii="宋体" w:hAnsi="宋体"/>
          <w:sz w:val="24"/>
          <w:highlight w:val="none"/>
          <w:lang w:val="zh-CN"/>
        </w:rPr>
        <w:t>.4 成交通知书发出后，采购人或成交供应商拒绝签订合同的，拒绝签订合同的一方应至少向另一方支付补偿金，以及为磋商过程所发生的有关费用和双方商定的其他补偿。</w:t>
      </w:r>
    </w:p>
    <w:p w14:paraId="02449868">
      <w:pPr>
        <w:ind w:firstLine="480" w:firstLineChars="200"/>
        <w:rPr>
          <w:rFonts w:ascii="宋体" w:hAnsi="宋体"/>
          <w:sz w:val="24"/>
          <w:highlight w:val="none"/>
          <w:lang w:val="zh-CN"/>
        </w:rPr>
      </w:pPr>
      <w:r>
        <w:rPr>
          <w:rFonts w:hint="eastAsia" w:ascii="宋体" w:hAnsi="宋体"/>
          <w:sz w:val="24"/>
          <w:highlight w:val="none"/>
          <w:lang w:val="zh-CN"/>
        </w:rPr>
        <w:t>2</w:t>
      </w:r>
      <w:r>
        <w:rPr>
          <w:rFonts w:hint="eastAsia" w:ascii="宋体" w:hAnsi="宋体"/>
          <w:sz w:val="24"/>
          <w:highlight w:val="none"/>
        </w:rPr>
        <w:t>3</w:t>
      </w:r>
      <w:r>
        <w:rPr>
          <w:rFonts w:hint="eastAsia" w:ascii="宋体" w:hAnsi="宋体"/>
          <w:sz w:val="24"/>
          <w:highlight w:val="none"/>
          <w:lang w:val="zh-CN"/>
        </w:rPr>
        <w:t>.5 成交通知书发出后，成交供应商除发生法律规定的不能预见、不能避免并不能克服的客观情况外不得放弃或拒绝签订合同的。放弃或拒绝签订合同的，情节严重的财政部门将其列入不良行为名单，在一至</w:t>
      </w:r>
      <w:r>
        <w:rPr>
          <w:rFonts w:hint="eastAsia" w:ascii="宋体" w:hAnsi="宋体"/>
          <w:sz w:val="24"/>
          <w:highlight w:val="none"/>
        </w:rPr>
        <w:t>二</w:t>
      </w:r>
      <w:r>
        <w:rPr>
          <w:rFonts w:hint="eastAsia" w:ascii="宋体" w:hAnsi="宋体"/>
          <w:sz w:val="24"/>
          <w:highlight w:val="none"/>
          <w:lang w:val="zh-CN"/>
        </w:rPr>
        <w:t>年内不得参加南京市</w:t>
      </w:r>
      <w:r>
        <w:rPr>
          <w:rFonts w:hint="eastAsia" w:ascii="宋体" w:hAnsi="宋体"/>
          <w:sz w:val="24"/>
          <w:highlight w:val="none"/>
        </w:rPr>
        <w:t>江宁</w:t>
      </w:r>
      <w:r>
        <w:rPr>
          <w:rFonts w:hint="eastAsia" w:ascii="宋体" w:hAnsi="宋体"/>
          <w:sz w:val="24"/>
          <w:highlight w:val="none"/>
          <w:lang w:val="zh-CN"/>
        </w:rPr>
        <w:t>区采购活动。</w:t>
      </w:r>
    </w:p>
    <w:p w14:paraId="1C978648">
      <w:pPr>
        <w:ind w:firstLine="480" w:firstLineChars="200"/>
        <w:rPr>
          <w:rFonts w:ascii="宋体" w:hAnsi="宋体"/>
          <w:sz w:val="24"/>
          <w:highlight w:val="none"/>
          <w:lang w:val="zh-CN"/>
        </w:rPr>
      </w:pPr>
      <w:r>
        <w:rPr>
          <w:rFonts w:hint="eastAsia" w:ascii="宋体" w:hAnsi="宋体"/>
          <w:sz w:val="24"/>
          <w:highlight w:val="none"/>
          <w:lang w:val="zh-CN"/>
        </w:rPr>
        <w:t>2</w:t>
      </w:r>
      <w:r>
        <w:rPr>
          <w:rFonts w:hint="eastAsia" w:ascii="宋体" w:hAnsi="宋体"/>
          <w:sz w:val="24"/>
          <w:highlight w:val="none"/>
        </w:rPr>
        <w:t>3</w:t>
      </w:r>
      <w:r>
        <w:rPr>
          <w:rFonts w:hint="eastAsia" w:ascii="宋体" w:hAnsi="宋体"/>
          <w:sz w:val="24"/>
          <w:highlight w:val="none"/>
          <w:lang w:val="zh-CN"/>
        </w:rPr>
        <w:t>.6 代理机构对未成交的供应商不作未成交原因的解释。</w:t>
      </w:r>
    </w:p>
    <w:p w14:paraId="7C0729FC">
      <w:pPr>
        <w:ind w:firstLine="480" w:firstLineChars="200"/>
        <w:rPr>
          <w:rFonts w:ascii="宋体" w:hAnsi="宋体"/>
          <w:sz w:val="24"/>
          <w:highlight w:val="none"/>
          <w:lang w:val="zh-CN"/>
        </w:rPr>
      </w:pPr>
      <w:r>
        <w:rPr>
          <w:rFonts w:hint="eastAsia" w:ascii="宋体" w:hAnsi="宋体"/>
          <w:sz w:val="24"/>
          <w:highlight w:val="none"/>
          <w:lang w:val="zh-CN"/>
        </w:rPr>
        <w:t>2</w:t>
      </w:r>
      <w:r>
        <w:rPr>
          <w:rFonts w:hint="eastAsia" w:ascii="宋体" w:hAnsi="宋体"/>
          <w:sz w:val="24"/>
          <w:highlight w:val="none"/>
        </w:rPr>
        <w:t>3</w:t>
      </w:r>
      <w:r>
        <w:rPr>
          <w:rFonts w:hint="eastAsia" w:ascii="宋体" w:hAnsi="宋体"/>
          <w:sz w:val="24"/>
          <w:highlight w:val="none"/>
          <w:lang w:val="zh-CN"/>
        </w:rPr>
        <w:t>.7 所有磋商响应文件都将作为档案保存，不论成交与否，代理中心均不退回。</w:t>
      </w:r>
    </w:p>
    <w:p w14:paraId="39E2915F">
      <w:pPr>
        <w:autoSpaceDE w:val="0"/>
        <w:autoSpaceDN w:val="0"/>
        <w:adjustRightInd w:val="0"/>
        <w:ind w:firstLine="472" w:firstLineChars="196"/>
        <w:rPr>
          <w:rFonts w:ascii="宋体" w:hAnsi="宋体"/>
          <w:b/>
          <w:sz w:val="24"/>
          <w:highlight w:val="none"/>
        </w:rPr>
      </w:pPr>
      <w:r>
        <w:rPr>
          <w:rFonts w:ascii="宋体" w:hAnsi="宋体"/>
          <w:b/>
          <w:sz w:val="24"/>
          <w:highlight w:val="none"/>
          <w:lang w:val="zh-CN"/>
        </w:rPr>
        <w:t>2</w:t>
      </w:r>
      <w:r>
        <w:rPr>
          <w:rFonts w:hint="eastAsia" w:ascii="宋体" w:hAnsi="宋体"/>
          <w:b/>
          <w:sz w:val="24"/>
          <w:highlight w:val="none"/>
        </w:rPr>
        <w:t>4</w:t>
      </w:r>
      <w:r>
        <w:rPr>
          <w:rFonts w:ascii="宋体" w:hAnsi="宋体"/>
          <w:b/>
          <w:bCs/>
          <w:sz w:val="24"/>
          <w:highlight w:val="none"/>
          <w:lang w:val="zh-CN"/>
        </w:rPr>
        <w:t>、</w:t>
      </w:r>
      <w:r>
        <w:rPr>
          <w:rFonts w:ascii="宋体" w:hAnsi="宋体"/>
          <w:b/>
          <w:sz w:val="24"/>
          <w:highlight w:val="none"/>
        </w:rPr>
        <w:t>编写磋商（评审）报告</w:t>
      </w:r>
    </w:p>
    <w:p w14:paraId="43EFC7D9">
      <w:pPr>
        <w:autoSpaceDE w:val="0"/>
        <w:autoSpaceDN w:val="0"/>
        <w:adjustRightInd w:val="0"/>
        <w:ind w:firstLine="420"/>
        <w:rPr>
          <w:rFonts w:ascii="宋体" w:hAnsi="宋体"/>
          <w:sz w:val="24"/>
          <w:highlight w:val="none"/>
        </w:rPr>
      </w:pPr>
      <w:r>
        <w:rPr>
          <w:rFonts w:ascii="宋体" w:hAnsi="宋体"/>
          <w:sz w:val="24"/>
          <w:highlight w:val="none"/>
        </w:rPr>
        <w:t>磋商小组根据磋商过程和结果编写磋商（评审）报告。</w:t>
      </w:r>
    </w:p>
    <w:p w14:paraId="60D29D9B">
      <w:pPr>
        <w:autoSpaceDE w:val="0"/>
        <w:autoSpaceDN w:val="0"/>
        <w:adjustRightInd w:val="0"/>
        <w:ind w:firstLine="420"/>
        <w:rPr>
          <w:rFonts w:ascii="宋体" w:hAnsi="宋体"/>
          <w:b/>
          <w:bCs/>
          <w:sz w:val="24"/>
          <w:highlight w:val="none"/>
          <w:lang w:val="zh-CN"/>
        </w:rPr>
      </w:pPr>
      <w:bookmarkStart w:id="115" w:name="_Toc4206"/>
      <w:bookmarkStart w:id="116" w:name="_Toc504141741"/>
      <w:r>
        <w:rPr>
          <w:rFonts w:hint="eastAsia" w:ascii="宋体" w:hAnsi="宋体"/>
          <w:b/>
          <w:sz w:val="24"/>
          <w:highlight w:val="none"/>
        </w:rPr>
        <w:t>25</w:t>
      </w:r>
      <w:r>
        <w:rPr>
          <w:rFonts w:ascii="宋体" w:hAnsi="宋体"/>
          <w:b/>
          <w:sz w:val="24"/>
          <w:highlight w:val="none"/>
          <w:lang w:val="zh-CN"/>
        </w:rPr>
        <w:t>、</w:t>
      </w:r>
      <w:r>
        <w:rPr>
          <w:rFonts w:ascii="宋体" w:hAnsi="宋体"/>
          <w:b/>
          <w:bCs/>
          <w:sz w:val="24"/>
          <w:highlight w:val="none"/>
          <w:lang w:val="zh-CN"/>
        </w:rPr>
        <w:t>签订合同</w:t>
      </w:r>
      <w:bookmarkEnd w:id="115"/>
      <w:bookmarkEnd w:id="116"/>
    </w:p>
    <w:p w14:paraId="0AF531FB">
      <w:pPr>
        <w:autoSpaceDE w:val="0"/>
        <w:autoSpaceDN w:val="0"/>
        <w:adjustRightInd w:val="0"/>
        <w:ind w:firstLine="420"/>
        <w:rPr>
          <w:rFonts w:ascii="宋体" w:hAnsi="宋体"/>
          <w:sz w:val="24"/>
          <w:highlight w:val="none"/>
          <w:lang w:val="zh-CN"/>
        </w:rPr>
      </w:pPr>
      <w:r>
        <w:rPr>
          <w:rFonts w:ascii="宋体" w:hAnsi="宋体"/>
          <w:sz w:val="24"/>
          <w:highlight w:val="none"/>
        </w:rPr>
        <w:t>2</w:t>
      </w:r>
      <w:r>
        <w:rPr>
          <w:rFonts w:hint="eastAsia" w:ascii="宋体" w:hAnsi="宋体"/>
          <w:sz w:val="24"/>
          <w:highlight w:val="none"/>
        </w:rPr>
        <w:t>5</w:t>
      </w:r>
      <w:r>
        <w:rPr>
          <w:rFonts w:ascii="宋体" w:hAnsi="宋体"/>
          <w:sz w:val="24"/>
          <w:highlight w:val="none"/>
          <w:lang w:val="zh-CN"/>
        </w:rPr>
        <w:t>.</w:t>
      </w:r>
      <w:r>
        <w:rPr>
          <w:rFonts w:ascii="宋体" w:hAnsi="宋体"/>
          <w:sz w:val="24"/>
          <w:highlight w:val="none"/>
        </w:rPr>
        <w:t>1 成交供应商应当</w:t>
      </w:r>
      <w:r>
        <w:rPr>
          <w:rFonts w:ascii="宋体" w:hAnsi="宋体"/>
          <w:sz w:val="24"/>
          <w:highlight w:val="none"/>
          <w:lang w:val="zh-CN"/>
        </w:rPr>
        <w:t>自成交通知书发出之日起三十日内，</w:t>
      </w:r>
      <w:r>
        <w:rPr>
          <w:rFonts w:ascii="宋体" w:hAnsi="宋体"/>
          <w:sz w:val="24"/>
          <w:highlight w:val="none"/>
        </w:rPr>
        <w:t>与采购人签订政府采购合同，所签订的合同不得对竞争性磋商文件和竞争性磋商响应文件作实质性修改。</w:t>
      </w:r>
    </w:p>
    <w:p w14:paraId="7B8B2885">
      <w:pPr>
        <w:autoSpaceDE w:val="0"/>
        <w:autoSpaceDN w:val="0"/>
        <w:adjustRightInd w:val="0"/>
        <w:ind w:firstLine="420"/>
        <w:rPr>
          <w:rFonts w:ascii="宋体" w:hAnsi="宋体"/>
          <w:sz w:val="24"/>
          <w:highlight w:val="none"/>
        </w:rPr>
      </w:pPr>
      <w:r>
        <w:rPr>
          <w:rFonts w:ascii="宋体" w:hAnsi="宋体"/>
          <w:sz w:val="24"/>
          <w:highlight w:val="none"/>
        </w:rPr>
        <w:t>2</w:t>
      </w:r>
      <w:r>
        <w:rPr>
          <w:rFonts w:hint="eastAsia" w:ascii="宋体" w:hAnsi="宋体"/>
          <w:sz w:val="24"/>
          <w:highlight w:val="none"/>
        </w:rPr>
        <w:t>5</w:t>
      </w:r>
      <w:r>
        <w:rPr>
          <w:rFonts w:ascii="宋体" w:hAnsi="宋体"/>
          <w:sz w:val="24"/>
          <w:highlight w:val="none"/>
          <w:lang w:val="zh-CN"/>
        </w:rPr>
        <w:t xml:space="preserve">.2 </w:t>
      </w:r>
      <w:r>
        <w:rPr>
          <w:rFonts w:ascii="宋体" w:hAnsi="宋体"/>
          <w:sz w:val="24"/>
          <w:highlight w:val="none"/>
        </w:rPr>
        <w:t>采购人不得向成交供应商提出任何不合理的要求作为签订合同的条件，不得与成交供应商私下订立背离合同实质性内容的协议。</w:t>
      </w:r>
    </w:p>
    <w:p w14:paraId="249E7B51">
      <w:pPr>
        <w:autoSpaceDE w:val="0"/>
        <w:autoSpaceDN w:val="0"/>
        <w:adjustRightInd w:val="0"/>
        <w:ind w:firstLine="420"/>
        <w:rPr>
          <w:rFonts w:ascii="宋体" w:hAnsi="宋体"/>
          <w:sz w:val="24"/>
          <w:highlight w:val="none"/>
          <w:lang w:val="zh-CN"/>
        </w:rPr>
      </w:pPr>
      <w:r>
        <w:rPr>
          <w:rFonts w:ascii="宋体" w:hAnsi="宋体"/>
          <w:sz w:val="24"/>
          <w:highlight w:val="none"/>
          <w:lang w:val="zh-CN"/>
        </w:rPr>
        <w:t>2</w:t>
      </w:r>
      <w:r>
        <w:rPr>
          <w:rFonts w:hint="eastAsia" w:ascii="宋体" w:hAnsi="宋体"/>
          <w:sz w:val="24"/>
          <w:highlight w:val="none"/>
        </w:rPr>
        <w:t>5</w:t>
      </w:r>
      <w:r>
        <w:rPr>
          <w:rFonts w:ascii="宋体" w:hAnsi="宋体"/>
          <w:sz w:val="24"/>
          <w:highlight w:val="none"/>
          <w:lang w:val="zh-CN"/>
        </w:rPr>
        <w:t>.3 成交供应商因不可抗力或者自身原因不能履行政府采购合同的，采购人可以视情与排位在成交供应商之后第一位的成交候选供应商签订政府采购合同，以此类推。</w:t>
      </w:r>
    </w:p>
    <w:p w14:paraId="6EED95C9">
      <w:pPr>
        <w:ind w:firstLine="420"/>
        <w:rPr>
          <w:rFonts w:ascii="宋体" w:hAnsi="宋体"/>
          <w:sz w:val="24"/>
          <w:highlight w:val="none"/>
        </w:rPr>
      </w:pPr>
      <w:r>
        <w:rPr>
          <w:rFonts w:ascii="宋体" w:hAnsi="宋体"/>
          <w:sz w:val="24"/>
          <w:highlight w:val="none"/>
          <w:lang w:val="zh-CN"/>
        </w:rPr>
        <w:t>2</w:t>
      </w:r>
      <w:r>
        <w:rPr>
          <w:rFonts w:hint="eastAsia" w:ascii="宋体" w:hAnsi="宋体"/>
          <w:sz w:val="24"/>
          <w:highlight w:val="none"/>
        </w:rPr>
        <w:t>5</w:t>
      </w:r>
      <w:r>
        <w:rPr>
          <w:rFonts w:ascii="宋体" w:hAnsi="宋体"/>
          <w:sz w:val="24"/>
          <w:highlight w:val="none"/>
          <w:lang w:val="zh-CN"/>
        </w:rPr>
        <w:t>.4 政府采购合同履行中，采购人需追加与合同标的相同的服务的，在不改变合同其他条款的前提下，可以与供应商协商签订补充合同，但所有补充合同的采购金额不得超过原合同采购金额的百分之十。</w:t>
      </w:r>
    </w:p>
    <w:p w14:paraId="2B98252D">
      <w:pPr>
        <w:ind w:firstLine="482" w:firstLineChars="200"/>
        <w:rPr>
          <w:rFonts w:ascii="宋体" w:hAnsi="宋体"/>
          <w:b/>
          <w:sz w:val="24"/>
          <w:highlight w:val="none"/>
        </w:rPr>
      </w:pPr>
      <w:bookmarkStart w:id="117" w:name="_Toc281"/>
      <w:bookmarkStart w:id="118" w:name="_Toc23523"/>
      <w:bookmarkStart w:id="119" w:name="_Toc26344"/>
      <w:bookmarkStart w:id="120" w:name="_Toc15811"/>
      <w:bookmarkStart w:id="121" w:name="_Toc21361"/>
      <w:bookmarkStart w:id="122" w:name="_Toc8121"/>
      <w:bookmarkStart w:id="123" w:name="_Toc23928"/>
      <w:bookmarkStart w:id="124" w:name="_Toc3777"/>
      <w:bookmarkStart w:id="125" w:name="_Toc23368"/>
      <w:bookmarkStart w:id="126" w:name="_Toc22431"/>
      <w:bookmarkStart w:id="127" w:name="_Toc3021"/>
      <w:bookmarkStart w:id="128" w:name="_Toc503338393"/>
      <w:r>
        <w:rPr>
          <w:rFonts w:hint="eastAsia" w:ascii="宋体" w:hAnsi="宋体"/>
          <w:b/>
          <w:sz w:val="24"/>
          <w:highlight w:val="none"/>
        </w:rPr>
        <w:t>七、无成交供应商原因</w:t>
      </w:r>
      <w:bookmarkEnd w:id="117"/>
      <w:bookmarkEnd w:id="118"/>
      <w:bookmarkEnd w:id="119"/>
      <w:bookmarkEnd w:id="120"/>
      <w:bookmarkEnd w:id="121"/>
      <w:bookmarkEnd w:id="122"/>
      <w:bookmarkEnd w:id="123"/>
      <w:bookmarkEnd w:id="124"/>
      <w:bookmarkEnd w:id="125"/>
      <w:bookmarkEnd w:id="126"/>
      <w:bookmarkEnd w:id="127"/>
      <w:bookmarkEnd w:id="128"/>
    </w:p>
    <w:p w14:paraId="06D6EB38">
      <w:pPr>
        <w:ind w:firstLine="480" w:firstLineChars="200"/>
        <w:rPr>
          <w:rFonts w:ascii="宋体" w:hAnsi="宋体"/>
          <w:sz w:val="24"/>
          <w:highlight w:val="none"/>
        </w:rPr>
      </w:pPr>
      <w:r>
        <w:rPr>
          <w:rFonts w:hint="eastAsia" w:ascii="宋体" w:hAnsi="宋体"/>
          <w:sz w:val="24"/>
          <w:highlight w:val="none"/>
        </w:rPr>
        <w:t>26.出现下列情形之一的本次采购无成交供应商：</w:t>
      </w:r>
    </w:p>
    <w:p w14:paraId="7E0A7BD6">
      <w:pPr>
        <w:autoSpaceDE w:val="0"/>
        <w:autoSpaceDN w:val="0"/>
        <w:adjustRightInd w:val="0"/>
        <w:ind w:firstLine="420"/>
        <w:rPr>
          <w:rFonts w:ascii="宋体" w:hAnsi="宋体"/>
          <w:b/>
          <w:bCs/>
          <w:sz w:val="24"/>
          <w:highlight w:val="none"/>
          <w:lang w:val="zh-CN"/>
        </w:rPr>
      </w:pPr>
      <w:r>
        <w:rPr>
          <w:rFonts w:hint="eastAsia" w:ascii="宋体" w:hAnsi="宋体"/>
          <w:bCs/>
          <w:sz w:val="24"/>
          <w:highlight w:val="none"/>
          <w:lang w:val="zh-CN"/>
        </w:rPr>
        <w:t>（</w:t>
      </w:r>
      <w:r>
        <w:rPr>
          <w:rFonts w:hint="eastAsia" w:ascii="宋体" w:hAnsi="宋体"/>
          <w:bCs/>
          <w:sz w:val="24"/>
          <w:highlight w:val="none"/>
        </w:rPr>
        <w:t>1</w:t>
      </w:r>
      <w:r>
        <w:rPr>
          <w:rFonts w:hint="eastAsia" w:ascii="宋体" w:hAnsi="宋体"/>
          <w:bCs/>
          <w:sz w:val="24"/>
          <w:highlight w:val="none"/>
          <w:lang w:val="zh-CN"/>
        </w:rPr>
        <w:t>）</w:t>
      </w:r>
      <w:r>
        <w:rPr>
          <w:rFonts w:ascii="宋体" w:hAnsi="宋体"/>
          <w:bCs/>
          <w:sz w:val="24"/>
          <w:highlight w:val="none"/>
          <w:lang w:val="zh-CN"/>
        </w:rPr>
        <w:t>所有供应商的磋商响应文件被磋商小组认定为无效的；</w:t>
      </w:r>
    </w:p>
    <w:p w14:paraId="733DBF4B">
      <w:pPr>
        <w:autoSpaceDE w:val="0"/>
        <w:autoSpaceDN w:val="0"/>
        <w:adjustRightInd w:val="0"/>
        <w:ind w:firstLine="420"/>
        <w:rPr>
          <w:rFonts w:ascii="宋体" w:hAnsi="宋体"/>
          <w:b/>
          <w:bCs/>
          <w:sz w:val="24"/>
          <w:highlight w:val="none"/>
          <w:lang w:val="zh-CN"/>
        </w:rPr>
      </w:pPr>
      <w:bookmarkStart w:id="129" w:name="_Toc450643044"/>
      <w:r>
        <w:rPr>
          <w:rFonts w:ascii="宋体" w:hAnsi="宋体"/>
          <w:bCs/>
          <w:sz w:val="24"/>
          <w:highlight w:val="none"/>
          <w:lang w:val="zh-CN"/>
        </w:rPr>
        <w:t>（2）</w:t>
      </w:r>
      <w:r>
        <w:rPr>
          <w:rFonts w:ascii="宋体" w:hAnsi="宋体"/>
          <w:sz w:val="24"/>
          <w:highlight w:val="none"/>
          <w:lang w:val="zh-CN"/>
        </w:rPr>
        <w:t>出现影响采购公正的违法、违规行为的；</w:t>
      </w:r>
      <w:bookmarkEnd w:id="129"/>
    </w:p>
    <w:p w14:paraId="22E09882">
      <w:pPr>
        <w:autoSpaceDE w:val="0"/>
        <w:autoSpaceDN w:val="0"/>
        <w:adjustRightInd w:val="0"/>
        <w:ind w:firstLine="420"/>
        <w:rPr>
          <w:rFonts w:ascii="宋体" w:hAnsi="宋体"/>
          <w:bCs/>
          <w:sz w:val="24"/>
          <w:highlight w:val="none"/>
          <w:lang w:val="zh-CN"/>
        </w:rPr>
      </w:pPr>
      <w:bookmarkStart w:id="130" w:name="_Toc450643045"/>
      <w:r>
        <w:rPr>
          <w:rFonts w:ascii="宋体" w:hAnsi="宋体"/>
          <w:bCs/>
          <w:sz w:val="24"/>
          <w:highlight w:val="none"/>
          <w:lang w:val="zh-CN"/>
        </w:rPr>
        <w:t>（3）供应商的最终报价超过采购预算，且采购人不能支付的；</w:t>
      </w:r>
      <w:bookmarkEnd w:id="130"/>
    </w:p>
    <w:p w14:paraId="1D477B3C">
      <w:pPr>
        <w:autoSpaceDE w:val="0"/>
        <w:autoSpaceDN w:val="0"/>
        <w:adjustRightInd w:val="0"/>
        <w:ind w:firstLine="420"/>
        <w:rPr>
          <w:rFonts w:ascii="宋体" w:hAnsi="宋体"/>
          <w:sz w:val="24"/>
          <w:highlight w:val="none"/>
          <w:lang w:val="zh-CN"/>
        </w:rPr>
      </w:pPr>
      <w:r>
        <w:rPr>
          <w:rFonts w:ascii="宋体" w:hAnsi="宋体"/>
          <w:sz w:val="24"/>
          <w:highlight w:val="none"/>
          <w:lang w:val="zh-CN"/>
        </w:rPr>
        <w:t>（4）因重大变故，采购任务取消的；</w:t>
      </w:r>
    </w:p>
    <w:p w14:paraId="5A4F75A0">
      <w:pPr>
        <w:ind w:firstLine="480" w:firstLineChars="200"/>
        <w:rPr>
          <w:rFonts w:ascii="宋体" w:hAnsi="宋体"/>
          <w:b/>
          <w:sz w:val="24"/>
          <w:highlight w:val="none"/>
        </w:rPr>
      </w:pPr>
      <w:bookmarkStart w:id="131" w:name="_Toc28629"/>
      <w:r>
        <w:rPr>
          <w:rFonts w:ascii="宋体" w:hAnsi="宋体"/>
          <w:sz w:val="24"/>
          <w:highlight w:val="none"/>
          <w:lang w:val="zh-CN"/>
        </w:rPr>
        <w:t>（5）采购人需求发生重大变化暂时不能确定或供应商提供的服务不能满足需求等</w:t>
      </w:r>
      <w:bookmarkEnd w:id="131"/>
      <w:bookmarkStart w:id="132" w:name="_Toc27456"/>
      <w:bookmarkStart w:id="133" w:name="_Toc503338394"/>
      <w:bookmarkStart w:id="134" w:name="_Toc19419"/>
      <w:bookmarkStart w:id="135" w:name="_Toc4854"/>
      <w:bookmarkStart w:id="136" w:name="_Toc24532"/>
      <w:bookmarkStart w:id="137" w:name="_Toc32425"/>
      <w:bookmarkStart w:id="138" w:name="_Toc5975"/>
    </w:p>
    <w:p w14:paraId="35606A3F">
      <w:pPr>
        <w:ind w:firstLine="482" w:firstLineChars="200"/>
        <w:rPr>
          <w:rFonts w:ascii="宋体" w:hAnsi="宋体"/>
          <w:b/>
          <w:sz w:val="24"/>
          <w:highlight w:val="none"/>
        </w:rPr>
      </w:pPr>
      <w:bookmarkStart w:id="139" w:name="_Toc22528"/>
      <w:bookmarkStart w:id="140" w:name="_Toc10909"/>
      <w:bookmarkStart w:id="141" w:name="_Toc16598"/>
      <w:bookmarkStart w:id="142" w:name="_Toc31335"/>
      <w:bookmarkStart w:id="143" w:name="_Toc22879"/>
      <w:r>
        <w:rPr>
          <w:rFonts w:hint="eastAsia" w:ascii="宋体" w:hAnsi="宋体"/>
          <w:b/>
          <w:sz w:val="24"/>
          <w:highlight w:val="none"/>
        </w:rPr>
        <w:t>八、质疑和投诉</w:t>
      </w:r>
      <w:bookmarkEnd w:id="132"/>
      <w:bookmarkEnd w:id="133"/>
      <w:bookmarkEnd w:id="134"/>
      <w:bookmarkEnd w:id="135"/>
      <w:bookmarkEnd w:id="136"/>
      <w:bookmarkEnd w:id="137"/>
      <w:bookmarkEnd w:id="138"/>
      <w:bookmarkEnd w:id="139"/>
      <w:bookmarkEnd w:id="140"/>
      <w:bookmarkEnd w:id="141"/>
      <w:bookmarkEnd w:id="142"/>
      <w:bookmarkEnd w:id="143"/>
    </w:p>
    <w:p w14:paraId="4ED8B4AC">
      <w:pPr>
        <w:ind w:firstLine="482" w:firstLineChars="200"/>
        <w:rPr>
          <w:rFonts w:ascii="宋体" w:hAnsi="宋体"/>
          <w:b/>
          <w:sz w:val="24"/>
          <w:highlight w:val="none"/>
        </w:rPr>
      </w:pPr>
      <w:r>
        <w:rPr>
          <w:rFonts w:hint="eastAsia" w:ascii="宋体" w:hAnsi="宋体"/>
          <w:b/>
          <w:sz w:val="24"/>
          <w:highlight w:val="none"/>
        </w:rPr>
        <w:t>27．质疑</w:t>
      </w:r>
    </w:p>
    <w:p w14:paraId="6A9816C1">
      <w:pPr>
        <w:ind w:firstLine="480" w:firstLineChars="200"/>
        <w:rPr>
          <w:rFonts w:ascii="宋体" w:hAnsi="宋体"/>
          <w:sz w:val="24"/>
          <w:highlight w:val="none"/>
        </w:rPr>
      </w:pPr>
      <w:r>
        <w:rPr>
          <w:rFonts w:hint="eastAsia" w:ascii="宋体" w:hAnsi="宋体"/>
          <w:sz w:val="24"/>
          <w:highlight w:val="none"/>
        </w:rPr>
        <w:t>27.1磋商供应商对磋商活动事项有疑问的，可以向</w:t>
      </w:r>
      <w:r>
        <w:rPr>
          <w:rFonts w:hint="eastAsia" w:ascii="宋体" w:hAnsi="宋体"/>
          <w:sz w:val="24"/>
          <w:highlight w:val="none"/>
          <w:lang w:val="zh-CN"/>
        </w:rPr>
        <w:t>采购代理机构</w:t>
      </w:r>
      <w:r>
        <w:rPr>
          <w:rFonts w:hint="eastAsia" w:ascii="宋体" w:hAnsi="宋体"/>
          <w:sz w:val="24"/>
          <w:highlight w:val="none"/>
        </w:rPr>
        <w:t>提出询问，</w:t>
      </w:r>
      <w:r>
        <w:rPr>
          <w:rFonts w:hint="eastAsia" w:ascii="宋体" w:hAnsi="宋体"/>
          <w:sz w:val="24"/>
          <w:highlight w:val="none"/>
          <w:lang w:val="zh-CN"/>
        </w:rPr>
        <w:t>采购代理机构</w:t>
      </w:r>
      <w:r>
        <w:rPr>
          <w:rFonts w:hint="eastAsia" w:ascii="宋体" w:hAnsi="宋体"/>
          <w:sz w:val="24"/>
          <w:highlight w:val="none"/>
        </w:rPr>
        <w:t>将及时作出答复，但答复的内容不涉及商业秘密。</w:t>
      </w:r>
    </w:p>
    <w:p w14:paraId="67ADD602">
      <w:pPr>
        <w:ind w:firstLine="480" w:firstLineChars="200"/>
        <w:rPr>
          <w:rFonts w:ascii="宋体" w:hAnsi="宋体"/>
          <w:sz w:val="24"/>
          <w:highlight w:val="none"/>
        </w:rPr>
      </w:pPr>
      <w:r>
        <w:rPr>
          <w:rFonts w:hint="eastAsia" w:ascii="宋体" w:hAnsi="宋体"/>
          <w:sz w:val="24"/>
          <w:highlight w:val="none"/>
        </w:rPr>
        <w:t>27.2磋商供应商认为磋商文件、磋商过程和成交结果使自己的合法权益受到损害的，可以在知道或者应知其权益受到损害之日起</w:t>
      </w:r>
      <w:r>
        <w:rPr>
          <w:rFonts w:hint="eastAsia" w:ascii="宋体" w:hAnsi="宋体"/>
          <w:b/>
          <w:sz w:val="24"/>
          <w:highlight w:val="none"/>
        </w:rPr>
        <w:t>7个工作日</w:t>
      </w:r>
      <w:r>
        <w:rPr>
          <w:rFonts w:hint="eastAsia" w:ascii="宋体" w:hAnsi="宋体"/>
          <w:sz w:val="24"/>
          <w:highlight w:val="none"/>
        </w:rPr>
        <w:t>内，以书面形式一次性向</w:t>
      </w:r>
      <w:r>
        <w:rPr>
          <w:rFonts w:hint="eastAsia" w:ascii="宋体" w:hAnsi="宋体"/>
          <w:sz w:val="24"/>
          <w:highlight w:val="none"/>
          <w:lang w:val="zh-CN"/>
        </w:rPr>
        <w:t>采购代理机构</w:t>
      </w:r>
      <w:r>
        <w:rPr>
          <w:rFonts w:hint="eastAsia" w:ascii="宋体" w:hAnsi="宋体"/>
          <w:sz w:val="24"/>
          <w:highlight w:val="none"/>
        </w:rPr>
        <w:t>提出全部质疑，但需对质疑内容的真实性承担责任。</w:t>
      </w:r>
    </w:p>
    <w:p w14:paraId="12F7FA26">
      <w:pPr>
        <w:ind w:firstLine="480" w:firstLineChars="200"/>
        <w:rPr>
          <w:rFonts w:ascii="宋体" w:hAnsi="宋体"/>
          <w:sz w:val="24"/>
          <w:highlight w:val="none"/>
        </w:rPr>
      </w:pPr>
      <w:r>
        <w:rPr>
          <w:rFonts w:hint="eastAsia" w:ascii="宋体" w:hAnsi="宋体"/>
          <w:sz w:val="24"/>
          <w:highlight w:val="none"/>
        </w:rPr>
        <w:t>27.3采购代理机构在收到磋商供应商的书面质疑后7个工作日内作出答复，并以书面形式通知质疑磋商供应商和其他有关磋商供应商，但答复的内容不涉及商业秘密。</w:t>
      </w:r>
    </w:p>
    <w:p w14:paraId="4E443B1A">
      <w:pPr>
        <w:ind w:firstLine="482" w:firstLineChars="200"/>
        <w:rPr>
          <w:rFonts w:ascii="宋体" w:hAnsi="宋体"/>
          <w:b/>
          <w:sz w:val="24"/>
          <w:highlight w:val="none"/>
        </w:rPr>
      </w:pPr>
      <w:r>
        <w:rPr>
          <w:rFonts w:hint="eastAsia" w:ascii="宋体" w:hAnsi="宋体"/>
          <w:b/>
          <w:sz w:val="24"/>
          <w:highlight w:val="none"/>
        </w:rPr>
        <w:t>28．投诉</w:t>
      </w:r>
    </w:p>
    <w:p w14:paraId="2A9C303C">
      <w:pPr>
        <w:ind w:firstLine="480" w:firstLineChars="200"/>
        <w:rPr>
          <w:rFonts w:ascii="宋体" w:hAnsi="宋体"/>
          <w:sz w:val="24"/>
          <w:highlight w:val="none"/>
        </w:rPr>
      </w:pPr>
      <w:r>
        <w:rPr>
          <w:rFonts w:hint="eastAsia" w:ascii="宋体" w:hAnsi="宋体"/>
          <w:sz w:val="24"/>
          <w:highlight w:val="none"/>
        </w:rPr>
        <w:t>质疑磋商供应商对</w:t>
      </w:r>
      <w:r>
        <w:rPr>
          <w:rFonts w:hint="eastAsia" w:ascii="宋体" w:hAnsi="宋体"/>
          <w:sz w:val="24"/>
          <w:highlight w:val="none"/>
          <w:lang w:val="zh-CN"/>
        </w:rPr>
        <w:t>采购代理机构</w:t>
      </w:r>
      <w:r>
        <w:rPr>
          <w:rFonts w:hint="eastAsia" w:ascii="宋体" w:hAnsi="宋体"/>
          <w:sz w:val="24"/>
          <w:highlight w:val="none"/>
        </w:rPr>
        <w:t>的答复不满意或</w:t>
      </w:r>
      <w:r>
        <w:rPr>
          <w:rFonts w:hint="eastAsia" w:ascii="宋体" w:hAnsi="宋体"/>
          <w:sz w:val="24"/>
          <w:highlight w:val="none"/>
          <w:lang w:val="zh-CN"/>
        </w:rPr>
        <w:t>采购代理机构</w:t>
      </w:r>
      <w:r>
        <w:rPr>
          <w:rFonts w:hint="eastAsia" w:ascii="宋体" w:hAnsi="宋体"/>
          <w:sz w:val="24"/>
          <w:highlight w:val="none"/>
        </w:rPr>
        <w:t xml:space="preserve">未在规定的时间内作出答复的，可以在答复期满后15个工作日内向南京市江宁区财政局投诉。 </w:t>
      </w:r>
    </w:p>
    <w:p w14:paraId="44F334D4">
      <w:pPr>
        <w:ind w:firstLine="422" w:firstLineChars="200"/>
        <w:rPr>
          <w:rFonts w:ascii="宋体" w:hAnsi="宋体"/>
          <w:b/>
          <w:szCs w:val="21"/>
          <w:highlight w:val="none"/>
          <w:lang w:val="zh-CN"/>
        </w:rPr>
      </w:pPr>
      <w:r>
        <w:rPr>
          <w:rFonts w:hint="eastAsia" w:ascii="宋体" w:hAnsi="宋体"/>
          <w:b/>
          <w:szCs w:val="21"/>
          <w:highlight w:val="none"/>
        </w:rPr>
        <w:t>29</w:t>
      </w:r>
      <w:r>
        <w:rPr>
          <w:rFonts w:hint="eastAsia" w:ascii="宋体" w:hAnsi="宋体"/>
          <w:b/>
          <w:szCs w:val="21"/>
          <w:highlight w:val="none"/>
          <w:lang w:val="zh-CN"/>
        </w:rPr>
        <w:t>、诚实信用</w:t>
      </w:r>
    </w:p>
    <w:p w14:paraId="413E8A59">
      <w:pPr>
        <w:ind w:firstLine="480" w:firstLineChars="200"/>
        <w:rPr>
          <w:rFonts w:ascii="宋体" w:hAnsi="宋体"/>
          <w:sz w:val="24"/>
          <w:highlight w:val="none"/>
          <w:lang w:val="zh-CN"/>
        </w:rPr>
      </w:pPr>
      <w:r>
        <w:rPr>
          <w:rFonts w:hint="eastAsia" w:ascii="宋体" w:hAnsi="宋体"/>
          <w:sz w:val="24"/>
          <w:highlight w:val="none"/>
        </w:rPr>
        <w:t>29</w:t>
      </w:r>
      <w:r>
        <w:rPr>
          <w:rFonts w:hint="eastAsia" w:ascii="宋体" w:hAnsi="宋体"/>
          <w:sz w:val="24"/>
          <w:highlight w:val="none"/>
          <w:lang w:val="zh-CN"/>
        </w:rPr>
        <w:t>.1 供应商之间不得相互串通磋商报价，不得妨碍其他供应商的公平竞争，不得损害采购人和其他供应商的合法权益。</w:t>
      </w:r>
    </w:p>
    <w:p w14:paraId="174E504D">
      <w:pPr>
        <w:ind w:firstLine="480" w:firstLineChars="200"/>
        <w:rPr>
          <w:rFonts w:ascii="宋体" w:hAnsi="宋体"/>
          <w:sz w:val="24"/>
          <w:highlight w:val="none"/>
          <w:lang w:val="zh-CN"/>
        </w:rPr>
      </w:pPr>
      <w:r>
        <w:rPr>
          <w:rFonts w:hint="eastAsia" w:ascii="宋体" w:hAnsi="宋体"/>
          <w:sz w:val="24"/>
          <w:highlight w:val="none"/>
        </w:rPr>
        <w:t>29</w:t>
      </w:r>
      <w:r>
        <w:rPr>
          <w:rFonts w:hint="eastAsia" w:ascii="宋体" w:hAnsi="宋体"/>
          <w:sz w:val="24"/>
          <w:highlight w:val="none"/>
          <w:lang w:val="zh-CN"/>
        </w:rPr>
        <w:t>.2 供应商不得以向代理机构工作人员、评标委员会成员行贿或者采取其他不正当手段谋取中标。经查实供应商有此行为的，政府采购管理部门将供应商列入不良行为记录名单，按照《政府采购法》有关规定处理。</w:t>
      </w:r>
    </w:p>
    <w:p w14:paraId="326B56E4">
      <w:pPr>
        <w:ind w:firstLine="480" w:firstLineChars="200"/>
        <w:rPr>
          <w:rFonts w:ascii="宋体" w:hAnsi="宋体"/>
          <w:sz w:val="24"/>
          <w:highlight w:val="none"/>
          <w:lang w:val="zh-CN"/>
        </w:rPr>
      </w:pPr>
      <w:r>
        <w:rPr>
          <w:rFonts w:hint="eastAsia" w:ascii="宋体" w:hAnsi="宋体"/>
          <w:sz w:val="24"/>
          <w:highlight w:val="none"/>
        </w:rPr>
        <w:t>29</w:t>
      </w:r>
      <w:r>
        <w:rPr>
          <w:rFonts w:hint="eastAsia" w:ascii="宋体" w:hAnsi="宋体"/>
          <w:sz w:val="24"/>
          <w:highlight w:val="none"/>
          <w:lang w:val="zh-CN"/>
        </w:rPr>
        <w:t>.3 供应商不得虚假质疑和恶意质疑，并对质疑内容的真实性承担责任。供应商或者其他利害关系人通过捏造事实、伪造证明材料等方式提出异议或投诉，阻碍磋商活动正常进行的，属于严重不良行为，代理机构将提请财政部门将其列入不良行为记录名单，并依法予以处罚。</w:t>
      </w:r>
    </w:p>
    <w:p w14:paraId="5AF13627">
      <w:pPr>
        <w:ind w:firstLine="480" w:firstLineChars="200"/>
        <w:rPr>
          <w:rFonts w:ascii="宋体" w:hAnsi="宋体"/>
          <w:sz w:val="24"/>
          <w:highlight w:val="none"/>
          <w:lang w:val="zh-CN"/>
        </w:rPr>
      </w:pPr>
      <w:r>
        <w:rPr>
          <w:rFonts w:hint="eastAsia" w:ascii="宋体" w:hAnsi="宋体"/>
          <w:sz w:val="24"/>
          <w:highlight w:val="none"/>
        </w:rPr>
        <w:t>29</w:t>
      </w:r>
      <w:r>
        <w:rPr>
          <w:rFonts w:hint="eastAsia" w:ascii="宋体" w:hAnsi="宋体"/>
          <w:sz w:val="24"/>
          <w:highlight w:val="none"/>
          <w:lang w:val="zh-CN"/>
        </w:rPr>
        <w:t>.4 供应商不得虚假承诺，否则，按照提供虚假材料谋取中标成交处理。</w:t>
      </w:r>
    </w:p>
    <w:p w14:paraId="72B76163">
      <w:pPr>
        <w:ind w:firstLine="480" w:firstLineChars="200"/>
        <w:rPr>
          <w:rFonts w:ascii="宋体" w:hAnsi="宋体"/>
          <w:sz w:val="24"/>
          <w:highlight w:val="none"/>
          <w:lang w:val="zh-CN"/>
        </w:rPr>
      </w:pPr>
      <w:r>
        <w:rPr>
          <w:rFonts w:hint="eastAsia" w:ascii="宋体" w:hAnsi="宋体"/>
          <w:sz w:val="24"/>
          <w:highlight w:val="none"/>
        </w:rPr>
        <w:t>29</w:t>
      </w:r>
      <w:r>
        <w:rPr>
          <w:rFonts w:hint="eastAsia" w:ascii="宋体" w:hAnsi="宋体"/>
          <w:sz w:val="24"/>
          <w:highlight w:val="none"/>
          <w:lang w:val="zh-CN"/>
        </w:rPr>
        <w:t>.5 供应商应自觉遵守磋商、评标纪律，扰乱磋商评标现场秩序的，属于失信行为，根据《江苏省政府采购供应商监督管理暂行办法》，失信行为将被记入供应商诚信档案。</w:t>
      </w:r>
    </w:p>
    <w:p w14:paraId="00201066">
      <w:pPr>
        <w:ind w:firstLine="480" w:firstLineChars="200"/>
        <w:rPr>
          <w:rFonts w:ascii="宋体" w:hAnsi="宋体"/>
          <w:sz w:val="24"/>
          <w:highlight w:val="none"/>
          <w:lang w:val="zh-CN"/>
        </w:rPr>
      </w:pPr>
      <w:r>
        <w:rPr>
          <w:rFonts w:hint="eastAsia" w:ascii="宋体" w:hAnsi="宋体"/>
          <w:sz w:val="24"/>
          <w:highlight w:val="none"/>
        </w:rPr>
        <w:t>29</w:t>
      </w:r>
      <w:r>
        <w:rPr>
          <w:rFonts w:hint="eastAsia" w:ascii="宋体" w:hAnsi="宋体"/>
          <w:sz w:val="24"/>
          <w:highlight w:val="none"/>
          <w:lang w:val="zh-CN"/>
        </w:rPr>
        <w:t>.6供应商报价须合理，如出现恶意竞争，不合理报价的，代理机构将提请财政部门将其列入不良行为记录名单，并依法予以处罚。</w:t>
      </w:r>
    </w:p>
    <w:p w14:paraId="6921CF3A">
      <w:pPr>
        <w:ind w:firstLine="480" w:firstLineChars="200"/>
        <w:rPr>
          <w:sz w:val="24"/>
          <w:highlight w:val="none"/>
        </w:rPr>
        <w:sectPr>
          <w:headerReference r:id="rId3" w:type="default"/>
          <w:footerReference r:id="rId4" w:type="default"/>
          <w:pgSz w:w="11906" w:h="16838"/>
          <w:pgMar w:top="720" w:right="720" w:bottom="720" w:left="720" w:header="851" w:footer="992" w:gutter="0"/>
          <w:pgNumType w:start="0"/>
          <w:cols w:space="720" w:num="1"/>
          <w:titlePg/>
          <w:docGrid w:type="lines" w:linePitch="312" w:charSpace="0"/>
        </w:sectPr>
      </w:pPr>
      <w:r>
        <w:rPr>
          <w:sz w:val="24"/>
          <w:highlight w:val="none"/>
        </w:rPr>
        <w:t xml:space="preserve"> </w:t>
      </w:r>
    </w:p>
    <w:p w14:paraId="5117CA6C">
      <w:pPr>
        <w:jc w:val="center"/>
        <w:outlineLvl w:val="0"/>
        <w:rPr>
          <w:rFonts w:eastAsia="黑体"/>
          <w:sz w:val="36"/>
          <w:szCs w:val="36"/>
          <w:highlight w:val="none"/>
          <w:lang w:val="zh-CN"/>
        </w:rPr>
      </w:pPr>
      <w:bookmarkStart w:id="144" w:name="_Toc458771607"/>
      <w:bookmarkStart w:id="145" w:name="_Toc6548"/>
      <w:bookmarkStart w:id="146" w:name="_Toc32507"/>
      <w:bookmarkStart w:id="147" w:name="_Toc3473"/>
      <w:bookmarkStart w:id="148" w:name="_Toc14966"/>
      <w:bookmarkStart w:id="149" w:name="_Toc43217793"/>
      <w:bookmarkStart w:id="150" w:name="_Toc20681"/>
      <w:bookmarkStart w:id="151" w:name="_Toc7744"/>
      <w:bookmarkStart w:id="152" w:name="_Toc2779"/>
      <w:bookmarkStart w:id="153" w:name="_Toc25177"/>
      <w:bookmarkStart w:id="154" w:name="_Toc504141743"/>
      <w:bookmarkStart w:id="155" w:name="_Toc13396"/>
      <w:bookmarkStart w:id="156" w:name="_Toc19584"/>
      <w:bookmarkStart w:id="157" w:name="_Toc17599"/>
      <w:bookmarkStart w:id="158" w:name="_Toc24683"/>
      <w:r>
        <w:rPr>
          <w:rStyle w:val="53"/>
          <w:highlight w:val="none"/>
        </w:rPr>
        <w:t>第三章 磋商项目</w:t>
      </w:r>
      <w:bookmarkEnd w:id="144"/>
      <w:r>
        <w:rPr>
          <w:rStyle w:val="53"/>
          <w:highlight w:val="none"/>
        </w:rPr>
        <w:t>需求</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758195B8">
      <w:pPr>
        <w:spacing w:line="360" w:lineRule="auto"/>
        <w:rPr>
          <w:rFonts w:hint="eastAsia" w:ascii="宋体" w:hAnsi="宋体" w:eastAsia="宋体" w:cs="宋体"/>
          <w:b/>
          <w:bCs/>
          <w:sz w:val="21"/>
          <w:szCs w:val="21"/>
          <w:highlight w:val="none"/>
          <w:lang w:eastAsia="zh-CN"/>
        </w:rPr>
      </w:pPr>
      <w:bookmarkStart w:id="159" w:name="_Toc68230270"/>
      <w:bookmarkStart w:id="160" w:name="_Toc122093946"/>
      <w:bookmarkStart w:id="161" w:name="_Toc11659"/>
      <w:bookmarkStart w:id="162" w:name="_Toc21270"/>
      <w:bookmarkStart w:id="163" w:name="_Toc24094"/>
      <w:bookmarkStart w:id="164" w:name="_Toc9174"/>
      <w:bookmarkStart w:id="165" w:name="_Toc15461"/>
      <w:bookmarkStart w:id="166" w:name="_Toc24900"/>
      <w:bookmarkStart w:id="167" w:name="_Toc43217794"/>
      <w:bookmarkStart w:id="168" w:name="_Toc23360"/>
      <w:bookmarkStart w:id="169" w:name="_Toc28898"/>
      <w:bookmarkStart w:id="170" w:name="_Toc25218"/>
      <w:bookmarkStart w:id="171" w:name="_Toc504141751"/>
      <w:bookmarkStart w:id="172" w:name="_Toc4141"/>
      <w:bookmarkStart w:id="173" w:name="_Toc25532"/>
      <w:bookmarkStart w:id="174" w:name="_Toc29294"/>
      <w:r>
        <w:rPr>
          <w:rFonts w:hint="eastAsia" w:ascii="宋体" w:hAnsi="宋体" w:eastAsia="宋体" w:cs="宋体"/>
          <w:b/>
          <w:bCs/>
          <w:sz w:val="21"/>
          <w:szCs w:val="21"/>
          <w:highlight w:val="none"/>
          <w:lang w:eastAsia="zh-CN"/>
        </w:rPr>
        <w:t>一、项目概况</w:t>
      </w:r>
    </w:p>
    <w:p w14:paraId="389BA8BA">
      <w:pPr>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cs="宋体"/>
          <w:sz w:val="21"/>
          <w:szCs w:val="21"/>
          <w:highlight w:val="none"/>
        </w:rPr>
        <w:t>1</w:t>
      </w:r>
      <w:r>
        <w:rPr>
          <w:rFonts w:hint="eastAsia" w:ascii="宋体" w:hAnsi="宋体" w:eastAsia="宋体" w:cs="宋体"/>
          <w:sz w:val="21"/>
          <w:szCs w:val="21"/>
          <w:highlight w:val="none"/>
          <w:lang w:val="en-US" w:eastAsia="zh-CN"/>
        </w:rPr>
        <w:t>.项目名称：</w:t>
      </w:r>
      <w:r>
        <w:rPr>
          <w:rFonts w:hint="eastAsia" w:ascii="宋体" w:hAnsi="宋体" w:cs="宋体"/>
          <w:sz w:val="21"/>
          <w:szCs w:val="21"/>
          <w:highlight w:val="none"/>
          <w:lang w:val="en-US" w:eastAsia="zh-CN"/>
        </w:rPr>
        <w:t>省强制医疗所项目多余土石方资源调查、处置方案编制及资产评估</w:t>
      </w:r>
    </w:p>
    <w:bookmarkEnd w:id="159"/>
    <w:bookmarkEnd w:id="160"/>
    <w:p w14:paraId="703F0F27">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2.服务期</w:t>
      </w:r>
      <w:bookmarkStart w:id="298" w:name="_GoBack"/>
      <w:r>
        <w:rPr>
          <w:rFonts w:hint="eastAsia" w:ascii="宋体" w:hAnsi="宋体" w:cs="宋体"/>
          <w:sz w:val="21"/>
          <w:szCs w:val="21"/>
          <w:highlight w:val="none"/>
          <w:lang w:val="en-US" w:eastAsia="zh-CN"/>
        </w:rPr>
        <w:t>：40日历天</w:t>
      </w:r>
      <w:bookmarkEnd w:id="298"/>
    </w:p>
    <w:p w14:paraId="748AD48C">
      <w:pPr>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hint="eastAsia"/>
        </w:rPr>
        <w:t>项目地点： 南京市江宁区淳化街道（江宁监狱北侧，新陵北路以东）</w:t>
      </w:r>
    </w:p>
    <w:p w14:paraId="6392656E">
      <w:pPr>
        <w:spacing w:line="360" w:lineRule="auto"/>
        <w:rPr>
          <w:rFonts w:hint="eastAsia"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项目背景</w:t>
      </w:r>
    </w:p>
    <w:p w14:paraId="0C966969">
      <w:pPr>
        <w:numPr>
          <w:ilvl w:val="0"/>
          <w:numId w:val="0"/>
        </w:num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据《省强制医疗所项目边坡工程地质勘察报告》（工程编号：KC20251005A），该项目边坡工程（总长约618m，切坡高度5.0~28.5m）在施工过程中将产生大量多余土石方。为规范资源处置、实现国有资产保值增值，需对上述多余土石方进行资源调查、处置方案编制及资产评估。土石方资源量约30万立方米。</w:t>
      </w:r>
    </w:p>
    <w:p w14:paraId="178AA4C8">
      <w:pPr>
        <w:spacing w:line="360" w:lineRule="auto"/>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三、服务内容</w:t>
      </w:r>
    </w:p>
    <w:p w14:paraId="62F1C664">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 多余土石方资源调查</w:t>
      </w:r>
    </w:p>
    <w:p w14:paraId="6A55BBA8">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（1）对项目边坡开挖产生的土石方（含杂填土、素填土、强风化花岗斑岩、中风化花岗斑岩、中风化灰岩及溶洞充填物等，详见地质报告）进行方量复核与物质成分鉴定。</w:t>
      </w:r>
    </w:p>
    <w:p w14:paraId="6ADCE242">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 按照《固体矿产地质勘查规范总则》（GB/T 13908-2020）等技术标准，估算各类土石方资源量。</w:t>
      </w:r>
    </w:p>
    <w:p w14:paraId="1DC23B25">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 编制《省强制医疗所项目多余土石方资源调查报告》，要求数据准确、分类清晰。</w:t>
      </w:r>
    </w:p>
    <w:p w14:paraId="233CD98A">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 多余土石方资源处置方案编制</w:t>
      </w:r>
    </w:p>
    <w:p w14:paraId="3D977E6E">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 根据资源调查结果，结合场地交通、环保要求及地方政策，编制详细的处置方案。</w:t>
      </w:r>
    </w:p>
    <w:p w14:paraId="6D0ECD9C">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 方案需包括：运输道路规划、开挖时序建议、分类处置流程（如回填利用、加工利用、弃置方案）、安全与环保措施、工期安排等。</w:t>
      </w:r>
    </w:p>
    <w:p w14:paraId="40D8C114">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（3）编制《省强制医疗所项目多余土石方处置方案》，要求具有可操作性和经济性。</w:t>
      </w:r>
    </w:p>
    <w:p w14:paraId="6B00D2A8">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 多余土石方资源资产评估</w:t>
      </w:r>
    </w:p>
    <w:p w14:paraId="19C11DB2">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 对调查确认的多余土石方资源（按不同岩土类别，如中风化灰岩、花岗斑岩、填土等）进行市场价值评估。</w:t>
      </w:r>
    </w:p>
    <w:p w14:paraId="728CBB57">
      <w:pPr>
        <w:numPr>
          <w:ilvl w:val="0"/>
          <w:numId w:val="0"/>
        </w:num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 出具《省强制医疗所项目多余土石方资源资产评估报告》，为公开处置提供底价依据。</w:t>
      </w:r>
    </w:p>
    <w:p w14:paraId="472FB425">
      <w:pPr>
        <w:spacing w:line="360" w:lineRule="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四、服务清单</w:t>
      </w:r>
    </w:p>
    <w:tbl>
      <w:tblPr>
        <w:tblStyle w:val="29"/>
        <w:tblW w:w="915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6"/>
        <w:gridCol w:w="2677"/>
        <w:gridCol w:w="1083"/>
        <w:gridCol w:w="1369"/>
        <w:gridCol w:w="3083"/>
      </w:tblGrid>
      <w:tr w14:paraId="661E9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ED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58E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工作内容</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32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FC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工作量</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45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0DC74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CFDD">
            <w:pPr>
              <w:keepNext w:val="0"/>
              <w:keepLines w:val="0"/>
              <w:widowControl/>
              <w:suppressLineNumbers w:val="0"/>
              <w:jc w:val="center"/>
              <w:textAlignment w:val="center"/>
              <w:rPr>
                <w:rFonts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D1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多余土石方资源调查</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C51D">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4854">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54EA">
            <w:pPr>
              <w:jc w:val="center"/>
              <w:rPr>
                <w:rFonts w:hint="eastAsia" w:ascii="宋体" w:hAnsi="宋体" w:eastAsia="宋体" w:cs="宋体"/>
                <w:i w:val="0"/>
                <w:iCs w:val="0"/>
                <w:color w:val="000000"/>
                <w:sz w:val="21"/>
                <w:szCs w:val="21"/>
                <w:u w:val="none"/>
              </w:rPr>
            </w:pPr>
          </w:p>
        </w:tc>
      </w:tr>
      <w:tr w14:paraId="06E21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28C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1.1</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D8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控制点引设</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42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421E">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FAB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GPS</w:t>
            </w:r>
            <w:r>
              <w:rPr>
                <w:rFonts w:hint="eastAsia" w:ascii="宋体" w:hAnsi="宋体" w:eastAsia="宋体" w:cs="宋体"/>
                <w:i w:val="0"/>
                <w:iCs w:val="0"/>
                <w:color w:val="000000"/>
                <w:kern w:val="0"/>
                <w:sz w:val="21"/>
                <w:szCs w:val="21"/>
                <w:u w:val="none"/>
                <w:lang w:val="en-US" w:eastAsia="zh-CN" w:bidi="ar"/>
              </w:rPr>
              <w:t>控制点布设</w:t>
            </w:r>
          </w:p>
        </w:tc>
      </w:tr>
      <w:tr w14:paraId="085E3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D29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1.2</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12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地形图测量</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33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km²</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416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0.75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4E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露采矿山测量调整系数150%</w:t>
            </w:r>
          </w:p>
        </w:tc>
      </w:tr>
      <w:tr w14:paraId="21799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03D2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1.3</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44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地质剖面测量</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B7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5C75">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2F2E">
            <w:pPr>
              <w:jc w:val="center"/>
              <w:rPr>
                <w:rFonts w:hint="eastAsia" w:ascii="宋体" w:hAnsi="宋体" w:eastAsia="宋体" w:cs="宋体"/>
                <w:i w:val="0"/>
                <w:iCs w:val="0"/>
                <w:color w:val="000000"/>
                <w:sz w:val="21"/>
                <w:szCs w:val="21"/>
                <w:u w:val="none"/>
              </w:rPr>
            </w:pPr>
          </w:p>
        </w:tc>
      </w:tr>
      <w:tr w14:paraId="06782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9D9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6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土石分类与资源成分鉴定</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51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CAF5">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96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钻孔、筛选（钻100m，筛100样）</w:t>
            </w:r>
          </w:p>
        </w:tc>
      </w:tr>
      <w:tr w14:paraId="70666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AB9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1.5</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00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资源调查报告编制</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45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8FF3">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A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含报告编写、图件绘制（</w:t>
            </w:r>
            <w:r>
              <w:rPr>
                <w:rStyle w:val="101"/>
                <w:rFonts w:eastAsia="宋体"/>
                <w:sz w:val="21"/>
                <w:szCs w:val="21"/>
                <w:lang w:val="en-US" w:eastAsia="zh-CN" w:bidi="ar"/>
              </w:rPr>
              <w:t>6</w:t>
            </w:r>
            <w:r>
              <w:rPr>
                <w:rFonts w:hint="eastAsia" w:ascii="宋体" w:hAnsi="宋体" w:eastAsia="宋体" w:cs="宋体"/>
                <w:i w:val="0"/>
                <w:iCs w:val="0"/>
                <w:color w:val="000000"/>
                <w:kern w:val="0"/>
                <w:sz w:val="21"/>
                <w:szCs w:val="21"/>
                <w:u w:val="none"/>
                <w:lang w:val="en-US" w:eastAsia="zh-CN" w:bidi="ar"/>
              </w:rPr>
              <w:t>套）</w:t>
            </w:r>
          </w:p>
        </w:tc>
      </w:tr>
      <w:tr w14:paraId="3D674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60B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DA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多余土石方处置方案编制</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53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1A9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2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设计论证编写</w:t>
            </w:r>
          </w:p>
        </w:tc>
      </w:tr>
      <w:tr w14:paraId="0F753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731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BE9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多余土石方资源资产评估</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1E7F">
            <w:pPr>
              <w:jc w:val="center"/>
              <w:rPr>
                <w:rFonts w:hint="eastAsia" w:ascii="宋体" w:hAnsi="宋体" w:eastAsia="宋体" w:cs="宋体"/>
                <w:i w:val="0"/>
                <w:iCs w:val="0"/>
                <w:color w:val="000000"/>
                <w:sz w:val="21"/>
                <w:szCs w:val="21"/>
                <w:u w:val="none"/>
              </w:rPr>
            </w:pP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E9BF">
            <w:pPr>
              <w:jc w:val="center"/>
              <w:rPr>
                <w:rFonts w:hint="eastAsia" w:ascii="宋体" w:hAnsi="宋体" w:eastAsia="宋体" w:cs="宋体"/>
                <w:i w:val="0"/>
                <w:iCs w:val="0"/>
                <w:color w:val="000000"/>
                <w:sz w:val="21"/>
                <w:szCs w:val="21"/>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EA55">
            <w:pPr>
              <w:jc w:val="center"/>
              <w:rPr>
                <w:rFonts w:hint="eastAsia" w:ascii="宋体" w:hAnsi="宋体" w:eastAsia="宋体" w:cs="宋体"/>
                <w:i w:val="0"/>
                <w:iCs w:val="0"/>
                <w:color w:val="000000"/>
                <w:sz w:val="21"/>
                <w:szCs w:val="21"/>
                <w:u w:val="none"/>
              </w:rPr>
            </w:pPr>
          </w:p>
        </w:tc>
      </w:tr>
      <w:tr w14:paraId="5479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0E4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3.1</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FB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现场勘查与市场调研</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2A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4D8A6">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73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《中国资产评估协会收费指引》按计时收费法</w:t>
            </w:r>
          </w:p>
        </w:tc>
      </w:tr>
      <w:tr w14:paraId="10804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8DC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3.2</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0D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分岩土类别价值评估</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010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21FD1">
            <w:pPr>
              <w:jc w:val="center"/>
              <w:rPr>
                <w:rFonts w:hint="default" w:ascii="Calibri" w:hAnsi="Calibri" w:eastAsia="宋体" w:cs="Calibri"/>
                <w:i w:val="0"/>
                <w:iCs w:val="0"/>
                <w:color w:val="000000"/>
                <w:sz w:val="21"/>
                <w:szCs w:val="21"/>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F14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基准费用测算法：涉及强风化岩、中风化花岗斑岩、破碎花岗斑岩、灰岩；</w:t>
            </w:r>
          </w:p>
        </w:tc>
      </w:tr>
      <w:tr w14:paraId="66A19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rPr>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717C">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3.3</w:t>
            </w:r>
          </w:p>
        </w:tc>
        <w:tc>
          <w:tcPr>
            <w:tcW w:w="2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6C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资产评估报告编制</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5D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80537">
            <w:pPr>
              <w:jc w:val="center"/>
              <w:rPr>
                <w:rFonts w:hint="default" w:ascii="Calibri" w:hAnsi="Calibri" w:eastAsia="宋体" w:cs="Calibri"/>
                <w:i w:val="0"/>
                <w:iCs w:val="0"/>
                <w:color w:val="000000"/>
                <w:sz w:val="21"/>
                <w:szCs w:val="21"/>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CA2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差额定率累进法 × 收益法/市场法报告编制系数</w:t>
            </w:r>
          </w:p>
        </w:tc>
      </w:tr>
    </w:tbl>
    <w:p w14:paraId="301CD718">
      <w:pPr>
        <w:numPr>
          <w:ilvl w:val="0"/>
          <w:numId w:val="5"/>
        </w:numPr>
        <w:spacing w:line="360" w:lineRule="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成果文件</w:t>
      </w:r>
    </w:p>
    <w:p w14:paraId="4A3E04DE">
      <w:pPr>
        <w:rPr>
          <w:rFonts w:hint="eastAsia"/>
        </w:rPr>
      </w:pPr>
      <w:r>
        <w:rPr>
          <w:rFonts w:hint="eastAsia"/>
        </w:rPr>
        <w:t xml:space="preserve">  《多余土石方资源调查报告》纸质版6份及电子版；</w:t>
      </w:r>
    </w:p>
    <w:p w14:paraId="7B61A5FC">
      <w:pPr>
        <w:rPr>
          <w:rFonts w:hint="eastAsia"/>
        </w:rPr>
      </w:pPr>
      <w:r>
        <w:rPr>
          <w:rFonts w:hint="eastAsia"/>
        </w:rPr>
        <w:t xml:space="preserve">  《多余土石方处置方案》纸质版6份及电子版；</w:t>
      </w:r>
    </w:p>
    <w:p w14:paraId="567AE2EC">
      <w:pPr>
        <w:rPr>
          <w:rFonts w:hint="eastAsia"/>
        </w:rPr>
      </w:pPr>
      <w:r>
        <w:rPr>
          <w:rFonts w:hint="eastAsia"/>
        </w:rPr>
        <w:t xml:space="preserve">  《多余土石方资源资产评估报告》纸质版6份及电子版。</w:t>
      </w:r>
    </w:p>
    <w:p w14:paraId="5E846C9A">
      <w:pPr>
        <w:numPr>
          <w:ilvl w:val="0"/>
          <w:numId w:val="0"/>
        </w:numPr>
        <w:spacing w:line="360" w:lineRule="auto"/>
        <w:rPr>
          <w:rFonts w:hint="default" w:ascii="宋体" w:hAnsi="宋体" w:eastAsia="宋体" w:cs="宋体"/>
          <w:b/>
          <w:bCs/>
          <w:sz w:val="21"/>
          <w:szCs w:val="21"/>
          <w:highlight w:val="none"/>
          <w:lang w:val="en-US" w:eastAsia="zh-CN"/>
        </w:rPr>
      </w:pPr>
    </w:p>
    <w:p w14:paraId="7A4FD330">
      <w:pPr>
        <w:spacing w:line="360" w:lineRule="auto"/>
        <w:rPr>
          <w:highlight w:val="none"/>
          <w:lang w:val="zh-CN"/>
        </w:rPr>
      </w:pPr>
      <w:r>
        <w:rPr>
          <w:highlight w:val="none"/>
          <w:lang w:val="zh-CN"/>
        </w:rPr>
        <w:br w:type="page"/>
      </w:r>
    </w:p>
    <w:p w14:paraId="23760B88">
      <w:pPr>
        <w:pStyle w:val="26"/>
        <w:rPr>
          <w:highlight w:val="none"/>
          <w:lang w:val="zh-CN"/>
        </w:rPr>
      </w:pPr>
      <w:r>
        <w:rPr>
          <w:highlight w:val="none"/>
          <w:lang w:val="zh-CN"/>
        </w:rPr>
        <w:t>第四章 评分标准</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02A522B9">
      <w:pPr>
        <w:autoSpaceDE w:val="0"/>
        <w:autoSpaceDN w:val="0"/>
        <w:adjustRightInd w:val="0"/>
        <w:spacing w:line="360" w:lineRule="auto"/>
        <w:rPr>
          <w:rFonts w:ascii="宋体" w:hAnsi="宋体"/>
          <w:b/>
          <w:szCs w:val="21"/>
          <w:highlight w:val="none"/>
        </w:rPr>
      </w:pPr>
      <w:bookmarkStart w:id="175" w:name="_Toc143699015"/>
      <w:bookmarkStart w:id="176" w:name="_Toc85525790"/>
      <w:bookmarkStart w:id="177" w:name="_Toc13172"/>
      <w:bookmarkStart w:id="178" w:name="_Toc30268"/>
      <w:bookmarkStart w:id="179" w:name="_Toc504141752"/>
      <w:bookmarkStart w:id="180" w:name="_Toc17293"/>
      <w:bookmarkStart w:id="181" w:name="_Toc5832"/>
      <w:bookmarkStart w:id="182" w:name="_Toc32113"/>
      <w:bookmarkStart w:id="183" w:name="_Toc26164"/>
      <w:bookmarkStart w:id="184" w:name="_Toc8849"/>
      <w:bookmarkStart w:id="185" w:name="_Toc16157"/>
      <w:bookmarkStart w:id="186" w:name="_Toc11253"/>
      <w:bookmarkStart w:id="187" w:name="_Toc12107"/>
      <w:bookmarkStart w:id="188" w:name="_Toc2495"/>
      <w:bookmarkStart w:id="189" w:name="_Toc22471"/>
      <w:bookmarkStart w:id="190" w:name="_Toc43217795"/>
      <w:r>
        <w:rPr>
          <w:rFonts w:hint="eastAsia" w:ascii="宋体" w:hAnsi="宋体"/>
          <w:b/>
          <w:szCs w:val="21"/>
          <w:highlight w:val="none"/>
        </w:rPr>
        <w:t>一、</w:t>
      </w:r>
      <w:bookmarkEnd w:id="175"/>
      <w:bookmarkEnd w:id="176"/>
      <w:r>
        <w:rPr>
          <w:rFonts w:hint="eastAsia" w:ascii="宋体" w:hAnsi="宋体"/>
          <w:b/>
          <w:szCs w:val="21"/>
          <w:highlight w:val="none"/>
        </w:rPr>
        <w:t>评标委员会对质量和货物和服务均能满足招标文件实质性要求的供应商，</w:t>
      </w:r>
      <w:r>
        <w:rPr>
          <w:rFonts w:hint="eastAsia" w:ascii="宋体" w:hAnsi="宋体"/>
          <w:b/>
          <w:szCs w:val="21"/>
          <w:highlight w:val="none"/>
          <w:lang w:val="zh-CN"/>
        </w:rPr>
        <w:t>磋商小组对质量和服务均能满足采购文件实质性要求的供应商，综合比较与评价后按照得分高低顺序对供应商进行排列。评审得分相同的，按照最后报价由低到高顺序排列。评审得分且最后报价相同的，按技术指标优劣顺序排列。响应文件满足竞争性磋商文件全部实质性要求且按照评审因素的量化指标评审得分最高的供应商为排名第一的成交供应商，经采购人授权，磋商小组将综合排名第一的成交候选供应商确定为成交供应商。</w:t>
      </w:r>
    </w:p>
    <w:p w14:paraId="1431BD2B">
      <w:pPr>
        <w:autoSpaceDE w:val="0"/>
        <w:autoSpaceDN w:val="0"/>
        <w:adjustRightInd w:val="0"/>
        <w:spacing w:line="360" w:lineRule="auto"/>
        <w:rPr>
          <w:rFonts w:ascii="宋体" w:hAnsi="宋体"/>
          <w:b/>
          <w:highlight w:val="none"/>
        </w:rPr>
      </w:pPr>
      <w:bookmarkStart w:id="191" w:name="_Toc143699016"/>
      <w:r>
        <w:rPr>
          <w:rFonts w:hint="eastAsia" w:ascii="宋体" w:hAnsi="宋体"/>
          <w:b/>
          <w:szCs w:val="21"/>
          <w:highlight w:val="none"/>
        </w:rPr>
        <w:t>二、</w:t>
      </w:r>
      <w:r>
        <w:rPr>
          <w:rFonts w:hint="eastAsia" w:ascii="宋体" w:hAnsi="宋体"/>
          <w:b/>
          <w:highlight w:val="none"/>
        </w:rPr>
        <w:t>评审评分细则</w:t>
      </w:r>
      <w:bookmarkEnd w:id="191"/>
    </w:p>
    <w:tbl>
      <w:tblPr>
        <w:tblStyle w:val="29"/>
        <w:tblpPr w:leftFromText="180" w:rightFromText="180" w:vertAnchor="text" w:horzAnchor="page" w:tblpX="1196" w:tblpY="405"/>
        <w:tblOverlap w:val="never"/>
        <w:tblW w:w="50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3"/>
        <w:gridCol w:w="1109"/>
        <w:gridCol w:w="6792"/>
        <w:gridCol w:w="710"/>
      </w:tblGrid>
      <w:tr w14:paraId="1DA3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trPr>
        <w:tc>
          <w:tcPr>
            <w:tcW w:w="635" w:type="pct"/>
            <w:vAlign w:val="center"/>
          </w:tcPr>
          <w:p w14:paraId="366C8B73">
            <w:pPr>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评审项目</w:t>
            </w:r>
          </w:p>
        </w:tc>
        <w:tc>
          <w:tcPr>
            <w:tcW w:w="4004" w:type="pct"/>
            <w:gridSpan w:val="2"/>
            <w:vAlign w:val="center"/>
          </w:tcPr>
          <w:p w14:paraId="41649004">
            <w:pPr>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评分标准</w:t>
            </w:r>
          </w:p>
        </w:tc>
        <w:tc>
          <w:tcPr>
            <w:tcW w:w="360" w:type="pct"/>
            <w:vAlign w:val="center"/>
          </w:tcPr>
          <w:p w14:paraId="5F4BBB9B">
            <w:pPr>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分值</w:t>
            </w:r>
          </w:p>
        </w:tc>
      </w:tr>
      <w:tr w14:paraId="0524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trPr>
        <w:tc>
          <w:tcPr>
            <w:tcW w:w="635" w:type="pct"/>
            <w:vAlign w:val="center"/>
          </w:tcPr>
          <w:p w14:paraId="548B6EE8">
            <w:pPr>
              <w:spacing w:line="360" w:lineRule="auto"/>
              <w:jc w:val="center"/>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投标价格</w:t>
            </w:r>
          </w:p>
          <w:p w14:paraId="2C1F0E64">
            <w:pPr>
              <w:spacing w:line="360" w:lineRule="auto"/>
              <w:jc w:val="center"/>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w:t>
            </w:r>
            <w:r>
              <w:rPr>
                <w:rFonts w:hint="eastAsia" w:ascii="宋体" w:hAnsi="宋体" w:cs="Times New Roman"/>
                <w:sz w:val="21"/>
                <w:szCs w:val="21"/>
                <w:highlight w:val="none"/>
                <w:lang w:val="en-US" w:eastAsia="zh-CN"/>
              </w:rPr>
              <w:t>1</w:t>
            </w:r>
            <w:r>
              <w:rPr>
                <w:rFonts w:hint="eastAsia" w:ascii="宋体" w:hAnsi="宋体" w:eastAsia="宋体" w:cs="Times New Roman"/>
                <w:sz w:val="21"/>
                <w:szCs w:val="21"/>
                <w:highlight w:val="none"/>
              </w:rPr>
              <w:t>0分）</w:t>
            </w:r>
          </w:p>
        </w:tc>
        <w:tc>
          <w:tcPr>
            <w:tcW w:w="4004" w:type="pct"/>
            <w:gridSpan w:val="2"/>
            <w:vAlign w:val="center"/>
          </w:tcPr>
          <w:p w14:paraId="5D085B16">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采用低价优先法计算，即满足磋商文件要求且磋商价格最低的磋商报价为评标基准价，其价格分为满分。其他供应商的价格分统一按照下列公式计算：磋商报价得分=(评标基准价/磋商报价)×</w:t>
            </w:r>
            <w:r>
              <w:rPr>
                <w:rFonts w:hint="eastAsia" w:ascii="宋体" w:hAnsi="宋体" w:cs="Times New Roman"/>
                <w:sz w:val="21"/>
                <w:szCs w:val="21"/>
                <w:highlight w:val="none"/>
                <w:lang w:val="en-US" w:eastAsia="zh-CN"/>
              </w:rPr>
              <w:t>1</w:t>
            </w:r>
            <w:r>
              <w:rPr>
                <w:rFonts w:hint="eastAsia" w:ascii="宋体" w:hAnsi="宋体" w:eastAsia="宋体" w:cs="Times New Roman"/>
                <w:sz w:val="21"/>
                <w:szCs w:val="21"/>
                <w:highlight w:val="none"/>
              </w:rPr>
              <w:t>0（小数点后保留两位）</w:t>
            </w:r>
          </w:p>
        </w:tc>
        <w:tc>
          <w:tcPr>
            <w:tcW w:w="360" w:type="pct"/>
            <w:vAlign w:val="center"/>
          </w:tcPr>
          <w:p w14:paraId="2868E3F3">
            <w:pPr>
              <w:spacing w:line="360" w:lineRule="auto"/>
              <w:jc w:val="center"/>
              <w:rPr>
                <w:rFonts w:hint="eastAsia" w:ascii="宋体" w:hAnsi="宋体" w:eastAsia="宋体" w:cs="Times New Roman"/>
                <w:sz w:val="21"/>
                <w:szCs w:val="21"/>
                <w:highlight w:val="none"/>
              </w:rPr>
            </w:pPr>
            <w:r>
              <w:rPr>
                <w:rFonts w:hint="eastAsia" w:ascii="宋体" w:hAnsi="宋体" w:cs="Times New Roman"/>
                <w:sz w:val="21"/>
                <w:szCs w:val="21"/>
                <w:highlight w:val="none"/>
                <w:lang w:val="en-US" w:eastAsia="zh-CN"/>
              </w:rPr>
              <w:t>1</w:t>
            </w:r>
            <w:r>
              <w:rPr>
                <w:rFonts w:hint="eastAsia" w:ascii="宋体" w:hAnsi="宋体" w:eastAsia="宋体" w:cs="Times New Roman"/>
                <w:sz w:val="21"/>
                <w:szCs w:val="21"/>
                <w:highlight w:val="none"/>
              </w:rPr>
              <w:t>0分</w:t>
            </w:r>
          </w:p>
        </w:tc>
      </w:tr>
      <w:tr w14:paraId="7060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4E37FB11">
            <w:pPr>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技术部分（</w:t>
            </w:r>
            <w:r>
              <w:rPr>
                <w:rFonts w:hint="eastAsia" w:ascii="宋体" w:hAnsi="宋体" w:cs="Times New Roman"/>
                <w:sz w:val="21"/>
                <w:szCs w:val="21"/>
                <w:highlight w:val="none"/>
                <w:lang w:val="en-US" w:eastAsia="zh-CN"/>
              </w:rPr>
              <w:t>6</w:t>
            </w:r>
            <w:r>
              <w:rPr>
                <w:rFonts w:hint="eastAsia" w:ascii="宋体" w:hAnsi="宋体" w:eastAsia="宋体" w:cs="Times New Roman"/>
                <w:sz w:val="21"/>
                <w:szCs w:val="21"/>
                <w:highlight w:val="none"/>
                <w:lang w:val="en-US" w:eastAsia="zh-CN"/>
              </w:rPr>
              <w:t>9</w:t>
            </w:r>
            <w:r>
              <w:rPr>
                <w:rFonts w:hint="eastAsia" w:ascii="宋体" w:hAnsi="宋体" w:eastAsia="宋体" w:cs="Times New Roman"/>
                <w:sz w:val="21"/>
                <w:szCs w:val="21"/>
                <w:highlight w:val="none"/>
              </w:rPr>
              <w:t>分）</w:t>
            </w:r>
          </w:p>
        </w:tc>
        <w:tc>
          <w:tcPr>
            <w:tcW w:w="562" w:type="pct"/>
            <w:vAlign w:val="center"/>
          </w:tcPr>
          <w:p w14:paraId="1F7FF715">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总体计划、方案（</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c>
          <w:tcPr>
            <w:tcW w:w="3442" w:type="pct"/>
            <w:vAlign w:val="top"/>
          </w:tcPr>
          <w:p w14:paraId="348E0EF2">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根据供应商提供的</w:t>
            </w:r>
            <w:r>
              <w:rPr>
                <w:rFonts w:hint="eastAsia" w:ascii="宋体" w:hAnsi="宋体" w:eastAsia="宋体" w:cs="Times New Roman"/>
                <w:sz w:val="21"/>
                <w:szCs w:val="21"/>
                <w:highlight w:val="none"/>
                <w:lang w:val="en-US" w:eastAsia="zh-CN"/>
              </w:rPr>
              <w:t>服务</w:t>
            </w:r>
            <w:r>
              <w:rPr>
                <w:rFonts w:hint="eastAsia" w:ascii="宋体" w:hAnsi="宋体" w:eastAsia="宋体" w:cs="Times New Roman"/>
                <w:sz w:val="21"/>
                <w:szCs w:val="21"/>
                <w:highlight w:val="none"/>
              </w:rPr>
              <w:t>总体计划、方案进行综合打分：</w:t>
            </w:r>
          </w:p>
          <w:p w14:paraId="4E13125D">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①方案合理性、针对性强，完全满足要求的得</w:t>
            </w:r>
            <w:r>
              <w:rPr>
                <w:rFonts w:hint="eastAsia" w:ascii="宋体" w:hAnsi="宋体" w:cs="Times New Roman"/>
                <w:sz w:val="21"/>
                <w:szCs w:val="21"/>
                <w:highlight w:val="none"/>
                <w:lang w:val="en-US" w:eastAsia="zh-CN"/>
              </w:rPr>
              <w:t>12</w:t>
            </w:r>
            <w:r>
              <w:rPr>
                <w:rFonts w:hint="eastAsia" w:ascii="宋体" w:hAnsi="宋体" w:eastAsia="宋体" w:cs="Times New Roman"/>
                <w:sz w:val="21"/>
                <w:szCs w:val="21"/>
                <w:highlight w:val="none"/>
              </w:rPr>
              <w:t>分；</w:t>
            </w:r>
          </w:p>
          <w:p w14:paraId="4C0DAF7E">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②方案合理性、针对性较强，满足要求的得</w:t>
            </w:r>
            <w:r>
              <w:rPr>
                <w:rFonts w:hint="eastAsia" w:ascii="宋体" w:hAnsi="宋体" w:cs="Times New Roman"/>
                <w:sz w:val="21"/>
                <w:szCs w:val="21"/>
                <w:highlight w:val="none"/>
                <w:lang w:val="en-US" w:eastAsia="zh-CN"/>
              </w:rPr>
              <w:t>10</w:t>
            </w:r>
            <w:r>
              <w:rPr>
                <w:rFonts w:hint="eastAsia" w:ascii="宋体" w:hAnsi="宋体" w:eastAsia="宋体" w:cs="Times New Roman"/>
                <w:sz w:val="21"/>
                <w:szCs w:val="21"/>
                <w:highlight w:val="none"/>
              </w:rPr>
              <w:t>分；</w:t>
            </w:r>
          </w:p>
          <w:p w14:paraId="6F37208C">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③方案合理性、针对性一般，基本满足要求的得</w:t>
            </w:r>
            <w:r>
              <w:rPr>
                <w:rFonts w:hint="eastAsia" w:ascii="宋体" w:hAnsi="宋体" w:cs="Times New Roman"/>
                <w:sz w:val="21"/>
                <w:szCs w:val="21"/>
                <w:highlight w:val="none"/>
                <w:lang w:val="en-US" w:eastAsia="zh-CN"/>
              </w:rPr>
              <w:t>8</w:t>
            </w:r>
            <w:r>
              <w:rPr>
                <w:rFonts w:hint="eastAsia" w:ascii="宋体" w:hAnsi="宋体" w:eastAsia="宋体" w:cs="Times New Roman"/>
                <w:sz w:val="21"/>
                <w:szCs w:val="21"/>
                <w:highlight w:val="none"/>
              </w:rPr>
              <w:t>分；</w:t>
            </w:r>
          </w:p>
          <w:p w14:paraId="674457D7">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④方案合理性、针对性较差，基本无法满足要求的得</w:t>
            </w:r>
            <w:r>
              <w:rPr>
                <w:rFonts w:hint="eastAsia" w:ascii="宋体" w:hAnsi="宋体" w:cs="Times New Roman"/>
                <w:sz w:val="21"/>
                <w:szCs w:val="21"/>
                <w:highlight w:val="none"/>
                <w:lang w:val="en-US" w:eastAsia="zh-CN"/>
              </w:rPr>
              <w:t>6</w:t>
            </w:r>
            <w:r>
              <w:rPr>
                <w:rFonts w:hint="eastAsia" w:ascii="宋体" w:hAnsi="宋体" w:eastAsia="宋体" w:cs="Times New Roman"/>
                <w:sz w:val="21"/>
                <w:szCs w:val="21"/>
                <w:highlight w:val="none"/>
              </w:rPr>
              <w:t>分；</w:t>
            </w:r>
          </w:p>
          <w:p w14:paraId="12D03531">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⑤未提供不得分。</w:t>
            </w:r>
          </w:p>
        </w:tc>
        <w:tc>
          <w:tcPr>
            <w:tcW w:w="360" w:type="pct"/>
            <w:vAlign w:val="center"/>
          </w:tcPr>
          <w:p w14:paraId="51A60A33">
            <w:pPr>
              <w:spacing w:line="360" w:lineRule="auto"/>
              <w:ind w:right="-8" w:rightChars="-4"/>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r>
      <w:tr w14:paraId="34C0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trPr>
        <w:tc>
          <w:tcPr>
            <w:tcW w:w="635" w:type="pct"/>
            <w:vMerge w:val="continue"/>
            <w:vAlign w:val="center"/>
          </w:tcPr>
          <w:p w14:paraId="3F3EAA90">
            <w:pPr>
              <w:spacing w:line="360" w:lineRule="auto"/>
              <w:jc w:val="center"/>
              <w:rPr>
                <w:rFonts w:ascii="宋体" w:hAnsi="宋体" w:eastAsia="宋体" w:cs="Times New Roman"/>
                <w:sz w:val="21"/>
                <w:szCs w:val="21"/>
                <w:highlight w:val="none"/>
              </w:rPr>
            </w:pPr>
          </w:p>
        </w:tc>
        <w:tc>
          <w:tcPr>
            <w:tcW w:w="562" w:type="pct"/>
            <w:vAlign w:val="center"/>
          </w:tcPr>
          <w:p w14:paraId="39F3EB45">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重点和难点措施（</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c>
          <w:tcPr>
            <w:tcW w:w="3442" w:type="pct"/>
            <w:vAlign w:val="top"/>
          </w:tcPr>
          <w:p w14:paraId="76DE3981">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根据供应商提供的对本项目的重点和难点提出合理的解决措施进行综合打分：</w:t>
            </w:r>
          </w:p>
          <w:p w14:paraId="28758C10">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①措施合理性、针对性强，完全满足要求的得</w:t>
            </w:r>
            <w:r>
              <w:rPr>
                <w:rFonts w:hint="eastAsia" w:ascii="宋体" w:hAnsi="宋体" w:cs="Times New Roman"/>
                <w:sz w:val="21"/>
                <w:szCs w:val="21"/>
                <w:highlight w:val="none"/>
                <w:lang w:val="en-US" w:eastAsia="zh-CN"/>
              </w:rPr>
              <w:t>12</w:t>
            </w:r>
            <w:r>
              <w:rPr>
                <w:rFonts w:hint="eastAsia" w:ascii="宋体" w:hAnsi="宋体" w:eastAsia="宋体" w:cs="Times New Roman"/>
                <w:sz w:val="21"/>
                <w:szCs w:val="21"/>
                <w:highlight w:val="none"/>
              </w:rPr>
              <w:t>分；</w:t>
            </w:r>
          </w:p>
          <w:p w14:paraId="1C652538">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②措施合理性、针对性较强，满足要求的得</w:t>
            </w:r>
            <w:r>
              <w:rPr>
                <w:rFonts w:hint="eastAsia" w:ascii="宋体" w:hAnsi="宋体" w:cs="Times New Roman"/>
                <w:sz w:val="21"/>
                <w:szCs w:val="21"/>
                <w:highlight w:val="none"/>
                <w:lang w:val="en-US" w:eastAsia="zh-CN"/>
              </w:rPr>
              <w:t>10</w:t>
            </w:r>
            <w:r>
              <w:rPr>
                <w:rFonts w:hint="eastAsia" w:ascii="宋体" w:hAnsi="宋体" w:eastAsia="宋体" w:cs="Times New Roman"/>
                <w:sz w:val="21"/>
                <w:szCs w:val="21"/>
                <w:highlight w:val="none"/>
              </w:rPr>
              <w:t>分；</w:t>
            </w:r>
          </w:p>
          <w:p w14:paraId="09F486B8">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③措施合理性、针对性一般，基本满足要求的得</w:t>
            </w:r>
            <w:r>
              <w:rPr>
                <w:rFonts w:hint="eastAsia" w:ascii="宋体" w:hAnsi="宋体" w:cs="Times New Roman"/>
                <w:sz w:val="21"/>
                <w:szCs w:val="21"/>
                <w:highlight w:val="none"/>
                <w:lang w:val="en-US" w:eastAsia="zh-CN"/>
              </w:rPr>
              <w:t>8</w:t>
            </w:r>
            <w:r>
              <w:rPr>
                <w:rFonts w:hint="eastAsia" w:ascii="宋体" w:hAnsi="宋体" w:eastAsia="宋体" w:cs="Times New Roman"/>
                <w:sz w:val="21"/>
                <w:szCs w:val="21"/>
                <w:highlight w:val="none"/>
              </w:rPr>
              <w:t>分；</w:t>
            </w:r>
          </w:p>
          <w:p w14:paraId="4AE64B4C">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④措施合理性、针对性较差，基本无法满足要求的得</w:t>
            </w:r>
            <w:r>
              <w:rPr>
                <w:rFonts w:hint="eastAsia" w:ascii="宋体" w:hAnsi="宋体" w:cs="Times New Roman"/>
                <w:sz w:val="21"/>
                <w:szCs w:val="21"/>
                <w:highlight w:val="none"/>
                <w:lang w:val="en-US" w:eastAsia="zh-CN"/>
              </w:rPr>
              <w:t>6</w:t>
            </w:r>
            <w:r>
              <w:rPr>
                <w:rFonts w:hint="eastAsia" w:ascii="宋体" w:hAnsi="宋体" w:eastAsia="宋体" w:cs="Times New Roman"/>
                <w:sz w:val="21"/>
                <w:szCs w:val="21"/>
                <w:highlight w:val="none"/>
              </w:rPr>
              <w:t>分；</w:t>
            </w:r>
          </w:p>
          <w:p w14:paraId="42F02B8A">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⑤未提供不得分。</w:t>
            </w:r>
          </w:p>
        </w:tc>
        <w:tc>
          <w:tcPr>
            <w:tcW w:w="360" w:type="pct"/>
            <w:vAlign w:val="center"/>
          </w:tcPr>
          <w:p w14:paraId="4F4992FC">
            <w:pPr>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r>
      <w:tr w14:paraId="229D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635" w:type="pct"/>
            <w:vMerge w:val="continue"/>
            <w:vAlign w:val="center"/>
          </w:tcPr>
          <w:p w14:paraId="56951D12">
            <w:pPr>
              <w:spacing w:line="360" w:lineRule="auto"/>
              <w:jc w:val="center"/>
              <w:rPr>
                <w:rFonts w:ascii="宋体" w:hAnsi="宋体" w:eastAsia="宋体" w:cs="Times New Roman"/>
                <w:sz w:val="21"/>
                <w:szCs w:val="21"/>
                <w:highlight w:val="none"/>
              </w:rPr>
            </w:pPr>
          </w:p>
        </w:tc>
        <w:tc>
          <w:tcPr>
            <w:tcW w:w="562" w:type="pct"/>
            <w:vAlign w:val="center"/>
          </w:tcPr>
          <w:p w14:paraId="078958A7">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检测班组的人员配置方案（</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c>
          <w:tcPr>
            <w:tcW w:w="3442" w:type="pct"/>
            <w:vAlign w:val="top"/>
          </w:tcPr>
          <w:p w14:paraId="63CDD0C9">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根据供应商提供的</w:t>
            </w:r>
            <w:r>
              <w:rPr>
                <w:rFonts w:hint="eastAsia" w:ascii="宋体" w:hAnsi="宋体" w:eastAsia="宋体" w:cs="Times New Roman"/>
                <w:sz w:val="21"/>
                <w:szCs w:val="21"/>
                <w:highlight w:val="none"/>
                <w:lang w:val="en-US" w:eastAsia="zh-CN"/>
              </w:rPr>
              <w:t>服务</w:t>
            </w:r>
            <w:r>
              <w:rPr>
                <w:rFonts w:hint="eastAsia" w:ascii="宋体" w:hAnsi="宋体" w:eastAsia="宋体" w:cs="Times New Roman"/>
                <w:sz w:val="21"/>
                <w:szCs w:val="21"/>
                <w:highlight w:val="none"/>
              </w:rPr>
              <w:t>班组的人员配置方案进行综合打分：</w:t>
            </w:r>
          </w:p>
          <w:p w14:paraId="10795FB4">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①</w:t>
            </w:r>
            <w:r>
              <w:rPr>
                <w:rFonts w:hint="eastAsia" w:ascii="宋体" w:hAnsi="宋体" w:eastAsia="宋体" w:cs="Times New Roman"/>
                <w:sz w:val="21"/>
                <w:szCs w:val="21"/>
                <w:highlight w:val="none"/>
                <w:lang w:val="en-US" w:eastAsia="zh-CN"/>
              </w:rPr>
              <w:t>服务</w:t>
            </w:r>
            <w:r>
              <w:rPr>
                <w:rFonts w:hint="eastAsia" w:ascii="宋体" w:hAnsi="宋体" w:eastAsia="宋体" w:cs="Times New Roman"/>
                <w:sz w:val="21"/>
                <w:szCs w:val="21"/>
                <w:highlight w:val="none"/>
              </w:rPr>
              <w:t>班组的人员配置方案方案全面、合理、针对性强，人员数量、素质完全满足检测需要的得</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p w14:paraId="5CF3E86C">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②</w:t>
            </w:r>
            <w:r>
              <w:rPr>
                <w:rFonts w:hint="eastAsia" w:ascii="宋体" w:hAnsi="宋体" w:eastAsia="宋体" w:cs="Times New Roman"/>
                <w:sz w:val="21"/>
                <w:szCs w:val="21"/>
                <w:highlight w:val="none"/>
                <w:lang w:val="en-US" w:eastAsia="zh-CN"/>
              </w:rPr>
              <w:t>服务</w:t>
            </w:r>
            <w:r>
              <w:rPr>
                <w:rFonts w:hint="eastAsia" w:ascii="宋体" w:hAnsi="宋体" w:eastAsia="宋体" w:cs="Times New Roman"/>
                <w:sz w:val="21"/>
                <w:szCs w:val="21"/>
                <w:highlight w:val="none"/>
              </w:rPr>
              <w:t>班组的人员配置方案较全面、较合理、针对性较强，人员数量、素质满足检测需要的得</w:t>
            </w:r>
            <w:r>
              <w:rPr>
                <w:rFonts w:hint="eastAsia" w:ascii="宋体" w:hAnsi="宋体" w:cs="Times New Roman"/>
                <w:sz w:val="21"/>
                <w:szCs w:val="21"/>
                <w:highlight w:val="none"/>
                <w:lang w:val="en-US" w:eastAsia="zh-CN"/>
              </w:rPr>
              <w:t>10</w:t>
            </w:r>
            <w:r>
              <w:rPr>
                <w:rFonts w:hint="eastAsia" w:ascii="宋体" w:hAnsi="宋体" w:eastAsia="宋体" w:cs="Times New Roman"/>
                <w:sz w:val="21"/>
                <w:szCs w:val="21"/>
                <w:highlight w:val="none"/>
              </w:rPr>
              <w:t>分；</w:t>
            </w:r>
          </w:p>
          <w:p w14:paraId="6FBC739C">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③</w:t>
            </w:r>
            <w:r>
              <w:rPr>
                <w:rFonts w:hint="eastAsia" w:ascii="宋体" w:hAnsi="宋体" w:eastAsia="宋体" w:cs="Times New Roman"/>
                <w:sz w:val="21"/>
                <w:szCs w:val="21"/>
                <w:highlight w:val="none"/>
                <w:lang w:val="en-US" w:eastAsia="zh-CN"/>
              </w:rPr>
              <w:t>服务</w:t>
            </w:r>
            <w:r>
              <w:rPr>
                <w:rFonts w:hint="eastAsia" w:ascii="宋体" w:hAnsi="宋体" w:eastAsia="宋体" w:cs="Times New Roman"/>
                <w:sz w:val="21"/>
                <w:szCs w:val="21"/>
                <w:highlight w:val="none"/>
              </w:rPr>
              <w:t>班组的人员配置方案全面性、合理性、针对性一般，人员数量、素质基本能满足检测需要的得</w:t>
            </w:r>
            <w:r>
              <w:rPr>
                <w:rFonts w:hint="eastAsia" w:ascii="宋体" w:hAnsi="宋体" w:cs="Times New Roman"/>
                <w:sz w:val="21"/>
                <w:szCs w:val="21"/>
                <w:highlight w:val="none"/>
                <w:lang w:val="en-US" w:eastAsia="zh-CN"/>
              </w:rPr>
              <w:t>8</w:t>
            </w:r>
            <w:r>
              <w:rPr>
                <w:rFonts w:hint="eastAsia" w:ascii="宋体" w:hAnsi="宋体" w:eastAsia="宋体" w:cs="Times New Roman"/>
                <w:sz w:val="21"/>
                <w:szCs w:val="21"/>
                <w:highlight w:val="none"/>
              </w:rPr>
              <w:t>分；</w:t>
            </w:r>
          </w:p>
          <w:p w14:paraId="7AF6C16E">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④</w:t>
            </w:r>
            <w:r>
              <w:rPr>
                <w:rFonts w:hint="eastAsia" w:ascii="宋体" w:hAnsi="宋体" w:eastAsia="宋体" w:cs="Times New Roman"/>
                <w:sz w:val="21"/>
                <w:szCs w:val="21"/>
                <w:highlight w:val="none"/>
                <w:lang w:val="en-US" w:eastAsia="zh-CN"/>
              </w:rPr>
              <w:t>服务</w:t>
            </w:r>
            <w:r>
              <w:rPr>
                <w:rFonts w:hint="eastAsia" w:ascii="宋体" w:hAnsi="宋体" w:eastAsia="宋体" w:cs="Times New Roman"/>
                <w:sz w:val="21"/>
                <w:szCs w:val="21"/>
                <w:highlight w:val="none"/>
              </w:rPr>
              <w:t>班组的人员配置方案不全面、不合理、针对性不强，人员数量、素质无法满足检测需要的得</w:t>
            </w:r>
            <w:r>
              <w:rPr>
                <w:rFonts w:hint="eastAsia" w:ascii="宋体" w:hAnsi="宋体" w:cs="Times New Roman"/>
                <w:sz w:val="21"/>
                <w:szCs w:val="21"/>
                <w:highlight w:val="none"/>
                <w:lang w:val="en-US" w:eastAsia="zh-CN"/>
              </w:rPr>
              <w:t>6</w:t>
            </w:r>
            <w:r>
              <w:rPr>
                <w:rFonts w:hint="eastAsia" w:ascii="宋体" w:hAnsi="宋体" w:eastAsia="宋体" w:cs="Times New Roman"/>
                <w:sz w:val="21"/>
                <w:szCs w:val="21"/>
                <w:highlight w:val="none"/>
              </w:rPr>
              <w:t>分；</w:t>
            </w:r>
          </w:p>
          <w:p w14:paraId="13886227">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⑤未提供不得分。</w:t>
            </w:r>
          </w:p>
        </w:tc>
        <w:tc>
          <w:tcPr>
            <w:tcW w:w="360" w:type="pct"/>
            <w:vAlign w:val="center"/>
          </w:tcPr>
          <w:p w14:paraId="45D82E58">
            <w:pPr>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r>
      <w:tr w14:paraId="2F4F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trPr>
        <w:tc>
          <w:tcPr>
            <w:tcW w:w="635" w:type="pct"/>
            <w:vMerge w:val="continue"/>
            <w:vAlign w:val="center"/>
          </w:tcPr>
          <w:p w14:paraId="264644EA">
            <w:pPr>
              <w:spacing w:line="360" w:lineRule="auto"/>
              <w:jc w:val="center"/>
              <w:rPr>
                <w:rFonts w:ascii="宋体" w:hAnsi="宋体" w:eastAsia="宋体" w:cs="Times New Roman"/>
                <w:sz w:val="21"/>
                <w:szCs w:val="21"/>
                <w:highlight w:val="none"/>
              </w:rPr>
            </w:pPr>
          </w:p>
        </w:tc>
        <w:tc>
          <w:tcPr>
            <w:tcW w:w="562" w:type="pct"/>
            <w:vAlign w:val="center"/>
          </w:tcPr>
          <w:p w14:paraId="39C694BD">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设备、数量（</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c>
          <w:tcPr>
            <w:tcW w:w="3442" w:type="pct"/>
            <w:vAlign w:val="top"/>
          </w:tcPr>
          <w:p w14:paraId="099BD4A5">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根据供应商提供的设备种类、数量进行综合打分：</w:t>
            </w:r>
          </w:p>
          <w:p w14:paraId="0DB31034">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①设备种类齐全，数量完全满足本项目需求的得</w:t>
            </w:r>
            <w:r>
              <w:rPr>
                <w:rFonts w:hint="eastAsia" w:ascii="宋体" w:hAnsi="宋体" w:cs="Times New Roman"/>
                <w:sz w:val="21"/>
                <w:szCs w:val="21"/>
                <w:highlight w:val="none"/>
                <w:lang w:val="en-US" w:eastAsia="zh-CN"/>
              </w:rPr>
              <w:t>12</w:t>
            </w:r>
            <w:r>
              <w:rPr>
                <w:rFonts w:hint="eastAsia" w:ascii="宋体" w:hAnsi="宋体" w:eastAsia="宋体" w:cs="Times New Roman"/>
                <w:sz w:val="21"/>
                <w:szCs w:val="21"/>
                <w:highlight w:val="none"/>
              </w:rPr>
              <w:t>分；</w:t>
            </w:r>
          </w:p>
          <w:p w14:paraId="3FB7AC25">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②设备种类较齐全，数量满足本项目需求的得</w:t>
            </w:r>
            <w:r>
              <w:rPr>
                <w:rFonts w:hint="eastAsia" w:ascii="宋体" w:hAnsi="宋体" w:cs="Times New Roman"/>
                <w:sz w:val="21"/>
                <w:szCs w:val="21"/>
                <w:highlight w:val="none"/>
                <w:lang w:val="en-US" w:eastAsia="zh-CN"/>
              </w:rPr>
              <w:t>10</w:t>
            </w:r>
            <w:r>
              <w:rPr>
                <w:rFonts w:hint="eastAsia" w:ascii="宋体" w:hAnsi="宋体" w:eastAsia="宋体" w:cs="Times New Roman"/>
                <w:sz w:val="21"/>
                <w:szCs w:val="21"/>
                <w:highlight w:val="none"/>
              </w:rPr>
              <w:t>分；</w:t>
            </w:r>
          </w:p>
          <w:p w14:paraId="1ED13C56">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③设备种类一般，数量基本满足本项目需求的得</w:t>
            </w:r>
            <w:r>
              <w:rPr>
                <w:rFonts w:hint="eastAsia" w:ascii="宋体" w:hAnsi="宋体" w:cs="Times New Roman"/>
                <w:sz w:val="21"/>
                <w:szCs w:val="21"/>
                <w:highlight w:val="none"/>
                <w:lang w:val="en-US" w:eastAsia="zh-CN"/>
              </w:rPr>
              <w:t>8</w:t>
            </w:r>
            <w:r>
              <w:rPr>
                <w:rFonts w:hint="eastAsia" w:ascii="宋体" w:hAnsi="宋体" w:eastAsia="宋体" w:cs="Times New Roman"/>
                <w:sz w:val="21"/>
                <w:szCs w:val="21"/>
                <w:highlight w:val="none"/>
              </w:rPr>
              <w:t>分；</w:t>
            </w:r>
          </w:p>
          <w:p w14:paraId="44889549">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④设备种类不全，数量不能满足本项目需求的得</w:t>
            </w:r>
            <w:r>
              <w:rPr>
                <w:rFonts w:hint="eastAsia" w:ascii="宋体" w:hAnsi="宋体" w:cs="Times New Roman"/>
                <w:sz w:val="21"/>
                <w:szCs w:val="21"/>
                <w:highlight w:val="none"/>
                <w:lang w:val="en-US" w:eastAsia="zh-CN"/>
              </w:rPr>
              <w:t>6</w:t>
            </w:r>
            <w:r>
              <w:rPr>
                <w:rFonts w:hint="eastAsia" w:ascii="宋体" w:hAnsi="宋体" w:eastAsia="宋体" w:cs="Times New Roman"/>
                <w:sz w:val="21"/>
                <w:szCs w:val="21"/>
                <w:highlight w:val="none"/>
              </w:rPr>
              <w:t>分；</w:t>
            </w:r>
          </w:p>
          <w:p w14:paraId="727BCDA8">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⑤未提供不得分。</w:t>
            </w:r>
          </w:p>
        </w:tc>
        <w:tc>
          <w:tcPr>
            <w:tcW w:w="360" w:type="pct"/>
            <w:vAlign w:val="center"/>
          </w:tcPr>
          <w:p w14:paraId="312F3E34">
            <w:pPr>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r>
      <w:tr w14:paraId="4EB4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4" w:hRule="atLeast"/>
        </w:trPr>
        <w:tc>
          <w:tcPr>
            <w:tcW w:w="635" w:type="pct"/>
            <w:vAlign w:val="center"/>
          </w:tcPr>
          <w:p w14:paraId="3ED35712">
            <w:pPr>
              <w:spacing w:line="360" w:lineRule="auto"/>
              <w:jc w:val="center"/>
              <w:rPr>
                <w:rFonts w:ascii="宋体" w:hAnsi="宋体" w:eastAsia="宋体" w:cs="Times New Roman"/>
                <w:sz w:val="21"/>
                <w:szCs w:val="21"/>
                <w:highlight w:val="none"/>
              </w:rPr>
            </w:pPr>
          </w:p>
        </w:tc>
        <w:tc>
          <w:tcPr>
            <w:tcW w:w="562" w:type="pct"/>
            <w:vAlign w:val="center"/>
          </w:tcPr>
          <w:p w14:paraId="27385DE8">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关键性技术、制度、程序措施（</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c>
          <w:tcPr>
            <w:tcW w:w="3442" w:type="pct"/>
            <w:vAlign w:val="top"/>
          </w:tcPr>
          <w:p w14:paraId="76E3A659">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根据供应商提供的关键性技术问题的对策措施、制度和程序等方面对策措施进行综合打分：</w:t>
            </w:r>
          </w:p>
          <w:p w14:paraId="52B9F19D">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①措施合理性、针对性强，完全满足要求的得</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p w14:paraId="049D8E3E">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②措施合理性、针对性较强，满足要求的得</w:t>
            </w:r>
            <w:r>
              <w:rPr>
                <w:rFonts w:hint="eastAsia" w:ascii="宋体" w:hAnsi="宋体" w:cs="Times New Roman"/>
                <w:sz w:val="21"/>
                <w:szCs w:val="21"/>
                <w:highlight w:val="none"/>
                <w:lang w:val="en-US" w:eastAsia="zh-CN"/>
              </w:rPr>
              <w:t>10</w:t>
            </w:r>
            <w:r>
              <w:rPr>
                <w:rFonts w:hint="eastAsia" w:ascii="宋体" w:hAnsi="宋体" w:eastAsia="宋体" w:cs="Times New Roman"/>
                <w:sz w:val="21"/>
                <w:szCs w:val="21"/>
                <w:highlight w:val="none"/>
              </w:rPr>
              <w:t>分；</w:t>
            </w:r>
          </w:p>
          <w:p w14:paraId="5591905E">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③措施合理性、针对性一般，基本满足要求的得</w:t>
            </w:r>
            <w:r>
              <w:rPr>
                <w:rFonts w:hint="eastAsia" w:ascii="宋体" w:hAnsi="宋体" w:cs="Times New Roman"/>
                <w:sz w:val="21"/>
                <w:szCs w:val="21"/>
                <w:highlight w:val="none"/>
                <w:lang w:val="en-US" w:eastAsia="zh-CN"/>
              </w:rPr>
              <w:t>8</w:t>
            </w:r>
            <w:r>
              <w:rPr>
                <w:rFonts w:hint="eastAsia" w:ascii="宋体" w:hAnsi="宋体" w:eastAsia="宋体" w:cs="Times New Roman"/>
                <w:sz w:val="21"/>
                <w:szCs w:val="21"/>
                <w:highlight w:val="none"/>
              </w:rPr>
              <w:t>分；</w:t>
            </w:r>
          </w:p>
          <w:p w14:paraId="0EE6FD36">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④措施合理性、针对性较差，基本无法满足要求的得</w:t>
            </w:r>
            <w:r>
              <w:rPr>
                <w:rFonts w:hint="eastAsia" w:ascii="宋体" w:hAnsi="宋体" w:cs="Times New Roman"/>
                <w:sz w:val="21"/>
                <w:szCs w:val="21"/>
                <w:highlight w:val="none"/>
                <w:lang w:val="en-US" w:eastAsia="zh-CN"/>
              </w:rPr>
              <w:t>6</w:t>
            </w:r>
            <w:r>
              <w:rPr>
                <w:rFonts w:hint="eastAsia" w:ascii="宋体" w:hAnsi="宋体" w:eastAsia="宋体" w:cs="Times New Roman"/>
                <w:sz w:val="21"/>
                <w:szCs w:val="21"/>
                <w:highlight w:val="none"/>
              </w:rPr>
              <w:t>分；</w:t>
            </w:r>
          </w:p>
          <w:p w14:paraId="11BC5299">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⑤未提供不得分。</w:t>
            </w:r>
          </w:p>
        </w:tc>
        <w:tc>
          <w:tcPr>
            <w:tcW w:w="360" w:type="pct"/>
            <w:vAlign w:val="center"/>
          </w:tcPr>
          <w:p w14:paraId="69A1CFD3">
            <w:pPr>
              <w:spacing w:line="360" w:lineRule="auto"/>
              <w:jc w:val="center"/>
              <w:rPr>
                <w:rFonts w:hint="eastAsia"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2</w:t>
            </w:r>
            <w:r>
              <w:rPr>
                <w:rFonts w:hint="eastAsia" w:ascii="宋体" w:hAnsi="宋体" w:eastAsia="宋体" w:cs="Times New Roman"/>
                <w:sz w:val="21"/>
                <w:szCs w:val="21"/>
                <w:highlight w:val="none"/>
              </w:rPr>
              <w:t>分</w:t>
            </w:r>
          </w:p>
        </w:tc>
      </w:tr>
      <w:tr w14:paraId="4333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trPr>
        <w:tc>
          <w:tcPr>
            <w:tcW w:w="635" w:type="pct"/>
            <w:vAlign w:val="center"/>
          </w:tcPr>
          <w:p w14:paraId="49F06940">
            <w:pPr>
              <w:spacing w:line="360" w:lineRule="auto"/>
              <w:jc w:val="center"/>
              <w:rPr>
                <w:rFonts w:ascii="宋体" w:hAnsi="宋体" w:eastAsia="宋体" w:cs="Times New Roman"/>
                <w:sz w:val="21"/>
                <w:szCs w:val="21"/>
                <w:highlight w:val="none"/>
              </w:rPr>
            </w:pPr>
          </w:p>
        </w:tc>
        <w:tc>
          <w:tcPr>
            <w:tcW w:w="562" w:type="pct"/>
            <w:vAlign w:val="center"/>
          </w:tcPr>
          <w:p w14:paraId="79B59E19">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档案管理</w:t>
            </w:r>
            <w:r>
              <w:rPr>
                <w:rFonts w:hint="eastAsia" w:ascii="宋体" w:hAnsi="宋体" w:eastAsia="宋体" w:cs="Times New Roman"/>
                <w:sz w:val="21"/>
                <w:szCs w:val="21"/>
                <w:highlight w:val="none"/>
              </w:rPr>
              <w:t>方案（</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分）</w:t>
            </w:r>
          </w:p>
        </w:tc>
        <w:tc>
          <w:tcPr>
            <w:tcW w:w="3442" w:type="pct"/>
            <w:vAlign w:val="top"/>
          </w:tcPr>
          <w:p w14:paraId="75F119AF">
            <w:pPr>
              <w:widowControl/>
              <w:snapToGrid w:val="0"/>
              <w:spacing w:line="360" w:lineRule="auto"/>
              <w:jc w:val="both"/>
              <w:rPr>
                <w:rFonts w:ascii="宋体" w:eastAsia="宋体" w:cs="宋体"/>
                <w:kern w:val="2"/>
                <w:sz w:val="21"/>
                <w:szCs w:val="21"/>
                <w:highlight w:val="none"/>
                <w:lang w:eastAsia="zh-CN"/>
              </w:rPr>
            </w:pPr>
            <w:r>
              <w:rPr>
                <w:rFonts w:hint="eastAsia" w:ascii="宋体" w:eastAsia="宋体" w:cs="宋体"/>
                <w:kern w:val="2"/>
                <w:sz w:val="21"/>
                <w:szCs w:val="21"/>
                <w:highlight w:val="none"/>
                <w:lang w:eastAsia="zh-CN"/>
              </w:rPr>
              <w:t>根据供应商提供的检测项目档案资料管理制度进行综合评审：</w:t>
            </w:r>
          </w:p>
          <w:p w14:paraId="5B9C4EAF">
            <w:pPr>
              <w:widowControl/>
              <w:snapToGrid w:val="0"/>
              <w:spacing w:line="360" w:lineRule="auto"/>
              <w:jc w:val="both"/>
              <w:rPr>
                <w:rFonts w:ascii="宋体" w:eastAsia="宋体" w:cs="宋体"/>
                <w:kern w:val="2"/>
                <w:sz w:val="21"/>
                <w:szCs w:val="21"/>
                <w:highlight w:val="none"/>
                <w:lang w:eastAsia="zh-CN"/>
              </w:rPr>
            </w:pPr>
            <w:r>
              <w:rPr>
                <w:rFonts w:hint="eastAsia" w:ascii="宋体" w:eastAsia="宋体" w:cs="宋体"/>
                <w:kern w:val="2"/>
                <w:sz w:val="21"/>
                <w:szCs w:val="21"/>
                <w:highlight w:val="none"/>
                <w:lang w:eastAsia="zh-CN"/>
              </w:rPr>
              <w:t>有完备的项目档案资料管理制度，建立、收集、保存等流程健全、规范，有完善的档案移交步骤的得</w:t>
            </w:r>
            <w:r>
              <w:rPr>
                <w:rFonts w:hint="eastAsia" w:ascii="宋体" w:cs="宋体"/>
                <w:kern w:val="2"/>
                <w:sz w:val="21"/>
                <w:szCs w:val="21"/>
                <w:highlight w:val="none"/>
                <w:lang w:val="en-US" w:eastAsia="zh-CN"/>
              </w:rPr>
              <w:t>9</w:t>
            </w:r>
            <w:r>
              <w:rPr>
                <w:rFonts w:hint="eastAsia" w:ascii="宋体" w:eastAsia="宋体" w:cs="宋体"/>
                <w:kern w:val="2"/>
                <w:sz w:val="21"/>
                <w:szCs w:val="21"/>
                <w:highlight w:val="none"/>
                <w:lang w:eastAsia="zh-CN"/>
              </w:rPr>
              <w:t xml:space="preserve">分； </w:t>
            </w:r>
          </w:p>
          <w:p w14:paraId="3BE5B95E">
            <w:pPr>
              <w:widowControl/>
              <w:snapToGrid w:val="0"/>
              <w:spacing w:line="360" w:lineRule="auto"/>
              <w:jc w:val="both"/>
              <w:rPr>
                <w:rFonts w:ascii="宋体" w:eastAsia="宋体" w:cs="宋体"/>
                <w:kern w:val="2"/>
                <w:sz w:val="21"/>
                <w:szCs w:val="21"/>
                <w:highlight w:val="none"/>
                <w:lang w:eastAsia="zh-CN"/>
              </w:rPr>
            </w:pPr>
            <w:r>
              <w:rPr>
                <w:rFonts w:hint="eastAsia" w:ascii="宋体" w:eastAsia="宋体" w:cs="宋体"/>
                <w:kern w:val="2"/>
                <w:sz w:val="21"/>
                <w:szCs w:val="21"/>
                <w:highlight w:val="none"/>
                <w:lang w:eastAsia="zh-CN"/>
              </w:rPr>
              <w:t>有项目档案资料管理制度，建立、收集、保存等流程健全，有档案移交步骤的得</w:t>
            </w:r>
            <w:r>
              <w:rPr>
                <w:rFonts w:hint="eastAsia" w:ascii="宋体" w:cs="宋体"/>
                <w:kern w:val="2"/>
                <w:sz w:val="21"/>
                <w:szCs w:val="21"/>
                <w:highlight w:val="none"/>
                <w:lang w:val="en-US" w:eastAsia="zh-CN"/>
              </w:rPr>
              <w:t>7</w:t>
            </w:r>
            <w:r>
              <w:rPr>
                <w:rFonts w:hint="eastAsia" w:ascii="宋体" w:eastAsia="宋体" w:cs="宋体"/>
                <w:kern w:val="2"/>
                <w:sz w:val="21"/>
                <w:szCs w:val="21"/>
                <w:highlight w:val="none"/>
                <w:lang w:eastAsia="zh-CN"/>
              </w:rPr>
              <w:t>分；</w:t>
            </w:r>
          </w:p>
          <w:p w14:paraId="63E6EF1A">
            <w:pPr>
              <w:widowControl/>
              <w:snapToGrid w:val="0"/>
              <w:spacing w:line="360" w:lineRule="auto"/>
              <w:jc w:val="both"/>
              <w:rPr>
                <w:rFonts w:ascii="宋体" w:eastAsia="宋体" w:cs="宋体"/>
                <w:kern w:val="2"/>
                <w:sz w:val="21"/>
                <w:szCs w:val="21"/>
                <w:highlight w:val="none"/>
                <w:lang w:eastAsia="zh-CN"/>
              </w:rPr>
            </w:pPr>
            <w:r>
              <w:rPr>
                <w:rFonts w:hint="eastAsia" w:ascii="宋体" w:eastAsia="宋体" w:cs="宋体"/>
                <w:kern w:val="2"/>
                <w:sz w:val="21"/>
                <w:szCs w:val="21"/>
                <w:highlight w:val="none"/>
                <w:lang w:eastAsia="zh-CN"/>
              </w:rPr>
              <w:t>建立、收集、保存、移交等流程不健全，档案移交步骤缺少得</w:t>
            </w:r>
            <w:r>
              <w:rPr>
                <w:rFonts w:hint="eastAsia" w:ascii="宋体" w:cs="宋体"/>
                <w:kern w:val="2"/>
                <w:sz w:val="21"/>
                <w:szCs w:val="21"/>
                <w:highlight w:val="none"/>
                <w:lang w:val="en-US" w:eastAsia="zh-CN"/>
              </w:rPr>
              <w:t>5</w:t>
            </w:r>
            <w:r>
              <w:rPr>
                <w:rFonts w:hint="eastAsia" w:ascii="宋体" w:eastAsia="宋体" w:cs="宋体"/>
                <w:kern w:val="2"/>
                <w:sz w:val="21"/>
                <w:szCs w:val="21"/>
                <w:highlight w:val="none"/>
                <w:lang w:eastAsia="zh-CN"/>
              </w:rPr>
              <w:t>分；</w:t>
            </w:r>
          </w:p>
          <w:p w14:paraId="4AB60B49">
            <w:pPr>
              <w:spacing w:line="360" w:lineRule="auto"/>
              <w:rPr>
                <w:rFonts w:hint="eastAsia" w:ascii="宋体" w:hAnsi="宋体" w:eastAsia="宋体" w:cs="Times New Roman"/>
                <w:sz w:val="21"/>
                <w:szCs w:val="21"/>
                <w:highlight w:val="none"/>
              </w:rPr>
            </w:pPr>
            <w:r>
              <w:rPr>
                <w:rFonts w:hint="eastAsia" w:ascii="宋体" w:eastAsia="宋体" w:cs="宋体"/>
                <w:kern w:val="2"/>
                <w:sz w:val="21"/>
                <w:szCs w:val="21"/>
                <w:highlight w:val="none"/>
                <w:lang w:eastAsia="zh-CN"/>
              </w:rPr>
              <w:t>无不得分。</w:t>
            </w:r>
          </w:p>
        </w:tc>
        <w:tc>
          <w:tcPr>
            <w:tcW w:w="360" w:type="pct"/>
            <w:vAlign w:val="center"/>
          </w:tcPr>
          <w:p w14:paraId="49C510F3">
            <w:pPr>
              <w:spacing w:line="360" w:lineRule="auto"/>
              <w:jc w:val="center"/>
              <w:rPr>
                <w:rFonts w:hint="default" w:ascii="宋体" w:hAnsi="宋体" w:eastAsia="宋体" w:cs="Times New Roman"/>
                <w:sz w:val="21"/>
                <w:szCs w:val="21"/>
                <w:highlight w:val="none"/>
                <w:lang w:val="en-US" w:eastAsia="zh-CN"/>
              </w:rPr>
            </w:pP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分</w:t>
            </w:r>
          </w:p>
        </w:tc>
      </w:tr>
      <w:tr w14:paraId="5610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trPr>
        <w:tc>
          <w:tcPr>
            <w:tcW w:w="635" w:type="pct"/>
            <w:vMerge w:val="restart"/>
            <w:vAlign w:val="center"/>
          </w:tcPr>
          <w:p w14:paraId="480F5A09">
            <w:pPr>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商务部分（</w:t>
            </w:r>
            <w:r>
              <w:rPr>
                <w:rFonts w:hint="eastAsia" w:ascii="宋体" w:hAnsi="宋体" w:eastAsia="宋体" w:cs="Times New Roman"/>
                <w:sz w:val="21"/>
                <w:szCs w:val="21"/>
                <w:highlight w:val="none"/>
                <w:lang w:val="en-US" w:eastAsia="zh-CN"/>
              </w:rPr>
              <w:t>21</w:t>
            </w:r>
            <w:r>
              <w:rPr>
                <w:rFonts w:hint="eastAsia" w:ascii="宋体" w:hAnsi="宋体" w:eastAsia="宋体" w:cs="Times New Roman"/>
                <w:sz w:val="21"/>
                <w:szCs w:val="21"/>
                <w:highlight w:val="none"/>
              </w:rPr>
              <w:t>分）</w:t>
            </w:r>
          </w:p>
        </w:tc>
        <w:tc>
          <w:tcPr>
            <w:tcW w:w="562" w:type="pct"/>
            <w:vAlign w:val="center"/>
          </w:tcPr>
          <w:p w14:paraId="54C794D4">
            <w:pPr>
              <w:spacing w:line="360" w:lineRule="auto"/>
              <w:jc w:val="both"/>
              <w:rPr>
                <w:rFonts w:ascii="宋体" w:eastAsia="宋体" w:cs="宋体"/>
                <w:kern w:val="2"/>
                <w:sz w:val="21"/>
                <w:szCs w:val="21"/>
                <w:highlight w:val="none"/>
                <w:lang w:eastAsia="zh-CN"/>
              </w:rPr>
            </w:pPr>
            <w:r>
              <w:rPr>
                <w:rFonts w:hint="eastAsia" w:ascii="宋体" w:eastAsia="宋体" w:cs="宋体"/>
                <w:kern w:val="2"/>
                <w:sz w:val="21"/>
                <w:szCs w:val="21"/>
                <w:highlight w:val="none"/>
                <w:lang w:eastAsia="zh-CN"/>
              </w:rPr>
              <w:t>项目组成</w:t>
            </w:r>
          </w:p>
          <w:p w14:paraId="2A26549D">
            <w:pPr>
              <w:spacing w:line="360" w:lineRule="auto"/>
              <w:jc w:val="both"/>
              <w:rPr>
                <w:rFonts w:hint="eastAsia" w:ascii="宋体" w:hAnsi="宋体" w:eastAsia="宋体" w:cs="Times New Roman"/>
                <w:sz w:val="21"/>
                <w:szCs w:val="21"/>
                <w:highlight w:val="none"/>
              </w:rPr>
            </w:pPr>
            <w:r>
              <w:rPr>
                <w:rFonts w:hint="eastAsia" w:ascii="宋体" w:eastAsia="宋体" w:cs="宋体"/>
                <w:kern w:val="2"/>
                <w:sz w:val="21"/>
                <w:szCs w:val="21"/>
                <w:highlight w:val="none"/>
                <w:lang w:eastAsia="zh-CN"/>
              </w:rPr>
              <w:t>员配备</w:t>
            </w:r>
          </w:p>
        </w:tc>
        <w:tc>
          <w:tcPr>
            <w:tcW w:w="3442" w:type="pct"/>
            <w:vAlign w:val="center"/>
          </w:tcPr>
          <w:p w14:paraId="6EB2B935">
            <w:pPr>
              <w:widowControl/>
              <w:snapToGrid w:val="0"/>
              <w:spacing w:line="360" w:lineRule="auto"/>
              <w:jc w:val="both"/>
              <w:rPr>
                <w:rFonts w:hint="eastAsia" w:ascii="宋体" w:eastAsia="宋体" w:cs="宋体"/>
                <w:kern w:val="2"/>
                <w:sz w:val="21"/>
                <w:szCs w:val="21"/>
                <w:highlight w:val="none"/>
                <w:lang w:val="en-US" w:eastAsia="zh-CN"/>
              </w:rPr>
            </w:pPr>
            <w:r>
              <w:rPr>
                <w:rFonts w:hint="eastAsia" w:ascii="宋体" w:eastAsia="宋体" w:cs="宋体"/>
                <w:kern w:val="2"/>
                <w:sz w:val="21"/>
                <w:szCs w:val="21"/>
                <w:highlight w:val="none"/>
                <w:lang w:val="en-US" w:eastAsia="zh-CN"/>
              </w:rPr>
              <w:t>1、拟投入的项目人员中，具有地质矿产高级及以上工程师职称证书的得4分，具有地质矿产中级职称证书的得2分，最高得4分。</w:t>
            </w:r>
          </w:p>
          <w:p w14:paraId="54F94FA5">
            <w:pPr>
              <w:spacing w:line="360" w:lineRule="auto"/>
              <w:jc w:val="both"/>
              <w:rPr>
                <w:rFonts w:hint="eastAsia" w:ascii="宋体" w:eastAsia="宋体" w:cs="宋体"/>
                <w:kern w:val="2"/>
                <w:sz w:val="21"/>
                <w:szCs w:val="21"/>
                <w:highlight w:val="none"/>
                <w:lang w:eastAsia="zh-CN"/>
              </w:rPr>
            </w:pPr>
            <w:r>
              <w:rPr>
                <w:rFonts w:hint="eastAsia" w:ascii="宋体" w:eastAsia="宋体" w:cs="宋体"/>
                <w:kern w:val="2"/>
                <w:sz w:val="21"/>
                <w:szCs w:val="21"/>
                <w:highlight w:val="none"/>
                <w:lang w:val="en-US" w:eastAsia="zh-CN"/>
              </w:rPr>
              <w:t>2、</w:t>
            </w:r>
            <w:r>
              <w:rPr>
                <w:rFonts w:hint="eastAsia" w:ascii="宋体" w:eastAsia="宋体" w:cs="宋体"/>
                <w:kern w:val="2"/>
                <w:sz w:val="21"/>
                <w:szCs w:val="21"/>
                <w:highlight w:val="none"/>
                <w:lang w:eastAsia="zh-CN"/>
              </w:rPr>
              <w:t>拟派项目组成员中具有</w:t>
            </w:r>
            <w:r>
              <w:rPr>
                <w:rFonts w:hint="eastAsia" w:ascii="宋体" w:eastAsia="宋体" w:cs="宋体"/>
                <w:kern w:val="2"/>
                <w:sz w:val="21"/>
                <w:szCs w:val="21"/>
                <w:highlight w:val="none"/>
                <w:lang w:val="en-US" w:eastAsia="zh-CN"/>
              </w:rPr>
              <w:t>岩土（土木）高级及以上工程师职称证书的得4分，具有岩土（土木）中级职称证书的得2分</w:t>
            </w:r>
            <w:r>
              <w:rPr>
                <w:rFonts w:hint="eastAsia" w:ascii="宋体" w:eastAsia="宋体" w:cs="宋体"/>
                <w:kern w:val="2"/>
                <w:sz w:val="21"/>
                <w:szCs w:val="21"/>
                <w:highlight w:val="none"/>
                <w:lang w:eastAsia="zh-CN"/>
              </w:rPr>
              <w:t>，最高得</w:t>
            </w:r>
            <w:r>
              <w:rPr>
                <w:rFonts w:hint="eastAsia" w:ascii="宋体" w:eastAsia="宋体" w:cs="宋体"/>
                <w:kern w:val="2"/>
                <w:sz w:val="21"/>
                <w:szCs w:val="21"/>
                <w:highlight w:val="none"/>
                <w:lang w:val="en-US" w:eastAsia="zh-CN"/>
              </w:rPr>
              <w:t>8</w:t>
            </w:r>
            <w:r>
              <w:rPr>
                <w:rFonts w:hint="eastAsia" w:ascii="宋体" w:eastAsia="宋体" w:cs="宋体"/>
                <w:kern w:val="2"/>
                <w:sz w:val="21"/>
                <w:szCs w:val="21"/>
                <w:highlight w:val="none"/>
                <w:lang w:eastAsia="zh-CN"/>
              </w:rPr>
              <w:t>分。</w:t>
            </w:r>
          </w:p>
          <w:p w14:paraId="3350D5C3">
            <w:pPr>
              <w:spacing w:line="360" w:lineRule="auto"/>
              <w:jc w:val="both"/>
              <w:rPr>
                <w:rFonts w:hint="default"/>
                <w:lang w:val="en-US"/>
              </w:rPr>
            </w:pPr>
            <w:r>
              <w:rPr>
                <w:rFonts w:hint="eastAsia" w:ascii="宋体" w:eastAsia="宋体" w:cs="宋体"/>
                <w:kern w:val="2"/>
                <w:sz w:val="21"/>
                <w:szCs w:val="21"/>
                <w:highlight w:val="none"/>
                <w:lang w:eastAsia="zh-CN"/>
              </w:rPr>
              <w:t>（</w:t>
            </w:r>
            <w:r>
              <w:rPr>
                <w:rFonts w:hint="eastAsia" w:ascii="宋体" w:eastAsia="宋体" w:cs="宋体"/>
                <w:kern w:val="2"/>
                <w:sz w:val="21"/>
                <w:szCs w:val="21"/>
                <w:highlight w:val="none"/>
                <w:lang w:val="en-US" w:eastAsia="zh-CN"/>
              </w:rPr>
              <w:t>以上人员</w:t>
            </w:r>
            <w:r>
              <w:rPr>
                <w:rFonts w:hint="eastAsia" w:ascii="宋体" w:eastAsia="宋体" w:cs="宋体"/>
                <w:kern w:val="2"/>
                <w:sz w:val="21"/>
                <w:szCs w:val="21"/>
                <w:highlight w:val="none"/>
                <w:lang w:eastAsia="zh-CN"/>
              </w:rPr>
              <w:t>需提供职称证，及社保机构出具供应商为其缴纳的近</w:t>
            </w:r>
            <w:r>
              <w:rPr>
                <w:rFonts w:hint="eastAsia" w:ascii="宋体" w:eastAsia="宋体" w:cs="宋体"/>
                <w:kern w:val="2"/>
                <w:sz w:val="21"/>
                <w:szCs w:val="21"/>
                <w:highlight w:val="none"/>
                <w:lang w:val="en-US" w:eastAsia="zh-CN"/>
              </w:rPr>
              <w:t>三个月</w:t>
            </w:r>
            <w:r>
              <w:rPr>
                <w:rFonts w:hint="eastAsia" w:ascii="宋体" w:eastAsia="宋体" w:cs="宋体"/>
                <w:kern w:val="2"/>
                <w:sz w:val="21"/>
                <w:szCs w:val="21"/>
                <w:highlight w:val="none"/>
                <w:lang w:eastAsia="zh-CN"/>
              </w:rPr>
              <w:t>内（</w:t>
            </w:r>
            <w:r>
              <w:rPr>
                <w:rFonts w:hint="eastAsia" w:ascii="宋体" w:cs="宋体"/>
                <w:kern w:val="2"/>
                <w:sz w:val="21"/>
                <w:szCs w:val="21"/>
                <w:highlight w:val="none"/>
                <w:lang w:eastAsia="zh-CN"/>
              </w:rPr>
              <w:t>2026年4月至2026年6月</w:t>
            </w:r>
            <w:r>
              <w:rPr>
                <w:rFonts w:hint="eastAsia" w:ascii="宋体" w:eastAsia="宋体" w:cs="宋体"/>
                <w:kern w:val="2"/>
                <w:sz w:val="21"/>
                <w:szCs w:val="21"/>
                <w:highlight w:val="none"/>
                <w:lang w:eastAsia="zh-CN"/>
              </w:rPr>
              <w:t>）任意一个月养老保险缴费证明材料并加盖社保中心章或社保中心参保缴费证明电子专用章；提供的证明材料必须能充分反映相关数据和内容，否则视为未提供。）</w:t>
            </w:r>
          </w:p>
        </w:tc>
        <w:tc>
          <w:tcPr>
            <w:tcW w:w="360" w:type="pct"/>
            <w:vAlign w:val="center"/>
          </w:tcPr>
          <w:p w14:paraId="02271FFE">
            <w:pPr>
              <w:spacing w:line="360" w:lineRule="auto"/>
              <w:jc w:val="center"/>
              <w:rPr>
                <w:rFonts w:hint="eastAsia" w:ascii="宋体" w:hAnsi="宋体" w:eastAsia="宋体" w:cs="Times New Roman"/>
                <w:sz w:val="21"/>
                <w:szCs w:val="21"/>
                <w:highlight w:val="none"/>
              </w:rPr>
            </w:pPr>
            <w:r>
              <w:rPr>
                <w:rFonts w:hint="eastAsia" w:ascii="宋体" w:hAnsi="宋体" w:eastAsia="宋体" w:cs="Times New Roman"/>
                <w:sz w:val="21"/>
                <w:szCs w:val="21"/>
                <w:highlight w:val="none"/>
                <w:lang w:val="en-US" w:eastAsia="zh-CN"/>
              </w:rPr>
              <w:t>12</w:t>
            </w:r>
            <w:r>
              <w:rPr>
                <w:rFonts w:hint="eastAsia" w:ascii="宋体" w:hAnsi="宋体" w:eastAsia="宋体" w:cs="Times New Roman"/>
                <w:sz w:val="21"/>
                <w:szCs w:val="21"/>
                <w:highlight w:val="none"/>
              </w:rPr>
              <w:t>分</w:t>
            </w:r>
          </w:p>
        </w:tc>
      </w:tr>
      <w:tr w14:paraId="1A02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635" w:type="pct"/>
            <w:vMerge w:val="continue"/>
            <w:vAlign w:val="center"/>
          </w:tcPr>
          <w:p w14:paraId="03B081BF">
            <w:pPr>
              <w:spacing w:line="360" w:lineRule="auto"/>
              <w:jc w:val="center"/>
              <w:rPr>
                <w:rFonts w:ascii="宋体" w:hAnsi="宋体" w:eastAsia="宋体" w:cs="Times New Roman"/>
                <w:sz w:val="21"/>
                <w:szCs w:val="21"/>
                <w:highlight w:val="none"/>
              </w:rPr>
            </w:pPr>
          </w:p>
        </w:tc>
        <w:tc>
          <w:tcPr>
            <w:tcW w:w="562" w:type="pct"/>
            <w:vAlign w:val="center"/>
          </w:tcPr>
          <w:p w14:paraId="273B4414">
            <w:pPr>
              <w:spacing w:line="360" w:lineRule="auto"/>
              <w:jc w:val="center"/>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类似业绩</w:t>
            </w:r>
          </w:p>
        </w:tc>
        <w:tc>
          <w:tcPr>
            <w:tcW w:w="3442" w:type="pct"/>
            <w:vAlign w:val="center"/>
          </w:tcPr>
          <w:p w14:paraId="7C22BC6E">
            <w:pPr>
              <w:spacing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lang w:eastAsia="zh-CN"/>
              </w:rPr>
              <w:t>投标供应商</w:t>
            </w:r>
            <w:r>
              <w:rPr>
                <w:rFonts w:hint="eastAsia" w:ascii="宋体" w:hAnsi="宋体" w:eastAsia="宋体" w:cs="Times New Roman"/>
                <w:sz w:val="21"/>
                <w:szCs w:val="21"/>
                <w:highlight w:val="none"/>
              </w:rPr>
              <w:t>自202</w:t>
            </w:r>
            <w:r>
              <w:rPr>
                <w:rFonts w:hint="eastAsia" w:ascii="宋体" w:hAnsi="宋体" w:eastAsia="宋体" w:cs="Times New Roman"/>
                <w:sz w:val="21"/>
                <w:szCs w:val="21"/>
                <w:highlight w:val="none"/>
                <w:lang w:val="en-US" w:eastAsia="zh-CN"/>
              </w:rPr>
              <w:t>3</w:t>
            </w:r>
            <w:r>
              <w:rPr>
                <w:rFonts w:hint="eastAsia" w:ascii="宋体" w:hAnsi="宋体" w:eastAsia="宋体" w:cs="Times New Roman"/>
                <w:sz w:val="21"/>
                <w:szCs w:val="21"/>
                <w:highlight w:val="none"/>
              </w:rPr>
              <w:t>年</w:t>
            </w:r>
            <w:r>
              <w:rPr>
                <w:rFonts w:hint="eastAsia" w:ascii="宋体" w:hAnsi="宋体" w:eastAsia="宋体" w:cs="Times New Roman"/>
                <w:sz w:val="21"/>
                <w:szCs w:val="21"/>
                <w:highlight w:val="none"/>
                <w:lang w:val="en-US" w:eastAsia="zh-CN"/>
              </w:rPr>
              <w:t>6</w:t>
            </w:r>
            <w:r>
              <w:rPr>
                <w:rFonts w:hint="eastAsia" w:ascii="宋体" w:hAnsi="宋体" w:eastAsia="宋体" w:cs="Times New Roman"/>
                <w:sz w:val="21"/>
                <w:szCs w:val="21"/>
                <w:highlight w:val="none"/>
              </w:rPr>
              <w:t>月1日以来（以合同签订时间为准），承担过类似</w:t>
            </w:r>
            <w:r>
              <w:rPr>
                <w:rFonts w:hint="eastAsia" w:ascii="宋体" w:hAnsi="宋体" w:eastAsia="宋体" w:cs="Times New Roman"/>
                <w:sz w:val="21"/>
                <w:szCs w:val="21"/>
                <w:highlight w:val="none"/>
                <w:lang w:val="en-US" w:eastAsia="zh-CN"/>
              </w:rPr>
              <w:t>矿产品或土石方或砂石料调查测量或资产评估项目业绩</w:t>
            </w:r>
            <w:r>
              <w:rPr>
                <w:rFonts w:hint="eastAsia" w:ascii="宋体" w:hAnsi="宋体" w:eastAsia="宋体" w:cs="Times New Roman"/>
                <w:sz w:val="21"/>
                <w:szCs w:val="21"/>
                <w:highlight w:val="none"/>
              </w:rPr>
              <w:t>，每提供一个得3分，最高得9分。（需提供</w:t>
            </w:r>
            <w:r>
              <w:rPr>
                <w:rFonts w:hint="eastAsia" w:ascii="宋体" w:hAnsi="宋体" w:eastAsia="宋体" w:cs="Times New Roman"/>
                <w:sz w:val="21"/>
                <w:szCs w:val="21"/>
                <w:highlight w:val="none"/>
                <w:lang w:val="en-US" w:eastAsia="zh-CN"/>
              </w:rPr>
              <w:t>业绩</w:t>
            </w:r>
            <w:r>
              <w:rPr>
                <w:rFonts w:hint="eastAsia" w:ascii="宋体" w:hAnsi="宋体" w:eastAsia="宋体" w:cs="Times New Roman"/>
                <w:sz w:val="21"/>
                <w:szCs w:val="21"/>
                <w:highlight w:val="none"/>
              </w:rPr>
              <w:t>合同</w:t>
            </w:r>
            <w:r>
              <w:rPr>
                <w:rFonts w:hint="eastAsia" w:ascii="宋体" w:eastAsia="宋体" w:cs="宋体"/>
                <w:kern w:val="2"/>
                <w:sz w:val="21"/>
                <w:szCs w:val="21"/>
                <w:highlight w:val="none"/>
                <w:lang w:eastAsia="zh-CN"/>
              </w:rPr>
              <w:t>，时间以合同时间为准</w:t>
            </w:r>
            <w:r>
              <w:rPr>
                <w:rFonts w:hint="eastAsia" w:ascii="宋体" w:hAnsi="宋体" w:eastAsia="宋体" w:cs="Times New Roman"/>
                <w:sz w:val="21"/>
                <w:szCs w:val="21"/>
                <w:highlight w:val="none"/>
              </w:rPr>
              <w:t>）</w:t>
            </w:r>
          </w:p>
        </w:tc>
        <w:tc>
          <w:tcPr>
            <w:tcW w:w="360" w:type="pct"/>
            <w:vAlign w:val="center"/>
          </w:tcPr>
          <w:p w14:paraId="19F2EE80">
            <w:pPr>
              <w:spacing w:line="360" w:lineRule="auto"/>
              <w:jc w:val="center"/>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9分</w:t>
            </w:r>
          </w:p>
        </w:tc>
      </w:tr>
    </w:tbl>
    <w:p w14:paraId="5292C444">
      <w:pPr>
        <w:ind w:firstLine="358" w:firstLineChars="198"/>
        <w:rPr>
          <w:rFonts w:ascii="宋体" w:hAnsi="宋体"/>
          <w:b/>
          <w:sz w:val="18"/>
          <w:szCs w:val="18"/>
          <w:highlight w:val="none"/>
        </w:rPr>
      </w:pPr>
      <w:r>
        <w:rPr>
          <w:rFonts w:hint="eastAsia" w:ascii="宋体" w:hAnsi="宋体"/>
          <w:b/>
          <w:sz w:val="18"/>
          <w:szCs w:val="18"/>
          <w:highlight w:val="none"/>
        </w:rPr>
        <w:t>注：</w:t>
      </w:r>
    </w:p>
    <w:p w14:paraId="7BED5DC1">
      <w:pPr>
        <w:spacing w:line="360" w:lineRule="auto"/>
        <w:jc w:val="both"/>
        <w:rPr>
          <w:rFonts w:hint="eastAsia" w:ascii="宋体" w:eastAsia="宋体" w:cs="宋体"/>
          <w:kern w:val="2"/>
          <w:sz w:val="18"/>
          <w:szCs w:val="18"/>
          <w:highlight w:val="none"/>
          <w:lang w:val="zh-CN" w:eastAsia="zh-CN"/>
        </w:rPr>
      </w:pPr>
      <w:r>
        <w:rPr>
          <w:rFonts w:hint="eastAsia" w:ascii="宋体" w:eastAsia="宋体" w:cs="宋体"/>
          <w:kern w:val="2"/>
          <w:sz w:val="18"/>
          <w:szCs w:val="18"/>
          <w:highlight w:val="none"/>
          <w:lang w:val="zh-CN" w:eastAsia="zh-CN"/>
        </w:rPr>
        <w:t>1.本项目专门面向中小企业采购，供应商应为中小微企业、监狱企业、残疾人福利性单位。</w:t>
      </w:r>
    </w:p>
    <w:p w14:paraId="6F61816F">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2.小企业（含小型、微型企业）应当符合以下条件：</w:t>
      </w:r>
    </w:p>
    <w:p w14:paraId="6AD646C0">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（1）供应商为小企业，且符合中小企业划分标准（</w:t>
      </w:r>
      <w:r>
        <w:rPr>
          <w:rFonts w:hint="eastAsia" w:ascii="宋体" w:eastAsia="宋体" w:cs="宋体"/>
          <w:kern w:val="2"/>
          <w:sz w:val="18"/>
          <w:szCs w:val="18"/>
          <w:highlight w:val="none"/>
          <w:lang w:val="zh-CN" w:eastAsia="zh-CN"/>
        </w:rPr>
        <w:t>中小企业划型标准按照《关于印发中小企业划型标准规定的通知》（工信部联企业〔2011〕300 号）文认定），但与大企业的负责人为同一人，或者与大企业存在直接控股、管理关系的除外。</w:t>
      </w:r>
    </w:p>
    <w:p w14:paraId="5B797967">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（2）提供本企业制造的货物、承担的工程或者服务，或者提供其他小企业制造的货物。如果提供的货物为大中型企业注册商标的货物，视同大中型企业。</w:t>
      </w:r>
    </w:p>
    <w:p w14:paraId="6EE96DAE">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（3）在货物采购项目中，供应商提供的货物既有中小企业制造货物，也有大型企业制造货物的，不享受本办法规定的中小企业扶持政策。</w:t>
      </w:r>
    </w:p>
    <w:p w14:paraId="700F690E">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（4）以联合体形式参加政府采购活动，联合体各方均为中小企业的，联合体视同中小企业。其中，联合体各方均为小微企业的，联合体视同小微企业。</w:t>
      </w:r>
    </w:p>
    <w:p w14:paraId="14C05EE8">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 xml:space="preserve">3.监狱和戒毒企业   </w:t>
      </w:r>
    </w:p>
    <w:p w14:paraId="4892557D">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监狱企业需提供由省级以上监狱管理局、戒毒管理局（含新疆生产建设兵团）出具的属于监狱企业的证明文件。监狱企业标准请参照《关于政府采购支持监狱企业发展有关问题的通知》（财库[2014]68 号）。</w:t>
      </w:r>
    </w:p>
    <w:p w14:paraId="119864DC">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 xml:space="preserve">4. 残疾人福利性单位 </w:t>
      </w:r>
    </w:p>
    <w:p w14:paraId="5EBCAEB7">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残疾人福利单位需按照采购文件的要求提供《残疾人福利性单位声明函》。 残疾人福利单位标准请参照《关于促进残疾人就业政府采购政策的通知》（财库〔2017〕141 号）。</w:t>
      </w:r>
    </w:p>
    <w:p w14:paraId="25B104B3">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5. 监狱企业、残疾人福利单位属于小型、微型企业的，不重复享受政策。</w:t>
      </w:r>
    </w:p>
    <w:p w14:paraId="3889E96A">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6. 价格扣除</w:t>
      </w:r>
    </w:p>
    <w:p w14:paraId="2B3B0DF6">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6.1 对国家认定的节能产品和环保产品分别给予投标价的5%价格扣除，用扣除后的价格参与评审。</w:t>
      </w:r>
    </w:p>
    <w:p w14:paraId="5FDD426B">
      <w:pPr>
        <w:spacing w:line="360" w:lineRule="auto"/>
        <w:jc w:val="both"/>
        <w:rPr>
          <w:rFonts w:hint="eastAsia" w:ascii="宋体" w:eastAsia="宋体" w:cs="宋体"/>
          <w:kern w:val="2"/>
          <w:sz w:val="18"/>
          <w:szCs w:val="18"/>
          <w:highlight w:val="none"/>
          <w:lang w:eastAsia="zh-CN"/>
        </w:rPr>
      </w:pPr>
      <w:r>
        <w:rPr>
          <w:rFonts w:hint="eastAsia" w:ascii="宋体" w:eastAsia="宋体" w:cs="宋体"/>
          <w:kern w:val="2"/>
          <w:sz w:val="18"/>
          <w:szCs w:val="18"/>
          <w:highlight w:val="none"/>
          <w:lang w:eastAsia="zh-CN"/>
        </w:rPr>
        <w:t>6.2  小微企业价格扣除：本项目专门面向中小企业采购，评审时，采购人对小微企业的报价不给予价格扣除；本项目不允许中型企业向一家或者多家小微企业分包，采购人对中型企业的报价不给予价格扣除。</w:t>
      </w:r>
    </w:p>
    <w:p w14:paraId="6E7D2785">
      <w:pPr>
        <w:spacing w:line="360" w:lineRule="auto"/>
        <w:jc w:val="both"/>
        <w:rPr>
          <w:rFonts w:hint="eastAsia" w:ascii="宋体" w:eastAsia="宋体" w:cs="宋体"/>
          <w:kern w:val="2"/>
          <w:sz w:val="18"/>
          <w:szCs w:val="18"/>
          <w:highlight w:val="none"/>
          <w:lang w:val="zh-CN" w:eastAsia="zh-CN"/>
        </w:rPr>
      </w:pPr>
      <w:r>
        <w:rPr>
          <w:rFonts w:hint="eastAsia" w:ascii="宋体" w:eastAsia="宋体" w:cs="宋体"/>
          <w:kern w:val="2"/>
          <w:sz w:val="18"/>
          <w:szCs w:val="18"/>
          <w:highlight w:val="none"/>
          <w:lang w:val="zh-CN" w:eastAsia="zh-CN"/>
        </w:rPr>
        <w:t>7.参加政府采购活动的中小企业应当按“《政府采购促进中小企业发展管理办法》财库（2020）46号”规定提供《中小企业声明函》。</w:t>
      </w:r>
    </w:p>
    <w:p w14:paraId="5AD03DD2">
      <w:pPr>
        <w:ind w:left="630" w:leftChars="300" w:firstLine="1265" w:firstLineChars="600"/>
        <w:rPr>
          <w:rFonts w:ascii="Times New Roman" w:hAnsi="Times New Roman"/>
          <w:b/>
          <w:szCs w:val="20"/>
          <w:highlight w:val="none"/>
        </w:rPr>
      </w:pPr>
    </w:p>
    <w:p w14:paraId="42DF44F9">
      <w:pPr>
        <w:rPr>
          <w:rFonts w:ascii="Times New Roman" w:hAnsi="Times New Roman"/>
          <w:b/>
          <w:szCs w:val="20"/>
          <w:highlight w:val="none"/>
        </w:rPr>
      </w:pPr>
      <w:r>
        <w:rPr>
          <w:rFonts w:ascii="Times New Roman" w:hAnsi="Times New Roman"/>
          <w:b/>
          <w:szCs w:val="20"/>
          <w:highlight w:val="none"/>
        </w:rPr>
        <w:br w:type="page"/>
      </w:r>
    </w:p>
    <w:p w14:paraId="0A65D875">
      <w:pPr>
        <w:ind w:left="630" w:leftChars="300" w:firstLine="1265" w:firstLineChars="600"/>
        <w:rPr>
          <w:rFonts w:ascii="Times New Roman" w:hAnsi="Times New Roman"/>
          <w:b/>
          <w:szCs w:val="20"/>
          <w:highlight w:val="none"/>
        </w:rPr>
      </w:pPr>
    </w:p>
    <w:p w14:paraId="002DA55F">
      <w:pPr>
        <w:pStyle w:val="26"/>
        <w:spacing w:before="20" w:after="20"/>
        <w:rPr>
          <w:highlight w:val="none"/>
        </w:rPr>
      </w:pPr>
      <w:r>
        <w:rPr>
          <w:highlight w:val="none"/>
        </w:rPr>
        <w:t xml:space="preserve">第五章  </w:t>
      </w:r>
      <w:bookmarkEnd w:id="177"/>
      <w:bookmarkEnd w:id="178"/>
      <w:bookmarkEnd w:id="179"/>
      <w:bookmarkEnd w:id="180"/>
      <w:bookmarkEnd w:id="181"/>
      <w:bookmarkEnd w:id="182"/>
      <w:bookmarkEnd w:id="183"/>
      <w:bookmarkEnd w:id="184"/>
      <w:bookmarkEnd w:id="185"/>
      <w:bookmarkEnd w:id="186"/>
      <w:bookmarkEnd w:id="187"/>
      <w:bookmarkEnd w:id="188"/>
      <w:bookmarkEnd w:id="189"/>
      <w:r>
        <w:rPr>
          <w:rFonts w:hint="eastAsia"/>
          <w:highlight w:val="none"/>
        </w:rPr>
        <w:t>合同</w:t>
      </w:r>
      <w:bookmarkEnd w:id="190"/>
    </w:p>
    <w:p w14:paraId="722DEF12">
      <w:pPr>
        <w:ind w:left="630" w:leftChars="300" w:firstLine="1265" w:firstLineChars="600"/>
        <w:rPr>
          <w:rFonts w:ascii="Times New Roman" w:hAnsi="Times New Roman"/>
          <w:b/>
          <w:szCs w:val="20"/>
          <w:highlight w:val="none"/>
        </w:rPr>
      </w:pPr>
      <w:bookmarkStart w:id="192" w:name="_Toc2899"/>
      <w:bookmarkStart w:id="193" w:name="_Toc21749"/>
      <w:bookmarkStart w:id="194" w:name="_Toc19188"/>
      <w:bookmarkStart w:id="195" w:name="_Toc12018"/>
      <w:bookmarkStart w:id="196" w:name="_Toc15655"/>
      <w:bookmarkStart w:id="197" w:name="_Toc14875"/>
      <w:bookmarkStart w:id="198" w:name="_Toc504141753"/>
      <w:bookmarkStart w:id="199" w:name="_Toc3107"/>
      <w:bookmarkStart w:id="200" w:name="_Toc11999"/>
      <w:bookmarkStart w:id="201" w:name="_Toc23352"/>
      <w:bookmarkStart w:id="202" w:name="_Toc31393"/>
      <w:bookmarkStart w:id="203" w:name="_Toc31670"/>
      <w:bookmarkStart w:id="204" w:name="_Toc24037"/>
      <w:bookmarkStart w:id="205" w:name="_Toc21543"/>
    </w:p>
    <w:p w14:paraId="67398345">
      <w:pPr>
        <w:ind w:left="630" w:leftChars="300" w:firstLine="1265" w:firstLineChars="600"/>
        <w:rPr>
          <w:rFonts w:ascii="Times New Roman" w:hAnsi="Times New Roman"/>
          <w:b/>
          <w:szCs w:val="20"/>
          <w:highlight w:val="none"/>
        </w:rPr>
      </w:pPr>
    </w:p>
    <w:p w14:paraId="246DCE5A">
      <w:pPr>
        <w:ind w:left="630" w:leftChars="300" w:firstLine="1265" w:firstLineChars="600"/>
        <w:rPr>
          <w:rFonts w:ascii="Times New Roman" w:hAnsi="Times New Roman"/>
          <w:b/>
          <w:szCs w:val="20"/>
          <w:highlight w:val="none"/>
        </w:rPr>
      </w:pPr>
    </w:p>
    <w:p w14:paraId="239215D5">
      <w:pPr>
        <w:jc w:val="center"/>
        <w:rPr>
          <w:rFonts w:ascii="Times New Roman" w:hAnsi="Times New Roman" w:eastAsia="黑体"/>
          <w:b/>
          <w:bCs/>
          <w:sz w:val="44"/>
          <w:szCs w:val="44"/>
          <w:highlight w:val="none"/>
        </w:rPr>
      </w:pPr>
    </w:p>
    <w:p w14:paraId="365C5CA1">
      <w:pPr>
        <w:jc w:val="center"/>
        <w:rPr>
          <w:rFonts w:ascii="Times New Roman" w:hAnsi="Times New Roman" w:eastAsia="黑体"/>
          <w:b/>
          <w:bCs/>
          <w:sz w:val="44"/>
          <w:szCs w:val="44"/>
          <w:highlight w:val="none"/>
        </w:rPr>
      </w:pPr>
    </w:p>
    <w:bookmarkEnd w:id="192"/>
    <w:bookmarkEnd w:id="193"/>
    <w:p w14:paraId="3FA125FB">
      <w:pPr>
        <w:spacing w:line="360" w:lineRule="auto"/>
        <w:jc w:val="center"/>
        <w:rPr>
          <w:rFonts w:hint="eastAsia" w:ascii="仿宋" w:hAnsi="仿宋" w:eastAsia="仿宋" w:cs="仿宋"/>
          <w:color w:val="auto"/>
          <w:sz w:val="48"/>
          <w:szCs w:val="48"/>
          <w:highlight w:val="none"/>
          <w:shd w:val="clear" w:color="auto" w:fill="auto"/>
        </w:rPr>
      </w:pPr>
      <w:bookmarkStart w:id="206" w:name="_Toc23839"/>
      <w:r>
        <w:rPr>
          <w:rFonts w:hint="eastAsia" w:ascii="仿宋" w:hAnsi="仿宋" w:eastAsia="仿宋" w:cs="仿宋"/>
          <w:color w:val="auto"/>
          <w:sz w:val="48"/>
          <w:szCs w:val="48"/>
          <w:highlight w:val="none"/>
          <w:shd w:val="clear" w:color="auto" w:fill="auto"/>
        </w:rPr>
        <w:t>采购项目合同</w:t>
      </w:r>
    </w:p>
    <w:p w14:paraId="4023F4C9">
      <w:pPr>
        <w:spacing w:line="360" w:lineRule="auto"/>
        <w:rPr>
          <w:rFonts w:hint="eastAsia" w:ascii="仿宋" w:hAnsi="仿宋" w:eastAsia="仿宋" w:cs="仿宋"/>
          <w:color w:val="auto"/>
          <w:sz w:val="28"/>
          <w:szCs w:val="28"/>
          <w:highlight w:val="none"/>
          <w:shd w:val="clear" w:color="auto" w:fill="auto"/>
        </w:rPr>
      </w:pPr>
    </w:p>
    <w:p w14:paraId="6A0F6597">
      <w:pPr>
        <w:spacing w:line="360" w:lineRule="auto"/>
        <w:ind w:firstLine="1400" w:firstLineChars="500"/>
        <w:rPr>
          <w:rFonts w:hint="eastAsia" w:ascii="仿宋" w:hAnsi="仿宋" w:eastAsia="仿宋" w:cs="仿宋"/>
          <w:color w:val="auto"/>
          <w:sz w:val="28"/>
          <w:szCs w:val="28"/>
          <w:highlight w:val="none"/>
          <w:shd w:val="clear" w:color="auto" w:fill="auto"/>
        </w:rPr>
      </w:pPr>
    </w:p>
    <w:p w14:paraId="0ADEF03F">
      <w:pPr>
        <w:pStyle w:val="9"/>
        <w:rPr>
          <w:rFonts w:hint="eastAsia" w:ascii="仿宋" w:hAnsi="仿宋" w:eastAsia="仿宋" w:cs="仿宋"/>
          <w:color w:val="auto"/>
          <w:sz w:val="28"/>
          <w:szCs w:val="28"/>
          <w:highlight w:val="none"/>
          <w:shd w:val="clear" w:color="auto" w:fill="auto"/>
        </w:rPr>
      </w:pPr>
    </w:p>
    <w:p w14:paraId="0946EF51">
      <w:pPr>
        <w:pStyle w:val="9"/>
        <w:rPr>
          <w:rFonts w:hint="eastAsia" w:ascii="仿宋" w:hAnsi="仿宋" w:eastAsia="仿宋" w:cs="仿宋"/>
          <w:color w:val="auto"/>
          <w:sz w:val="28"/>
          <w:szCs w:val="28"/>
          <w:highlight w:val="none"/>
          <w:shd w:val="clear" w:color="auto" w:fill="auto"/>
        </w:rPr>
      </w:pPr>
    </w:p>
    <w:p w14:paraId="3858494A">
      <w:pPr>
        <w:pStyle w:val="9"/>
        <w:rPr>
          <w:rFonts w:hint="eastAsia" w:ascii="仿宋" w:hAnsi="仿宋" w:eastAsia="仿宋" w:cs="仿宋"/>
          <w:color w:val="auto"/>
          <w:sz w:val="28"/>
          <w:szCs w:val="28"/>
          <w:highlight w:val="none"/>
          <w:shd w:val="clear" w:color="auto" w:fill="auto"/>
        </w:rPr>
      </w:pPr>
    </w:p>
    <w:p w14:paraId="0C771F38">
      <w:pPr>
        <w:pStyle w:val="9"/>
        <w:rPr>
          <w:rFonts w:hint="eastAsia" w:ascii="仿宋" w:hAnsi="仿宋" w:eastAsia="仿宋" w:cs="仿宋"/>
          <w:color w:val="auto"/>
          <w:sz w:val="28"/>
          <w:szCs w:val="28"/>
          <w:highlight w:val="none"/>
          <w:shd w:val="clear" w:color="auto" w:fill="auto"/>
        </w:rPr>
      </w:pPr>
    </w:p>
    <w:p w14:paraId="692833DD">
      <w:pPr>
        <w:pStyle w:val="9"/>
        <w:rPr>
          <w:rFonts w:hint="eastAsia" w:ascii="仿宋" w:hAnsi="仿宋" w:eastAsia="仿宋" w:cs="仿宋"/>
          <w:color w:val="auto"/>
          <w:sz w:val="28"/>
          <w:szCs w:val="28"/>
          <w:highlight w:val="none"/>
          <w:shd w:val="clear" w:color="auto" w:fill="auto"/>
        </w:rPr>
      </w:pPr>
    </w:p>
    <w:p w14:paraId="0573136C">
      <w:pPr>
        <w:spacing w:line="360" w:lineRule="auto"/>
        <w:ind w:firstLine="1400" w:firstLineChars="500"/>
        <w:rPr>
          <w:rFonts w:hint="eastAsia" w:ascii="仿宋" w:hAnsi="仿宋" w:eastAsia="仿宋" w:cs="仿宋"/>
          <w:color w:val="auto"/>
          <w:sz w:val="28"/>
          <w:szCs w:val="28"/>
          <w:highlight w:val="none"/>
          <w:shd w:val="clear" w:color="auto" w:fill="auto"/>
        </w:rPr>
      </w:pPr>
    </w:p>
    <w:p w14:paraId="6A9133C7">
      <w:pPr>
        <w:spacing w:line="360" w:lineRule="auto"/>
        <w:ind w:firstLine="1260" w:firstLineChars="450"/>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合同编号 ：</w:t>
      </w:r>
      <w:r>
        <w:rPr>
          <w:rFonts w:hint="eastAsia" w:ascii="仿宋" w:hAnsi="仿宋" w:eastAsia="仿宋" w:cs="仿宋"/>
          <w:b/>
          <w:color w:val="auto"/>
          <w:sz w:val="28"/>
          <w:szCs w:val="28"/>
          <w:highlight w:val="none"/>
          <w:u w:val="single"/>
          <w:shd w:val="clear" w:color="auto" w:fill="auto"/>
          <w:lang w:val="zh-CN"/>
        </w:rPr>
        <w:t xml:space="preserve">          </w:t>
      </w:r>
      <w:r>
        <w:rPr>
          <w:rFonts w:hint="eastAsia" w:ascii="仿宋" w:hAnsi="仿宋" w:eastAsia="仿宋" w:cs="仿宋"/>
          <w:color w:val="auto"/>
          <w:sz w:val="28"/>
          <w:szCs w:val="28"/>
          <w:highlight w:val="none"/>
          <w:u w:val="single"/>
          <w:shd w:val="clear" w:color="auto" w:fill="auto"/>
        </w:rPr>
        <w:t xml:space="preserve">                          </w:t>
      </w:r>
    </w:p>
    <w:p w14:paraId="01776B8B">
      <w:pPr>
        <w:spacing w:line="360" w:lineRule="auto"/>
        <w:ind w:firstLine="1260" w:firstLineChars="450"/>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项目名称 ：</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rPr>
        <w:t xml:space="preserve"> </w:t>
      </w:r>
    </w:p>
    <w:p w14:paraId="11D09FB9">
      <w:pPr>
        <w:spacing w:line="360" w:lineRule="auto"/>
        <w:ind w:firstLine="1260" w:firstLineChars="450"/>
        <w:rPr>
          <w:rFonts w:hint="eastAsia" w:ascii="仿宋" w:hAnsi="仿宋" w:eastAsia="仿宋" w:cs="仿宋"/>
          <w:color w:val="auto"/>
          <w:sz w:val="28"/>
          <w:szCs w:val="28"/>
          <w:highlight w:val="none"/>
          <w:u w:val="single"/>
          <w:shd w:val="clear" w:color="auto" w:fill="auto"/>
        </w:rPr>
      </w:pPr>
      <w:r>
        <w:rPr>
          <w:rFonts w:hint="eastAsia" w:ascii="仿宋" w:hAnsi="仿宋" w:eastAsia="仿宋" w:cs="仿宋"/>
          <w:color w:val="auto"/>
          <w:sz w:val="28"/>
          <w:szCs w:val="28"/>
          <w:highlight w:val="none"/>
          <w:shd w:val="clear" w:color="auto" w:fill="auto"/>
        </w:rPr>
        <w:t>采购单位 ：</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single"/>
          <w:shd w:val="clear" w:color="auto" w:fill="auto"/>
        </w:rPr>
        <w:t xml:space="preserve">  </w:t>
      </w:r>
    </w:p>
    <w:p w14:paraId="78558FF8">
      <w:pPr>
        <w:spacing w:line="360" w:lineRule="auto"/>
        <w:ind w:firstLine="1260" w:firstLineChars="450"/>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成交单位 ：</w:t>
      </w:r>
      <w:r>
        <w:rPr>
          <w:rFonts w:hint="eastAsia" w:ascii="仿宋" w:hAnsi="仿宋" w:eastAsia="仿宋" w:cs="仿宋"/>
          <w:b/>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single"/>
          <w:shd w:val="clear" w:color="auto" w:fill="auto"/>
        </w:rPr>
        <w:t xml:space="preserve">  </w:t>
      </w:r>
    </w:p>
    <w:p w14:paraId="739E05AB">
      <w:pPr>
        <w:spacing w:line="360" w:lineRule="auto"/>
        <w:rPr>
          <w:rFonts w:hint="eastAsia" w:ascii="仿宋" w:hAnsi="仿宋" w:eastAsia="仿宋" w:cs="仿宋"/>
          <w:color w:val="auto"/>
          <w:sz w:val="28"/>
          <w:szCs w:val="28"/>
          <w:highlight w:val="none"/>
          <w:shd w:val="clear" w:color="auto" w:fill="auto"/>
        </w:rPr>
      </w:pPr>
    </w:p>
    <w:p w14:paraId="34D4A2C4">
      <w:pPr>
        <w:spacing w:line="360" w:lineRule="auto"/>
        <w:ind w:firstLine="1916"/>
        <w:rPr>
          <w:rFonts w:hint="eastAsia" w:ascii="仿宋" w:hAnsi="仿宋" w:eastAsia="仿宋" w:cs="仿宋"/>
          <w:color w:val="auto"/>
          <w:sz w:val="28"/>
          <w:szCs w:val="28"/>
          <w:highlight w:val="none"/>
          <w:shd w:val="clear" w:color="auto" w:fill="auto"/>
        </w:rPr>
      </w:pPr>
    </w:p>
    <w:p w14:paraId="366C6126">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仿宋" w:hAnsi="仿宋" w:eastAsia="仿宋" w:cs="仿宋"/>
          <w:color w:val="auto"/>
          <w:sz w:val="28"/>
          <w:szCs w:val="28"/>
          <w:highlight w:val="none"/>
          <w:u w:val="single"/>
          <w:shd w:val="clear" w:color="auto" w:fill="auto"/>
        </w:rPr>
      </w:pPr>
      <w:r>
        <w:rPr>
          <w:rFonts w:hint="eastAsia" w:ascii="仿宋" w:hAnsi="仿宋" w:eastAsia="仿宋" w:cs="仿宋"/>
          <w:color w:val="auto"/>
          <w:sz w:val="28"/>
          <w:szCs w:val="28"/>
          <w:highlight w:val="none"/>
          <w:shd w:val="clear" w:color="auto" w:fill="auto"/>
        </w:rPr>
        <w:t>签订日期 ：</w:t>
      </w:r>
      <w:r>
        <w:rPr>
          <w:rFonts w:hint="eastAsia" w:ascii="仿宋" w:hAnsi="仿宋" w:eastAsia="仿宋" w:cs="仿宋"/>
          <w:color w:val="auto"/>
          <w:sz w:val="28"/>
          <w:szCs w:val="28"/>
          <w:highlight w:val="none"/>
          <w:u w:val="single"/>
          <w:shd w:val="clear" w:color="auto" w:fill="auto"/>
        </w:rPr>
        <w:t xml:space="preserve">        年   月   日</w:t>
      </w:r>
    </w:p>
    <w:p w14:paraId="5BEA38EE">
      <w:pPr>
        <w:spacing w:line="360" w:lineRule="auto"/>
        <w:ind w:firstLine="1916"/>
        <w:rPr>
          <w:rFonts w:hint="eastAsia" w:ascii="仿宋" w:hAnsi="仿宋" w:eastAsia="仿宋" w:cs="仿宋"/>
          <w:color w:val="auto"/>
          <w:sz w:val="28"/>
          <w:szCs w:val="28"/>
          <w:highlight w:val="none"/>
          <w:u w:val="single"/>
          <w:shd w:val="clear" w:color="auto" w:fill="auto"/>
        </w:rPr>
      </w:pPr>
    </w:p>
    <w:p w14:paraId="0504EDBA">
      <w:pPr>
        <w:spacing w:line="360" w:lineRule="auto"/>
        <w:rPr>
          <w:rFonts w:hint="eastAsia" w:ascii="仿宋" w:hAnsi="仿宋" w:eastAsia="仿宋" w:cs="仿宋"/>
          <w:color w:val="auto"/>
          <w:sz w:val="28"/>
          <w:szCs w:val="28"/>
          <w:highlight w:val="none"/>
          <w:shd w:val="clear" w:color="auto" w:fill="auto"/>
        </w:rPr>
      </w:pPr>
    </w:p>
    <w:p w14:paraId="0E47C42E">
      <w:pPr>
        <w:spacing w:line="360" w:lineRule="auto"/>
        <w:rPr>
          <w:rFonts w:hint="eastAsia" w:ascii="仿宋" w:hAnsi="仿宋" w:eastAsia="仿宋" w:cs="仿宋"/>
          <w:color w:val="auto"/>
          <w:w w:val="105"/>
          <w:sz w:val="28"/>
          <w:szCs w:val="28"/>
          <w:highlight w:val="none"/>
          <w:shd w:val="clear" w:color="auto" w:fill="auto"/>
        </w:rPr>
      </w:pPr>
    </w:p>
    <w:p w14:paraId="04F6621A">
      <w:pPr>
        <w:pStyle w:val="9"/>
        <w:rPr>
          <w:rFonts w:hint="eastAsia" w:ascii="仿宋" w:hAnsi="仿宋" w:eastAsia="仿宋" w:cs="仿宋"/>
          <w:color w:val="auto"/>
          <w:w w:val="105"/>
          <w:sz w:val="28"/>
          <w:szCs w:val="28"/>
          <w:highlight w:val="none"/>
          <w:shd w:val="clear" w:color="auto" w:fill="auto"/>
        </w:rPr>
      </w:pPr>
    </w:p>
    <w:p w14:paraId="54506A8F">
      <w:pPr>
        <w:spacing w:line="360" w:lineRule="auto"/>
        <w:rPr>
          <w:rFonts w:ascii="宋体" w:hAnsi="宋体" w:eastAsiaTheme="minorEastAsia"/>
          <w:sz w:val="24"/>
          <w:highlight w:val="none"/>
        </w:rPr>
      </w:pPr>
      <w:r>
        <w:rPr>
          <w:rFonts w:hint="eastAsia" w:ascii="宋体" w:hAnsi="宋体"/>
          <w:sz w:val="24"/>
          <w:highlight w:val="none"/>
        </w:rPr>
        <w:t>项目名称：</w:t>
      </w:r>
    </w:p>
    <w:p w14:paraId="06F83B73">
      <w:pPr>
        <w:spacing w:line="360" w:lineRule="auto"/>
        <w:rPr>
          <w:rFonts w:ascii="宋体" w:hAnsi="宋体"/>
          <w:sz w:val="24"/>
          <w:highlight w:val="none"/>
        </w:rPr>
      </w:pPr>
      <w:r>
        <w:rPr>
          <w:rFonts w:hint="eastAsia" w:ascii="宋体" w:hAnsi="宋体"/>
          <w:sz w:val="24"/>
          <w:highlight w:val="none"/>
        </w:rPr>
        <w:t>采购人：</w:t>
      </w:r>
      <w:r>
        <w:rPr>
          <w:rFonts w:hint="eastAsia" w:ascii="宋体" w:hAnsi="宋体"/>
          <w:sz w:val="24"/>
          <w:highlight w:val="none"/>
          <w:lang w:eastAsia="zh-CN"/>
        </w:rPr>
        <w:t>南京市江宁区人民政府淳化街道办事处</w:t>
      </w:r>
      <w:r>
        <w:rPr>
          <w:rFonts w:hint="eastAsia" w:ascii="宋体" w:hAnsi="宋体"/>
          <w:sz w:val="24"/>
          <w:highlight w:val="none"/>
        </w:rPr>
        <w:t>（以下简称甲方）</w:t>
      </w:r>
    </w:p>
    <w:p w14:paraId="7B1073CF">
      <w:pPr>
        <w:spacing w:line="360" w:lineRule="auto"/>
        <w:rPr>
          <w:rFonts w:hint="eastAsia" w:ascii="宋体" w:hAnsi="宋体"/>
          <w:sz w:val="24"/>
          <w:highlight w:val="none"/>
          <w:lang w:val="en-US" w:eastAsia="zh-CN"/>
        </w:rPr>
      </w:pPr>
      <w:r>
        <w:rPr>
          <w:rFonts w:hint="eastAsia" w:ascii="宋体" w:hAnsi="宋体"/>
          <w:sz w:val="24"/>
          <w:highlight w:val="none"/>
        </w:rPr>
        <w:t>住所地：</w:t>
      </w:r>
    </w:p>
    <w:p w14:paraId="545B87BF">
      <w:pPr>
        <w:spacing w:line="360" w:lineRule="auto"/>
        <w:rPr>
          <w:rFonts w:ascii="宋体" w:hAnsi="宋体"/>
          <w:sz w:val="24"/>
          <w:highlight w:val="none"/>
        </w:rPr>
      </w:pPr>
      <w:r>
        <w:rPr>
          <w:rFonts w:hint="eastAsia" w:ascii="宋体" w:hAnsi="宋体"/>
          <w:sz w:val="24"/>
          <w:highlight w:val="none"/>
        </w:rPr>
        <w:t>供应商：（以下简称乙方）</w:t>
      </w:r>
    </w:p>
    <w:p w14:paraId="205561A8">
      <w:pPr>
        <w:spacing w:line="360" w:lineRule="auto"/>
        <w:rPr>
          <w:rFonts w:ascii="宋体" w:hAnsi="宋体" w:eastAsiaTheme="minorEastAsia"/>
          <w:sz w:val="24"/>
          <w:highlight w:val="none"/>
        </w:rPr>
      </w:pPr>
      <w:r>
        <w:rPr>
          <w:rFonts w:hint="eastAsia" w:ascii="宋体" w:hAnsi="宋体"/>
          <w:sz w:val="24"/>
          <w:highlight w:val="none"/>
        </w:rPr>
        <w:t>住所地：</w:t>
      </w:r>
    </w:p>
    <w:p w14:paraId="45F50661">
      <w:pPr>
        <w:spacing w:line="360" w:lineRule="auto"/>
        <w:ind w:firstLine="480" w:firstLineChars="20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根据《中华人民共和国政府采购法》、《中华人民共和国民法典》等法律法规的规定，甲乙双方按照代理机构招标结果签订本合同。</w:t>
      </w:r>
    </w:p>
    <w:p w14:paraId="7E835ADD">
      <w:pPr>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第一条</w:t>
      </w:r>
      <w:r>
        <w:rPr>
          <w:rFonts w:hint="eastAsia" w:asciiTheme="minorEastAsia" w:hAnsiTheme="minorEastAsia" w:eastAsiaTheme="minorEastAsia"/>
          <w:b/>
          <w:bCs/>
          <w:color w:val="000000"/>
          <w:sz w:val="24"/>
          <w:highlight w:val="none"/>
          <w:lang w:val="en-US" w:eastAsia="zh-CN"/>
        </w:rPr>
        <w:t xml:space="preserve">  </w:t>
      </w:r>
      <w:r>
        <w:rPr>
          <w:rFonts w:hint="eastAsia" w:asciiTheme="minorEastAsia" w:hAnsiTheme="minorEastAsia" w:eastAsiaTheme="minorEastAsia"/>
          <w:b/>
          <w:bCs/>
          <w:color w:val="000000"/>
          <w:sz w:val="24"/>
          <w:highlight w:val="none"/>
        </w:rPr>
        <w:t>合同标的</w:t>
      </w:r>
    </w:p>
    <w:p w14:paraId="3AB951D5">
      <w:pPr>
        <w:adjustRightInd w:val="0"/>
        <w:spacing w:line="360" w:lineRule="auto"/>
        <w:ind w:firstLine="42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乙方根据甲方需求提供下列服务：</w:t>
      </w:r>
      <w:r>
        <w:rPr>
          <w:rFonts w:hint="eastAsia" w:ascii="宋体" w:hAnsi="宋体" w:cs="宋体"/>
          <w:sz w:val="24"/>
          <w:szCs w:val="24"/>
          <w:highlight w:val="none"/>
          <w:u w:val="single"/>
          <w:lang w:eastAsia="zh-CN"/>
        </w:rPr>
        <w:t>省强制医疗所项目多余土石方资源调查、处置方案编制及资产评估</w:t>
      </w:r>
      <w:r>
        <w:rPr>
          <w:rFonts w:hint="eastAsia" w:asciiTheme="minorEastAsia" w:hAnsiTheme="minorEastAsia" w:eastAsiaTheme="minorEastAsia"/>
          <w:color w:val="000000"/>
          <w:sz w:val="24"/>
          <w:highlight w:val="none"/>
        </w:rPr>
        <w:t>，服务内容详见乙方响应文件等。</w:t>
      </w:r>
    </w:p>
    <w:p w14:paraId="794BA884">
      <w:pPr>
        <w:adjustRightInd w:val="0"/>
        <w:spacing w:line="360" w:lineRule="auto"/>
        <w:ind w:firstLine="420"/>
        <w:rPr>
          <w:rFonts w:hint="default" w:asciiTheme="minorEastAsia" w:hAnsiTheme="minorEastAsia" w:eastAsiaTheme="minorEastAsia"/>
          <w:b/>
          <w:bCs/>
          <w:color w:val="000000"/>
          <w:sz w:val="24"/>
          <w:highlight w:val="none"/>
          <w:lang w:val="en-US" w:eastAsia="zh-CN"/>
        </w:rPr>
      </w:pPr>
      <w:r>
        <w:rPr>
          <w:rFonts w:hint="eastAsia" w:asciiTheme="minorEastAsia" w:hAnsiTheme="minorEastAsia" w:eastAsiaTheme="minorEastAsia"/>
          <w:b/>
          <w:bCs/>
          <w:color w:val="000000"/>
          <w:sz w:val="24"/>
          <w:highlight w:val="none"/>
          <w:lang w:val="en-US" w:eastAsia="zh-CN"/>
        </w:rPr>
        <w:t>第二条  服务内容</w:t>
      </w:r>
    </w:p>
    <w:p w14:paraId="195301F9">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1. 多余土石方资源调查</w:t>
      </w:r>
    </w:p>
    <w:p w14:paraId="400A490A">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（1）对项目边坡开挖产生的土石方（含杂填土、素填土、强风化花岗斑岩、中风化花岗斑岩、中风化灰岩及溶洞充填物等，详见地质报告）进行方量复核与物质成分鉴定。</w:t>
      </w:r>
    </w:p>
    <w:p w14:paraId="246C6714">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（2） 按照《固体矿产地质勘查规范总则》（GB/T 13908-2020）等技术标准，估算各类土石方资源量。</w:t>
      </w:r>
    </w:p>
    <w:p w14:paraId="71FCEA27">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（3） 编制《省强制医疗所项目多余土石方资源调查报告》，要求数据准确、分类清晰。</w:t>
      </w:r>
    </w:p>
    <w:p w14:paraId="0C201AD0">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2. 多余土石方资源处置方案编制</w:t>
      </w:r>
    </w:p>
    <w:p w14:paraId="58F88F30">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（1） 根据资源调查结果，结合场地交通、环保要求及地方政策，编制详细的处置方案。</w:t>
      </w:r>
    </w:p>
    <w:p w14:paraId="32EFC800">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（2） 方案需包括：运输道路规划、开挖时序建议、分类处置流程（如回填利用、加工利用、弃置方案）、安全与环保措施、工期安排等。</w:t>
      </w:r>
    </w:p>
    <w:p w14:paraId="08FB5DF6">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（3）编制《省强制医疗所项目多余土石方处置方案》，要求具有可操作性和经济性。</w:t>
      </w:r>
    </w:p>
    <w:p w14:paraId="3E39DB5C">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3. 多余土石方资源资产评估</w:t>
      </w:r>
    </w:p>
    <w:p w14:paraId="629B14B1">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（1） 对调查确认的多余土石方资源（按不同岩土类别，如中风化灰岩、花岗斑岩、填土等）进行市场价值评估。</w:t>
      </w:r>
    </w:p>
    <w:p w14:paraId="0174BF51">
      <w:pPr>
        <w:adjustRightInd w:val="0"/>
        <w:spacing w:line="360" w:lineRule="auto"/>
        <w:ind w:firstLine="420"/>
        <w:rPr>
          <w:rFonts w:hint="eastAsia" w:cs="Times New Roman" w:asciiTheme="minorEastAsia" w:hAnsiTheme="minorEastAsia" w:eastAsiaTheme="minorEastAsia"/>
          <w:color w:val="000000"/>
          <w:sz w:val="24"/>
          <w:highlight w:val="none"/>
          <w:lang w:val="en-US" w:eastAsia="zh-CN"/>
        </w:rPr>
      </w:pPr>
      <w:r>
        <w:rPr>
          <w:rFonts w:hint="eastAsia" w:cs="Times New Roman" w:asciiTheme="minorEastAsia" w:hAnsiTheme="minorEastAsia" w:eastAsiaTheme="minorEastAsia"/>
          <w:color w:val="000000"/>
          <w:sz w:val="24"/>
          <w:highlight w:val="none"/>
          <w:lang w:val="en-US" w:eastAsia="zh-CN"/>
        </w:rPr>
        <w:t>（2） 出具《省强制医疗所项目多余土石方资源资产评估报告》，为公开处置提供底价依据。</w:t>
      </w:r>
    </w:p>
    <w:p w14:paraId="36EA6FC3">
      <w:pPr>
        <w:autoSpaceDE w:val="0"/>
        <w:autoSpaceDN w:val="0"/>
        <w:adjustRightInd w:val="0"/>
        <w:snapToGrid w:val="0"/>
        <w:spacing w:line="360" w:lineRule="auto"/>
        <w:ind w:firstLine="482" w:firstLineChars="200"/>
        <w:outlineLvl w:val="1"/>
        <w:rPr>
          <w:rFonts w:hint="default" w:ascii="宋体" w:hAnsi="宋体" w:eastAsia="宋体" w:cs="Times New Roman"/>
          <w:b/>
          <w:bCs/>
          <w:color w:val="000000"/>
          <w:sz w:val="24"/>
          <w:szCs w:val="24"/>
          <w:highlight w:val="none"/>
          <w:lang w:val="en-US" w:eastAsia="zh-CN"/>
        </w:rPr>
      </w:pPr>
      <w:r>
        <w:rPr>
          <w:rFonts w:hint="eastAsia" w:asciiTheme="minorEastAsia" w:hAnsiTheme="minorEastAsia" w:eastAsiaTheme="minorEastAsia"/>
          <w:b/>
          <w:bCs/>
          <w:color w:val="000000"/>
          <w:sz w:val="24"/>
          <w:highlight w:val="none"/>
          <w:lang w:val="en-US" w:eastAsia="zh-CN"/>
        </w:rPr>
        <w:t>第三条  成果文件</w:t>
      </w:r>
    </w:p>
    <w:p w14:paraId="06F75AC3">
      <w:pPr>
        <w:adjustRightInd w:val="0"/>
        <w:spacing w:line="360" w:lineRule="auto"/>
        <w:ind w:firstLine="420"/>
        <w:rPr>
          <w:rFonts w:hint="eastAsia" w:cs="Times New Roman" w:asciiTheme="minorEastAsia" w:hAnsiTheme="minorEastAsia" w:eastAsiaTheme="minorEastAsia"/>
          <w:color w:val="000000"/>
          <w:sz w:val="24"/>
          <w:highlight w:val="none"/>
        </w:rPr>
      </w:pPr>
      <w:r>
        <w:rPr>
          <w:rFonts w:hint="eastAsia" w:cs="Times New Roman" w:asciiTheme="minorEastAsia" w:hAnsiTheme="minorEastAsia" w:eastAsiaTheme="minorEastAsia"/>
          <w:color w:val="000000"/>
          <w:sz w:val="24"/>
          <w:highlight w:val="none"/>
        </w:rPr>
        <w:t>《多余土石方资源调查报告》纸质版6份及电子版；</w:t>
      </w:r>
    </w:p>
    <w:p w14:paraId="3E82BBD1">
      <w:pPr>
        <w:adjustRightInd w:val="0"/>
        <w:spacing w:line="360" w:lineRule="auto"/>
        <w:ind w:firstLine="420"/>
        <w:rPr>
          <w:rFonts w:hint="eastAsia" w:cs="Times New Roman" w:asciiTheme="minorEastAsia" w:hAnsiTheme="minorEastAsia" w:eastAsiaTheme="minorEastAsia"/>
          <w:color w:val="000000"/>
          <w:sz w:val="24"/>
          <w:highlight w:val="none"/>
        </w:rPr>
      </w:pPr>
      <w:r>
        <w:rPr>
          <w:rFonts w:hint="eastAsia" w:cs="Times New Roman" w:asciiTheme="minorEastAsia" w:hAnsiTheme="minorEastAsia" w:eastAsiaTheme="minorEastAsia"/>
          <w:color w:val="000000"/>
          <w:sz w:val="24"/>
          <w:highlight w:val="none"/>
        </w:rPr>
        <w:t xml:space="preserve">  《多余土石方处置方案》纸质版6份及电子版；</w:t>
      </w:r>
    </w:p>
    <w:p w14:paraId="271F0DCE">
      <w:pPr>
        <w:adjustRightInd w:val="0"/>
        <w:spacing w:line="360" w:lineRule="auto"/>
        <w:ind w:firstLine="420"/>
        <w:rPr>
          <w:rFonts w:hint="eastAsia" w:cs="Times New Roman" w:asciiTheme="minorEastAsia" w:hAnsiTheme="minorEastAsia" w:eastAsiaTheme="minorEastAsia"/>
          <w:color w:val="000000"/>
          <w:sz w:val="24"/>
          <w:highlight w:val="none"/>
        </w:rPr>
      </w:pPr>
      <w:r>
        <w:rPr>
          <w:rFonts w:hint="eastAsia" w:cs="Times New Roman" w:asciiTheme="minorEastAsia" w:hAnsiTheme="minorEastAsia" w:eastAsiaTheme="minorEastAsia"/>
          <w:color w:val="000000"/>
          <w:sz w:val="24"/>
          <w:highlight w:val="none"/>
        </w:rPr>
        <w:t xml:space="preserve">  《多余土石方资源资产评估报告》纸质版6份及电子版。</w:t>
      </w:r>
    </w:p>
    <w:p w14:paraId="3493DD86">
      <w:pPr>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w:t>
      </w:r>
      <w:r>
        <w:rPr>
          <w:rFonts w:hint="eastAsia" w:asciiTheme="minorEastAsia" w:hAnsiTheme="minorEastAsia" w:eastAsiaTheme="minorEastAsia"/>
          <w:b/>
          <w:bCs/>
          <w:color w:val="000000"/>
          <w:sz w:val="24"/>
          <w:highlight w:val="none"/>
          <w:lang w:val="en-US" w:eastAsia="zh-CN"/>
        </w:rPr>
        <w:t>四</w:t>
      </w:r>
      <w:r>
        <w:rPr>
          <w:rFonts w:hint="eastAsia" w:asciiTheme="minorEastAsia" w:hAnsiTheme="minorEastAsia" w:eastAsiaTheme="minorEastAsia"/>
          <w:b/>
          <w:bCs/>
          <w:color w:val="000000"/>
          <w:sz w:val="24"/>
          <w:highlight w:val="none"/>
        </w:rPr>
        <w:t>条</w:t>
      </w:r>
      <w:r>
        <w:rPr>
          <w:rFonts w:hint="eastAsia" w:asciiTheme="minorEastAsia" w:hAnsiTheme="minorEastAsia" w:eastAsiaTheme="minorEastAsia"/>
          <w:b/>
          <w:bCs/>
          <w:color w:val="000000"/>
          <w:sz w:val="24"/>
          <w:highlight w:val="none"/>
          <w:lang w:val="en-US" w:eastAsia="zh-CN"/>
        </w:rPr>
        <w:t xml:space="preserve">  </w:t>
      </w:r>
      <w:r>
        <w:rPr>
          <w:rFonts w:hint="eastAsia" w:asciiTheme="minorEastAsia" w:hAnsiTheme="minorEastAsia" w:eastAsiaTheme="minorEastAsia"/>
          <w:b/>
          <w:bCs/>
          <w:color w:val="000000"/>
          <w:sz w:val="24"/>
          <w:highlight w:val="none"/>
        </w:rPr>
        <w:t>合同总价款</w:t>
      </w:r>
    </w:p>
    <w:p w14:paraId="46828ACF">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本合同项下服务总价款为</w:t>
      </w:r>
      <w:r>
        <w:rPr>
          <w:rFonts w:asciiTheme="minorEastAsia" w:hAnsiTheme="minorEastAsia" w:eastAsiaTheme="minorEastAsia"/>
          <w:color w:val="000000"/>
          <w:sz w:val="24"/>
          <w:highlight w:val="none"/>
        </w:rPr>
        <w:t>___________</w:t>
      </w:r>
      <w:r>
        <w:rPr>
          <w:rFonts w:hint="eastAsia" w:asciiTheme="minorEastAsia" w:hAnsiTheme="minorEastAsia" w:eastAsiaTheme="minorEastAsia"/>
          <w:color w:val="000000"/>
          <w:sz w:val="24"/>
          <w:highlight w:val="none"/>
        </w:rPr>
        <w:t>（大写）人民币。</w:t>
      </w:r>
    </w:p>
    <w:p w14:paraId="49572E7B">
      <w:pPr>
        <w:adjustRightInd w:val="0"/>
        <w:spacing w:line="360" w:lineRule="auto"/>
        <w:ind w:firstLine="420"/>
        <w:rPr>
          <w:rFonts w:asciiTheme="minorEastAsia" w:hAnsiTheme="minorEastAsia" w:eastAsiaTheme="minorEastAsia"/>
          <w:color w:val="000000"/>
          <w:sz w:val="24"/>
          <w:highlight w:val="none"/>
        </w:rPr>
      </w:pPr>
      <w:r>
        <w:rPr>
          <w:rFonts w:asciiTheme="minorEastAsia" w:hAnsiTheme="minorEastAsia" w:eastAsiaTheme="minorEastAsia"/>
          <w:color w:val="000000"/>
          <w:sz w:val="24"/>
          <w:highlight w:val="none"/>
        </w:rPr>
        <w:t>本</w:t>
      </w:r>
      <w:r>
        <w:rPr>
          <w:rFonts w:hint="eastAsia" w:asciiTheme="minorEastAsia" w:hAnsiTheme="minorEastAsia" w:eastAsiaTheme="minorEastAsia"/>
          <w:color w:val="000000"/>
          <w:sz w:val="24"/>
          <w:highlight w:val="none"/>
          <w:lang w:eastAsia="zh-CN"/>
        </w:rPr>
        <w:t>合同</w:t>
      </w:r>
      <w:r>
        <w:rPr>
          <w:rFonts w:asciiTheme="minorEastAsia" w:hAnsiTheme="minorEastAsia" w:eastAsiaTheme="minorEastAsia"/>
          <w:color w:val="000000"/>
          <w:sz w:val="24"/>
          <w:highlight w:val="none"/>
        </w:rPr>
        <w:t>总价款</w:t>
      </w:r>
      <w:r>
        <w:rPr>
          <w:rFonts w:hint="eastAsia" w:asciiTheme="minorEastAsia" w:hAnsiTheme="minorEastAsia" w:eastAsiaTheme="minorEastAsia"/>
          <w:color w:val="000000"/>
          <w:sz w:val="24"/>
          <w:highlight w:val="none"/>
        </w:rPr>
        <w:t>是完成本项目所发生的所有含税费用、支付给员工的工资和国家强制缴纳的各种社会保障资金，以及投标人认为需要的其他费用等。</w:t>
      </w:r>
    </w:p>
    <w:p w14:paraId="20BE87BA">
      <w:pPr>
        <w:adjustRightInd w:val="0"/>
        <w:spacing w:line="360" w:lineRule="auto"/>
        <w:ind w:firstLine="420"/>
        <w:rPr>
          <w:rFonts w:hint="eastAsia" w:asciiTheme="minorEastAsia" w:hAnsiTheme="minorEastAsia" w:eastAsiaTheme="minorEastAsia"/>
          <w:color w:val="000000"/>
          <w:sz w:val="24"/>
          <w:highlight w:val="none"/>
          <w:lang w:val="en-US"/>
        </w:rPr>
      </w:pPr>
      <w:r>
        <w:rPr>
          <w:rFonts w:hint="eastAsia" w:asciiTheme="minorEastAsia" w:hAnsiTheme="minorEastAsia" w:eastAsiaTheme="minorEastAsia"/>
          <w:color w:val="000000"/>
          <w:sz w:val="24"/>
          <w:highlight w:val="none"/>
          <w:lang w:val="en-US"/>
        </w:rPr>
        <w:t>本合同总价款还包含乙方应当提供的伴随服务/售后服务费用。</w:t>
      </w:r>
    </w:p>
    <w:p w14:paraId="7C4BC3B1">
      <w:pPr>
        <w:adjustRightInd w:val="0"/>
        <w:spacing w:line="360" w:lineRule="auto"/>
        <w:ind w:firstLine="42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本合同执行期间合同总价款不变。</w:t>
      </w:r>
    </w:p>
    <w:p w14:paraId="3B07B76B">
      <w:pPr>
        <w:adjustRightInd w:val="0"/>
        <w:spacing w:line="360" w:lineRule="auto"/>
        <w:ind w:firstLine="472" w:firstLineChars="196"/>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w:t>
      </w:r>
      <w:r>
        <w:rPr>
          <w:rFonts w:hint="eastAsia" w:asciiTheme="minorEastAsia" w:hAnsiTheme="minorEastAsia" w:eastAsiaTheme="minorEastAsia"/>
          <w:b/>
          <w:bCs/>
          <w:color w:val="000000"/>
          <w:sz w:val="24"/>
          <w:highlight w:val="none"/>
          <w:lang w:val="en-US" w:eastAsia="zh-CN"/>
        </w:rPr>
        <w:t>五</w:t>
      </w:r>
      <w:r>
        <w:rPr>
          <w:rFonts w:hint="eastAsia" w:asciiTheme="minorEastAsia" w:hAnsiTheme="minorEastAsia" w:eastAsiaTheme="minorEastAsia"/>
          <w:b/>
          <w:bCs/>
          <w:color w:val="000000"/>
          <w:sz w:val="24"/>
          <w:highlight w:val="none"/>
        </w:rPr>
        <w:t>条</w:t>
      </w:r>
      <w:r>
        <w:rPr>
          <w:rFonts w:hint="eastAsia" w:asciiTheme="minorEastAsia" w:hAnsiTheme="minorEastAsia" w:eastAsiaTheme="minorEastAsia"/>
          <w:b/>
          <w:bCs/>
          <w:color w:val="000000"/>
          <w:sz w:val="24"/>
          <w:highlight w:val="none"/>
          <w:lang w:val="en-US" w:eastAsia="zh-CN"/>
        </w:rPr>
        <w:t xml:space="preserve">  </w:t>
      </w:r>
      <w:r>
        <w:rPr>
          <w:rFonts w:hint="eastAsia" w:asciiTheme="minorEastAsia" w:hAnsiTheme="minorEastAsia" w:eastAsiaTheme="minorEastAsia"/>
          <w:b/>
          <w:bCs/>
          <w:color w:val="000000"/>
          <w:sz w:val="24"/>
          <w:highlight w:val="none"/>
        </w:rPr>
        <w:t>组成本合同的有关文件</w:t>
      </w:r>
    </w:p>
    <w:p w14:paraId="3CED873C">
      <w:pPr>
        <w:adjustRightInd w:val="0"/>
        <w:spacing w:line="360" w:lineRule="auto"/>
        <w:ind w:firstLine="470" w:firstLineChars="196"/>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下列关于</w:t>
      </w:r>
      <w:r>
        <w:rPr>
          <w:rFonts w:hint="eastAsia" w:cs="Times New Roman" w:asciiTheme="minorEastAsia" w:hAnsiTheme="minorEastAsia" w:eastAsiaTheme="minorEastAsia"/>
          <w:color w:val="000000"/>
          <w:sz w:val="24"/>
          <w:highlight w:val="none"/>
          <w:u w:val="single"/>
          <w:lang w:val="en-US" w:eastAsia="zh-CN"/>
        </w:rPr>
        <w:t>NJFH-20260630</w:t>
      </w:r>
      <w:r>
        <w:rPr>
          <w:rFonts w:hint="eastAsia" w:asciiTheme="minorEastAsia" w:hAnsiTheme="minorEastAsia" w:eastAsiaTheme="minorEastAsia"/>
          <w:color w:val="000000"/>
          <w:sz w:val="24"/>
          <w:highlight w:val="none"/>
          <w:u w:val="single"/>
        </w:rPr>
        <w:t>号</w:t>
      </w:r>
      <w:r>
        <w:rPr>
          <w:rFonts w:hint="eastAsia" w:asciiTheme="minorEastAsia" w:hAnsiTheme="minorEastAsia" w:eastAsiaTheme="minorEastAsia"/>
          <w:color w:val="000000"/>
          <w:sz w:val="24"/>
          <w:highlight w:val="none"/>
        </w:rPr>
        <w:t>标（项目编号）的</w:t>
      </w:r>
      <w:r>
        <w:rPr>
          <w:rFonts w:hint="eastAsia" w:asciiTheme="minorEastAsia" w:hAnsiTheme="minorEastAsia" w:eastAsiaTheme="minorEastAsia"/>
          <w:color w:val="000000"/>
          <w:sz w:val="24"/>
          <w:highlight w:val="none"/>
          <w:lang w:eastAsia="zh-CN"/>
        </w:rPr>
        <w:t>采购及响应文件</w:t>
      </w:r>
      <w:r>
        <w:rPr>
          <w:rFonts w:hint="eastAsia" w:asciiTheme="minorEastAsia" w:hAnsiTheme="minorEastAsia" w:eastAsiaTheme="minorEastAsia"/>
          <w:color w:val="000000"/>
          <w:sz w:val="24"/>
          <w:highlight w:val="none"/>
        </w:rPr>
        <w:t>或与本次采购活动方式相适应的文件及有关附件是本合同不可分割的组成部分，与本合同具有同等法律效力，这些文件包括但不限于：</w:t>
      </w:r>
    </w:p>
    <w:p w14:paraId="11B70142">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（1）乙方提供的投标文件和投标报价表（含分项报价表及供货一览表）；</w:t>
      </w:r>
    </w:p>
    <w:p w14:paraId="2EFE0D25">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（2）技术规格响应表；</w:t>
      </w:r>
    </w:p>
    <w:p w14:paraId="2F2E5191">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（3）投标承诺/服务承诺；</w:t>
      </w:r>
    </w:p>
    <w:p w14:paraId="58FF8884">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（4）</w:t>
      </w:r>
      <w:r>
        <w:rPr>
          <w:rFonts w:hint="eastAsia" w:asciiTheme="minorEastAsia" w:hAnsiTheme="minorEastAsia" w:eastAsiaTheme="minorEastAsia"/>
          <w:color w:val="000000"/>
          <w:sz w:val="24"/>
          <w:highlight w:val="none"/>
          <w:lang w:eastAsia="zh-CN"/>
        </w:rPr>
        <w:t>成交通知书</w:t>
      </w:r>
      <w:r>
        <w:rPr>
          <w:rFonts w:hint="eastAsia" w:asciiTheme="minorEastAsia" w:hAnsiTheme="minorEastAsia" w:eastAsiaTheme="minorEastAsia"/>
          <w:color w:val="000000"/>
          <w:sz w:val="24"/>
          <w:highlight w:val="none"/>
        </w:rPr>
        <w:t>；</w:t>
      </w:r>
    </w:p>
    <w:p w14:paraId="0BA10059">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（5）甲乙双方商定的其他文件等。</w:t>
      </w:r>
    </w:p>
    <w:p w14:paraId="4CE02DD5">
      <w:pPr>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w:t>
      </w:r>
      <w:r>
        <w:rPr>
          <w:rFonts w:hint="eastAsia" w:asciiTheme="minorEastAsia" w:hAnsiTheme="minorEastAsia" w:eastAsiaTheme="minorEastAsia"/>
          <w:b/>
          <w:bCs/>
          <w:color w:val="000000"/>
          <w:sz w:val="24"/>
          <w:highlight w:val="none"/>
          <w:lang w:val="en-US" w:eastAsia="zh-CN"/>
        </w:rPr>
        <w:t>六</w:t>
      </w:r>
      <w:r>
        <w:rPr>
          <w:rFonts w:hint="eastAsia" w:asciiTheme="minorEastAsia" w:hAnsiTheme="minorEastAsia" w:eastAsiaTheme="minorEastAsia"/>
          <w:b/>
          <w:bCs/>
          <w:color w:val="000000"/>
          <w:sz w:val="24"/>
          <w:highlight w:val="none"/>
        </w:rPr>
        <w:t>条 权利保证</w:t>
      </w:r>
    </w:p>
    <w:p w14:paraId="1C6D7815">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乙方应保证甲方在使用该服务或其任何时不受第三方提出侵犯其专利权、版权、商标权或其他权利的起诉。一旦出现侵权，乙方应承担全部责任。</w:t>
      </w:r>
    </w:p>
    <w:p w14:paraId="6EB7F921">
      <w:pPr>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w:t>
      </w:r>
      <w:r>
        <w:rPr>
          <w:rFonts w:hint="eastAsia" w:asciiTheme="minorEastAsia" w:hAnsiTheme="minorEastAsia" w:eastAsiaTheme="minorEastAsia"/>
          <w:b/>
          <w:bCs/>
          <w:color w:val="000000"/>
          <w:sz w:val="24"/>
          <w:highlight w:val="none"/>
          <w:lang w:val="en-US" w:eastAsia="zh-CN"/>
        </w:rPr>
        <w:t>七</w:t>
      </w:r>
      <w:r>
        <w:rPr>
          <w:rFonts w:hint="eastAsia" w:asciiTheme="minorEastAsia" w:hAnsiTheme="minorEastAsia" w:eastAsiaTheme="minorEastAsia"/>
          <w:b/>
          <w:bCs/>
          <w:color w:val="000000"/>
          <w:sz w:val="24"/>
          <w:highlight w:val="none"/>
        </w:rPr>
        <w:t>条 质量保证</w:t>
      </w:r>
    </w:p>
    <w:p w14:paraId="36B4DEA0">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乙方所提供的服务的技术规格应与招标文件规定的技术规格及所附的“技术条款偏离表”相一致；若技术性能无特殊说明，则按国家有关部门最新颁布的标准及规范为准。</w:t>
      </w:r>
    </w:p>
    <w:p w14:paraId="5F51A47D">
      <w:pPr>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w:t>
      </w:r>
      <w:r>
        <w:rPr>
          <w:rFonts w:hint="eastAsia" w:asciiTheme="minorEastAsia" w:hAnsiTheme="minorEastAsia" w:eastAsiaTheme="minorEastAsia"/>
          <w:b/>
          <w:bCs/>
          <w:color w:val="000000"/>
          <w:sz w:val="24"/>
          <w:highlight w:val="none"/>
          <w:lang w:val="en-US" w:eastAsia="zh-CN"/>
        </w:rPr>
        <w:t>八</w:t>
      </w:r>
      <w:r>
        <w:rPr>
          <w:rFonts w:hint="eastAsia" w:asciiTheme="minorEastAsia" w:hAnsiTheme="minorEastAsia" w:eastAsiaTheme="minorEastAsia"/>
          <w:b/>
          <w:bCs/>
          <w:color w:val="000000"/>
          <w:sz w:val="24"/>
          <w:highlight w:val="none"/>
        </w:rPr>
        <w:t>条 交付和验收</w:t>
      </w:r>
    </w:p>
    <w:p w14:paraId="668B7675">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1、乙方应当在合同签订后</w:t>
      </w:r>
      <w:r>
        <w:rPr>
          <w:rFonts w:asciiTheme="minorEastAsia" w:hAnsiTheme="minorEastAsia" w:eastAsiaTheme="minorEastAsia"/>
          <w:color w:val="000000"/>
          <w:sz w:val="24"/>
          <w:highlight w:val="none"/>
          <w:u w:val="single"/>
        </w:rPr>
        <w:t xml:space="preserve"> </w:t>
      </w:r>
      <w:r>
        <w:rPr>
          <w:rFonts w:hint="eastAsia" w:asciiTheme="minorEastAsia" w:hAnsiTheme="minorEastAsia" w:eastAsiaTheme="minorEastAsia"/>
          <w:color w:val="000000"/>
          <w:sz w:val="24"/>
          <w:highlight w:val="none"/>
          <w:u w:val="single"/>
          <w:lang w:val="en-US" w:eastAsia="zh-CN"/>
        </w:rPr>
        <w:t>40日历天</w:t>
      </w:r>
      <w:r>
        <w:rPr>
          <w:rFonts w:asciiTheme="minorEastAsia" w:hAnsiTheme="minorEastAsia" w:eastAsiaTheme="minorEastAsia"/>
          <w:color w:val="000000"/>
          <w:sz w:val="24"/>
          <w:highlight w:val="none"/>
          <w:u w:val="single"/>
        </w:rPr>
        <w:t xml:space="preserve"> </w:t>
      </w:r>
      <w:r>
        <w:rPr>
          <w:rFonts w:hint="eastAsia" w:asciiTheme="minorEastAsia" w:hAnsiTheme="minorEastAsia" w:eastAsiaTheme="minorEastAsia"/>
          <w:color w:val="000000"/>
          <w:sz w:val="24"/>
          <w:highlight w:val="none"/>
        </w:rPr>
        <w:t>内完成服务事项。</w:t>
      </w:r>
    </w:p>
    <w:p w14:paraId="3B1E2781">
      <w:pPr>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2、验收标准：按行业通行标准、采购人要求和乙方投标文件的承诺。</w:t>
      </w:r>
    </w:p>
    <w:p w14:paraId="484EF34B">
      <w:pPr>
        <w:autoSpaceDE w:val="0"/>
        <w:autoSpaceDN w:val="0"/>
        <w:adjustRightInd w:val="0"/>
        <w:spacing w:line="400" w:lineRule="exact"/>
        <w:ind w:firstLine="482" w:firstLineChars="200"/>
        <w:jc w:val="left"/>
        <w:rPr>
          <w:rFonts w:ascii="宋体" w:eastAsia="宋体" w:cs="Times New Roman"/>
          <w:b/>
          <w:bCs/>
          <w:color w:val="000000"/>
          <w:kern w:val="2"/>
          <w:sz w:val="24"/>
          <w:szCs w:val="24"/>
          <w:highlight w:val="none"/>
        </w:rPr>
      </w:pPr>
      <w:r>
        <w:rPr>
          <w:rFonts w:hint="eastAsia" w:ascii="宋体" w:eastAsia="宋体" w:cs="Times New Roman"/>
          <w:b/>
          <w:bCs/>
          <w:color w:val="000000"/>
          <w:kern w:val="2"/>
          <w:sz w:val="24"/>
          <w:szCs w:val="24"/>
          <w:highlight w:val="none"/>
        </w:rPr>
        <w:t>第</w:t>
      </w:r>
      <w:r>
        <w:rPr>
          <w:rFonts w:hint="eastAsia" w:ascii="宋体" w:cs="Times New Roman"/>
          <w:b/>
          <w:bCs/>
          <w:color w:val="000000"/>
          <w:kern w:val="2"/>
          <w:sz w:val="24"/>
          <w:szCs w:val="24"/>
          <w:highlight w:val="none"/>
          <w:lang w:val="en-US" w:eastAsia="zh-CN"/>
        </w:rPr>
        <w:t>九</w:t>
      </w:r>
      <w:r>
        <w:rPr>
          <w:rFonts w:hint="eastAsia" w:ascii="宋体" w:eastAsia="宋体" w:cs="Times New Roman"/>
          <w:b/>
          <w:bCs/>
          <w:color w:val="000000"/>
          <w:kern w:val="2"/>
          <w:sz w:val="24"/>
          <w:szCs w:val="24"/>
          <w:highlight w:val="none"/>
        </w:rPr>
        <w:t>条</w:t>
      </w:r>
      <w:r>
        <w:rPr>
          <w:rFonts w:hint="eastAsia" w:ascii="宋体" w:cs="Times New Roman"/>
          <w:b/>
          <w:bCs/>
          <w:color w:val="000000"/>
          <w:kern w:val="2"/>
          <w:sz w:val="24"/>
          <w:szCs w:val="24"/>
          <w:highlight w:val="none"/>
          <w:lang w:val="en-US" w:eastAsia="zh-CN"/>
        </w:rPr>
        <w:t xml:space="preserve"> </w:t>
      </w:r>
      <w:r>
        <w:rPr>
          <w:rFonts w:hint="eastAsia" w:ascii="宋体" w:eastAsia="宋体" w:cs="Times New Roman"/>
          <w:b/>
          <w:bCs/>
          <w:color w:val="000000"/>
          <w:kern w:val="2"/>
          <w:sz w:val="24"/>
          <w:szCs w:val="24"/>
          <w:highlight w:val="none"/>
        </w:rPr>
        <w:t>合同款支付</w:t>
      </w:r>
    </w:p>
    <w:p w14:paraId="1A72705D">
      <w:pPr>
        <w:widowControl/>
        <w:adjustRightInd w:val="0"/>
        <w:spacing w:line="360" w:lineRule="auto"/>
        <w:ind w:firstLine="42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1、本合同项下所有款项均以人民币支付。</w:t>
      </w:r>
    </w:p>
    <w:p w14:paraId="32E30107">
      <w:pPr>
        <w:widowControl/>
        <w:adjustRightInd w:val="0"/>
        <w:spacing w:line="360" w:lineRule="auto"/>
        <w:ind w:firstLine="42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2、本合同项下的采购资金由甲方自行支付，乙方向甲方开具符合甲方财务要求的增值税发票。</w:t>
      </w:r>
    </w:p>
    <w:p w14:paraId="77E01149">
      <w:pPr>
        <w:widowControl/>
        <w:adjustRightInd w:val="0"/>
        <w:spacing w:line="360" w:lineRule="auto"/>
        <w:ind w:firstLine="42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3、付款方式：</w:t>
      </w:r>
    </w:p>
    <w:p w14:paraId="707A550A">
      <w:pPr>
        <w:widowControl/>
        <w:adjustRightInd w:val="0"/>
        <w:spacing w:line="360" w:lineRule="auto"/>
        <w:ind w:firstLine="42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乙方完成本项目全部工作内容并出具完整成果报告，成果经甲方审核通过、书面认可，且石子资源货品拍卖工作全部完成后，甲方向乙方支付至本合同总价款的50%；</w:t>
      </w:r>
    </w:p>
    <w:p w14:paraId="63D3AE96">
      <w:pPr>
        <w:widowControl/>
        <w:adjustRightInd w:val="0"/>
        <w:spacing w:line="360" w:lineRule="auto"/>
        <w:ind w:firstLine="420"/>
        <w:rPr>
          <w:rFonts w:hint="eastAsia"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 xml:space="preserve"> 自甲方书面认可项目成果之日起满一年，甲乙双方就本项目无任何争议、纠纷及遗留问题的前提下，甲方向乙方无息结清剩余全部尾款。</w:t>
      </w:r>
    </w:p>
    <w:p w14:paraId="0EE8A2B6">
      <w:pPr>
        <w:widowControl/>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w:t>
      </w:r>
      <w:r>
        <w:rPr>
          <w:rFonts w:hint="eastAsia" w:asciiTheme="minorEastAsia" w:hAnsiTheme="minorEastAsia" w:eastAsiaTheme="minorEastAsia"/>
          <w:b/>
          <w:bCs/>
          <w:color w:val="000000"/>
          <w:sz w:val="24"/>
          <w:highlight w:val="none"/>
          <w:lang w:val="en-US" w:eastAsia="zh-CN"/>
        </w:rPr>
        <w:t>十</w:t>
      </w:r>
      <w:r>
        <w:rPr>
          <w:rFonts w:hint="eastAsia" w:asciiTheme="minorEastAsia" w:hAnsiTheme="minorEastAsia" w:eastAsiaTheme="minorEastAsia"/>
          <w:b/>
          <w:bCs/>
          <w:color w:val="000000"/>
          <w:sz w:val="24"/>
          <w:highlight w:val="none"/>
        </w:rPr>
        <w:t>条</w:t>
      </w:r>
      <w:r>
        <w:rPr>
          <w:rFonts w:hint="eastAsia" w:asciiTheme="minorEastAsia" w:hAnsiTheme="minorEastAsia" w:eastAsiaTheme="minorEastAsia"/>
          <w:b/>
          <w:bCs/>
          <w:color w:val="000000"/>
          <w:sz w:val="24"/>
          <w:highlight w:val="none"/>
          <w:lang w:val="en-US" w:eastAsia="zh-CN"/>
        </w:rPr>
        <w:t xml:space="preserve"> </w:t>
      </w:r>
      <w:r>
        <w:rPr>
          <w:rFonts w:hint="eastAsia" w:asciiTheme="minorEastAsia" w:hAnsiTheme="minorEastAsia" w:eastAsiaTheme="minorEastAsia"/>
          <w:b/>
          <w:bCs/>
          <w:color w:val="000000"/>
          <w:sz w:val="24"/>
          <w:highlight w:val="none"/>
        </w:rPr>
        <w:t>违约责任</w:t>
      </w:r>
    </w:p>
    <w:p w14:paraId="28B522E4">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1、甲方无正当理由拒收服务、拒付服务款的，由甲方向乙方偿付合同总价的5%违约金。</w:t>
      </w:r>
    </w:p>
    <w:p w14:paraId="3506719D">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2、甲方未按合同规定的期限向乙方支付货款的，每逾期1天甲方向乙方偿付欠款总额的5‰滞纳金，但累计滞纳金总额不超过欠款总额的5% 。</w:t>
      </w:r>
    </w:p>
    <w:p w14:paraId="59DDB8FE">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3、如乙方不能交付服务、完成安装调试的，甲方有权扣留全部履约保证金；同时乙方应向甲方支付合同总价5%的违约金。</w:t>
      </w:r>
    </w:p>
    <w:p w14:paraId="6D7E6047">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4、乙方逾期交付的，每逾期1天，乙方向甲方偿付合同总额的5‰的滞纳金。如乙方逾期交付达10天，甲方有权解除合同，解除合同的通知自到达乙方时生效。</w:t>
      </w:r>
    </w:p>
    <w:p w14:paraId="5458EC4B">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5、乙方所交付的服务不符合合同规定的，甲方有权拒收。甲方拒收的，乙方应向甲方支付合同总款5%的违约金。甲方未拒收的，招标代理机构发现后将向有关部门反映，并责成乙方按照采购结果提供服务，同时视情给予不退还部分或全部履约保证金处理。</w:t>
      </w:r>
    </w:p>
    <w:p w14:paraId="61931FC4">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6、在乙方承诺的或国家规定的质量保证期内（取两者中最长的期限），如经乙方两次整改仍不能达到合同约定的质量标准，乙方应退回全部合同价款，并按第3款处理，同时，乙方还须赔偿甲方因此遭受的损失。</w:t>
      </w:r>
    </w:p>
    <w:p w14:paraId="6C1F9F95">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7、乙方未按本合同的规定和“服务承诺”提供伴随服务/售后服务的，应按合同总价款的5 %向甲方承担违约责任。</w:t>
      </w:r>
    </w:p>
    <w:p w14:paraId="4A0C0F47">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8、乙方在承担上述4-7款一项或多项违约责任后，仍应继续履行合同规定的义务（甲方解除合同的除外）。甲方未能及时追究乙方的任何一项违约责任并不表明甲方放弃追究乙方该项或其他违约责任。</w:t>
      </w:r>
    </w:p>
    <w:p w14:paraId="0C88EB7A">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9、乙方投标属虚假承诺，或经权威部门监测提供的服务不能满足招标文件要求，或是由于乙方的过错造成合同无法继续履行的，乙方履约保证金不予退还外，还应向甲方支付不少于合同总价30%赔偿金。</w:t>
      </w:r>
    </w:p>
    <w:p w14:paraId="4C417A61">
      <w:pPr>
        <w:widowControl/>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w:t>
      </w:r>
      <w:r>
        <w:rPr>
          <w:rFonts w:hint="eastAsia" w:asciiTheme="minorEastAsia" w:hAnsiTheme="minorEastAsia" w:eastAsiaTheme="minorEastAsia"/>
          <w:b/>
          <w:bCs/>
          <w:color w:val="000000"/>
          <w:sz w:val="24"/>
          <w:highlight w:val="none"/>
          <w:lang w:val="en-US" w:eastAsia="zh-CN"/>
        </w:rPr>
        <w:t>十一</w:t>
      </w:r>
      <w:r>
        <w:rPr>
          <w:rFonts w:hint="eastAsia" w:asciiTheme="minorEastAsia" w:hAnsiTheme="minorEastAsia" w:eastAsiaTheme="minorEastAsia"/>
          <w:b/>
          <w:bCs/>
          <w:color w:val="000000"/>
          <w:sz w:val="24"/>
          <w:highlight w:val="none"/>
        </w:rPr>
        <w:t>条</w:t>
      </w:r>
      <w:r>
        <w:rPr>
          <w:rFonts w:hint="eastAsia" w:asciiTheme="minorEastAsia" w:hAnsiTheme="minorEastAsia" w:eastAsiaTheme="minorEastAsia"/>
          <w:b/>
          <w:bCs/>
          <w:color w:val="000000"/>
          <w:sz w:val="24"/>
          <w:highlight w:val="none"/>
          <w:lang w:val="en-US" w:eastAsia="zh-CN"/>
        </w:rPr>
        <w:t xml:space="preserve"> </w:t>
      </w:r>
      <w:r>
        <w:rPr>
          <w:rFonts w:hint="eastAsia" w:asciiTheme="minorEastAsia" w:hAnsiTheme="minorEastAsia" w:eastAsiaTheme="minorEastAsia"/>
          <w:b/>
          <w:bCs/>
          <w:color w:val="000000"/>
          <w:sz w:val="24"/>
          <w:highlight w:val="none"/>
        </w:rPr>
        <w:t>合同的变更和终止</w:t>
      </w:r>
    </w:p>
    <w:p w14:paraId="15710205">
      <w:pPr>
        <w:widowControl/>
        <w:adjustRightInd w:val="0"/>
        <w:spacing w:line="360" w:lineRule="auto"/>
        <w:ind w:firstLine="480" w:firstLineChars="200"/>
        <w:rPr>
          <w:rFonts w:asciiTheme="minorEastAsia" w:hAnsiTheme="minorEastAsia" w:eastAsiaTheme="minorEastAsia"/>
          <w:color w:val="000000"/>
          <w:sz w:val="24"/>
          <w:highlight w:val="none"/>
        </w:rPr>
      </w:pPr>
      <w:r>
        <w:rPr>
          <w:rFonts w:asciiTheme="minorEastAsia" w:hAnsiTheme="minorEastAsia" w:eastAsiaTheme="minorEastAsia"/>
          <w:color w:val="000000"/>
          <w:sz w:val="24"/>
          <w:highlight w:val="none"/>
        </w:rPr>
        <w:t>1</w:t>
      </w:r>
      <w:r>
        <w:rPr>
          <w:rFonts w:hint="eastAsia" w:asciiTheme="minorEastAsia" w:hAnsiTheme="minorEastAsia" w:eastAsiaTheme="minorEastAsia"/>
          <w:color w:val="000000"/>
          <w:sz w:val="24"/>
          <w:highlight w:val="none"/>
        </w:rPr>
        <w:t>、除《政府采购法》第</w:t>
      </w:r>
      <w:r>
        <w:rPr>
          <w:rFonts w:asciiTheme="minorEastAsia" w:hAnsiTheme="minorEastAsia" w:eastAsiaTheme="minorEastAsia"/>
          <w:color w:val="000000"/>
          <w:sz w:val="24"/>
          <w:highlight w:val="none"/>
        </w:rPr>
        <w:t>50</w:t>
      </w:r>
      <w:r>
        <w:rPr>
          <w:rFonts w:hint="eastAsia" w:asciiTheme="minorEastAsia" w:hAnsiTheme="minorEastAsia" w:eastAsiaTheme="minorEastAsia"/>
          <w:color w:val="000000"/>
          <w:sz w:val="24"/>
          <w:highlight w:val="none"/>
        </w:rPr>
        <w:t>条第二款规定的情形外，本合同一经签订，甲乙双方不得擅自变更、中止或终止合同。</w:t>
      </w:r>
    </w:p>
    <w:p w14:paraId="38CA29E0">
      <w:pPr>
        <w:widowControl/>
        <w:adjustRightInd w:val="0"/>
        <w:spacing w:line="360" w:lineRule="auto"/>
        <w:ind w:firstLine="480" w:firstLineChars="200"/>
        <w:rPr>
          <w:rFonts w:asciiTheme="minorEastAsia" w:hAnsiTheme="minorEastAsia" w:eastAsiaTheme="minorEastAsia"/>
          <w:color w:val="000000"/>
          <w:sz w:val="24"/>
          <w:highlight w:val="none"/>
        </w:rPr>
      </w:pPr>
      <w:r>
        <w:rPr>
          <w:rFonts w:asciiTheme="minorEastAsia" w:hAnsiTheme="minorEastAsia" w:eastAsiaTheme="minorEastAsia"/>
          <w:color w:val="000000"/>
          <w:sz w:val="24"/>
          <w:highlight w:val="none"/>
        </w:rPr>
        <w:t>2</w:t>
      </w:r>
      <w:r>
        <w:rPr>
          <w:rFonts w:hint="eastAsia" w:asciiTheme="minorEastAsia" w:hAnsiTheme="minorEastAsia" w:eastAsiaTheme="minorEastAsia"/>
          <w:color w:val="000000"/>
          <w:sz w:val="24"/>
          <w:highlight w:val="none"/>
        </w:rPr>
        <w:t>、除发生法律规定的不能预见、不能避免并不能克服的客观情况外，甲乙双方不得放弃或拒绝履行合同。乙方放弃或拒绝履行合同，保证金不予退还。</w:t>
      </w:r>
    </w:p>
    <w:p w14:paraId="1E62CD63">
      <w:pPr>
        <w:widowControl/>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第十</w:t>
      </w:r>
      <w:r>
        <w:rPr>
          <w:rFonts w:hint="eastAsia" w:asciiTheme="minorEastAsia" w:hAnsiTheme="minorEastAsia" w:eastAsiaTheme="minorEastAsia"/>
          <w:b/>
          <w:bCs/>
          <w:color w:val="000000"/>
          <w:sz w:val="24"/>
          <w:highlight w:val="none"/>
          <w:lang w:val="en-US" w:eastAsia="zh-CN"/>
        </w:rPr>
        <w:t>二</w:t>
      </w:r>
      <w:r>
        <w:rPr>
          <w:rFonts w:hint="eastAsia" w:asciiTheme="minorEastAsia" w:hAnsiTheme="minorEastAsia" w:eastAsiaTheme="minorEastAsia"/>
          <w:b/>
          <w:bCs/>
          <w:color w:val="000000"/>
          <w:sz w:val="24"/>
          <w:highlight w:val="none"/>
        </w:rPr>
        <w:t>条</w:t>
      </w:r>
      <w:r>
        <w:rPr>
          <w:rFonts w:hint="eastAsia" w:asciiTheme="minorEastAsia" w:hAnsiTheme="minorEastAsia" w:eastAsiaTheme="minorEastAsia"/>
          <w:b/>
          <w:bCs/>
          <w:color w:val="000000"/>
          <w:sz w:val="24"/>
          <w:highlight w:val="none"/>
          <w:lang w:val="en-US" w:eastAsia="zh-CN"/>
        </w:rPr>
        <w:t xml:space="preserve"> </w:t>
      </w:r>
      <w:r>
        <w:rPr>
          <w:rFonts w:hint="eastAsia" w:asciiTheme="minorEastAsia" w:hAnsiTheme="minorEastAsia" w:eastAsiaTheme="minorEastAsia"/>
          <w:b/>
          <w:bCs/>
          <w:color w:val="000000"/>
          <w:sz w:val="24"/>
          <w:highlight w:val="none"/>
        </w:rPr>
        <w:t>合同的转让</w:t>
      </w:r>
    </w:p>
    <w:p w14:paraId="4491F5D1">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乙方不得擅自部分或全部转让其应履行的合同义务。</w:t>
      </w:r>
    </w:p>
    <w:p w14:paraId="06EC59FD">
      <w:pPr>
        <w:widowControl/>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第十</w:t>
      </w:r>
      <w:r>
        <w:rPr>
          <w:rFonts w:hint="eastAsia" w:asciiTheme="minorEastAsia" w:hAnsiTheme="minorEastAsia" w:eastAsiaTheme="minorEastAsia"/>
          <w:b/>
          <w:bCs/>
          <w:color w:val="000000"/>
          <w:sz w:val="24"/>
          <w:highlight w:val="none"/>
          <w:lang w:val="en-US" w:eastAsia="zh-CN"/>
        </w:rPr>
        <w:t>三</w:t>
      </w:r>
      <w:r>
        <w:rPr>
          <w:rFonts w:hint="eastAsia" w:asciiTheme="minorEastAsia" w:hAnsiTheme="minorEastAsia" w:eastAsiaTheme="minorEastAsia"/>
          <w:b/>
          <w:bCs/>
          <w:color w:val="000000"/>
          <w:sz w:val="24"/>
          <w:highlight w:val="none"/>
        </w:rPr>
        <w:t>条</w:t>
      </w:r>
      <w:r>
        <w:rPr>
          <w:rFonts w:hint="eastAsia" w:asciiTheme="minorEastAsia" w:hAnsiTheme="minorEastAsia" w:eastAsiaTheme="minorEastAsia"/>
          <w:b/>
          <w:bCs/>
          <w:color w:val="000000"/>
          <w:sz w:val="24"/>
          <w:highlight w:val="none"/>
          <w:lang w:val="en-US" w:eastAsia="zh-CN"/>
        </w:rPr>
        <w:t xml:space="preserve"> </w:t>
      </w:r>
      <w:r>
        <w:rPr>
          <w:rFonts w:hint="eastAsia" w:asciiTheme="minorEastAsia" w:hAnsiTheme="minorEastAsia" w:eastAsiaTheme="minorEastAsia"/>
          <w:b/>
          <w:bCs/>
          <w:color w:val="000000"/>
          <w:sz w:val="24"/>
          <w:highlight w:val="none"/>
        </w:rPr>
        <w:t>争议的解决</w:t>
      </w:r>
    </w:p>
    <w:p w14:paraId="6076E21D">
      <w:pPr>
        <w:widowControl/>
        <w:adjustRightInd w:val="0"/>
        <w:spacing w:line="360" w:lineRule="auto"/>
        <w:ind w:firstLine="420"/>
        <w:rPr>
          <w:rFonts w:asciiTheme="minorEastAsia" w:hAnsiTheme="minorEastAsia" w:eastAsiaTheme="minorEastAsia"/>
          <w:color w:val="000000"/>
          <w:sz w:val="24"/>
          <w:highlight w:val="none"/>
        </w:rPr>
      </w:pPr>
      <w:r>
        <w:rPr>
          <w:rFonts w:asciiTheme="minorEastAsia" w:hAnsiTheme="minorEastAsia" w:eastAsiaTheme="minorEastAsia"/>
          <w:color w:val="000000"/>
          <w:sz w:val="24"/>
          <w:highlight w:val="none"/>
        </w:rPr>
        <w:t>1</w:t>
      </w:r>
      <w:r>
        <w:rPr>
          <w:rFonts w:hint="eastAsia" w:asciiTheme="minorEastAsia" w:hAnsiTheme="minorEastAsia" w:eastAsiaTheme="minorEastAsia"/>
          <w:color w:val="000000"/>
          <w:sz w:val="24"/>
          <w:highlight w:val="none"/>
        </w:rPr>
        <w:t>、因服务的质量问题发生争议的，应当邀请国家认可的质量检测机构对服务质量进行鉴定。符合标准的，鉴定费由甲方承担；不符合质量标准的，鉴定费由乙方承担。</w:t>
      </w:r>
    </w:p>
    <w:p w14:paraId="2D89DB8F">
      <w:pPr>
        <w:widowControl/>
        <w:adjustRightInd w:val="0"/>
        <w:spacing w:line="360" w:lineRule="auto"/>
        <w:ind w:firstLine="420"/>
        <w:rPr>
          <w:rFonts w:asciiTheme="minorEastAsia" w:hAnsiTheme="minorEastAsia" w:eastAsiaTheme="minorEastAsia"/>
          <w:color w:val="000000"/>
          <w:sz w:val="24"/>
          <w:highlight w:val="none"/>
        </w:rPr>
      </w:pPr>
      <w:r>
        <w:rPr>
          <w:rFonts w:asciiTheme="minorEastAsia" w:hAnsiTheme="minorEastAsia" w:eastAsiaTheme="minorEastAsia"/>
          <w:color w:val="000000"/>
          <w:sz w:val="24"/>
          <w:highlight w:val="none"/>
        </w:rPr>
        <w:t>2</w:t>
      </w:r>
      <w:r>
        <w:rPr>
          <w:rFonts w:hint="eastAsia" w:asciiTheme="minorEastAsia" w:hAnsiTheme="minorEastAsia" w:eastAsiaTheme="minorEastAsia"/>
          <w:color w:val="000000"/>
          <w:sz w:val="24"/>
          <w:highlight w:val="none"/>
        </w:rPr>
        <w:t>、因履行本合同引起的或与本合同有关的争议，甲、乙双方应首先通过友好协商解决，如果协商不能解决争议，则采取以下第（1）种方式解决争议：</w:t>
      </w:r>
    </w:p>
    <w:p w14:paraId="51906134">
      <w:pPr>
        <w:widowControl/>
        <w:adjustRightInd w:val="0"/>
        <w:spacing w:line="360" w:lineRule="auto"/>
        <w:ind w:firstLine="56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（1）向甲方所在地有管辖权的人民法院提起诉讼；</w:t>
      </w:r>
    </w:p>
    <w:p w14:paraId="14F65A10">
      <w:pPr>
        <w:widowControl/>
        <w:adjustRightInd w:val="0"/>
        <w:spacing w:line="360" w:lineRule="auto"/>
        <w:ind w:firstLine="56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（2）向南京仲裁委员会按其仲裁规则申请仲裁。</w:t>
      </w:r>
    </w:p>
    <w:p w14:paraId="15FE515A">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如没有约定，默认采取第2种方式解决争议。</w:t>
      </w:r>
    </w:p>
    <w:p w14:paraId="07C740FC">
      <w:pPr>
        <w:widowControl/>
        <w:adjustRightInd w:val="0"/>
        <w:spacing w:line="360" w:lineRule="auto"/>
        <w:ind w:firstLine="420"/>
        <w:rPr>
          <w:rFonts w:asciiTheme="minorEastAsia" w:hAnsiTheme="minorEastAsia" w:eastAsiaTheme="minorEastAsia"/>
          <w:color w:val="000000"/>
          <w:sz w:val="24"/>
          <w:highlight w:val="none"/>
        </w:rPr>
      </w:pPr>
      <w:r>
        <w:rPr>
          <w:rFonts w:asciiTheme="minorEastAsia" w:hAnsiTheme="minorEastAsia" w:eastAsiaTheme="minorEastAsia"/>
          <w:color w:val="000000"/>
          <w:sz w:val="24"/>
          <w:highlight w:val="none"/>
        </w:rPr>
        <w:t>3</w:t>
      </w:r>
      <w:r>
        <w:rPr>
          <w:rFonts w:hint="eastAsia" w:asciiTheme="minorEastAsia" w:hAnsiTheme="minorEastAsia" w:eastAsiaTheme="minorEastAsia"/>
          <w:color w:val="000000"/>
          <w:sz w:val="24"/>
          <w:highlight w:val="none"/>
        </w:rPr>
        <w:t>、在仲裁期间，本合同应继续履行。</w:t>
      </w:r>
    </w:p>
    <w:p w14:paraId="7C2DB147">
      <w:pPr>
        <w:widowControl/>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第十</w:t>
      </w:r>
      <w:r>
        <w:rPr>
          <w:rFonts w:hint="eastAsia" w:asciiTheme="minorEastAsia" w:hAnsiTheme="minorEastAsia" w:eastAsiaTheme="minorEastAsia"/>
          <w:b/>
          <w:bCs/>
          <w:color w:val="000000"/>
          <w:sz w:val="24"/>
          <w:highlight w:val="none"/>
          <w:lang w:val="en-US" w:eastAsia="zh-CN"/>
        </w:rPr>
        <w:t>四</w:t>
      </w:r>
      <w:r>
        <w:rPr>
          <w:rFonts w:hint="eastAsia" w:asciiTheme="minorEastAsia" w:hAnsiTheme="minorEastAsia" w:eastAsiaTheme="minorEastAsia"/>
          <w:b/>
          <w:bCs/>
          <w:color w:val="000000"/>
          <w:sz w:val="24"/>
          <w:highlight w:val="none"/>
        </w:rPr>
        <w:t>条</w:t>
      </w:r>
      <w:r>
        <w:rPr>
          <w:rFonts w:hint="eastAsia" w:asciiTheme="minorEastAsia" w:hAnsiTheme="minorEastAsia" w:eastAsiaTheme="minorEastAsia"/>
          <w:b/>
          <w:bCs/>
          <w:color w:val="000000"/>
          <w:sz w:val="24"/>
          <w:highlight w:val="none"/>
          <w:lang w:val="en-US" w:eastAsia="zh-CN"/>
        </w:rPr>
        <w:t xml:space="preserve"> </w:t>
      </w:r>
      <w:r>
        <w:rPr>
          <w:rFonts w:hint="eastAsia" w:asciiTheme="minorEastAsia" w:hAnsiTheme="minorEastAsia" w:eastAsiaTheme="minorEastAsia"/>
          <w:b/>
          <w:bCs/>
          <w:color w:val="000000"/>
          <w:sz w:val="24"/>
          <w:highlight w:val="none"/>
        </w:rPr>
        <w:t>诚实信用</w:t>
      </w:r>
    </w:p>
    <w:p w14:paraId="3638D632">
      <w:pPr>
        <w:widowControl/>
        <w:adjustRightInd w:val="0"/>
        <w:spacing w:line="360" w:lineRule="auto"/>
        <w:ind w:firstLine="420"/>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乙方应诚实信用，严格按照招标文件要求和服务承诺履行合同，不向甲方进行商业贿赂或者提供不正当利益。</w:t>
      </w:r>
    </w:p>
    <w:p w14:paraId="3DFE666C">
      <w:pPr>
        <w:widowControl/>
        <w:adjustRightInd w:val="0"/>
        <w:spacing w:line="360" w:lineRule="auto"/>
        <w:ind w:firstLine="420"/>
        <w:rPr>
          <w:rFonts w:hint="eastAsia" w:cs="宋体" w:asciiTheme="minorEastAsia" w:hAnsiTheme="minorEastAsia" w:eastAsiaTheme="minorEastAsia"/>
          <w:b/>
          <w:bCs/>
          <w:color w:val="000000"/>
          <w:sz w:val="24"/>
          <w:highlight w:val="none"/>
        </w:rPr>
      </w:pPr>
      <w:r>
        <w:rPr>
          <w:rFonts w:hint="eastAsia" w:cs="宋体" w:asciiTheme="minorEastAsia" w:hAnsiTheme="minorEastAsia" w:eastAsiaTheme="minorEastAsia"/>
          <w:b/>
          <w:bCs/>
          <w:color w:val="000000"/>
          <w:sz w:val="24"/>
          <w:highlight w:val="none"/>
        </w:rPr>
        <w:t>第十</w:t>
      </w:r>
      <w:r>
        <w:rPr>
          <w:rFonts w:hint="eastAsia" w:cs="宋体" w:asciiTheme="minorEastAsia" w:hAnsiTheme="minorEastAsia" w:eastAsiaTheme="minorEastAsia"/>
          <w:b/>
          <w:bCs/>
          <w:color w:val="000000"/>
          <w:sz w:val="24"/>
          <w:highlight w:val="none"/>
          <w:lang w:val="en-US" w:eastAsia="zh-CN"/>
        </w:rPr>
        <w:t>五</w:t>
      </w:r>
      <w:r>
        <w:rPr>
          <w:rFonts w:hint="eastAsia" w:cs="宋体" w:asciiTheme="minorEastAsia" w:hAnsiTheme="minorEastAsia" w:eastAsiaTheme="minorEastAsia"/>
          <w:b/>
          <w:bCs/>
          <w:color w:val="000000"/>
          <w:sz w:val="24"/>
          <w:highlight w:val="none"/>
        </w:rPr>
        <w:t>条</w:t>
      </w:r>
      <w:r>
        <w:rPr>
          <w:rFonts w:hint="eastAsia" w:cs="宋体" w:asciiTheme="minorEastAsia" w:hAnsiTheme="minorEastAsia" w:eastAsiaTheme="minorEastAsia"/>
          <w:b/>
          <w:bCs/>
          <w:color w:val="000000"/>
          <w:sz w:val="24"/>
          <w:highlight w:val="none"/>
          <w:lang w:val="en-US" w:eastAsia="zh-CN"/>
        </w:rPr>
        <w:t xml:space="preserve"> </w:t>
      </w:r>
      <w:r>
        <w:rPr>
          <w:rFonts w:hint="eastAsia" w:cs="宋体" w:asciiTheme="minorEastAsia" w:hAnsiTheme="minorEastAsia" w:eastAsiaTheme="minorEastAsia"/>
          <w:b/>
          <w:bCs/>
          <w:color w:val="000000"/>
          <w:sz w:val="24"/>
          <w:highlight w:val="none"/>
        </w:rPr>
        <w:t>知识产权及保密</w:t>
      </w:r>
    </w:p>
    <w:p w14:paraId="3C678E29">
      <w:pPr>
        <w:widowControl/>
        <w:adjustRightInd w:val="0"/>
        <w:spacing w:line="360" w:lineRule="auto"/>
        <w:ind w:firstLine="560"/>
        <w:rPr>
          <w:rFonts w:hint="eastAsia" w:cs="宋体" w:asciiTheme="minorEastAsia" w:hAnsiTheme="minorEastAsia" w:eastAsiaTheme="minorEastAsia"/>
          <w:color w:val="000000"/>
          <w:sz w:val="24"/>
          <w:highlight w:val="none"/>
        </w:rPr>
      </w:pPr>
      <w:r>
        <w:rPr>
          <w:rFonts w:hint="eastAsia" w:cs="宋体" w:asciiTheme="minorEastAsia" w:hAnsiTheme="minorEastAsia" w:eastAsiaTheme="minorEastAsia"/>
          <w:color w:val="000000"/>
          <w:sz w:val="24"/>
          <w:highlight w:val="none"/>
        </w:rPr>
        <w:t>1、乙方了解在与甲方合作过程中所获得或知悉的关于甲方的信息包括项目信息、技术图纸、资料、本合同所涉及的研究内容、研究成果等等所有未公开之信息为甲方的商业秘密，应严守其秘密性。未经甲方事先书面同意，乙方不得将甲方商业秘密或甲方提供给乙方的技术资料、图纸等用于履行本合同之外的其他用途。乙方上述保密义务的期限，从乙方知悉该资料或信息之日起，直至公众可通过合法途径获得、知悉相关资料、信息之日止。</w:t>
      </w:r>
    </w:p>
    <w:p w14:paraId="11B86615">
      <w:pPr>
        <w:widowControl/>
        <w:adjustRightInd w:val="0"/>
        <w:spacing w:line="360" w:lineRule="auto"/>
        <w:ind w:firstLine="560"/>
        <w:rPr>
          <w:rFonts w:hint="eastAsia" w:cs="宋体" w:asciiTheme="minorEastAsia" w:hAnsiTheme="minorEastAsia" w:eastAsiaTheme="minorEastAsia"/>
          <w:color w:val="000000"/>
          <w:sz w:val="24"/>
          <w:highlight w:val="none"/>
        </w:rPr>
      </w:pPr>
      <w:r>
        <w:rPr>
          <w:rFonts w:hint="eastAsia" w:cs="宋体" w:asciiTheme="minorEastAsia" w:hAnsiTheme="minorEastAsia" w:eastAsiaTheme="minorEastAsia"/>
          <w:color w:val="000000"/>
          <w:sz w:val="24"/>
          <w:highlight w:val="none"/>
        </w:rPr>
        <w:t>2、乙方应保证其向甲方提交的成果</w:t>
      </w:r>
      <w:r>
        <w:rPr>
          <w:rFonts w:hint="eastAsia" w:cs="宋体" w:asciiTheme="minorEastAsia" w:hAnsiTheme="minorEastAsia" w:eastAsiaTheme="minorEastAsia"/>
          <w:color w:val="000000"/>
          <w:sz w:val="24"/>
          <w:highlight w:val="none"/>
          <w:lang w:val="en-US" w:eastAsia="zh-CN"/>
        </w:rPr>
        <w:t>文件</w:t>
      </w:r>
      <w:r>
        <w:rPr>
          <w:rFonts w:hint="eastAsia" w:cs="宋体" w:asciiTheme="minorEastAsia" w:hAnsiTheme="minorEastAsia" w:eastAsiaTheme="minorEastAsia"/>
          <w:color w:val="000000"/>
          <w:sz w:val="24"/>
          <w:highlight w:val="none"/>
        </w:rPr>
        <w:t>及乙方为实现该成果所使用的必要方法不侵犯第三人的合法权益。甲方因使用乙方提交的成果被第三人指控侵权、提出异议或权利主张的，乙方应当积极协助解决，并承担由此给甲方造成的损失。</w:t>
      </w:r>
    </w:p>
    <w:p w14:paraId="473F6FAF">
      <w:pPr>
        <w:widowControl/>
        <w:adjustRightInd w:val="0"/>
        <w:spacing w:line="360" w:lineRule="auto"/>
        <w:ind w:firstLine="560"/>
        <w:rPr>
          <w:rFonts w:hint="eastAsia" w:cs="宋体" w:asciiTheme="minorEastAsia" w:hAnsiTheme="minorEastAsia" w:eastAsiaTheme="minorEastAsia"/>
          <w:color w:val="000000"/>
          <w:sz w:val="24"/>
          <w:highlight w:val="none"/>
        </w:rPr>
      </w:pPr>
      <w:r>
        <w:rPr>
          <w:rFonts w:hint="eastAsia" w:cs="宋体" w:asciiTheme="minorEastAsia" w:hAnsiTheme="minorEastAsia" w:eastAsiaTheme="minorEastAsia"/>
          <w:color w:val="000000"/>
          <w:sz w:val="24"/>
          <w:highlight w:val="none"/>
        </w:rPr>
        <w:t>3、乙方应当保证其提交的成果符合国家及地方现有法律、法规、规章政策及行业规范之要求、符合本合同目的。如果因不符合上述要求给甲方或其他第三人造成损失的，乙方应予以赔偿。</w:t>
      </w:r>
    </w:p>
    <w:p w14:paraId="7BC46A3F">
      <w:pPr>
        <w:widowControl/>
        <w:adjustRightInd w:val="0"/>
        <w:spacing w:line="360" w:lineRule="auto"/>
        <w:ind w:firstLine="560"/>
        <w:rPr>
          <w:rFonts w:hint="eastAsia" w:cs="宋体" w:asciiTheme="minorEastAsia" w:hAnsiTheme="minorEastAsia" w:eastAsiaTheme="minorEastAsia"/>
          <w:color w:val="000000"/>
          <w:sz w:val="24"/>
          <w:highlight w:val="none"/>
        </w:rPr>
      </w:pPr>
      <w:r>
        <w:rPr>
          <w:rFonts w:hint="eastAsia" w:cs="宋体" w:asciiTheme="minorEastAsia" w:hAnsiTheme="minorEastAsia" w:eastAsiaTheme="minorEastAsia"/>
          <w:color w:val="000000"/>
          <w:sz w:val="24"/>
          <w:highlight w:val="none"/>
          <w:lang w:val="en-US" w:eastAsia="zh-CN"/>
        </w:rPr>
        <w:t>4</w:t>
      </w:r>
      <w:r>
        <w:rPr>
          <w:rFonts w:hint="eastAsia" w:cs="宋体" w:asciiTheme="minorEastAsia" w:hAnsiTheme="minorEastAsia" w:eastAsiaTheme="minorEastAsia"/>
          <w:color w:val="000000"/>
          <w:sz w:val="24"/>
          <w:highlight w:val="none"/>
        </w:rPr>
        <w:t>、乙方保证其向甲方提交的成果的组成部分或全部不会侵犯他人的合法权益，也不存在技术缺陷，否则，甲方有权要求乙方赔偿因此给甲方造成的全部损失。</w:t>
      </w:r>
    </w:p>
    <w:p w14:paraId="58243419">
      <w:pPr>
        <w:widowControl/>
        <w:adjustRightInd w:val="0"/>
        <w:spacing w:line="360" w:lineRule="auto"/>
        <w:ind w:firstLine="560"/>
        <w:rPr>
          <w:rFonts w:hint="eastAsia" w:cs="宋体" w:asciiTheme="minorEastAsia" w:hAnsiTheme="minorEastAsia" w:eastAsiaTheme="minorEastAsia"/>
          <w:color w:val="000000"/>
          <w:sz w:val="24"/>
          <w:highlight w:val="none"/>
        </w:rPr>
      </w:pPr>
      <w:r>
        <w:rPr>
          <w:rFonts w:hint="eastAsia" w:cs="宋体" w:asciiTheme="minorEastAsia" w:hAnsiTheme="minorEastAsia" w:eastAsiaTheme="minorEastAsia"/>
          <w:color w:val="000000"/>
          <w:sz w:val="24"/>
          <w:highlight w:val="none"/>
          <w:lang w:val="en-US" w:eastAsia="zh-CN"/>
        </w:rPr>
        <w:t>5</w:t>
      </w:r>
      <w:r>
        <w:rPr>
          <w:rFonts w:hint="eastAsia" w:cs="宋体" w:asciiTheme="minorEastAsia" w:hAnsiTheme="minorEastAsia" w:eastAsiaTheme="minorEastAsia"/>
          <w:color w:val="000000"/>
          <w:sz w:val="24"/>
          <w:highlight w:val="none"/>
        </w:rPr>
        <w:t>、乙方提交给甲方的成果的著作权（版权）归甲方所有，未经甲方许可，乙方不得以任何方式使用或向任何第三方泄露、转让成果的部分或全部（包括作为乙方业绩进行宣传、展示及刊登）。否则，甲方有权随时终止项目合同并要求乙方支付违约金，违约金的上限为全部服务费用。</w:t>
      </w:r>
    </w:p>
    <w:p w14:paraId="41486D53">
      <w:pPr>
        <w:widowControl/>
        <w:adjustRightInd w:val="0"/>
        <w:spacing w:line="360" w:lineRule="auto"/>
        <w:ind w:firstLine="560"/>
        <w:rPr>
          <w:rFonts w:hint="eastAsia" w:asciiTheme="minorEastAsia" w:hAnsiTheme="minorEastAsia" w:eastAsiaTheme="minorEastAsia"/>
          <w:b/>
          <w:bCs/>
          <w:color w:val="000000"/>
          <w:sz w:val="24"/>
          <w:highlight w:val="none"/>
        </w:rPr>
      </w:pPr>
      <w:r>
        <w:rPr>
          <w:rFonts w:hint="eastAsia" w:cs="宋体" w:asciiTheme="minorEastAsia" w:hAnsiTheme="minorEastAsia" w:eastAsiaTheme="minorEastAsia"/>
          <w:color w:val="000000"/>
          <w:sz w:val="24"/>
          <w:highlight w:val="none"/>
          <w:lang w:val="en-US" w:eastAsia="zh-CN"/>
        </w:rPr>
        <w:t>6</w:t>
      </w:r>
      <w:r>
        <w:rPr>
          <w:rFonts w:hint="eastAsia" w:cs="宋体" w:asciiTheme="minorEastAsia" w:hAnsiTheme="minorEastAsia" w:eastAsiaTheme="minorEastAsia"/>
          <w:color w:val="000000"/>
          <w:sz w:val="24"/>
          <w:highlight w:val="none"/>
        </w:rPr>
        <w:t>、如甲方的知识产权遭到他人侵犯的，乙方应协助甲方维护其合法权。</w:t>
      </w:r>
    </w:p>
    <w:p w14:paraId="703898A4">
      <w:pPr>
        <w:widowControl/>
        <w:adjustRightInd w:val="0"/>
        <w:spacing w:line="360" w:lineRule="auto"/>
        <w:ind w:firstLine="420"/>
        <w:rPr>
          <w:rFonts w:asciiTheme="minorEastAsia" w:hAnsiTheme="minorEastAsia" w:eastAsiaTheme="minorEastAsia"/>
          <w:b/>
          <w:bCs/>
          <w:color w:val="000000"/>
          <w:sz w:val="24"/>
          <w:highlight w:val="none"/>
        </w:rPr>
      </w:pPr>
      <w:r>
        <w:rPr>
          <w:rFonts w:hint="eastAsia" w:asciiTheme="minorEastAsia" w:hAnsiTheme="minorEastAsia" w:eastAsiaTheme="minorEastAsia"/>
          <w:b/>
          <w:bCs/>
          <w:color w:val="000000"/>
          <w:sz w:val="24"/>
          <w:highlight w:val="none"/>
        </w:rPr>
        <w:t>第十</w:t>
      </w:r>
      <w:r>
        <w:rPr>
          <w:rFonts w:hint="eastAsia" w:asciiTheme="minorEastAsia" w:hAnsiTheme="minorEastAsia" w:eastAsiaTheme="minorEastAsia"/>
          <w:b/>
          <w:bCs/>
          <w:color w:val="000000"/>
          <w:sz w:val="24"/>
          <w:highlight w:val="none"/>
          <w:lang w:val="en-US" w:eastAsia="zh-CN"/>
        </w:rPr>
        <w:t>六</w:t>
      </w:r>
      <w:r>
        <w:rPr>
          <w:rFonts w:hint="eastAsia" w:asciiTheme="minorEastAsia" w:hAnsiTheme="minorEastAsia" w:eastAsiaTheme="minorEastAsia"/>
          <w:b/>
          <w:bCs/>
          <w:color w:val="000000"/>
          <w:sz w:val="24"/>
          <w:highlight w:val="none"/>
        </w:rPr>
        <w:t>条合同生效及其他</w:t>
      </w:r>
    </w:p>
    <w:p w14:paraId="49916941">
      <w:pPr>
        <w:widowControl/>
        <w:adjustRightInd w:val="0"/>
        <w:spacing w:line="360" w:lineRule="auto"/>
        <w:ind w:firstLine="420"/>
        <w:rPr>
          <w:rFonts w:asciiTheme="minorEastAsia" w:hAnsiTheme="minorEastAsia" w:eastAsiaTheme="minorEastAsia"/>
          <w:color w:val="000000"/>
          <w:sz w:val="24"/>
          <w:highlight w:val="none"/>
        </w:rPr>
      </w:pPr>
      <w:r>
        <w:rPr>
          <w:rFonts w:asciiTheme="minorEastAsia" w:hAnsiTheme="minorEastAsia" w:eastAsiaTheme="minorEastAsia"/>
          <w:color w:val="000000"/>
          <w:sz w:val="24"/>
          <w:highlight w:val="none"/>
        </w:rPr>
        <w:t>1</w:t>
      </w:r>
      <w:r>
        <w:rPr>
          <w:rFonts w:hint="eastAsia" w:asciiTheme="minorEastAsia" w:hAnsiTheme="minorEastAsia" w:eastAsiaTheme="minorEastAsia"/>
          <w:color w:val="000000"/>
          <w:sz w:val="24"/>
          <w:highlight w:val="none"/>
        </w:rPr>
        <w:t>、本合同自签订之日起生效。</w:t>
      </w:r>
    </w:p>
    <w:p w14:paraId="0207504F">
      <w:pPr>
        <w:widowControl/>
        <w:adjustRightInd w:val="0"/>
        <w:spacing w:line="360" w:lineRule="auto"/>
        <w:ind w:firstLine="420"/>
        <w:rPr>
          <w:rFonts w:hint="eastAsia" w:asciiTheme="minorEastAsia" w:hAnsiTheme="minorEastAsia" w:eastAsiaTheme="minorEastAsia"/>
          <w:color w:val="000000"/>
          <w:sz w:val="24"/>
          <w:highlight w:val="none"/>
        </w:rPr>
      </w:pPr>
      <w:r>
        <w:rPr>
          <w:rFonts w:asciiTheme="minorEastAsia" w:hAnsiTheme="minorEastAsia" w:eastAsiaTheme="minorEastAsia"/>
          <w:color w:val="000000"/>
          <w:sz w:val="24"/>
          <w:highlight w:val="none"/>
        </w:rPr>
        <w:t>2</w:t>
      </w:r>
      <w:r>
        <w:rPr>
          <w:rFonts w:hint="eastAsia" w:asciiTheme="minorEastAsia" w:hAnsiTheme="minorEastAsia" w:eastAsiaTheme="minorEastAsia"/>
          <w:color w:val="000000"/>
          <w:sz w:val="24"/>
          <w:highlight w:val="none"/>
        </w:rPr>
        <w:t>、本合同一式捌份，甲乙双方各执</w:t>
      </w:r>
      <w:r>
        <w:rPr>
          <w:rFonts w:hint="eastAsia" w:asciiTheme="minorEastAsia" w:hAnsiTheme="minorEastAsia" w:eastAsiaTheme="minorEastAsia"/>
          <w:color w:val="000000"/>
          <w:sz w:val="24"/>
          <w:highlight w:val="none"/>
          <w:lang w:val="en-US" w:eastAsia="zh-CN"/>
        </w:rPr>
        <w:t>四</w:t>
      </w:r>
      <w:r>
        <w:rPr>
          <w:rFonts w:hint="eastAsia" w:asciiTheme="minorEastAsia" w:hAnsiTheme="minorEastAsia" w:eastAsiaTheme="minorEastAsia"/>
          <w:color w:val="000000"/>
          <w:sz w:val="24"/>
          <w:highlight w:val="none"/>
        </w:rPr>
        <w:t>份，</w:t>
      </w:r>
    </w:p>
    <w:p w14:paraId="08D5D57B">
      <w:pPr>
        <w:widowControl/>
        <w:adjustRightInd w:val="0"/>
        <w:spacing w:line="360" w:lineRule="auto"/>
        <w:ind w:firstLine="420"/>
        <w:rPr>
          <w:rFonts w:asciiTheme="minorEastAsia" w:hAnsiTheme="minorEastAsia" w:eastAsiaTheme="minorEastAsia"/>
          <w:color w:val="000000"/>
          <w:sz w:val="24"/>
          <w:highlight w:val="none"/>
        </w:rPr>
      </w:pPr>
      <w:r>
        <w:rPr>
          <w:rFonts w:asciiTheme="minorEastAsia" w:hAnsiTheme="minorEastAsia" w:eastAsiaTheme="minorEastAsia"/>
          <w:color w:val="000000"/>
          <w:sz w:val="24"/>
          <w:highlight w:val="none"/>
        </w:rPr>
        <w:t>3</w:t>
      </w:r>
      <w:r>
        <w:rPr>
          <w:rFonts w:hint="eastAsia" w:asciiTheme="minorEastAsia" w:hAnsiTheme="minorEastAsia" w:eastAsiaTheme="minorEastAsia"/>
          <w:color w:val="000000"/>
          <w:sz w:val="24"/>
          <w:highlight w:val="none"/>
        </w:rPr>
        <w:t>、本合同应按照中华人民共和国的现行法律进行解释。</w:t>
      </w:r>
    </w:p>
    <w:tbl>
      <w:tblPr>
        <w:tblStyle w:val="29"/>
        <w:tblW w:w="0" w:type="auto"/>
        <w:jc w:val="center"/>
        <w:tblLayout w:type="fixed"/>
        <w:tblCellMar>
          <w:top w:w="0" w:type="dxa"/>
          <w:left w:w="0" w:type="dxa"/>
          <w:bottom w:w="0" w:type="dxa"/>
          <w:right w:w="0" w:type="dxa"/>
        </w:tblCellMar>
      </w:tblPr>
      <w:tblGrid>
        <w:gridCol w:w="4898"/>
        <w:gridCol w:w="4388"/>
      </w:tblGrid>
      <w:tr w14:paraId="727FE68C">
        <w:tblPrEx>
          <w:tblCellMar>
            <w:top w:w="0" w:type="dxa"/>
            <w:left w:w="0" w:type="dxa"/>
            <w:bottom w:w="0" w:type="dxa"/>
            <w:right w:w="0" w:type="dxa"/>
          </w:tblCellMar>
        </w:tblPrEx>
        <w:trPr>
          <w:jc w:val="center"/>
        </w:trPr>
        <w:tc>
          <w:tcPr>
            <w:tcW w:w="4898" w:type="dxa"/>
            <w:tcBorders>
              <w:top w:val="nil"/>
              <w:left w:val="nil"/>
              <w:bottom w:val="nil"/>
              <w:right w:val="nil"/>
            </w:tcBorders>
          </w:tcPr>
          <w:p w14:paraId="0ABEB41A">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甲方（采购人）：</w:t>
            </w:r>
            <w:r>
              <w:rPr>
                <w:rFonts w:hint="eastAsia" w:asciiTheme="minorEastAsia" w:hAnsiTheme="minorEastAsia" w:eastAsiaTheme="minorEastAsia"/>
                <w:color w:val="000000"/>
                <w:sz w:val="24"/>
                <w:highlight w:val="none"/>
                <w:lang w:eastAsia="zh-CN"/>
              </w:rPr>
              <w:t>南京市江宁区人民政府淳化街道办事处</w:t>
            </w:r>
            <w:r>
              <w:rPr>
                <w:rFonts w:hint="eastAsia" w:asciiTheme="minorEastAsia" w:hAnsiTheme="minorEastAsia" w:eastAsiaTheme="minorEastAsia"/>
                <w:color w:val="000000"/>
                <w:sz w:val="24"/>
                <w:highlight w:val="none"/>
              </w:rPr>
              <w:t>（盖章）</w:t>
            </w:r>
          </w:p>
        </w:tc>
        <w:tc>
          <w:tcPr>
            <w:tcW w:w="4388" w:type="dxa"/>
            <w:tcBorders>
              <w:top w:val="nil"/>
              <w:left w:val="nil"/>
              <w:bottom w:val="nil"/>
              <w:right w:val="nil"/>
            </w:tcBorders>
          </w:tcPr>
          <w:p w14:paraId="347E6BF4">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乙方（供应商）：（盖章）</w:t>
            </w:r>
          </w:p>
        </w:tc>
      </w:tr>
      <w:tr w14:paraId="55CA70AD">
        <w:tblPrEx>
          <w:tblCellMar>
            <w:top w:w="0" w:type="dxa"/>
            <w:left w:w="0" w:type="dxa"/>
            <w:bottom w:w="0" w:type="dxa"/>
            <w:right w:w="0" w:type="dxa"/>
          </w:tblCellMar>
        </w:tblPrEx>
        <w:trPr>
          <w:jc w:val="center"/>
        </w:trPr>
        <w:tc>
          <w:tcPr>
            <w:tcW w:w="4898" w:type="dxa"/>
            <w:tcBorders>
              <w:top w:val="nil"/>
              <w:left w:val="nil"/>
              <w:bottom w:val="nil"/>
              <w:right w:val="nil"/>
            </w:tcBorders>
          </w:tcPr>
          <w:p w14:paraId="61DD4C61">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代表人：</w:t>
            </w:r>
          </w:p>
        </w:tc>
        <w:tc>
          <w:tcPr>
            <w:tcW w:w="4388" w:type="dxa"/>
            <w:tcBorders>
              <w:top w:val="nil"/>
              <w:left w:val="nil"/>
              <w:bottom w:val="nil"/>
              <w:right w:val="nil"/>
            </w:tcBorders>
          </w:tcPr>
          <w:p w14:paraId="52F989FE">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代表人：</w:t>
            </w:r>
          </w:p>
        </w:tc>
      </w:tr>
      <w:tr w14:paraId="5E124951">
        <w:tblPrEx>
          <w:tblCellMar>
            <w:top w:w="0" w:type="dxa"/>
            <w:left w:w="0" w:type="dxa"/>
            <w:bottom w:w="0" w:type="dxa"/>
            <w:right w:w="0" w:type="dxa"/>
          </w:tblCellMar>
        </w:tblPrEx>
        <w:trPr>
          <w:jc w:val="center"/>
        </w:trPr>
        <w:tc>
          <w:tcPr>
            <w:tcW w:w="4898" w:type="dxa"/>
            <w:tcBorders>
              <w:top w:val="nil"/>
              <w:left w:val="nil"/>
              <w:bottom w:val="nil"/>
              <w:right w:val="nil"/>
            </w:tcBorders>
          </w:tcPr>
          <w:p w14:paraId="6F5B6172">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电话：</w:t>
            </w:r>
          </w:p>
        </w:tc>
        <w:tc>
          <w:tcPr>
            <w:tcW w:w="4388" w:type="dxa"/>
            <w:tcBorders>
              <w:top w:val="nil"/>
              <w:left w:val="nil"/>
              <w:bottom w:val="nil"/>
              <w:right w:val="nil"/>
            </w:tcBorders>
          </w:tcPr>
          <w:p w14:paraId="454731DD">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电话：</w:t>
            </w:r>
          </w:p>
          <w:p w14:paraId="7F20EE9A">
            <w:pPr>
              <w:pStyle w:val="84"/>
              <w:ind w:firstLine="0" w:firstLineChars="0"/>
              <w:rPr>
                <w:rFonts w:asciiTheme="minorEastAsia" w:hAnsiTheme="minorEastAsia" w:eastAsiaTheme="minorEastAsia"/>
                <w:color w:val="000000"/>
                <w:sz w:val="24"/>
                <w:szCs w:val="22"/>
                <w:highlight w:val="none"/>
                <w:lang w:val="en-US"/>
              </w:rPr>
            </w:pPr>
            <w:r>
              <w:rPr>
                <w:rFonts w:hint="eastAsia" w:asciiTheme="minorEastAsia" w:hAnsiTheme="minorEastAsia" w:eastAsiaTheme="minorEastAsia"/>
                <w:color w:val="000000"/>
                <w:sz w:val="24"/>
                <w:szCs w:val="22"/>
                <w:highlight w:val="none"/>
                <w:lang w:val="en-US"/>
              </w:rPr>
              <w:t>统一社会信用代码：</w:t>
            </w:r>
          </w:p>
        </w:tc>
      </w:tr>
      <w:tr w14:paraId="1F919E01">
        <w:tblPrEx>
          <w:tblCellMar>
            <w:top w:w="0" w:type="dxa"/>
            <w:left w:w="0" w:type="dxa"/>
            <w:bottom w:w="0" w:type="dxa"/>
            <w:right w:w="0" w:type="dxa"/>
          </w:tblCellMar>
        </w:tblPrEx>
        <w:trPr>
          <w:jc w:val="center"/>
        </w:trPr>
        <w:tc>
          <w:tcPr>
            <w:tcW w:w="4898" w:type="dxa"/>
            <w:tcBorders>
              <w:top w:val="nil"/>
              <w:left w:val="nil"/>
              <w:bottom w:val="nil"/>
              <w:right w:val="nil"/>
            </w:tcBorders>
          </w:tcPr>
          <w:p w14:paraId="27E81DF7">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开户银行：</w:t>
            </w:r>
          </w:p>
        </w:tc>
        <w:tc>
          <w:tcPr>
            <w:tcW w:w="4388" w:type="dxa"/>
            <w:tcBorders>
              <w:top w:val="nil"/>
              <w:left w:val="nil"/>
              <w:bottom w:val="nil"/>
              <w:right w:val="nil"/>
            </w:tcBorders>
          </w:tcPr>
          <w:p w14:paraId="6AB5EB3D">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开户银行：</w:t>
            </w:r>
          </w:p>
        </w:tc>
      </w:tr>
      <w:tr w14:paraId="565F08E1">
        <w:tblPrEx>
          <w:tblCellMar>
            <w:top w:w="0" w:type="dxa"/>
            <w:left w:w="0" w:type="dxa"/>
            <w:bottom w:w="0" w:type="dxa"/>
            <w:right w:w="0" w:type="dxa"/>
          </w:tblCellMar>
        </w:tblPrEx>
        <w:trPr>
          <w:trHeight w:val="781" w:hRule="atLeast"/>
          <w:jc w:val="center"/>
        </w:trPr>
        <w:tc>
          <w:tcPr>
            <w:tcW w:w="4898" w:type="dxa"/>
            <w:tcBorders>
              <w:top w:val="nil"/>
              <w:left w:val="nil"/>
              <w:bottom w:val="nil"/>
              <w:right w:val="nil"/>
            </w:tcBorders>
          </w:tcPr>
          <w:p w14:paraId="56222A73">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帐号：</w:t>
            </w:r>
          </w:p>
        </w:tc>
        <w:tc>
          <w:tcPr>
            <w:tcW w:w="4388" w:type="dxa"/>
            <w:tcBorders>
              <w:top w:val="nil"/>
              <w:left w:val="nil"/>
              <w:bottom w:val="nil"/>
              <w:right w:val="nil"/>
            </w:tcBorders>
          </w:tcPr>
          <w:p w14:paraId="3E94F73A">
            <w:pPr>
              <w:widowControl/>
              <w:adjustRightInd w:val="0"/>
              <w:spacing w:line="360"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帐号：</w:t>
            </w:r>
          </w:p>
        </w:tc>
      </w:tr>
      <w:tr w14:paraId="3EBF4060">
        <w:tblPrEx>
          <w:tblCellMar>
            <w:top w:w="0" w:type="dxa"/>
            <w:left w:w="0" w:type="dxa"/>
            <w:bottom w:w="0" w:type="dxa"/>
            <w:right w:w="0" w:type="dxa"/>
          </w:tblCellMar>
        </w:tblPrEx>
        <w:trPr>
          <w:trHeight w:val="551" w:hRule="atLeast"/>
          <w:jc w:val="center"/>
        </w:trPr>
        <w:tc>
          <w:tcPr>
            <w:tcW w:w="4898" w:type="dxa"/>
            <w:tcBorders>
              <w:top w:val="nil"/>
              <w:left w:val="nil"/>
              <w:bottom w:val="nil"/>
              <w:right w:val="nil"/>
            </w:tcBorders>
          </w:tcPr>
          <w:p w14:paraId="43237E48">
            <w:pPr>
              <w:widowControl/>
              <w:adjustRightInd w:val="0"/>
              <w:rPr>
                <w:rFonts w:asciiTheme="minorEastAsia" w:hAnsiTheme="minorEastAsia" w:eastAsiaTheme="minorEastAsia"/>
                <w:color w:val="000000"/>
                <w:sz w:val="24"/>
                <w:highlight w:val="none"/>
              </w:rPr>
            </w:pPr>
          </w:p>
          <w:p w14:paraId="23F01CC2">
            <w:pPr>
              <w:pStyle w:val="39"/>
              <w:rPr>
                <w:rFonts w:asciiTheme="minorEastAsia" w:hAnsiTheme="minorEastAsia" w:eastAsiaTheme="minorEastAsia"/>
                <w:color w:val="000000"/>
                <w:sz w:val="24"/>
                <w:highlight w:val="none"/>
              </w:rPr>
            </w:pPr>
          </w:p>
          <w:p w14:paraId="075456CB">
            <w:pPr>
              <w:pStyle w:val="39"/>
              <w:rPr>
                <w:rFonts w:asciiTheme="minorEastAsia" w:hAnsiTheme="minorEastAsia" w:eastAsiaTheme="minorEastAsia"/>
                <w:color w:val="000000"/>
                <w:sz w:val="24"/>
                <w:highlight w:val="none"/>
              </w:rPr>
            </w:pPr>
          </w:p>
          <w:p w14:paraId="2FC928EF">
            <w:pPr>
              <w:pStyle w:val="39"/>
              <w:rPr>
                <w:rFonts w:asciiTheme="minorEastAsia" w:hAnsiTheme="minorEastAsia" w:eastAsiaTheme="minorEastAsia"/>
                <w:color w:val="000000"/>
                <w:sz w:val="24"/>
                <w:highlight w:val="none"/>
              </w:rPr>
            </w:pPr>
          </w:p>
          <w:p w14:paraId="71A7D4DF">
            <w:pPr>
              <w:pStyle w:val="39"/>
              <w:rPr>
                <w:rFonts w:asciiTheme="minorEastAsia" w:hAnsiTheme="minorEastAsia" w:eastAsiaTheme="minorEastAsia"/>
                <w:color w:val="000000"/>
                <w:sz w:val="24"/>
                <w:highlight w:val="none"/>
              </w:rPr>
            </w:pPr>
          </w:p>
          <w:p w14:paraId="346AC648">
            <w:pPr>
              <w:pStyle w:val="39"/>
              <w:rPr>
                <w:rFonts w:asciiTheme="minorEastAsia" w:hAnsiTheme="minorEastAsia" w:eastAsiaTheme="minorEastAsia"/>
                <w:color w:val="000000"/>
                <w:sz w:val="24"/>
                <w:highlight w:val="none"/>
              </w:rPr>
            </w:pPr>
          </w:p>
          <w:p w14:paraId="1EC259F0">
            <w:pPr>
              <w:pStyle w:val="39"/>
              <w:rPr>
                <w:rFonts w:asciiTheme="minorEastAsia" w:hAnsiTheme="minorEastAsia" w:eastAsiaTheme="minorEastAsia"/>
                <w:color w:val="000000"/>
                <w:sz w:val="24"/>
                <w:highlight w:val="none"/>
              </w:rPr>
            </w:pPr>
          </w:p>
          <w:p w14:paraId="597E29C1">
            <w:pPr>
              <w:pStyle w:val="39"/>
              <w:rPr>
                <w:rFonts w:asciiTheme="minorEastAsia" w:hAnsiTheme="minorEastAsia" w:eastAsiaTheme="minorEastAsia"/>
                <w:color w:val="000000"/>
                <w:sz w:val="24"/>
                <w:highlight w:val="none"/>
              </w:rPr>
            </w:pPr>
          </w:p>
          <w:p w14:paraId="5EAB4133">
            <w:pPr>
              <w:pStyle w:val="39"/>
              <w:rPr>
                <w:rFonts w:asciiTheme="minorEastAsia" w:hAnsiTheme="minorEastAsia" w:eastAsiaTheme="minorEastAsia"/>
                <w:color w:val="000000"/>
                <w:sz w:val="24"/>
                <w:highlight w:val="none"/>
              </w:rPr>
            </w:pPr>
          </w:p>
          <w:p w14:paraId="3BCA7AC0">
            <w:pPr>
              <w:pStyle w:val="39"/>
              <w:rPr>
                <w:rFonts w:asciiTheme="minorEastAsia" w:hAnsiTheme="minorEastAsia" w:eastAsiaTheme="minorEastAsia"/>
                <w:color w:val="000000"/>
                <w:sz w:val="24"/>
                <w:highlight w:val="none"/>
              </w:rPr>
            </w:pPr>
          </w:p>
          <w:p w14:paraId="78278D3E">
            <w:pPr>
              <w:pStyle w:val="39"/>
              <w:rPr>
                <w:rFonts w:asciiTheme="minorEastAsia" w:hAnsiTheme="minorEastAsia" w:eastAsiaTheme="minorEastAsia"/>
                <w:color w:val="000000"/>
                <w:sz w:val="24"/>
                <w:highlight w:val="none"/>
              </w:rPr>
            </w:pPr>
          </w:p>
          <w:p w14:paraId="4AFAF41F">
            <w:pPr>
              <w:pStyle w:val="39"/>
              <w:rPr>
                <w:rFonts w:asciiTheme="minorEastAsia" w:hAnsiTheme="minorEastAsia" w:eastAsiaTheme="minorEastAsia"/>
                <w:color w:val="000000"/>
                <w:sz w:val="24"/>
                <w:highlight w:val="none"/>
              </w:rPr>
            </w:pPr>
          </w:p>
          <w:p w14:paraId="10EFE14A">
            <w:pPr>
              <w:pStyle w:val="39"/>
              <w:rPr>
                <w:rFonts w:asciiTheme="minorEastAsia" w:hAnsiTheme="minorEastAsia" w:eastAsiaTheme="minorEastAsia"/>
                <w:color w:val="000000"/>
                <w:sz w:val="24"/>
                <w:highlight w:val="none"/>
              </w:rPr>
            </w:pPr>
          </w:p>
          <w:p w14:paraId="18610FF9">
            <w:pPr>
              <w:pStyle w:val="39"/>
              <w:rPr>
                <w:rFonts w:asciiTheme="minorEastAsia" w:hAnsiTheme="minorEastAsia" w:eastAsiaTheme="minorEastAsia"/>
                <w:color w:val="000000"/>
                <w:sz w:val="24"/>
                <w:highlight w:val="none"/>
              </w:rPr>
            </w:pPr>
          </w:p>
          <w:p w14:paraId="5B78F6D4">
            <w:pPr>
              <w:pStyle w:val="39"/>
              <w:rPr>
                <w:rFonts w:asciiTheme="minorEastAsia" w:hAnsiTheme="minorEastAsia" w:eastAsiaTheme="minorEastAsia"/>
                <w:color w:val="000000"/>
                <w:sz w:val="24"/>
                <w:highlight w:val="none"/>
              </w:rPr>
            </w:pPr>
          </w:p>
        </w:tc>
        <w:tc>
          <w:tcPr>
            <w:tcW w:w="4388" w:type="dxa"/>
            <w:tcBorders>
              <w:top w:val="nil"/>
              <w:left w:val="nil"/>
              <w:bottom w:val="nil"/>
              <w:right w:val="nil"/>
            </w:tcBorders>
          </w:tcPr>
          <w:p w14:paraId="3152DDFB">
            <w:pPr>
              <w:widowControl/>
              <w:adjustRightInd w:val="0"/>
              <w:rPr>
                <w:rFonts w:asciiTheme="minorEastAsia" w:hAnsiTheme="minorEastAsia" w:eastAsiaTheme="minorEastAsia"/>
                <w:color w:val="000000"/>
                <w:sz w:val="24"/>
                <w:highlight w:val="none"/>
              </w:rPr>
            </w:pPr>
          </w:p>
        </w:tc>
      </w:tr>
    </w:tbl>
    <w:p w14:paraId="6C41DAF7">
      <w:pPr>
        <w:spacing w:line="360" w:lineRule="auto"/>
        <w:jc w:val="center"/>
        <w:rPr>
          <w:rFonts w:ascii="宋体" w:hAnsi="宋体" w:cs="宋体"/>
          <w:b/>
          <w:sz w:val="72"/>
          <w:highlight w:val="none"/>
        </w:rPr>
      </w:pPr>
      <w:r>
        <w:rPr>
          <w:rFonts w:hint="eastAsia" w:ascii="宋体" w:hAnsi="宋体" w:cs="宋体"/>
          <w:b/>
          <w:sz w:val="72"/>
          <w:highlight w:val="none"/>
        </w:rPr>
        <w:t>竞争性磋商响应文件</w:t>
      </w:r>
    </w:p>
    <w:p w14:paraId="357A1F28">
      <w:pPr>
        <w:spacing w:line="360" w:lineRule="auto"/>
        <w:ind w:firstLine="3708" w:firstLineChars="1026"/>
        <w:rPr>
          <w:rFonts w:ascii="宋体" w:hAnsi="宋体" w:cs="宋体"/>
          <w:b/>
          <w:sz w:val="36"/>
          <w:highlight w:val="none"/>
        </w:rPr>
      </w:pPr>
    </w:p>
    <w:p w14:paraId="290A0AE3">
      <w:pPr>
        <w:spacing w:line="360" w:lineRule="auto"/>
        <w:jc w:val="center"/>
        <w:rPr>
          <w:rFonts w:ascii="宋体" w:hAnsi="宋体" w:cs="宋体"/>
          <w:b/>
          <w:sz w:val="36"/>
          <w:highlight w:val="none"/>
        </w:rPr>
      </w:pPr>
    </w:p>
    <w:p w14:paraId="015079A4">
      <w:pPr>
        <w:spacing w:line="360" w:lineRule="auto"/>
        <w:jc w:val="center"/>
        <w:rPr>
          <w:rFonts w:ascii="宋体" w:hAnsi="宋体" w:cs="宋体"/>
          <w:b/>
          <w:sz w:val="36"/>
          <w:highlight w:val="none"/>
        </w:rPr>
      </w:pPr>
    </w:p>
    <w:p w14:paraId="07572D86">
      <w:pPr>
        <w:spacing w:line="360" w:lineRule="auto"/>
        <w:jc w:val="center"/>
        <w:rPr>
          <w:rFonts w:ascii="宋体" w:hAnsi="宋体" w:cs="宋体"/>
          <w:b/>
          <w:sz w:val="36"/>
          <w:highlight w:val="none"/>
        </w:rPr>
      </w:pPr>
    </w:p>
    <w:p w14:paraId="367A0FD9">
      <w:pPr>
        <w:spacing w:line="360" w:lineRule="auto"/>
        <w:jc w:val="center"/>
        <w:rPr>
          <w:rFonts w:ascii="宋体" w:hAnsi="宋体" w:cs="宋体"/>
          <w:b/>
          <w:sz w:val="36"/>
          <w:highlight w:val="none"/>
        </w:rPr>
      </w:pPr>
    </w:p>
    <w:p w14:paraId="03BED695">
      <w:pPr>
        <w:spacing w:line="360" w:lineRule="auto"/>
        <w:jc w:val="center"/>
        <w:rPr>
          <w:rFonts w:ascii="宋体" w:hAnsi="宋体" w:cs="宋体"/>
          <w:b/>
          <w:sz w:val="36"/>
          <w:highlight w:val="none"/>
        </w:rPr>
      </w:pPr>
    </w:p>
    <w:p w14:paraId="4B3ACCB9">
      <w:pPr>
        <w:spacing w:line="360" w:lineRule="auto"/>
        <w:jc w:val="center"/>
        <w:rPr>
          <w:rFonts w:ascii="宋体" w:hAnsi="宋体" w:cs="宋体"/>
          <w:b/>
          <w:sz w:val="36"/>
          <w:highlight w:val="none"/>
        </w:rPr>
      </w:pPr>
    </w:p>
    <w:p w14:paraId="29CCB0B2">
      <w:pPr>
        <w:spacing w:line="360" w:lineRule="auto"/>
        <w:jc w:val="center"/>
        <w:rPr>
          <w:rFonts w:ascii="宋体" w:hAnsi="宋体" w:cs="宋体"/>
          <w:b/>
          <w:sz w:val="36"/>
          <w:highlight w:val="none"/>
        </w:rPr>
      </w:pPr>
    </w:p>
    <w:p w14:paraId="2CA36E30">
      <w:pPr>
        <w:spacing w:line="360" w:lineRule="auto"/>
        <w:ind w:firstLine="1084" w:firstLineChars="300"/>
        <w:rPr>
          <w:rFonts w:ascii="宋体" w:hAnsi="宋体" w:cs="宋体"/>
          <w:b/>
          <w:sz w:val="36"/>
          <w:highlight w:val="none"/>
        </w:rPr>
      </w:pPr>
      <w:r>
        <w:rPr>
          <w:rFonts w:hint="eastAsia" w:ascii="宋体" w:hAnsi="宋体" w:cs="宋体"/>
          <w:b/>
          <w:sz w:val="36"/>
          <w:highlight w:val="none"/>
        </w:rPr>
        <w:t xml:space="preserve">项 目 编 号： </w:t>
      </w:r>
    </w:p>
    <w:p w14:paraId="14C6F2E5">
      <w:pPr>
        <w:spacing w:line="360" w:lineRule="auto"/>
        <w:ind w:firstLine="1084" w:firstLineChars="300"/>
        <w:rPr>
          <w:rFonts w:ascii="宋体" w:hAnsi="宋体" w:cs="宋体"/>
          <w:b/>
          <w:sz w:val="36"/>
          <w:highlight w:val="none"/>
        </w:rPr>
      </w:pPr>
      <w:r>
        <w:rPr>
          <w:rFonts w:hint="eastAsia" w:ascii="宋体" w:hAnsi="宋体" w:cs="宋体"/>
          <w:b/>
          <w:sz w:val="36"/>
          <w:highlight w:val="none"/>
        </w:rPr>
        <w:t xml:space="preserve">项 目 名 称： </w:t>
      </w:r>
    </w:p>
    <w:p w14:paraId="2F60EB4C">
      <w:pPr>
        <w:spacing w:line="360" w:lineRule="auto"/>
        <w:rPr>
          <w:rFonts w:ascii="宋体" w:hAnsi="宋体" w:cs="宋体"/>
          <w:b/>
          <w:sz w:val="36"/>
          <w:highlight w:val="none"/>
          <w:u w:val="single"/>
        </w:rPr>
      </w:pPr>
      <w:r>
        <w:rPr>
          <w:rFonts w:hint="eastAsia" w:ascii="宋体" w:hAnsi="宋体" w:cs="宋体"/>
          <w:b/>
          <w:sz w:val="36"/>
          <w:highlight w:val="none"/>
        </w:rPr>
        <w:t xml:space="preserve">      供  应  商 ：</w:t>
      </w:r>
    </w:p>
    <w:p w14:paraId="342F8D9D">
      <w:pPr>
        <w:spacing w:line="360" w:lineRule="auto"/>
        <w:rPr>
          <w:rFonts w:ascii="宋体" w:hAnsi="宋体" w:cs="宋体"/>
          <w:b/>
          <w:sz w:val="36"/>
          <w:highlight w:val="none"/>
        </w:rPr>
      </w:pPr>
      <w:r>
        <w:rPr>
          <w:rFonts w:hint="eastAsia" w:ascii="宋体" w:hAnsi="宋体" w:cs="宋体"/>
          <w:b/>
          <w:sz w:val="36"/>
          <w:highlight w:val="none"/>
        </w:rPr>
        <w:t xml:space="preserve">      日      期 ：</w:t>
      </w:r>
    </w:p>
    <w:p w14:paraId="1F58930F">
      <w:pPr>
        <w:jc w:val="center"/>
        <w:outlineLvl w:val="1"/>
        <w:rPr>
          <w:rFonts w:ascii="宋体" w:hAnsi="宋体" w:cs="宋体"/>
          <w:b/>
          <w:sz w:val="30"/>
          <w:szCs w:val="30"/>
          <w:highlight w:val="none"/>
        </w:rPr>
      </w:pPr>
      <w:bookmarkStart w:id="207" w:name="_Toc30003"/>
      <w:bookmarkStart w:id="208" w:name="_Toc2854"/>
      <w:bookmarkStart w:id="209" w:name="_Toc43217798"/>
      <w:bookmarkStart w:id="210" w:name="_Toc22008"/>
      <w:bookmarkStart w:id="211" w:name="_Toc31128"/>
      <w:bookmarkStart w:id="212" w:name="_Toc490"/>
      <w:bookmarkStart w:id="213" w:name="_Toc31892"/>
      <w:bookmarkStart w:id="214" w:name="_Toc9933261"/>
      <w:r>
        <w:rPr>
          <w:rFonts w:hint="eastAsia" w:ascii="宋体" w:hAnsi="宋体" w:cs="宋体"/>
          <w:b/>
          <w:sz w:val="30"/>
          <w:szCs w:val="30"/>
          <w:highlight w:val="none"/>
        </w:rPr>
        <w:t>评分索引表</w:t>
      </w:r>
      <w:bookmarkEnd w:id="207"/>
      <w:bookmarkEnd w:id="208"/>
      <w:bookmarkEnd w:id="209"/>
      <w:bookmarkEnd w:id="210"/>
      <w:bookmarkEnd w:id="211"/>
      <w:bookmarkEnd w:id="212"/>
      <w:bookmarkEnd w:id="213"/>
      <w:bookmarkEnd w:id="214"/>
    </w:p>
    <w:tbl>
      <w:tblPr>
        <w:tblStyle w:val="2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0"/>
        <w:gridCol w:w="3570"/>
      </w:tblGrid>
      <w:tr w14:paraId="529EB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670" w:type="dxa"/>
          </w:tcPr>
          <w:p w14:paraId="240E63D1">
            <w:pPr>
              <w:jc w:val="center"/>
              <w:rPr>
                <w:rFonts w:ascii="宋体" w:hAnsi="宋体" w:cs="宋体"/>
                <w:highlight w:val="none"/>
              </w:rPr>
            </w:pPr>
            <w:r>
              <w:rPr>
                <w:rFonts w:hint="eastAsia" w:ascii="宋体" w:hAnsi="宋体" w:cs="宋体"/>
                <w:highlight w:val="none"/>
              </w:rPr>
              <w:t>评分项目</w:t>
            </w:r>
          </w:p>
        </w:tc>
        <w:tc>
          <w:tcPr>
            <w:tcW w:w="3570" w:type="dxa"/>
          </w:tcPr>
          <w:p w14:paraId="571819B3">
            <w:pPr>
              <w:jc w:val="center"/>
              <w:rPr>
                <w:rFonts w:ascii="宋体" w:hAnsi="宋体" w:cs="宋体"/>
                <w:highlight w:val="none"/>
              </w:rPr>
            </w:pPr>
            <w:r>
              <w:rPr>
                <w:rFonts w:hint="eastAsia" w:ascii="宋体" w:hAnsi="宋体" w:cs="宋体"/>
                <w:highlight w:val="none"/>
              </w:rPr>
              <w:t>在投标文件中的页码位置</w:t>
            </w:r>
          </w:p>
        </w:tc>
      </w:tr>
      <w:tr w14:paraId="697FC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670" w:type="dxa"/>
          </w:tcPr>
          <w:p w14:paraId="2E667FFF">
            <w:pPr>
              <w:rPr>
                <w:rFonts w:ascii="宋体" w:hAnsi="宋体" w:cs="宋体"/>
                <w:highlight w:val="none"/>
              </w:rPr>
            </w:pPr>
          </w:p>
        </w:tc>
        <w:tc>
          <w:tcPr>
            <w:tcW w:w="3570" w:type="dxa"/>
          </w:tcPr>
          <w:p w14:paraId="2D4920E5">
            <w:pPr>
              <w:rPr>
                <w:rFonts w:ascii="宋体" w:hAnsi="宋体" w:cs="宋体"/>
                <w:highlight w:val="none"/>
              </w:rPr>
            </w:pPr>
          </w:p>
        </w:tc>
      </w:tr>
      <w:tr w14:paraId="3D3CC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670" w:type="dxa"/>
          </w:tcPr>
          <w:p w14:paraId="651E74C7">
            <w:pPr>
              <w:rPr>
                <w:rFonts w:ascii="宋体" w:hAnsi="宋体" w:cs="宋体"/>
                <w:highlight w:val="none"/>
              </w:rPr>
            </w:pPr>
          </w:p>
        </w:tc>
        <w:tc>
          <w:tcPr>
            <w:tcW w:w="3570" w:type="dxa"/>
          </w:tcPr>
          <w:p w14:paraId="5C72DAB2">
            <w:pPr>
              <w:rPr>
                <w:rFonts w:ascii="宋体" w:hAnsi="宋体" w:cs="宋体"/>
                <w:highlight w:val="none"/>
              </w:rPr>
            </w:pPr>
          </w:p>
        </w:tc>
      </w:tr>
      <w:tr w14:paraId="37A48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670" w:type="dxa"/>
          </w:tcPr>
          <w:p w14:paraId="5FC96427">
            <w:pPr>
              <w:rPr>
                <w:rFonts w:ascii="宋体" w:hAnsi="宋体" w:cs="宋体"/>
                <w:highlight w:val="none"/>
              </w:rPr>
            </w:pPr>
          </w:p>
        </w:tc>
        <w:tc>
          <w:tcPr>
            <w:tcW w:w="3570" w:type="dxa"/>
          </w:tcPr>
          <w:p w14:paraId="4C1408DB">
            <w:pPr>
              <w:rPr>
                <w:rFonts w:ascii="宋体" w:hAnsi="宋体" w:cs="宋体"/>
                <w:highlight w:val="none"/>
              </w:rPr>
            </w:pPr>
          </w:p>
        </w:tc>
      </w:tr>
      <w:tr w14:paraId="3837F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670" w:type="dxa"/>
          </w:tcPr>
          <w:p w14:paraId="3DEE764A">
            <w:pPr>
              <w:rPr>
                <w:rFonts w:ascii="宋体" w:hAnsi="宋体" w:cs="宋体"/>
                <w:highlight w:val="none"/>
              </w:rPr>
            </w:pPr>
          </w:p>
        </w:tc>
        <w:tc>
          <w:tcPr>
            <w:tcW w:w="3570" w:type="dxa"/>
          </w:tcPr>
          <w:p w14:paraId="003CD159">
            <w:pPr>
              <w:rPr>
                <w:rFonts w:ascii="宋体" w:hAnsi="宋体" w:cs="宋体"/>
                <w:highlight w:val="none"/>
              </w:rPr>
            </w:pPr>
          </w:p>
        </w:tc>
      </w:tr>
      <w:tr w14:paraId="3EEAD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670" w:type="dxa"/>
          </w:tcPr>
          <w:p w14:paraId="56D8EB4D">
            <w:pPr>
              <w:rPr>
                <w:rFonts w:ascii="宋体" w:hAnsi="宋体" w:cs="宋体"/>
                <w:highlight w:val="none"/>
              </w:rPr>
            </w:pPr>
          </w:p>
        </w:tc>
        <w:tc>
          <w:tcPr>
            <w:tcW w:w="3570" w:type="dxa"/>
          </w:tcPr>
          <w:p w14:paraId="5AC7D2B2">
            <w:pPr>
              <w:rPr>
                <w:rFonts w:ascii="宋体" w:hAnsi="宋体" w:cs="宋体"/>
                <w:highlight w:val="none"/>
              </w:rPr>
            </w:pPr>
          </w:p>
        </w:tc>
      </w:tr>
      <w:tr w14:paraId="5BFE6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670" w:type="dxa"/>
          </w:tcPr>
          <w:p w14:paraId="52FFC302">
            <w:pPr>
              <w:rPr>
                <w:rFonts w:ascii="宋体" w:hAnsi="宋体" w:cs="宋体"/>
                <w:highlight w:val="none"/>
              </w:rPr>
            </w:pPr>
          </w:p>
        </w:tc>
        <w:tc>
          <w:tcPr>
            <w:tcW w:w="3570" w:type="dxa"/>
          </w:tcPr>
          <w:p w14:paraId="38E8F4A6">
            <w:pPr>
              <w:rPr>
                <w:rFonts w:ascii="宋体" w:hAnsi="宋体" w:cs="宋体"/>
                <w:highlight w:val="none"/>
              </w:rPr>
            </w:pPr>
          </w:p>
        </w:tc>
      </w:tr>
      <w:tr w14:paraId="526C8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670" w:type="dxa"/>
          </w:tcPr>
          <w:p w14:paraId="496B77BB">
            <w:pPr>
              <w:rPr>
                <w:rFonts w:ascii="宋体" w:hAnsi="宋体" w:cs="宋体"/>
                <w:highlight w:val="none"/>
              </w:rPr>
            </w:pPr>
          </w:p>
        </w:tc>
        <w:tc>
          <w:tcPr>
            <w:tcW w:w="3570" w:type="dxa"/>
          </w:tcPr>
          <w:p w14:paraId="3ADD2F4E">
            <w:pPr>
              <w:rPr>
                <w:rFonts w:ascii="宋体" w:hAnsi="宋体" w:cs="宋体"/>
                <w:highlight w:val="none"/>
              </w:rPr>
            </w:pPr>
          </w:p>
        </w:tc>
      </w:tr>
      <w:tr w14:paraId="08835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5670" w:type="dxa"/>
          </w:tcPr>
          <w:p w14:paraId="294A1661">
            <w:pPr>
              <w:rPr>
                <w:rFonts w:ascii="宋体" w:hAnsi="宋体" w:cs="宋体"/>
                <w:highlight w:val="none"/>
              </w:rPr>
            </w:pPr>
            <w:r>
              <w:rPr>
                <w:rFonts w:hint="eastAsia" w:ascii="宋体" w:hAnsi="宋体" w:cs="宋体"/>
                <w:highlight w:val="none"/>
              </w:rPr>
              <w:t>行数不够，自行添加</w:t>
            </w:r>
          </w:p>
        </w:tc>
        <w:tc>
          <w:tcPr>
            <w:tcW w:w="3570" w:type="dxa"/>
          </w:tcPr>
          <w:p w14:paraId="1A494907">
            <w:pPr>
              <w:rPr>
                <w:rFonts w:ascii="宋体" w:hAnsi="宋体" w:cs="宋体"/>
                <w:highlight w:val="none"/>
              </w:rPr>
            </w:pPr>
          </w:p>
        </w:tc>
      </w:tr>
    </w:tbl>
    <w:p w14:paraId="31BEC2AD">
      <w:pPr>
        <w:jc w:val="left"/>
        <w:rPr>
          <w:rFonts w:ascii="宋体" w:hAnsi="宋体" w:cs="宋体"/>
          <w:b/>
          <w:highlight w:val="none"/>
        </w:rPr>
      </w:pPr>
      <w:r>
        <w:rPr>
          <w:rFonts w:hint="eastAsia" w:ascii="宋体" w:hAnsi="宋体" w:cs="宋体"/>
          <w:highlight w:val="none"/>
        </w:rPr>
        <w:t>注：建议投标供应商为《投标书》制作详细目录，并将该《评分索引表》放在投标书目录之前。</w:t>
      </w:r>
    </w:p>
    <w:p w14:paraId="7E3F2FE6">
      <w:pPr>
        <w:spacing w:line="360" w:lineRule="auto"/>
        <w:rPr>
          <w:rFonts w:ascii="宋体" w:hAnsi="宋体" w:cs="宋体"/>
          <w:b/>
          <w:bCs/>
          <w:sz w:val="44"/>
          <w:highlight w:val="none"/>
        </w:rPr>
      </w:pPr>
    </w:p>
    <w:p w14:paraId="591D8E94">
      <w:pPr>
        <w:spacing w:line="360" w:lineRule="auto"/>
        <w:jc w:val="center"/>
        <w:outlineLvl w:val="0"/>
        <w:rPr>
          <w:rFonts w:ascii="宋体" w:hAnsi="宋体" w:cs="宋体"/>
          <w:b/>
          <w:bCs/>
          <w:sz w:val="44"/>
          <w:highlight w:val="none"/>
        </w:rPr>
      </w:pPr>
    </w:p>
    <w:p w14:paraId="5DF39FB3">
      <w:pPr>
        <w:outlineLvl w:val="1"/>
        <w:rPr>
          <w:b/>
          <w:szCs w:val="21"/>
          <w:highlight w:val="none"/>
        </w:rPr>
      </w:pPr>
      <w:bookmarkStart w:id="215" w:name="_Toc11327"/>
      <w:bookmarkStart w:id="216" w:name="_Toc25732"/>
      <w:bookmarkStart w:id="217" w:name="_Toc4572"/>
      <w:bookmarkStart w:id="218" w:name="_Toc3217"/>
      <w:bookmarkStart w:id="219" w:name="_Toc9682"/>
    </w:p>
    <w:p w14:paraId="6642915B">
      <w:pPr>
        <w:outlineLvl w:val="1"/>
        <w:rPr>
          <w:b/>
          <w:szCs w:val="21"/>
          <w:highlight w:val="none"/>
        </w:rPr>
      </w:pPr>
    </w:p>
    <w:p w14:paraId="22CF4F84">
      <w:pPr>
        <w:outlineLvl w:val="1"/>
        <w:rPr>
          <w:b/>
          <w:szCs w:val="21"/>
          <w:highlight w:val="none"/>
        </w:rPr>
      </w:pPr>
    </w:p>
    <w:p w14:paraId="062A2D4F">
      <w:pPr>
        <w:outlineLvl w:val="1"/>
        <w:rPr>
          <w:b/>
          <w:szCs w:val="21"/>
          <w:highlight w:val="none"/>
        </w:rPr>
      </w:pPr>
    </w:p>
    <w:p w14:paraId="1B18E593">
      <w:pPr>
        <w:outlineLvl w:val="1"/>
        <w:rPr>
          <w:b/>
          <w:szCs w:val="21"/>
          <w:highlight w:val="none"/>
        </w:rPr>
      </w:pPr>
    </w:p>
    <w:p w14:paraId="252C02E2">
      <w:pPr>
        <w:outlineLvl w:val="1"/>
        <w:rPr>
          <w:b/>
          <w:szCs w:val="21"/>
          <w:highlight w:val="none"/>
        </w:rPr>
      </w:pPr>
    </w:p>
    <w:p w14:paraId="247760B6">
      <w:pPr>
        <w:outlineLvl w:val="1"/>
        <w:rPr>
          <w:b/>
          <w:szCs w:val="21"/>
          <w:highlight w:val="none"/>
        </w:rPr>
      </w:pPr>
    </w:p>
    <w:p w14:paraId="12C5D9F8">
      <w:pPr>
        <w:outlineLvl w:val="1"/>
        <w:rPr>
          <w:b/>
          <w:szCs w:val="21"/>
          <w:highlight w:val="none"/>
        </w:rPr>
      </w:pPr>
    </w:p>
    <w:p w14:paraId="4B47CD3E">
      <w:pPr>
        <w:outlineLvl w:val="1"/>
        <w:rPr>
          <w:b/>
          <w:szCs w:val="21"/>
          <w:highlight w:val="none"/>
        </w:rPr>
      </w:pPr>
    </w:p>
    <w:p w14:paraId="1C99AEAC">
      <w:pPr>
        <w:outlineLvl w:val="1"/>
        <w:rPr>
          <w:b/>
          <w:szCs w:val="21"/>
          <w:highlight w:val="none"/>
        </w:rPr>
      </w:pPr>
    </w:p>
    <w:p w14:paraId="4ECECC95">
      <w:pPr>
        <w:outlineLvl w:val="1"/>
        <w:rPr>
          <w:b/>
          <w:szCs w:val="21"/>
          <w:highlight w:val="none"/>
        </w:rPr>
      </w:pPr>
    </w:p>
    <w:p w14:paraId="6E8B50A2">
      <w:pPr>
        <w:outlineLvl w:val="1"/>
        <w:rPr>
          <w:b/>
          <w:szCs w:val="21"/>
          <w:highlight w:val="none"/>
        </w:rPr>
      </w:pPr>
    </w:p>
    <w:p w14:paraId="71A15541">
      <w:pPr>
        <w:outlineLvl w:val="1"/>
        <w:rPr>
          <w:b/>
          <w:szCs w:val="21"/>
          <w:highlight w:val="none"/>
        </w:rPr>
      </w:pPr>
    </w:p>
    <w:p w14:paraId="555088F0">
      <w:pPr>
        <w:outlineLvl w:val="1"/>
        <w:rPr>
          <w:b/>
          <w:szCs w:val="21"/>
          <w:highlight w:val="none"/>
        </w:rPr>
      </w:pPr>
    </w:p>
    <w:p w14:paraId="0DA22F70">
      <w:pPr>
        <w:outlineLvl w:val="1"/>
        <w:rPr>
          <w:b/>
          <w:szCs w:val="21"/>
          <w:highlight w:val="none"/>
        </w:rPr>
      </w:pPr>
    </w:p>
    <w:p w14:paraId="2202A3C5">
      <w:pPr>
        <w:outlineLvl w:val="1"/>
        <w:rPr>
          <w:b/>
          <w:szCs w:val="21"/>
          <w:highlight w:val="none"/>
        </w:rPr>
      </w:pPr>
    </w:p>
    <w:p w14:paraId="5A518C5D">
      <w:pPr>
        <w:outlineLvl w:val="1"/>
        <w:rPr>
          <w:b/>
          <w:szCs w:val="21"/>
          <w:highlight w:val="none"/>
        </w:rPr>
      </w:pPr>
    </w:p>
    <w:p w14:paraId="0582B6C9">
      <w:pPr>
        <w:outlineLvl w:val="1"/>
        <w:rPr>
          <w:b/>
          <w:szCs w:val="21"/>
          <w:highlight w:val="none"/>
        </w:rPr>
      </w:pPr>
    </w:p>
    <w:p w14:paraId="02AAFF2F">
      <w:pPr>
        <w:outlineLvl w:val="1"/>
        <w:rPr>
          <w:b/>
          <w:szCs w:val="21"/>
          <w:highlight w:val="none"/>
        </w:rPr>
      </w:pPr>
    </w:p>
    <w:p w14:paraId="750C7075">
      <w:pPr>
        <w:outlineLvl w:val="1"/>
        <w:rPr>
          <w:b/>
          <w:szCs w:val="21"/>
          <w:highlight w:val="none"/>
        </w:rPr>
      </w:pPr>
    </w:p>
    <w:p w14:paraId="79433628">
      <w:pPr>
        <w:outlineLvl w:val="1"/>
        <w:rPr>
          <w:b/>
          <w:szCs w:val="21"/>
          <w:highlight w:val="none"/>
        </w:rPr>
      </w:pPr>
    </w:p>
    <w:p w14:paraId="2281A4D4">
      <w:pPr>
        <w:outlineLvl w:val="1"/>
        <w:rPr>
          <w:b/>
          <w:szCs w:val="21"/>
          <w:highlight w:val="none"/>
        </w:rPr>
      </w:pPr>
    </w:p>
    <w:p w14:paraId="629D1C13">
      <w:pPr>
        <w:outlineLvl w:val="1"/>
        <w:rPr>
          <w:b/>
          <w:szCs w:val="21"/>
          <w:highlight w:val="none"/>
        </w:rPr>
      </w:pPr>
    </w:p>
    <w:p w14:paraId="404AF48C">
      <w:pPr>
        <w:outlineLvl w:val="1"/>
        <w:rPr>
          <w:b/>
          <w:szCs w:val="21"/>
          <w:highlight w:val="none"/>
        </w:rPr>
      </w:pPr>
    </w:p>
    <w:p w14:paraId="16946B10">
      <w:pPr>
        <w:outlineLvl w:val="1"/>
        <w:rPr>
          <w:b/>
          <w:szCs w:val="21"/>
          <w:highlight w:val="none"/>
        </w:rPr>
      </w:pPr>
    </w:p>
    <w:p w14:paraId="56DC143C">
      <w:pPr>
        <w:outlineLvl w:val="1"/>
        <w:rPr>
          <w:b/>
          <w:szCs w:val="21"/>
          <w:highlight w:val="none"/>
        </w:rPr>
      </w:pPr>
    </w:p>
    <w:p w14:paraId="54013051">
      <w:pPr>
        <w:outlineLvl w:val="1"/>
        <w:rPr>
          <w:b/>
          <w:szCs w:val="21"/>
          <w:highlight w:val="none"/>
        </w:rPr>
      </w:pPr>
    </w:p>
    <w:p w14:paraId="4CA76A31">
      <w:pPr>
        <w:outlineLvl w:val="1"/>
        <w:rPr>
          <w:b/>
          <w:szCs w:val="21"/>
          <w:highlight w:val="none"/>
        </w:rPr>
      </w:pPr>
    </w:p>
    <w:p w14:paraId="4DA1C0AD">
      <w:pPr>
        <w:outlineLvl w:val="1"/>
        <w:rPr>
          <w:b/>
          <w:szCs w:val="21"/>
          <w:highlight w:val="none"/>
        </w:rPr>
      </w:pPr>
    </w:p>
    <w:p w14:paraId="516995BF">
      <w:pPr>
        <w:outlineLvl w:val="1"/>
        <w:rPr>
          <w:b/>
          <w:szCs w:val="21"/>
          <w:highlight w:val="none"/>
        </w:rPr>
      </w:pPr>
    </w:p>
    <w:p w14:paraId="5AA2A59D">
      <w:pPr>
        <w:outlineLvl w:val="1"/>
        <w:rPr>
          <w:b/>
          <w:szCs w:val="21"/>
          <w:highlight w:val="none"/>
        </w:rPr>
      </w:pPr>
    </w:p>
    <w:p w14:paraId="2CB86116">
      <w:pPr>
        <w:outlineLvl w:val="1"/>
        <w:rPr>
          <w:b/>
          <w:szCs w:val="21"/>
          <w:highlight w:val="none"/>
        </w:rPr>
      </w:pPr>
    </w:p>
    <w:p w14:paraId="4EE16E23">
      <w:pPr>
        <w:outlineLvl w:val="1"/>
        <w:rPr>
          <w:b/>
          <w:szCs w:val="21"/>
          <w:highlight w:val="none"/>
        </w:rPr>
      </w:pPr>
    </w:p>
    <w:p w14:paraId="394B0E8E">
      <w:pPr>
        <w:outlineLvl w:val="1"/>
        <w:rPr>
          <w:b/>
          <w:szCs w:val="21"/>
          <w:highlight w:val="none"/>
        </w:rPr>
      </w:pPr>
    </w:p>
    <w:bookmarkEnd w:id="194"/>
    <w:bookmarkEnd w:id="195"/>
    <w:bookmarkEnd w:id="196"/>
    <w:bookmarkEnd w:id="197"/>
    <w:bookmarkEnd w:id="198"/>
    <w:bookmarkEnd w:id="199"/>
    <w:bookmarkEnd w:id="200"/>
    <w:bookmarkEnd w:id="201"/>
    <w:bookmarkEnd w:id="202"/>
    <w:bookmarkEnd w:id="203"/>
    <w:bookmarkEnd w:id="204"/>
    <w:bookmarkEnd w:id="205"/>
    <w:bookmarkEnd w:id="206"/>
    <w:bookmarkEnd w:id="215"/>
    <w:bookmarkEnd w:id="216"/>
    <w:bookmarkEnd w:id="217"/>
    <w:bookmarkEnd w:id="218"/>
    <w:bookmarkEnd w:id="219"/>
    <w:p w14:paraId="0F7A2F43">
      <w:pPr>
        <w:outlineLvl w:val="1"/>
        <w:rPr>
          <w:rFonts w:ascii="宋体" w:hAnsi="宋体" w:cs="宋体"/>
          <w:b/>
          <w:sz w:val="30"/>
          <w:szCs w:val="30"/>
          <w:highlight w:val="none"/>
        </w:rPr>
      </w:pPr>
      <w:r>
        <w:rPr>
          <w:rFonts w:hint="eastAsia" w:ascii="宋体" w:hAnsi="宋体" w:cs="宋体"/>
          <w:b/>
          <w:sz w:val="30"/>
          <w:szCs w:val="30"/>
          <w:highlight w:val="none"/>
        </w:rPr>
        <w:t>一、磋商申请及声明</w:t>
      </w:r>
    </w:p>
    <w:p w14:paraId="5D73D05D">
      <w:pPr>
        <w:jc w:val="center"/>
        <w:outlineLvl w:val="1"/>
        <w:rPr>
          <w:rFonts w:ascii="宋体" w:hAnsi="宋体" w:cs="宋体"/>
          <w:b/>
          <w:sz w:val="30"/>
          <w:szCs w:val="30"/>
          <w:highlight w:val="none"/>
          <w:lang w:val="zh-CN"/>
        </w:rPr>
      </w:pPr>
    </w:p>
    <w:p w14:paraId="3F0D7460">
      <w:pPr>
        <w:spacing w:line="360" w:lineRule="auto"/>
        <w:jc w:val="center"/>
        <w:rPr>
          <w:rFonts w:ascii="宋体"/>
          <w:sz w:val="30"/>
          <w:szCs w:val="30"/>
          <w:highlight w:val="none"/>
          <w:lang w:val="zh-CN"/>
        </w:rPr>
      </w:pPr>
      <w:r>
        <w:rPr>
          <w:rFonts w:hint="eastAsia" w:ascii="宋体"/>
          <w:sz w:val="30"/>
          <w:szCs w:val="30"/>
          <w:highlight w:val="none"/>
          <w:lang w:val="zh-CN"/>
        </w:rPr>
        <w:t>磋商申请及声明</w:t>
      </w:r>
    </w:p>
    <w:p w14:paraId="023652A2">
      <w:pPr>
        <w:spacing w:line="360" w:lineRule="auto"/>
        <w:rPr>
          <w:rFonts w:ascii="宋体"/>
          <w:szCs w:val="21"/>
          <w:highlight w:val="none"/>
          <w:lang w:val="zh-CN"/>
        </w:rPr>
      </w:pPr>
    </w:p>
    <w:p w14:paraId="790CB676">
      <w:pPr>
        <w:spacing w:line="360" w:lineRule="auto"/>
        <w:rPr>
          <w:rFonts w:hint="eastAsia" w:ascii="宋体" w:eastAsia="宋体"/>
          <w:szCs w:val="21"/>
          <w:highlight w:val="none"/>
          <w:lang w:val="zh-CN" w:eastAsia="zh-CN"/>
        </w:rPr>
      </w:pPr>
      <w:r>
        <w:rPr>
          <w:rFonts w:hint="eastAsia" w:ascii="宋体"/>
          <w:szCs w:val="21"/>
          <w:highlight w:val="none"/>
          <w:lang w:val="zh-CN"/>
        </w:rPr>
        <w:t>致：</w:t>
      </w:r>
      <w:r>
        <w:rPr>
          <w:rFonts w:hint="eastAsia" w:ascii="宋体"/>
          <w:szCs w:val="21"/>
          <w:highlight w:val="none"/>
        </w:rPr>
        <w:t xml:space="preserve"> </w:t>
      </w:r>
      <w:r>
        <w:rPr>
          <w:rFonts w:hint="eastAsia" w:ascii="宋体"/>
          <w:szCs w:val="21"/>
          <w:highlight w:val="none"/>
          <w:lang w:eastAsia="zh-CN"/>
        </w:rPr>
        <w:t>南京市江宁区人民政府淳化街道办事处</w:t>
      </w:r>
    </w:p>
    <w:p w14:paraId="77C0D41D">
      <w:pPr>
        <w:spacing w:line="360" w:lineRule="auto"/>
        <w:ind w:left="210" w:leftChars="100" w:firstLine="157" w:firstLineChars="75"/>
        <w:rPr>
          <w:rFonts w:ascii="宋体"/>
          <w:szCs w:val="21"/>
          <w:highlight w:val="none"/>
          <w:lang w:val="zh-CN"/>
        </w:rPr>
      </w:pPr>
      <w:r>
        <w:rPr>
          <w:rFonts w:hint="eastAsia" w:ascii="宋体"/>
          <w:szCs w:val="21"/>
          <w:highlight w:val="none"/>
          <w:lang w:val="zh-CN"/>
        </w:rPr>
        <w:t>根据贵方</w:t>
      </w:r>
      <w:r>
        <w:rPr>
          <w:rFonts w:hint="eastAsia" w:ascii="宋体"/>
          <w:szCs w:val="21"/>
          <w:highlight w:val="none"/>
          <w:u w:val="single"/>
        </w:rPr>
        <w:t xml:space="preserve">   </w:t>
      </w:r>
      <w:r>
        <w:rPr>
          <w:rFonts w:hint="eastAsia" w:ascii="宋体"/>
          <w:szCs w:val="21"/>
          <w:highlight w:val="none"/>
          <w:lang w:val="zh-CN"/>
        </w:rPr>
        <w:t>号采购文件，正式授权下述签字人</w:t>
      </w:r>
      <w:r>
        <w:rPr>
          <w:rFonts w:hint="eastAsia" w:ascii="宋体"/>
          <w:szCs w:val="21"/>
          <w:highlight w:val="none"/>
          <w:u w:val="single"/>
          <w:lang w:val="zh-CN"/>
        </w:rPr>
        <w:t xml:space="preserve">  </w:t>
      </w:r>
      <w:r>
        <w:rPr>
          <w:rFonts w:hint="eastAsia" w:ascii="宋体"/>
          <w:szCs w:val="21"/>
          <w:highlight w:val="none"/>
          <w:u w:val="single"/>
        </w:rPr>
        <w:t xml:space="preserve">  </w:t>
      </w:r>
      <w:r>
        <w:rPr>
          <w:rFonts w:hint="eastAsia" w:ascii="宋体"/>
          <w:szCs w:val="21"/>
          <w:highlight w:val="none"/>
          <w:lang w:val="zh-CN"/>
        </w:rPr>
        <w:t>(姓名和职务)代表</w:t>
      </w:r>
      <w:r>
        <w:rPr>
          <w:rFonts w:hint="eastAsia" w:ascii="宋体"/>
          <w:szCs w:val="21"/>
          <w:highlight w:val="none"/>
          <w:u w:val="single"/>
        </w:rPr>
        <w:t xml:space="preserve">  </w:t>
      </w:r>
      <w:r>
        <w:rPr>
          <w:rFonts w:hint="eastAsia" w:ascii="宋体"/>
          <w:szCs w:val="21"/>
          <w:highlight w:val="none"/>
          <w:lang w:val="zh-CN"/>
        </w:rPr>
        <w:t>（供应商名称），提交响应文件并参加磋商。</w:t>
      </w:r>
    </w:p>
    <w:p w14:paraId="3B96480F">
      <w:pPr>
        <w:spacing w:line="360" w:lineRule="auto"/>
        <w:ind w:firstLine="420" w:firstLineChars="200"/>
        <w:rPr>
          <w:rFonts w:ascii="宋体"/>
          <w:szCs w:val="21"/>
          <w:highlight w:val="none"/>
        </w:rPr>
      </w:pPr>
      <w:r>
        <w:rPr>
          <w:rFonts w:hint="eastAsia" w:ascii="宋体" w:hAnsi="宋体"/>
          <w:szCs w:val="21"/>
          <w:highlight w:val="none"/>
        </w:rPr>
        <w:t>据此函，签字人兹宣布同意如下：</w:t>
      </w:r>
    </w:p>
    <w:p w14:paraId="0F57341B">
      <w:pPr>
        <w:spacing w:line="360" w:lineRule="auto"/>
        <w:ind w:firstLine="420" w:firstLineChars="200"/>
        <w:rPr>
          <w:rFonts w:ascii="宋体"/>
          <w:szCs w:val="21"/>
          <w:highlight w:val="none"/>
        </w:rPr>
      </w:pPr>
      <w:r>
        <w:rPr>
          <w:rFonts w:ascii="宋体" w:hAnsi="宋体"/>
          <w:szCs w:val="21"/>
          <w:highlight w:val="none"/>
        </w:rPr>
        <w:t>1.</w:t>
      </w:r>
      <w:r>
        <w:rPr>
          <w:rFonts w:hint="eastAsia" w:ascii="宋体" w:hAnsi="宋体"/>
          <w:szCs w:val="21"/>
          <w:highlight w:val="none"/>
        </w:rPr>
        <w:t>按磋商需求的磋商报价为</w:t>
      </w:r>
      <w:r>
        <w:rPr>
          <w:rFonts w:ascii="宋体" w:hAnsi="宋体"/>
          <w:szCs w:val="21"/>
          <w:highlight w:val="none"/>
          <w:u w:val="single"/>
        </w:rPr>
        <w:t xml:space="preserve">             </w:t>
      </w:r>
      <w:r>
        <w:rPr>
          <w:rFonts w:hint="eastAsia" w:ascii="宋体" w:hAnsi="宋体"/>
          <w:szCs w:val="21"/>
          <w:highlight w:val="none"/>
          <w:u w:val="none"/>
        </w:rPr>
        <w:t>，</w:t>
      </w:r>
      <w:r>
        <w:rPr>
          <w:rFonts w:hint="eastAsia" w:ascii="Times New Roman" w:hAnsi="Times New Roman"/>
          <w:szCs w:val="21"/>
          <w:highlight w:val="none"/>
        </w:rPr>
        <w:t>服务期限为</w:t>
      </w:r>
      <w:r>
        <w:rPr>
          <w:rFonts w:ascii="宋体" w:hAnsi="宋体"/>
          <w:szCs w:val="21"/>
          <w:highlight w:val="none"/>
          <w:u w:val="single"/>
        </w:rPr>
        <w:t xml:space="preserve">             </w:t>
      </w:r>
      <w:r>
        <w:rPr>
          <w:rFonts w:hint="eastAsia" w:ascii="Times New Roman" w:hAnsi="Times New Roman"/>
          <w:szCs w:val="21"/>
          <w:highlight w:val="none"/>
        </w:rPr>
        <w:t>。</w:t>
      </w:r>
    </w:p>
    <w:p w14:paraId="1F769C51">
      <w:pPr>
        <w:spacing w:line="360" w:lineRule="auto"/>
        <w:ind w:firstLine="420" w:firstLineChars="200"/>
        <w:rPr>
          <w:rFonts w:ascii="宋体"/>
          <w:szCs w:val="21"/>
          <w:highlight w:val="none"/>
        </w:rPr>
      </w:pPr>
      <w:r>
        <w:rPr>
          <w:rFonts w:ascii="宋体" w:hAnsi="宋体"/>
          <w:szCs w:val="21"/>
          <w:highlight w:val="none"/>
        </w:rPr>
        <w:t>2.</w:t>
      </w:r>
      <w:r>
        <w:rPr>
          <w:rFonts w:hint="eastAsia" w:ascii="宋体" w:hAnsi="宋体"/>
          <w:szCs w:val="21"/>
          <w:highlight w:val="none"/>
        </w:rPr>
        <w:t>我们完全理解贵方不一定要接受最低报价的磋商或收到的任何磋商。</w:t>
      </w:r>
    </w:p>
    <w:p w14:paraId="2457A538">
      <w:pPr>
        <w:spacing w:line="360" w:lineRule="auto"/>
        <w:ind w:firstLine="420" w:firstLineChars="200"/>
        <w:rPr>
          <w:rFonts w:ascii="宋体"/>
          <w:szCs w:val="21"/>
          <w:highlight w:val="none"/>
        </w:rPr>
      </w:pPr>
      <w:r>
        <w:rPr>
          <w:rFonts w:ascii="宋体" w:hAnsi="宋体"/>
          <w:szCs w:val="21"/>
          <w:highlight w:val="none"/>
        </w:rPr>
        <w:t>3.</w:t>
      </w:r>
      <w:r>
        <w:rPr>
          <w:rFonts w:hint="eastAsia" w:ascii="宋体" w:hAnsi="宋体"/>
          <w:szCs w:val="21"/>
          <w:highlight w:val="none"/>
        </w:rPr>
        <w:t>我们已详细审核全部磋商文件及其有效补充文件，我们知道必须放弃提出含糊不清或误解的问题的权利。</w:t>
      </w:r>
    </w:p>
    <w:p w14:paraId="516A2E5C">
      <w:pPr>
        <w:spacing w:line="360" w:lineRule="auto"/>
        <w:ind w:firstLine="420" w:firstLineChars="200"/>
        <w:rPr>
          <w:rFonts w:ascii="宋体"/>
          <w:szCs w:val="21"/>
          <w:highlight w:val="none"/>
        </w:rPr>
      </w:pPr>
      <w:r>
        <w:rPr>
          <w:rFonts w:ascii="宋体" w:hAnsi="宋体"/>
          <w:szCs w:val="21"/>
          <w:highlight w:val="none"/>
        </w:rPr>
        <w:t>4.</w:t>
      </w:r>
      <w:r>
        <w:rPr>
          <w:rFonts w:hint="eastAsia" w:ascii="宋体" w:hAnsi="宋体"/>
          <w:szCs w:val="21"/>
          <w:highlight w:val="none"/>
        </w:rPr>
        <w:t>我们同意从规定的磋商日期起遵循本磋商文件，并在规定的磋商有效期期满之前均具有约束力。</w:t>
      </w:r>
    </w:p>
    <w:p w14:paraId="7181512A">
      <w:pPr>
        <w:spacing w:line="360" w:lineRule="auto"/>
        <w:ind w:firstLine="420" w:firstLineChars="200"/>
        <w:rPr>
          <w:rFonts w:ascii="宋体"/>
          <w:szCs w:val="21"/>
          <w:highlight w:val="none"/>
        </w:rPr>
      </w:pPr>
      <w:r>
        <w:rPr>
          <w:rFonts w:hint="eastAsia" w:ascii="宋体" w:hAnsi="宋体"/>
          <w:szCs w:val="21"/>
          <w:highlight w:val="none"/>
        </w:rPr>
        <w:t>5</w:t>
      </w:r>
      <w:r>
        <w:rPr>
          <w:rFonts w:ascii="宋体" w:hAnsi="宋体"/>
          <w:szCs w:val="21"/>
          <w:highlight w:val="none"/>
        </w:rPr>
        <w:t>.</w:t>
      </w:r>
      <w:r>
        <w:rPr>
          <w:rFonts w:hint="eastAsia" w:ascii="宋体" w:hAnsi="宋体"/>
          <w:szCs w:val="21"/>
          <w:highlight w:val="none"/>
        </w:rPr>
        <w:t>同意向贵方提供贵方可能要求的与磋商有关的任何证据或资料。</w:t>
      </w:r>
    </w:p>
    <w:p w14:paraId="0913BEFC">
      <w:pPr>
        <w:spacing w:line="360" w:lineRule="auto"/>
        <w:ind w:firstLine="420" w:firstLineChars="200"/>
        <w:rPr>
          <w:rFonts w:ascii="宋体"/>
          <w:szCs w:val="21"/>
          <w:highlight w:val="none"/>
        </w:rPr>
      </w:pPr>
      <w:r>
        <w:rPr>
          <w:rFonts w:hint="eastAsia" w:ascii="宋体" w:hAnsi="宋体"/>
          <w:szCs w:val="21"/>
          <w:highlight w:val="none"/>
        </w:rPr>
        <w:t>6</w:t>
      </w:r>
      <w:r>
        <w:rPr>
          <w:rFonts w:ascii="宋体" w:hAnsi="宋体"/>
          <w:szCs w:val="21"/>
          <w:highlight w:val="none"/>
        </w:rPr>
        <w:t>.</w:t>
      </w:r>
      <w:r>
        <w:rPr>
          <w:rFonts w:hint="eastAsia" w:ascii="宋体" w:hAnsi="宋体"/>
          <w:szCs w:val="21"/>
          <w:highlight w:val="none"/>
        </w:rPr>
        <w:t>一旦我方成交，我方将根据磋商文件的规定，严格履行合同，并保证于承诺的时间完成货物的启动、调试等服务，交付采购人验收、使用。</w:t>
      </w:r>
    </w:p>
    <w:p w14:paraId="55926D70">
      <w:pPr>
        <w:spacing w:line="360" w:lineRule="auto"/>
        <w:ind w:firstLine="420" w:firstLineChars="200"/>
        <w:rPr>
          <w:rFonts w:ascii="宋体"/>
          <w:szCs w:val="21"/>
          <w:highlight w:val="none"/>
        </w:rPr>
      </w:pPr>
      <w:r>
        <w:rPr>
          <w:rFonts w:hint="eastAsia" w:ascii="宋体" w:hAnsi="宋体"/>
          <w:szCs w:val="21"/>
          <w:highlight w:val="none"/>
        </w:rPr>
        <w:t>7</w:t>
      </w:r>
      <w:r>
        <w:rPr>
          <w:rFonts w:ascii="宋体" w:hAnsi="宋体"/>
          <w:szCs w:val="21"/>
          <w:highlight w:val="none"/>
        </w:rPr>
        <w:t>.</w:t>
      </w:r>
      <w:r>
        <w:rPr>
          <w:rFonts w:hint="eastAsia" w:ascii="宋体" w:hAnsi="宋体"/>
          <w:szCs w:val="21"/>
          <w:highlight w:val="none"/>
        </w:rPr>
        <w:t>我方将严格遵守规定，若有下列情形之一的，将被处以采购金额</w:t>
      </w:r>
      <w:r>
        <w:rPr>
          <w:rFonts w:ascii="宋体" w:hAnsi="宋体"/>
          <w:szCs w:val="21"/>
          <w:highlight w:val="none"/>
        </w:rPr>
        <w:t>5</w:t>
      </w:r>
      <w:r>
        <w:rPr>
          <w:rFonts w:hint="eastAsia" w:ascii="宋体" w:hAnsi="宋体"/>
          <w:szCs w:val="21"/>
          <w:highlight w:val="none"/>
        </w:rPr>
        <w:t>‰以上</w:t>
      </w:r>
      <w:r>
        <w:rPr>
          <w:rFonts w:ascii="宋体" w:hAnsi="宋体"/>
          <w:szCs w:val="21"/>
          <w:highlight w:val="none"/>
        </w:rPr>
        <w:t>10</w:t>
      </w:r>
      <w:r>
        <w:rPr>
          <w:rFonts w:hint="eastAsia" w:ascii="宋体" w:hAnsi="宋体"/>
          <w:szCs w:val="21"/>
          <w:highlight w:val="none"/>
        </w:rPr>
        <w:t>‰以下的罚款，列入不良行为记录名单；有违法所得的，并处没收违法所得；情节严重的，由工商行政管理机关吊销营业执照；构成犯罪的，依法追究刑事责任：</w:t>
      </w:r>
    </w:p>
    <w:p w14:paraId="6D7D3BC0">
      <w:pPr>
        <w:spacing w:line="360" w:lineRule="auto"/>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）提供虚假材料谋取中标、成交的；</w:t>
      </w:r>
    </w:p>
    <w:p w14:paraId="786A1B53">
      <w:pPr>
        <w:spacing w:line="360" w:lineRule="auto"/>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）采取不正当手段诋毁、排挤其他供应商的；</w:t>
      </w:r>
    </w:p>
    <w:p w14:paraId="19A7329F">
      <w:pPr>
        <w:spacing w:line="360" w:lineRule="auto"/>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）与采购人、其它供应商或者采购代理机构恶意串通的；</w:t>
      </w:r>
    </w:p>
    <w:p w14:paraId="3E4DADCB">
      <w:pPr>
        <w:spacing w:line="360" w:lineRule="auto"/>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4</w:t>
      </w:r>
      <w:r>
        <w:rPr>
          <w:rFonts w:hint="eastAsia" w:ascii="宋体" w:hAnsi="宋体"/>
          <w:szCs w:val="21"/>
          <w:highlight w:val="none"/>
        </w:rPr>
        <w:t>）向采购人、采购代理机构行贿或者提供其他不正当利益的；</w:t>
      </w:r>
    </w:p>
    <w:p w14:paraId="451108C8">
      <w:pPr>
        <w:spacing w:line="360" w:lineRule="auto"/>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）在采购过程中与采购人进行协商磋商的；</w:t>
      </w:r>
    </w:p>
    <w:p w14:paraId="398AB7CC">
      <w:pPr>
        <w:spacing w:line="360" w:lineRule="auto"/>
        <w:ind w:firstLine="420" w:firstLineChars="200"/>
        <w:rPr>
          <w:rFonts w:ascii="宋体"/>
          <w:szCs w:val="21"/>
          <w:highlight w:val="none"/>
        </w:rPr>
      </w:pPr>
      <w:r>
        <w:rPr>
          <w:rFonts w:hint="eastAsia" w:ascii="宋体" w:hAnsi="宋体"/>
          <w:szCs w:val="21"/>
          <w:highlight w:val="none"/>
        </w:rPr>
        <w:t>（</w:t>
      </w:r>
      <w:r>
        <w:rPr>
          <w:rFonts w:ascii="宋体" w:hAnsi="宋体"/>
          <w:szCs w:val="21"/>
          <w:highlight w:val="none"/>
        </w:rPr>
        <w:t>6</w:t>
      </w:r>
      <w:r>
        <w:rPr>
          <w:rFonts w:hint="eastAsia" w:ascii="宋体" w:hAnsi="宋体"/>
          <w:szCs w:val="21"/>
          <w:highlight w:val="none"/>
        </w:rPr>
        <w:t>）拒绝有关部门监督检查或提供虚假情况的。</w:t>
      </w:r>
    </w:p>
    <w:p w14:paraId="19B9F078">
      <w:pPr>
        <w:spacing w:line="360" w:lineRule="auto"/>
        <w:ind w:firstLine="420" w:firstLineChars="200"/>
        <w:rPr>
          <w:rFonts w:asci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与本磋商有关的正式通讯地址为：</w:t>
      </w:r>
    </w:p>
    <w:p w14:paraId="0D4AD987">
      <w:pPr>
        <w:spacing w:line="360" w:lineRule="auto"/>
        <w:ind w:firstLine="420" w:firstLineChars="200"/>
        <w:rPr>
          <w:rFonts w:ascii="宋体"/>
          <w:highlight w:val="none"/>
        </w:rPr>
      </w:pPr>
      <w:r>
        <w:rPr>
          <w:rFonts w:hint="eastAsia" w:ascii="宋体" w:hAnsi="宋体"/>
          <w:highlight w:val="none"/>
        </w:rPr>
        <w:t>供应商名称（盖章）：</w:t>
      </w:r>
      <w:r>
        <w:rPr>
          <w:rFonts w:ascii="宋体" w:hAnsi="宋体"/>
          <w:highlight w:val="none"/>
          <w:u w:val="single"/>
        </w:rPr>
        <w:t xml:space="preserve">                          </w:t>
      </w:r>
      <w:r>
        <w:rPr>
          <w:rFonts w:ascii="宋体" w:hAnsi="宋体"/>
          <w:highlight w:val="none"/>
        </w:rPr>
        <w:t xml:space="preserve">  </w:t>
      </w:r>
      <w:r>
        <w:rPr>
          <w:rFonts w:hint="eastAsia" w:ascii="宋体" w:hAnsi="宋体"/>
          <w:highlight w:val="none"/>
        </w:rPr>
        <w:t>地</w:t>
      </w:r>
      <w:r>
        <w:rPr>
          <w:rFonts w:ascii="宋体" w:hAnsi="宋体"/>
          <w:highlight w:val="none"/>
        </w:rPr>
        <w:t xml:space="preserve">   </w:t>
      </w:r>
      <w:r>
        <w:rPr>
          <w:rFonts w:hint="eastAsia" w:ascii="宋体" w:hAnsi="宋体"/>
          <w:highlight w:val="none"/>
        </w:rPr>
        <w:t>址：</w:t>
      </w:r>
      <w:r>
        <w:rPr>
          <w:rFonts w:ascii="宋体" w:hAnsi="宋体"/>
          <w:highlight w:val="none"/>
          <w:u w:val="single"/>
        </w:rPr>
        <w:t xml:space="preserve">        </w:t>
      </w:r>
    </w:p>
    <w:p w14:paraId="0B87D0C9">
      <w:pPr>
        <w:spacing w:line="360" w:lineRule="auto"/>
        <w:ind w:firstLine="525" w:firstLineChars="250"/>
        <w:rPr>
          <w:rFonts w:ascii="宋体"/>
          <w:highlight w:val="none"/>
        </w:rPr>
      </w:pPr>
      <w:r>
        <w:rPr>
          <w:rFonts w:hint="eastAsia" w:ascii="宋体" w:hAnsi="宋体"/>
          <w:highlight w:val="none"/>
        </w:rPr>
        <w:t>联系电话：</w:t>
      </w:r>
      <w:r>
        <w:rPr>
          <w:rFonts w:ascii="宋体" w:hAnsi="宋体"/>
          <w:highlight w:val="none"/>
          <w:u w:val="single"/>
        </w:rPr>
        <w:t xml:space="preserve">                                    </w:t>
      </w:r>
      <w:r>
        <w:rPr>
          <w:rFonts w:hint="eastAsia" w:ascii="宋体" w:hAnsi="宋体"/>
          <w:highlight w:val="none"/>
        </w:rPr>
        <w:t>传</w:t>
      </w:r>
      <w:r>
        <w:rPr>
          <w:rFonts w:ascii="宋体" w:hAnsi="宋体"/>
          <w:highlight w:val="none"/>
        </w:rPr>
        <w:t xml:space="preserve">   </w:t>
      </w:r>
      <w:r>
        <w:rPr>
          <w:rFonts w:hint="eastAsia" w:ascii="宋体" w:hAnsi="宋体"/>
          <w:highlight w:val="none"/>
        </w:rPr>
        <w:t>真：</w:t>
      </w:r>
      <w:r>
        <w:rPr>
          <w:rFonts w:ascii="宋体" w:hAnsi="宋体"/>
          <w:highlight w:val="none"/>
          <w:u w:val="single"/>
        </w:rPr>
        <w:t xml:space="preserve">         </w:t>
      </w:r>
    </w:p>
    <w:p w14:paraId="74616018">
      <w:pPr>
        <w:spacing w:line="360" w:lineRule="auto"/>
        <w:ind w:firstLine="420" w:firstLineChars="200"/>
        <w:rPr>
          <w:rFonts w:ascii="宋体"/>
          <w:highlight w:val="none"/>
          <w:u w:val="single"/>
        </w:rPr>
      </w:pPr>
      <w:r>
        <w:rPr>
          <w:rFonts w:hint="eastAsia" w:ascii="宋体" w:hAnsi="宋体"/>
          <w:highlight w:val="none"/>
        </w:rPr>
        <w:t>供应商授权代表姓名（签字）：</w:t>
      </w:r>
      <w:r>
        <w:rPr>
          <w:rFonts w:ascii="宋体" w:hAnsi="宋体"/>
          <w:highlight w:val="none"/>
          <w:u w:val="single"/>
        </w:rPr>
        <w:t xml:space="preserve">                  </w:t>
      </w:r>
      <w:r>
        <w:rPr>
          <w:rFonts w:ascii="宋体" w:hAnsi="宋体"/>
          <w:highlight w:val="none"/>
        </w:rPr>
        <w:t xml:space="preserve">  </w:t>
      </w:r>
      <w:r>
        <w:rPr>
          <w:rFonts w:hint="eastAsia" w:ascii="宋体" w:hAnsi="宋体"/>
          <w:highlight w:val="none"/>
        </w:rPr>
        <w:t>联系电话</w:t>
      </w:r>
      <w:r>
        <w:rPr>
          <w:rFonts w:ascii="宋体" w:hAnsi="宋体"/>
          <w:highlight w:val="none"/>
        </w:rPr>
        <w:t xml:space="preserve">: </w:t>
      </w:r>
      <w:r>
        <w:rPr>
          <w:rFonts w:ascii="宋体" w:hAnsi="宋体"/>
          <w:highlight w:val="none"/>
          <w:u w:val="single"/>
        </w:rPr>
        <w:t xml:space="preserve">       </w:t>
      </w:r>
    </w:p>
    <w:p w14:paraId="56B077F2">
      <w:pPr>
        <w:spacing w:line="360" w:lineRule="auto"/>
        <w:ind w:firstLine="525" w:firstLineChars="250"/>
        <w:rPr>
          <w:rFonts w:ascii="宋体" w:hAnsi="宋体"/>
          <w:highlight w:val="none"/>
        </w:rPr>
      </w:pPr>
      <w:r>
        <w:rPr>
          <w:rFonts w:hint="eastAsia" w:ascii="宋体" w:hAnsi="宋体"/>
          <w:highlight w:val="none"/>
        </w:rPr>
        <w:t>日</w:t>
      </w:r>
      <w:r>
        <w:rPr>
          <w:rFonts w:ascii="宋体" w:hAnsi="宋体"/>
          <w:highlight w:val="none"/>
        </w:rPr>
        <w:t xml:space="preserve">    </w:t>
      </w:r>
      <w:r>
        <w:rPr>
          <w:rFonts w:hint="eastAsia" w:ascii="宋体" w:hAnsi="宋体"/>
          <w:highlight w:val="none"/>
        </w:rPr>
        <w:t>期：</w:t>
      </w:r>
      <w:r>
        <w:rPr>
          <w:rFonts w:ascii="宋体" w:hAnsi="宋体"/>
          <w:highlight w:val="none"/>
          <w:u w:val="single"/>
        </w:rPr>
        <w:t xml:space="preserve">             </w:t>
      </w:r>
      <w:r>
        <w:rPr>
          <w:rFonts w:hint="eastAsia" w:ascii="宋体" w:hAnsi="宋体"/>
          <w:highlight w:val="none"/>
        </w:rPr>
        <w:t>年</w:t>
      </w:r>
      <w:r>
        <w:rPr>
          <w:rFonts w:ascii="宋体" w:hAnsi="宋体"/>
          <w:highlight w:val="none"/>
          <w:u w:val="single"/>
        </w:rPr>
        <w:t xml:space="preserve">        </w:t>
      </w:r>
      <w:r>
        <w:rPr>
          <w:rFonts w:hint="eastAsia" w:ascii="宋体" w:hAnsi="宋体"/>
          <w:highlight w:val="none"/>
        </w:rPr>
        <w:t>月</w:t>
      </w:r>
      <w:r>
        <w:rPr>
          <w:rFonts w:ascii="宋体" w:hAnsi="宋体"/>
          <w:highlight w:val="none"/>
          <w:u w:val="single"/>
        </w:rPr>
        <w:t xml:space="preserve">        </w:t>
      </w:r>
      <w:r>
        <w:rPr>
          <w:rFonts w:hint="eastAsia" w:ascii="宋体" w:hAnsi="宋体"/>
          <w:highlight w:val="none"/>
        </w:rPr>
        <w:t>日</w:t>
      </w:r>
      <w:r>
        <w:rPr>
          <w:rFonts w:ascii="宋体" w:hAnsi="宋体"/>
          <w:highlight w:val="none"/>
        </w:rPr>
        <w:t xml:space="preserve"> </w:t>
      </w:r>
    </w:p>
    <w:p w14:paraId="4AF6693D">
      <w:pPr>
        <w:rPr>
          <w:rFonts w:ascii="宋体" w:hAnsi="宋体"/>
          <w:b/>
          <w:szCs w:val="21"/>
          <w:highlight w:val="none"/>
        </w:rPr>
      </w:pPr>
      <w:bookmarkStart w:id="220" w:name="_Hlt460314944"/>
      <w:bookmarkEnd w:id="220"/>
      <w:bookmarkStart w:id="221" w:name="_Toc10181"/>
      <w:bookmarkStart w:id="222" w:name="_Toc26050"/>
    </w:p>
    <w:p w14:paraId="6A301955">
      <w:pPr>
        <w:rPr>
          <w:rFonts w:ascii="宋体" w:hAnsi="宋体"/>
          <w:b/>
          <w:szCs w:val="21"/>
          <w:highlight w:val="none"/>
        </w:rPr>
      </w:pPr>
    </w:p>
    <w:p w14:paraId="5248B95B">
      <w:pPr>
        <w:rPr>
          <w:rFonts w:ascii="宋体" w:hAnsi="宋体"/>
          <w:b/>
          <w:szCs w:val="21"/>
          <w:highlight w:val="none"/>
        </w:rPr>
      </w:pPr>
    </w:p>
    <w:p w14:paraId="4AFBABFA">
      <w:pPr>
        <w:rPr>
          <w:rFonts w:ascii="宋体" w:hAnsi="宋体"/>
          <w:b/>
          <w:szCs w:val="21"/>
          <w:highlight w:val="none"/>
        </w:rPr>
      </w:pPr>
    </w:p>
    <w:p w14:paraId="34018072">
      <w:pPr>
        <w:rPr>
          <w:rFonts w:ascii="宋体" w:hAnsi="宋体"/>
          <w:b/>
          <w:szCs w:val="21"/>
          <w:highlight w:val="none"/>
        </w:rPr>
      </w:pPr>
    </w:p>
    <w:p w14:paraId="5418A513">
      <w:pPr>
        <w:outlineLvl w:val="1"/>
        <w:rPr>
          <w:rFonts w:ascii="宋体" w:hAnsi="宋体" w:cs="宋体"/>
          <w:b/>
          <w:sz w:val="30"/>
          <w:szCs w:val="30"/>
          <w:highlight w:val="none"/>
        </w:rPr>
      </w:pPr>
      <w:bookmarkStart w:id="223" w:name="_Toc49780106"/>
      <w:bookmarkStart w:id="224" w:name="_Toc49779952"/>
      <w:bookmarkStart w:id="225" w:name="_Toc32674"/>
      <w:bookmarkStart w:id="226" w:name="_Toc13860"/>
      <w:r>
        <w:rPr>
          <w:rFonts w:hint="eastAsia" w:ascii="宋体" w:hAnsi="宋体" w:cs="宋体"/>
          <w:b/>
          <w:sz w:val="30"/>
          <w:szCs w:val="30"/>
          <w:highlight w:val="none"/>
        </w:rPr>
        <w:t>二、法定代表人授权委托书</w:t>
      </w:r>
      <w:bookmarkEnd w:id="221"/>
      <w:bookmarkEnd w:id="222"/>
      <w:bookmarkEnd w:id="223"/>
      <w:bookmarkEnd w:id="224"/>
      <w:bookmarkEnd w:id="225"/>
      <w:bookmarkEnd w:id="226"/>
    </w:p>
    <w:p w14:paraId="50819F52">
      <w:pPr>
        <w:spacing w:line="360" w:lineRule="auto"/>
        <w:jc w:val="center"/>
        <w:rPr>
          <w:rFonts w:ascii="宋体"/>
          <w:sz w:val="30"/>
          <w:szCs w:val="30"/>
          <w:highlight w:val="none"/>
          <w:lang w:val="zh-CN"/>
        </w:rPr>
      </w:pPr>
    </w:p>
    <w:p w14:paraId="17C9E954">
      <w:pPr>
        <w:spacing w:line="360" w:lineRule="auto"/>
        <w:jc w:val="center"/>
        <w:rPr>
          <w:rFonts w:ascii="宋体"/>
          <w:sz w:val="30"/>
          <w:szCs w:val="30"/>
          <w:highlight w:val="none"/>
          <w:lang w:val="zh-CN"/>
        </w:rPr>
      </w:pPr>
      <w:r>
        <w:rPr>
          <w:rFonts w:hint="eastAsia" w:ascii="宋体"/>
          <w:sz w:val="30"/>
          <w:szCs w:val="30"/>
          <w:highlight w:val="none"/>
          <w:lang w:val="zh-CN"/>
        </w:rPr>
        <w:t>法定代表人授权委托书</w:t>
      </w:r>
    </w:p>
    <w:p w14:paraId="3808FB81">
      <w:pPr>
        <w:rPr>
          <w:rFonts w:ascii="宋体" w:hAnsi="宋体"/>
          <w:szCs w:val="21"/>
          <w:highlight w:val="none"/>
        </w:rPr>
      </w:pPr>
      <w:r>
        <w:rPr>
          <w:rFonts w:hint="eastAsia" w:ascii="宋体" w:hAnsi="宋体"/>
          <w:szCs w:val="21"/>
          <w:highlight w:val="none"/>
        </w:rPr>
        <w:t xml:space="preserve"> </w:t>
      </w:r>
    </w:p>
    <w:p w14:paraId="4BA56259">
      <w:pPr>
        <w:spacing w:line="360" w:lineRule="auto"/>
        <w:rPr>
          <w:rFonts w:ascii="宋体" w:hAnsi="宋体"/>
          <w:szCs w:val="21"/>
          <w:highlight w:val="none"/>
        </w:rPr>
      </w:pPr>
      <w:r>
        <w:rPr>
          <w:rFonts w:hint="eastAsia" w:ascii="宋体" w:hAnsi="宋体"/>
          <w:szCs w:val="21"/>
          <w:highlight w:val="none"/>
          <w:lang w:eastAsia="zh-CN"/>
        </w:rPr>
        <w:t>南京市江宁区人民政府淳化街道办事处</w:t>
      </w:r>
      <w:r>
        <w:rPr>
          <w:rFonts w:hint="eastAsia" w:ascii="宋体" w:hAnsi="宋体"/>
          <w:szCs w:val="21"/>
          <w:highlight w:val="none"/>
        </w:rPr>
        <w:t>：</w:t>
      </w:r>
    </w:p>
    <w:p w14:paraId="22BACC0C">
      <w:pPr>
        <w:spacing w:line="360" w:lineRule="auto"/>
        <w:rPr>
          <w:rFonts w:ascii="宋体" w:hAnsi="宋体"/>
          <w:szCs w:val="21"/>
          <w:highlight w:val="none"/>
        </w:rPr>
      </w:pPr>
      <w:r>
        <w:rPr>
          <w:rFonts w:hint="eastAsia" w:ascii="宋体" w:hAnsi="宋体"/>
          <w:szCs w:val="21"/>
          <w:highlight w:val="none"/>
        </w:rPr>
        <w:t xml:space="preserve">    本授权书声明：注册于</w:t>
      </w:r>
      <w:r>
        <w:rPr>
          <w:rFonts w:hint="eastAsia" w:ascii="宋体" w:hAnsi="宋体"/>
          <w:szCs w:val="21"/>
          <w:highlight w:val="none"/>
          <w:u w:val="single"/>
        </w:rPr>
        <w:t xml:space="preserve">        </w:t>
      </w:r>
      <w:r>
        <w:rPr>
          <w:rFonts w:hint="eastAsia" w:ascii="宋体" w:hAnsi="宋体"/>
          <w:szCs w:val="21"/>
          <w:highlight w:val="none"/>
        </w:rPr>
        <w:t>（供应商注册地址）的</w:t>
      </w:r>
      <w:r>
        <w:rPr>
          <w:rFonts w:hint="eastAsia" w:ascii="宋体" w:hAnsi="宋体"/>
          <w:szCs w:val="21"/>
          <w:highlight w:val="none"/>
          <w:u w:val="single"/>
        </w:rPr>
        <w:t xml:space="preserve">       </w:t>
      </w:r>
      <w:r>
        <w:rPr>
          <w:rFonts w:hint="eastAsia" w:ascii="宋体" w:hAnsi="宋体"/>
          <w:szCs w:val="21"/>
          <w:highlight w:val="none"/>
        </w:rPr>
        <w:t>（供应商名称）法定代表人</w:t>
      </w:r>
      <w:r>
        <w:rPr>
          <w:rFonts w:hint="eastAsia" w:ascii="宋体" w:hAnsi="宋体"/>
          <w:szCs w:val="21"/>
          <w:highlight w:val="none"/>
          <w:u w:val="single"/>
        </w:rPr>
        <w:t xml:space="preserve">                  </w:t>
      </w:r>
      <w:r>
        <w:rPr>
          <w:rFonts w:hint="eastAsia" w:ascii="宋体" w:hAnsi="宋体"/>
          <w:szCs w:val="21"/>
          <w:highlight w:val="none"/>
        </w:rPr>
        <w:t>（法定代表人姓名、职务）代表本公司授权在下面签字的</w:t>
      </w:r>
      <w:r>
        <w:rPr>
          <w:rFonts w:hint="eastAsia" w:ascii="宋体" w:hAnsi="宋体"/>
          <w:szCs w:val="21"/>
          <w:highlight w:val="none"/>
          <w:u w:val="single"/>
        </w:rPr>
        <w:t xml:space="preserve">                </w:t>
      </w:r>
      <w:r>
        <w:rPr>
          <w:rFonts w:hint="eastAsia" w:ascii="宋体" w:hAnsi="宋体"/>
          <w:szCs w:val="21"/>
          <w:highlight w:val="none"/>
        </w:rPr>
        <w:t>（授权代表姓名、职务）为本公司的合法代理人，就贵方组织的项目编号：</w:t>
      </w:r>
      <w:r>
        <w:rPr>
          <w:rFonts w:hint="eastAsia" w:ascii="宋体" w:hAnsi="宋体"/>
          <w:szCs w:val="21"/>
          <w:highlight w:val="none"/>
          <w:u w:val="single"/>
        </w:rPr>
        <w:t xml:space="preserve">             </w:t>
      </w:r>
      <w:r>
        <w:rPr>
          <w:rFonts w:hint="eastAsia" w:ascii="宋体" w:hAnsi="宋体"/>
          <w:szCs w:val="21"/>
          <w:highlight w:val="none"/>
        </w:rPr>
        <w:t>，项目名称</w:t>
      </w:r>
      <w:r>
        <w:rPr>
          <w:rFonts w:hint="eastAsia" w:ascii="宋体" w:hAnsi="宋体"/>
          <w:b/>
          <w:szCs w:val="21"/>
          <w:highlight w:val="none"/>
          <w:u w:val="single"/>
        </w:rPr>
        <w:t xml:space="preserve">                         </w:t>
      </w:r>
      <w:r>
        <w:rPr>
          <w:rFonts w:hint="eastAsia" w:ascii="宋体" w:hAnsi="宋体"/>
          <w:szCs w:val="21"/>
          <w:highlight w:val="none"/>
        </w:rPr>
        <w:t>，以本公司名义处理一切与之有关的事务。</w:t>
      </w:r>
    </w:p>
    <w:p w14:paraId="7332A86C">
      <w:pPr>
        <w:spacing w:line="360" w:lineRule="auto"/>
        <w:ind w:firstLine="420"/>
        <w:rPr>
          <w:rFonts w:ascii="宋体" w:hAnsi="宋体"/>
          <w:szCs w:val="21"/>
          <w:highlight w:val="none"/>
        </w:rPr>
      </w:pPr>
      <w:r>
        <w:rPr>
          <w:rFonts w:hint="eastAsia" w:ascii="宋体" w:hAnsi="宋体"/>
          <w:szCs w:val="21"/>
          <w:highlight w:val="none"/>
        </w:rPr>
        <w:t>本授权书于</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日签字生效，特此声明。</w:t>
      </w:r>
    </w:p>
    <w:p w14:paraId="79741CAF">
      <w:pPr>
        <w:spacing w:line="500" w:lineRule="exact"/>
        <w:ind w:firstLine="420"/>
        <w:jc w:val="left"/>
        <w:rPr>
          <w:rFonts w:ascii="宋体" w:hAnsi="宋体"/>
          <w:sz w:val="24"/>
          <w:szCs w:val="21"/>
          <w:highlight w:val="none"/>
        </w:rPr>
      </w:pPr>
      <w:r>
        <w:rPr>
          <w:rFonts w:hint="eastAsia" w:ascii="宋体" w:hAnsi="宋体"/>
          <w:sz w:val="24"/>
          <w:szCs w:val="21"/>
          <w:highlight w:val="none"/>
        </w:rPr>
        <w:t>附：</w:t>
      </w:r>
      <w:r>
        <w:rPr>
          <w:rFonts w:hint="eastAsia" w:ascii="宋体" w:hAnsi="宋体"/>
          <w:b/>
          <w:sz w:val="24"/>
          <w:szCs w:val="21"/>
          <w:highlight w:val="none"/>
        </w:rPr>
        <w:t>法人</w:t>
      </w:r>
      <w:r>
        <w:rPr>
          <w:rFonts w:hint="eastAsia" w:ascii="宋体" w:hAnsi="宋体"/>
          <w:sz w:val="24"/>
          <w:szCs w:val="21"/>
          <w:highlight w:val="none"/>
        </w:rPr>
        <w:t>及授</w:t>
      </w:r>
      <w:r>
        <w:rPr>
          <w:rFonts w:hint="eastAsia" w:ascii="宋体" w:hAnsi="宋体"/>
          <w:b/>
          <w:sz w:val="24"/>
          <w:szCs w:val="21"/>
          <w:highlight w:val="none"/>
        </w:rPr>
        <w:t>权委托人</w:t>
      </w:r>
      <w:r>
        <w:rPr>
          <w:rFonts w:hint="eastAsia" w:ascii="宋体" w:hAnsi="宋体"/>
          <w:sz w:val="24"/>
          <w:szCs w:val="21"/>
          <w:highlight w:val="none"/>
        </w:rPr>
        <w:t>身份证复印件加盖公章。</w:t>
      </w:r>
    </w:p>
    <w:p w14:paraId="767D63AD">
      <w:pPr>
        <w:spacing w:line="360" w:lineRule="auto"/>
        <w:ind w:firstLine="420"/>
        <w:rPr>
          <w:rFonts w:ascii="宋体" w:hAnsi="宋体"/>
          <w:szCs w:val="21"/>
          <w:highlight w:val="none"/>
        </w:rPr>
      </w:pPr>
    </w:p>
    <w:p w14:paraId="4365D8A9">
      <w:pPr>
        <w:wordWrap w:val="0"/>
        <w:spacing w:line="360" w:lineRule="auto"/>
        <w:ind w:firstLine="420"/>
        <w:jc w:val="right"/>
        <w:rPr>
          <w:rFonts w:ascii="宋体" w:hAnsi="宋体"/>
          <w:szCs w:val="21"/>
          <w:highlight w:val="none"/>
        </w:rPr>
      </w:pPr>
      <w:r>
        <w:rPr>
          <w:rFonts w:hint="eastAsia" w:ascii="宋体" w:hAnsi="宋体"/>
          <w:szCs w:val="21"/>
          <w:highlight w:val="none"/>
        </w:rPr>
        <w:t xml:space="preserve">供应商名称（盖章）:            </w:t>
      </w:r>
    </w:p>
    <w:p w14:paraId="3535AC21">
      <w:pPr>
        <w:wordWrap w:val="0"/>
        <w:spacing w:line="360" w:lineRule="auto"/>
        <w:ind w:firstLine="420"/>
        <w:jc w:val="right"/>
        <w:rPr>
          <w:rFonts w:ascii="宋体" w:hAnsi="宋体"/>
          <w:szCs w:val="21"/>
          <w:highlight w:val="none"/>
        </w:rPr>
      </w:pPr>
      <w:r>
        <w:rPr>
          <w:rFonts w:hint="eastAsia" w:ascii="宋体" w:hAnsi="宋体"/>
          <w:szCs w:val="21"/>
          <w:highlight w:val="none"/>
        </w:rPr>
        <w:t xml:space="preserve">法定代表人签字：               </w:t>
      </w:r>
    </w:p>
    <w:p w14:paraId="67193492">
      <w:pPr>
        <w:wordWrap w:val="0"/>
        <w:spacing w:line="360" w:lineRule="auto"/>
        <w:jc w:val="right"/>
        <w:rPr>
          <w:rFonts w:ascii="宋体" w:hAnsi="宋体"/>
          <w:szCs w:val="21"/>
          <w:highlight w:val="none"/>
        </w:rPr>
      </w:pPr>
      <w:r>
        <w:rPr>
          <w:rFonts w:hint="eastAsia" w:ascii="宋体" w:hAnsi="宋体"/>
          <w:szCs w:val="21"/>
          <w:highlight w:val="none"/>
        </w:rPr>
        <w:t xml:space="preserve">    被授权人签字：                 </w:t>
      </w:r>
    </w:p>
    <w:p w14:paraId="4D02A2EC">
      <w:pPr>
        <w:tabs>
          <w:tab w:val="left" w:pos="1440"/>
        </w:tabs>
        <w:spacing w:line="360" w:lineRule="auto"/>
        <w:ind w:firstLine="420" w:firstLineChars="200"/>
        <w:jc w:val="right"/>
        <w:rPr>
          <w:rFonts w:ascii="宋体" w:hAnsi="宋体"/>
          <w:highlight w:val="none"/>
        </w:rPr>
      </w:pPr>
      <w:r>
        <w:rPr>
          <w:rFonts w:hint="eastAsia" w:ascii="宋体" w:hAnsi="宋体"/>
          <w:szCs w:val="21"/>
          <w:highlight w:val="none"/>
        </w:rPr>
        <w:t>日    期：       年    月    日</w:t>
      </w:r>
    </w:p>
    <w:p w14:paraId="7931286C">
      <w:pPr>
        <w:widowControl/>
        <w:adjustRightInd w:val="0"/>
        <w:spacing w:line="360" w:lineRule="auto"/>
        <w:jc w:val="left"/>
        <w:rPr>
          <w:rFonts w:ascii="宋体" w:hAnsi="宋体" w:cs="宋体"/>
          <w:b/>
          <w:kern w:val="0"/>
          <w:szCs w:val="21"/>
          <w:highlight w:val="none"/>
          <w:lang w:val="zh-CN"/>
        </w:rPr>
      </w:pPr>
      <w:bookmarkStart w:id="227" w:name="_Toc25229"/>
      <w:bookmarkStart w:id="228" w:name="_Toc8055"/>
      <w:bookmarkStart w:id="229" w:name="_Toc49780107"/>
      <w:bookmarkStart w:id="230" w:name="_Toc354594116"/>
      <w:bookmarkStart w:id="231" w:name="_Toc25188"/>
      <w:bookmarkStart w:id="232" w:name="_Toc13106"/>
      <w:bookmarkStart w:id="233" w:name="_Toc49779953"/>
      <w:r>
        <w:rPr>
          <w:rFonts w:hint="eastAsia"/>
          <w:highlight w:val="none"/>
        </w:rPr>
        <w:br w:type="page"/>
      </w:r>
      <w:r>
        <w:rPr>
          <w:rFonts w:hint="eastAsia" w:ascii="宋体" w:hAnsi="宋体" w:cs="宋体"/>
          <w:b/>
          <w:sz w:val="30"/>
          <w:szCs w:val="30"/>
          <w:highlight w:val="none"/>
        </w:rPr>
        <w:t>三、</w:t>
      </w:r>
      <w:bookmarkEnd w:id="227"/>
      <w:bookmarkEnd w:id="228"/>
      <w:bookmarkEnd w:id="229"/>
      <w:bookmarkEnd w:id="230"/>
      <w:bookmarkEnd w:id="231"/>
      <w:bookmarkEnd w:id="232"/>
      <w:bookmarkEnd w:id="233"/>
      <w:r>
        <w:rPr>
          <w:rFonts w:hint="eastAsia" w:ascii="宋体" w:hAnsi="宋体" w:cs="宋体"/>
          <w:b/>
          <w:sz w:val="30"/>
          <w:szCs w:val="30"/>
          <w:highlight w:val="none"/>
          <w:lang w:val="zh-CN"/>
        </w:rPr>
        <w:t>磋商报价表</w:t>
      </w:r>
    </w:p>
    <w:p w14:paraId="6DE8BEA1">
      <w:pPr>
        <w:widowControl/>
        <w:adjustRightInd w:val="0"/>
        <w:spacing w:line="240" w:lineRule="atLeast"/>
        <w:jc w:val="center"/>
        <w:rPr>
          <w:rFonts w:ascii="宋体" w:hAnsi="宋体" w:cs="宋体"/>
          <w:b/>
          <w:bCs/>
          <w:kern w:val="0"/>
          <w:sz w:val="28"/>
          <w:szCs w:val="28"/>
          <w:highlight w:val="none"/>
          <w:lang w:val="zh-CN"/>
        </w:rPr>
      </w:pPr>
      <w:bookmarkStart w:id="234" w:name="_Hlt460314991"/>
      <w:bookmarkEnd w:id="234"/>
      <w:r>
        <w:rPr>
          <w:rFonts w:hint="eastAsia" w:ascii="宋体" w:hAnsi="宋体" w:cs="宋体"/>
          <w:b/>
          <w:bCs/>
          <w:kern w:val="0"/>
          <w:sz w:val="28"/>
          <w:szCs w:val="28"/>
          <w:highlight w:val="none"/>
          <w:lang w:val="zh-CN"/>
        </w:rPr>
        <w:t>磋商报价表（第   轮）</w:t>
      </w:r>
    </w:p>
    <w:tbl>
      <w:tblPr>
        <w:tblStyle w:val="29"/>
        <w:tblW w:w="1019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47"/>
        <w:gridCol w:w="3290"/>
        <w:gridCol w:w="2388"/>
        <w:gridCol w:w="1873"/>
      </w:tblGrid>
      <w:tr w14:paraId="5EC3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trPr>
        <w:tc>
          <w:tcPr>
            <w:tcW w:w="5937" w:type="dxa"/>
            <w:gridSpan w:val="2"/>
            <w:shd w:val="clear" w:color="auto" w:fill="FFFFFF"/>
            <w:tcMar>
              <w:top w:w="0" w:type="dxa"/>
              <w:left w:w="108" w:type="dxa"/>
              <w:bottom w:w="0" w:type="dxa"/>
              <w:right w:w="108" w:type="dxa"/>
            </w:tcMar>
            <w:vAlign w:val="center"/>
          </w:tcPr>
          <w:p w14:paraId="669DAAA5">
            <w:pPr>
              <w:widowControl/>
              <w:spacing w:line="360" w:lineRule="auto"/>
              <w:jc w:val="left"/>
              <w:rPr>
                <w:rFonts w:hint="eastAsia" w:ascii="宋体" w:hAnsi="宋体" w:cs="宋体"/>
                <w:b/>
                <w:bCs/>
                <w:szCs w:val="21"/>
                <w:lang w:val="zh-CN"/>
              </w:rPr>
            </w:pPr>
            <w:r>
              <w:rPr>
                <w:rFonts w:hint="eastAsia" w:ascii="宋体" w:hAnsi="宋体" w:cs="宋体"/>
                <w:b/>
                <w:bCs/>
                <w:szCs w:val="21"/>
                <w:lang w:val="zh-CN"/>
              </w:rPr>
              <w:t xml:space="preserve">项目名称：    </w:t>
            </w:r>
          </w:p>
        </w:tc>
        <w:tc>
          <w:tcPr>
            <w:tcW w:w="4261" w:type="dxa"/>
            <w:gridSpan w:val="2"/>
            <w:shd w:val="clear" w:color="auto" w:fill="FFFFFF"/>
            <w:tcMar>
              <w:top w:w="0" w:type="dxa"/>
              <w:left w:w="108" w:type="dxa"/>
              <w:bottom w:w="0" w:type="dxa"/>
              <w:right w:w="108" w:type="dxa"/>
            </w:tcMar>
            <w:vAlign w:val="center"/>
          </w:tcPr>
          <w:p w14:paraId="49A87600">
            <w:pPr>
              <w:widowControl/>
              <w:spacing w:line="360" w:lineRule="auto"/>
              <w:jc w:val="left"/>
              <w:rPr>
                <w:rFonts w:hint="eastAsia" w:ascii="宋体" w:hAnsi="宋体" w:cs="宋体"/>
                <w:b/>
                <w:bCs/>
                <w:szCs w:val="21"/>
                <w:lang w:val="zh-CN"/>
              </w:rPr>
            </w:pPr>
            <w:r>
              <w:rPr>
                <w:rFonts w:hint="eastAsia" w:ascii="宋体" w:hAnsi="宋体" w:cs="宋体"/>
                <w:b/>
                <w:bCs/>
                <w:szCs w:val="21"/>
                <w:lang w:val="zh-CN"/>
              </w:rPr>
              <w:t xml:space="preserve">项目编号： </w:t>
            </w:r>
          </w:p>
        </w:tc>
      </w:tr>
      <w:tr w14:paraId="5EE6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2" w:hRule="atLeast"/>
        </w:trPr>
        <w:tc>
          <w:tcPr>
            <w:tcW w:w="2647" w:type="dxa"/>
            <w:tcMar>
              <w:top w:w="0" w:type="dxa"/>
              <w:left w:w="108" w:type="dxa"/>
              <w:bottom w:w="0" w:type="dxa"/>
              <w:right w:w="108" w:type="dxa"/>
            </w:tcMar>
            <w:vAlign w:val="center"/>
          </w:tcPr>
          <w:p w14:paraId="14D26BE5">
            <w:pPr>
              <w:spacing w:line="360" w:lineRule="auto"/>
              <w:jc w:val="center"/>
              <w:rPr>
                <w:rFonts w:hint="eastAsia" w:ascii="宋体" w:hAnsi="宋体" w:cs="宋体"/>
                <w:szCs w:val="21"/>
                <w:lang w:val="zh-CN"/>
              </w:rPr>
            </w:pPr>
            <w:r>
              <w:rPr>
                <w:rFonts w:hint="eastAsia" w:ascii="宋体" w:hAnsi="宋体" w:cs="宋体"/>
                <w:szCs w:val="21"/>
                <w:lang w:val="zh-CN"/>
              </w:rPr>
              <w:t>投标报价</w:t>
            </w:r>
          </w:p>
        </w:tc>
        <w:tc>
          <w:tcPr>
            <w:tcW w:w="5678" w:type="dxa"/>
            <w:gridSpan w:val="2"/>
            <w:tcMar>
              <w:top w:w="0" w:type="dxa"/>
              <w:left w:w="108" w:type="dxa"/>
              <w:bottom w:w="0" w:type="dxa"/>
              <w:right w:w="108" w:type="dxa"/>
            </w:tcMar>
            <w:vAlign w:val="center"/>
          </w:tcPr>
          <w:p w14:paraId="6781DFB2">
            <w:pPr>
              <w:spacing w:line="300" w:lineRule="exact"/>
              <w:jc w:val="left"/>
              <w:rPr>
                <w:rFonts w:hint="default" w:ascii="宋体" w:hAnsi="宋体" w:eastAsia="宋体" w:cs="宋体"/>
                <w:b/>
                <w:szCs w:val="21"/>
                <w:lang w:val="en-US" w:eastAsia="zh-CN"/>
              </w:rPr>
            </w:pPr>
            <w:r>
              <w:rPr>
                <w:rFonts w:hint="eastAsia" w:ascii="宋体" w:hAnsi="宋体" w:cs="宋体"/>
                <w:b/>
                <w:szCs w:val="21"/>
                <w:lang w:val="en-US" w:eastAsia="zh-CN"/>
              </w:rPr>
              <w:t xml:space="preserve">                               元</w:t>
            </w:r>
          </w:p>
        </w:tc>
        <w:tc>
          <w:tcPr>
            <w:tcW w:w="1873" w:type="dxa"/>
            <w:tcMar>
              <w:top w:w="0" w:type="dxa"/>
              <w:left w:w="108" w:type="dxa"/>
              <w:bottom w:w="0" w:type="dxa"/>
              <w:right w:w="108" w:type="dxa"/>
            </w:tcMar>
            <w:vAlign w:val="center"/>
          </w:tcPr>
          <w:p w14:paraId="7C6F8FA5">
            <w:pPr>
              <w:spacing w:line="360" w:lineRule="auto"/>
              <w:jc w:val="center"/>
              <w:rPr>
                <w:rFonts w:hint="eastAsia" w:ascii="宋体" w:hAnsi="宋体" w:cs="宋体"/>
                <w:szCs w:val="21"/>
                <w:lang w:val="zh-CN"/>
              </w:rPr>
            </w:pPr>
          </w:p>
        </w:tc>
      </w:tr>
      <w:tr w14:paraId="68EB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trPr>
        <w:tc>
          <w:tcPr>
            <w:tcW w:w="2647" w:type="dxa"/>
            <w:tcMar>
              <w:top w:w="0" w:type="dxa"/>
              <w:left w:w="108" w:type="dxa"/>
              <w:bottom w:w="0" w:type="dxa"/>
              <w:right w:w="108" w:type="dxa"/>
            </w:tcMar>
            <w:vAlign w:val="center"/>
          </w:tcPr>
          <w:p w14:paraId="1B1AD283">
            <w:pPr>
              <w:spacing w:line="360" w:lineRule="auto"/>
              <w:jc w:val="center"/>
              <w:rPr>
                <w:rFonts w:hint="eastAsia" w:ascii="宋体" w:hAnsi="宋体" w:cs="宋体"/>
                <w:spacing w:val="-2"/>
                <w:szCs w:val="21"/>
              </w:rPr>
            </w:pPr>
            <w:r>
              <w:rPr>
                <w:rFonts w:hint="eastAsia" w:ascii="宋体" w:hAnsi="宋体" w:cs="宋体"/>
                <w:spacing w:val="-2"/>
                <w:szCs w:val="21"/>
              </w:rPr>
              <w:t>服务期限</w:t>
            </w:r>
          </w:p>
        </w:tc>
        <w:tc>
          <w:tcPr>
            <w:tcW w:w="5678" w:type="dxa"/>
            <w:gridSpan w:val="2"/>
            <w:tcMar>
              <w:top w:w="0" w:type="dxa"/>
              <w:left w:w="108" w:type="dxa"/>
              <w:bottom w:w="0" w:type="dxa"/>
              <w:right w:w="108" w:type="dxa"/>
            </w:tcMar>
            <w:vAlign w:val="center"/>
          </w:tcPr>
          <w:p w14:paraId="6F0AA7AE">
            <w:pPr>
              <w:spacing w:line="360" w:lineRule="auto"/>
              <w:jc w:val="center"/>
              <w:rPr>
                <w:rFonts w:hint="eastAsia" w:ascii="宋体" w:hAnsi="宋体" w:eastAsia="宋体" w:cs="宋体"/>
                <w:spacing w:val="-2"/>
                <w:szCs w:val="21"/>
                <w:u w:val="single"/>
                <w:lang w:eastAsia="zh-CN"/>
              </w:rPr>
            </w:pPr>
            <w:r>
              <w:rPr>
                <w:rFonts w:hint="eastAsia" w:ascii="宋体" w:hAnsi="宋体" w:cs="宋体"/>
                <w:spacing w:val="-2"/>
                <w:szCs w:val="21"/>
                <w:u w:val="single"/>
                <w:lang w:val="en-US" w:eastAsia="zh-CN"/>
              </w:rPr>
              <w:t xml:space="preserve"> </w:t>
            </w:r>
          </w:p>
        </w:tc>
        <w:tc>
          <w:tcPr>
            <w:tcW w:w="1873" w:type="dxa"/>
            <w:tcMar>
              <w:top w:w="0" w:type="dxa"/>
              <w:left w:w="108" w:type="dxa"/>
              <w:bottom w:w="0" w:type="dxa"/>
              <w:right w:w="108" w:type="dxa"/>
            </w:tcMar>
            <w:vAlign w:val="center"/>
          </w:tcPr>
          <w:p w14:paraId="06CFB1FB">
            <w:pPr>
              <w:spacing w:line="360" w:lineRule="auto"/>
              <w:jc w:val="center"/>
              <w:rPr>
                <w:rFonts w:hint="eastAsia" w:ascii="宋体" w:hAnsi="宋体" w:cs="宋体"/>
                <w:szCs w:val="21"/>
                <w:lang w:val="zh-CN"/>
              </w:rPr>
            </w:pPr>
          </w:p>
        </w:tc>
      </w:tr>
      <w:tr w14:paraId="7BE6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4" w:hRule="atLeast"/>
        </w:trPr>
        <w:tc>
          <w:tcPr>
            <w:tcW w:w="2647" w:type="dxa"/>
            <w:tcMar>
              <w:top w:w="0" w:type="dxa"/>
              <w:left w:w="108" w:type="dxa"/>
              <w:bottom w:w="0" w:type="dxa"/>
              <w:right w:w="108" w:type="dxa"/>
            </w:tcMar>
            <w:vAlign w:val="center"/>
          </w:tcPr>
          <w:p w14:paraId="2FF5861F">
            <w:pPr>
              <w:widowControl/>
              <w:snapToGrid w:val="0"/>
              <w:spacing w:line="300" w:lineRule="exact"/>
              <w:jc w:val="center"/>
              <w:rPr>
                <w:rFonts w:hint="eastAsia" w:ascii="宋体" w:hAnsi="宋体" w:cs="宋体"/>
                <w:kern w:val="0"/>
                <w:szCs w:val="21"/>
                <w:lang w:val="zh-CN"/>
              </w:rPr>
            </w:pPr>
            <w:r>
              <w:rPr>
                <w:rFonts w:hint="eastAsia" w:ascii="宋体" w:hAnsi="宋体" w:cs="宋体"/>
                <w:kern w:val="0"/>
                <w:szCs w:val="21"/>
                <w:lang w:val="zh-CN"/>
              </w:rPr>
              <w:t>供应商是否</w:t>
            </w:r>
            <w:r>
              <w:rPr>
                <w:rFonts w:hint="eastAsia" w:ascii="宋体" w:hAnsi="宋体" w:cs="宋体"/>
                <w:b/>
                <w:kern w:val="0"/>
                <w:szCs w:val="21"/>
                <w:lang w:val="zh-CN"/>
              </w:rPr>
              <w:t>全部</w:t>
            </w:r>
            <w:r>
              <w:rPr>
                <w:rFonts w:hint="eastAsia" w:ascii="宋体" w:hAnsi="宋体" w:cs="宋体"/>
                <w:kern w:val="0"/>
                <w:szCs w:val="21"/>
                <w:lang w:val="zh-CN"/>
              </w:rPr>
              <w:t>属于小微型企业</w:t>
            </w:r>
          </w:p>
        </w:tc>
        <w:tc>
          <w:tcPr>
            <w:tcW w:w="5678" w:type="dxa"/>
            <w:gridSpan w:val="2"/>
            <w:tcMar>
              <w:top w:w="0" w:type="dxa"/>
              <w:left w:w="108" w:type="dxa"/>
              <w:bottom w:w="0" w:type="dxa"/>
              <w:right w:w="108" w:type="dxa"/>
            </w:tcMar>
            <w:vAlign w:val="center"/>
          </w:tcPr>
          <w:p w14:paraId="79272BE6">
            <w:pPr>
              <w:spacing w:line="300" w:lineRule="exact"/>
              <w:jc w:val="left"/>
              <w:rPr>
                <w:rFonts w:hint="eastAsia" w:ascii="宋体" w:hAnsi="宋体" w:cs="宋体"/>
                <w:b/>
                <w:bCs/>
                <w:szCs w:val="21"/>
                <w:lang w:val="zh-CN"/>
              </w:rPr>
            </w:pPr>
            <w:r>
              <w:rPr>
                <w:rFonts w:hint="eastAsia" w:ascii="宋体" w:hAnsi="宋体" w:cs="宋体"/>
                <w:b/>
                <w:bCs/>
                <w:szCs w:val="21"/>
                <w:lang w:val="zh-CN"/>
              </w:rPr>
              <w:t>联合体牵头方：</w:t>
            </w:r>
          </w:p>
          <w:p w14:paraId="6ECC122F">
            <w:pPr>
              <w:spacing w:line="300" w:lineRule="exact"/>
              <w:jc w:val="left"/>
              <w:rPr>
                <w:rFonts w:hint="eastAsia" w:ascii="宋体" w:hAnsi="宋体" w:cs="宋体"/>
                <w:szCs w:val="21"/>
                <w:lang w:val="zh-CN"/>
              </w:rPr>
            </w:pPr>
            <w:r>
              <w:rPr>
                <w:rFonts w:hint="eastAsia" w:ascii="宋体" w:hAnsi="宋体" w:cs="宋体"/>
                <w:szCs w:val="21"/>
                <w:lang w:val="zh-CN"/>
              </w:rPr>
              <w:t>小微型企业</w:t>
            </w:r>
            <w:r>
              <w:rPr>
                <w:rFonts w:hint="eastAsia" w:ascii="宋体" w:hAnsi="宋体" w:cs="宋体"/>
                <w:szCs w:val="21"/>
                <w:u w:val="single"/>
                <w:lang w:val="zh-CN"/>
              </w:rPr>
              <w:t xml:space="preserve">       </w:t>
            </w:r>
            <w:r>
              <w:rPr>
                <w:rFonts w:hint="eastAsia" w:ascii="宋体" w:hAnsi="宋体" w:cs="宋体"/>
                <w:szCs w:val="21"/>
                <w:lang w:val="zh-CN"/>
              </w:rPr>
              <w:t>（是/否，如是须提供中小企业声明函），</w:t>
            </w:r>
          </w:p>
          <w:p w14:paraId="25E28A30">
            <w:pPr>
              <w:spacing w:line="300" w:lineRule="exact"/>
              <w:jc w:val="left"/>
              <w:rPr>
                <w:rFonts w:hint="eastAsia" w:ascii="宋体" w:hAnsi="宋体" w:cs="宋体"/>
                <w:b/>
                <w:bCs/>
                <w:szCs w:val="21"/>
                <w:lang w:val="zh-CN"/>
              </w:rPr>
            </w:pPr>
            <w:r>
              <w:rPr>
                <w:rFonts w:hint="eastAsia" w:ascii="宋体" w:hAnsi="宋体" w:cs="宋体"/>
                <w:b/>
                <w:bCs/>
                <w:szCs w:val="21"/>
                <w:lang w:val="zh-CN"/>
              </w:rPr>
              <w:t>联合体成员：</w:t>
            </w:r>
          </w:p>
          <w:p w14:paraId="7EDC29AD">
            <w:pPr>
              <w:spacing w:line="300" w:lineRule="exact"/>
              <w:jc w:val="left"/>
              <w:rPr>
                <w:rFonts w:hint="eastAsia" w:ascii="宋体" w:hAnsi="宋体" w:cs="宋体"/>
                <w:szCs w:val="21"/>
                <w:lang w:val="zh-CN"/>
              </w:rPr>
            </w:pPr>
            <w:r>
              <w:rPr>
                <w:rFonts w:hint="eastAsia" w:ascii="宋体" w:hAnsi="宋体" w:cs="宋体"/>
                <w:szCs w:val="21"/>
                <w:lang w:val="zh-CN"/>
              </w:rPr>
              <w:t>小微型企业</w:t>
            </w:r>
            <w:r>
              <w:rPr>
                <w:rFonts w:hint="eastAsia" w:ascii="宋体" w:hAnsi="宋体" w:cs="宋体"/>
                <w:szCs w:val="21"/>
                <w:u w:val="single"/>
                <w:lang w:val="zh-CN"/>
              </w:rPr>
              <w:t xml:space="preserve">       </w:t>
            </w:r>
            <w:r>
              <w:rPr>
                <w:rFonts w:hint="eastAsia" w:ascii="宋体" w:hAnsi="宋体" w:cs="宋体"/>
                <w:szCs w:val="21"/>
                <w:lang w:val="zh-CN"/>
              </w:rPr>
              <w:t>（是/否，如是须提供中小企业声明函），</w:t>
            </w:r>
          </w:p>
        </w:tc>
        <w:tc>
          <w:tcPr>
            <w:tcW w:w="1873" w:type="dxa"/>
            <w:tcMar>
              <w:top w:w="0" w:type="dxa"/>
              <w:left w:w="108" w:type="dxa"/>
              <w:bottom w:w="0" w:type="dxa"/>
              <w:right w:w="108" w:type="dxa"/>
            </w:tcMar>
            <w:vAlign w:val="center"/>
          </w:tcPr>
          <w:p w14:paraId="5F37D4AC">
            <w:pPr>
              <w:spacing w:line="360" w:lineRule="auto"/>
              <w:jc w:val="center"/>
              <w:rPr>
                <w:rFonts w:hint="eastAsia" w:ascii="宋体" w:hAnsi="宋体" w:cs="宋体"/>
                <w:b/>
                <w:bCs/>
                <w:szCs w:val="21"/>
              </w:rPr>
            </w:pPr>
            <w:r>
              <w:rPr>
                <w:rFonts w:hint="eastAsia" w:ascii="宋体" w:hAnsi="宋体" w:cs="宋体"/>
                <w:b/>
                <w:bCs/>
                <w:szCs w:val="21"/>
              </w:rPr>
              <w:t>请认真阅读以下说明</w:t>
            </w:r>
          </w:p>
        </w:tc>
      </w:tr>
      <w:tr w14:paraId="3AED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rPr>
        <w:tc>
          <w:tcPr>
            <w:tcW w:w="2647" w:type="dxa"/>
            <w:tcMar>
              <w:top w:w="0" w:type="dxa"/>
              <w:left w:w="108" w:type="dxa"/>
              <w:bottom w:w="0" w:type="dxa"/>
              <w:right w:w="108" w:type="dxa"/>
            </w:tcMar>
            <w:vAlign w:val="center"/>
          </w:tcPr>
          <w:p w14:paraId="5B154BFE">
            <w:pPr>
              <w:widowControl/>
              <w:snapToGrid w:val="0"/>
              <w:spacing w:line="300" w:lineRule="exact"/>
              <w:jc w:val="center"/>
              <w:rPr>
                <w:rFonts w:hint="eastAsia" w:ascii="宋体" w:hAnsi="宋体" w:cs="宋体"/>
                <w:kern w:val="0"/>
                <w:szCs w:val="21"/>
                <w:lang w:val="zh-CN"/>
              </w:rPr>
            </w:pPr>
            <w:r>
              <w:rPr>
                <w:rFonts w:hint="eastAsia" w:ascii="宋体" w:hAnsi="宋体" w:cs="宋体"/>
                <w:kern w:val="0"/>
                <w:szCs w:val="21"/>
                <w:lang w:val="zh-CN"/>
              </w:rPr>
              <w:t>供应商是否</w:t>
            </w:r>
            <w:r>
              <w:rPr>
                <w:rFonts w:hint="eastAsia" w:ascii="宋体" w:hAnsi="宋体" w:cs="宋体"/>
                <w:b/>
                <w:kern w:val="0"/>
                <w:szCs w:val="21"/>
                <w:lang w:val="zh-CN"/>
              </w:rPr>
              <w:t>全部</w:t>
            </w:r>
            <w:r>
              <w:rPr>
                <w:rFonts w:hint="eastAsia" w:ascii="宋体" w:hAnsi="宋体" w:cs="宋体"/>
                <w:kern w:val="0"/>
                <w:szCs w:val="21"/>
                <w:lang w:val="zh-CN"/>
              </w:rPr>
              <w:t>属于残疾人福利性单位</w:t>
            </w:r>
          </w:p>
        </w:tc>
        <w:tc>
          <w:tcPr>
            <w:tcW w:w="5678" w:type="dxa"/>
            <w:gridSpan w:val="2"/>
            <w:tcMar>
              <w:top w:w="0" w:type="dxa"/>
              <w:left w:w="108" w:type="dxa"/>
              <w:bottom w:w="0" w:type="dxa"/>
              <w:right w:w="108" w:type="dxa"/>
            </w:tcMar>
            <w:vAlign w:val="center"/>
          </w:tcPr>
          <w:p w14:paraId="5B1148E1">
            <w:pPr>
              <w:spacing w:line="360" w:lineRule="auto"/>
              <w:jc w:val="center"/>
              <w:rPr>
                <w:rFonts w:hint="eastAsia" w:ascii="宋体" w:hAnsi="宋体" w:cs="宋体"/>
                <w:szCs w:val="21"/>
                <w:lang w:val="zh-CN"/>
              </w:rPr>
            </w:pPr>
            <w:r>
              <w:rPr>
                <w:rFonts w:hint="eastAsia" w:ascii="宋体" w:hAnsi="宋体" w:cs="宋体"/>
                <w:kern w:val="0"/>
                <w:szCs w:val="21"/>
                <w:lang w:val="zh-CN"/>
              </w:rPr>
              <w:t>（填写“是”或“否”）</w:t>
            </w:r>
          </w:p>
        </w:tc>
        <w:tc>
          <w:tcPr>
            <w:tcW w:w="1873" w:type="dxa"/>
            <w:vMerge w:val="restart"/>
            <w:tcMar>
              <w:top w:w="0" w:type="dxa"/>
              <w:left w:w="108" w:type="dxa"/>
              <w:bottom w:w="0" w:type="dxa"/>
              <w:right w:w="108" w:type="dxa"/>
            </w:tcMar>
            <w:vAlign w:val="center"/>
          </w:tcPr>
          <w:p w14:paraId="4125D860">
            <w:pPr>
              <w:spacing w:line="360" w:lineRule="auto"/>
              <w:jc w:val="center"/>
              <w:rPr>
                <w:rFonts w:hint="eastAsia" w:ascii="宋体" w:hAnsi="宋体" w:cs="宋体"/>
                <w:szCs w:val="21"/>
              </w:rPr>
            </w:pPr>
            <w:r>
              <w:rPr>
                <w:rFonts w:hint="eastAsia" w:ascii="宋体" w:hAnsi="宋体" w:cs="宋体"/>
                <w:szCs w:val="21"/>
              </w:rPr>
              <w:t>参照要求</w:t>
            </w:r>
          </w:p>
          <w:p w14:paraId="63EA9F48">
            <w:pPr>
              <w:spacing w:line="360" w:lineRule="auto"/>
              <w:jc w:val="center"/>
              <w:rPr>
                <w:rFonts w:hint="eastAsia" w:ascii="宋体" w:hAnsi="宋体" w:cs="宋体"/>
                <w:szCs w:val="21"/>
              </w:rPr>
            </w:pPr>
            <w:r>
              <w:rPr>
                <w:rFonts w:hint="eastAsia" w:ascii="宋体" w:hAnsi="宋体" w:cs="宋体"/>
                <w:szCs w:val="21"/>
              </w:rPr>
              <w:t>如实填写</w:t>
            </w:r>
          </w:p>
        </w:tc>
      </w:tr>
      <w:tr w14:paraId="237E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trPr>
        <w:tc>
          <w:tcPr>
            <w:tcW w:w="2647" w:type="dxa"/>
            <w:tcMar>
              <w:top w:w="0" w:type="dxa"/>
              <w:left w:w="108" w:type="dxa"/>
              <w:bottom w:w="0" w:type="dxa"/>
              <w:right w:w="108" w:type="dxa"/>
            </w:tcMar>
            <w:vAlign w:val="center"/>
          </w:tcPr>
          <w:p w14:paraId="45663ED4">
            <w:pPr>
              <w:widowControl/>
              <w:snapToGrid w:val="0"/>
              <w:spacing w:line="300" w:lineRule="exact"/>
              <w:jc w:val="center"/>
              <w:rPr>
                <w:rFonts w:hint="eastAsia" w:ascii="宋体" w:hAnsi="宋体" w:cs="宋体"/>
                <w:kern w:val="0"/>
                <w:szCs w:val="21"/>
                <w:lang w:val="zh-CN"/>
              </w:rPr>
            </w:pPr>
            <w:r>
              <w:rPr>
                <w:rFonts w:hint="eastAsia" w:ascii="宋体" w:hAnsi="宋体" w:cs="宋体"/>
                <w:kern w:val="0"/>
                <w:szCs w:val="21"/>
                <w:lang w:val="zh-CN"/>
              </w:rPr>
              <w:t>供应商是否</w:t>
            </w:r>
            <w:r>
              <w:rPr>
                <w:rFonts w:hint="eastAsia" w:ascii="宋体" w:hAnsi="宋体" w:cs="宋体"/>
                <w:b/>
                <w:kern w:val="0"/>
                <w:szCs w:val="21"/>
                <w:lang w:val="zh-CN"/>
              </w:rPr>
              <w:t>全部</w:t>
            </w:r>
            <w:r>
              <w:rPr>
                <w:rFonts w:hint="eastAsia" w:ascii="宋体" w:hAnsi="宋体" w:cs="宋体"/>
                <w:kern w:val="0"/>
                <w:szCs w:val="21"/>
                <w:lang w:val="zh-CN"/>
              </w:rPr>
              <w:t>属于监狱企业</w:t>
            </w:r>
          </w:p>
        </w:tc>
        <w:tc>
          <w:tcPr>
            <w:tcW w:w="5678" w:type="dxa"/>
            <w:gridSpan w:val="2"/>
            <w:tcMar>
              <w:top w:w="0" w:type="dxa"/>
              <w:left w:w="108" w:type="dxa"/>
              <w:bottom w:w="0" w:type="dxa"/>
              <w:right w:w="108" w:type="dxa"/>
            </w:tcMar>
            <w:vAlign w:val="center"/>
          </w:tcPr>
          <w:p w14:paraId="7E85212E">
            <w:pPr>
              <w:spacing w:line="360" w:lineRule="auto"/>
              <w:jc w:val="center"/>
              <w:rPr>
                <w:rFonts w:hint="eastAsia" w:ascii="宋体" w:hAnsi="宋体" w:cs="宋体"/>
                <w:szCs w:val="21"/>
                <w:lang w:val="zh-CN"/>
              </w:rPr>
            </w:pPr>
            <w:r>
              <w:rPr>
                <w:rFonts w:hint="eastAsia" w:ascii="宋体" w:hAnsi="宋体" w:cs="宋体"/>
                <w:kern w:val="0"/>
                <w:szCs w:val="21"/>
                <w:lang w:val="zh-CN"/>
              </w:rPr>
              <w:t>（填写“是”或“否”）</w:t>
            </w:r>
          </w:p>
        </w:tc>
        <w:tc>
          <w:tcPr>
            <w:tcW w:w="1873" w:type="dxa"/>
            <w:vMerge w:val="continue"/>
            <w:tcMar>
              <w:top w:w="0" w:type="dxa"/>
              <w:left w:w="108" w:type="dxa"/>
              <w:bottom w:w="0" w:type="dxa"/>
              <w:right w:w="108" w:type="dxa"/>
            </w:tcMar>
            <w:vAlign w:val="center"/>
          </w:tcPr>
          <w:p w14:paraId="5456DD91">
            <w:pPr>
              <w:spacing w:line="360" w:lineRule="auto"/>
              <w:jc w:val="center"/>
              <w:rPr>
                <w:rFonts w:hint="eastAsia" w:ascii="宋体" w:hAnsi="宋体" w:cs="宋体"/>
                <w:szCs w:val="21"/>
                <w:lang w:val="zh-CN"/>
              </w:rPr>
            </w:pPr>
          </w:p>
        </w:tc>
      </w:tr>
      <w:tr w14:paraId="5634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2647" w:type="dxa"/>
            <w:tcMar>
              <w:top w:w="0" w:type="dxa"/>
              <w:left w:w="108" w:type="dxa"/>
              <w:bottom w:w="0" w:type="dxa"/>
              <w:right w:w="108" w:type="dxa"/>
            </w:tcMar>
            <w:vAlign w:val="center"/>
          </w:tcPr>
          <w:p w14:paraId="567A91D0">
            <w:pPr>
              <w:widowControl/>
              <w:snapToGrid w:val="0"/>
              <w:spacing w:line="300" w:lineRule="exact"/>
              <w:jc w:val="center"/>
              <w:rPr>
                <w:rFonts w:hint="eastAsia" w:ascii="宋体" w:hAnsi="宋体" w:cs="宋体"/>
                <w:kern w:val="0"/>
                <w:szCs w:val="21"/>
              </w:rPr>
            </w:pPr>
            <w:r>
              <w:rPr>
                <w:rFonts w:hint="eastAsia" w:ascii="宋体" w:hAnsi="宋体" w:cs="宋体"/>
                <w:kern w:val="0"/>
                <w:szCs w:val="21"/>
              </w:rPr>
              <w:t>供应商联系方式</w:t>
            </w:r>
          </w:p>
        </w:tc>
        <w:tc>
          <w:tcPr>
            <w:tcW w:w="5678" w:type="dxa"/>
            <w:gridSpan w:val="2"/>
            <w:tcMar>
              <w:top w:w="0" w:type="dxa"/>
              <w:left w:w="108" w:type="dxa"/>
              <w:bottom w:w="0" w:type="dxa"/>
              <w:right w:w="108" w:type="dxa"/>
            </w:tcMar>
            <w:vAlign w:val="center"/>
          </w:tcPr>
          <w:p w14:paraId="3738B34D">
            <w:pPr>
              <w:spacing w:line="360" w:lineRule="auto"/>
              <w:jc w:val="center"/>
              <w:rPr>
                <w:rFonts w:hint="eastAsia" w:ascii="宋体" w:hAnsi="宋体" w:cs="宋体"/>
                <w:kern w:val="0"/>
                <w:szCs w:val="21"/>
              </w:rPr>
            </w:pPr>
            <w:r>
              <w:rPr>
                <w:rFonts w:hint="eastAsia" w:ascii="宋体" w:hAnsi="宋体" w:cs="宋体"/>
                <w:kern w:val="0"/>
                <w:szCs w:val="21"/>
              </w:rPr>
              <w:t xml:space="preserve">姓名：     电话：     </w:t>
            </w:r>
          </w:p>
        </w:tc>
        <w:tc>
          <w:tcPr>
            <w:tcW w:w="1873" w:type="dxa"/>
            <w:tcMar>
              <w:top w:w="0" w:type="dxa"/>
              <w:left w:w="108" w:type="dxa"/>
              <w:bottom w:w="0" w:type="dxa"/>
              <w:right w:w="108" w:type="dxa"/>
            </w:tcMar>
            <w:vAlign w:val="center"/>
          </w:tcPr>
          <w:p w14:paraId="1543698A">
            <w:pPr>
              <w:spacing w:line="360" w:lineRule="auto"/>
              <w:jc w:val="center"/>
              <w:rPr>
                <w:rFonts w:hint="eastAsia" w:ascii="宋体" w:hAnsi="宋体" w:cs="宋体"/>
                <w:szCs w:val="21"/>
                <w:lang w:val="zh-CN"/>
              </w:rPr>
            </w:pPr>
          </w:p>
        </w:tc>
      </w:tr>
    </w:tbl>
    <w:p w14:paraId="2BEE9F7D">
      <w:pPr>
        <w:widowControl/>
        <w:adjustRightInd w:val="0"/>
        <w:spacing w:line="240" w:lineRule="atLeast"/>
        <w:jc w:val="left"/>
        <w:rPr>
          <w:rFonts w:ascii="宋体" w:hAnsi="宋体" w:cs="宋体"/>
          <w:kern w:val="0"/>
          <w:szCs w:val="21"/>
          <w:highlight w:val="none"/>
          <w:lang w:val="zh-CN"/>
        </w:rPr>
      </w:pPr>
    </w:p>
    <w:p w14:paraId="1A4F2E43">
      <w:pPr>
        <w:widowControl/>
        <w:adjustRightInd w:val="0"/>
        <w:spacing w:line="240" w:lineRule="atLeast"/>
        <w:ind w:left="210" w:leftChars="100"/>
        <w:jc w:val="left"/>
        <w:rPr>
          <w:rFonts w:ascii="宋体" w:hAnsi="宋体" w:cs="宋体"/>
          <w:kern w:val="0"/>
          <w:szCs w:val="21"/>
          <w:highlight w:val="none"/>
          <w:lang w:val="zh-CN"/>
        </w:rPr>
      </w:pPr>
      <w:r>
        <w:rPr>
          <w:rFonts w:hint="eastAsia" w:ascii="宋体" w:hAnsi="宋体" w:cs="宋体"/>
          <w:kern w:val="0"/>
          <w:szCs w:val="21"/>
          <w:highlight w:val="none"/>
          <w:lang w:val="zh-CN"/>
        </w:rPr>
        <w:t>供应商名称:</w:t>
      </w:r>
      <w:r>
        <w:rPr>
          <w:rFonts w:hint="eastAsia" w:ascii="宋体" w:hAnsi="宋体" w:cs="宋体"/>
          <w:kern w:val="0"/>
          <w:szCs w:val="21"/>
          <w:highlight w:val="none"/>
          <w:u w:val="single"/>
          <w:lang w:val="zh-CN"/>
        </w:rPr>
        <w:t xml:space="preserve">                                                  </w:t>
      </w:r>
      <w:r>
        <w:rPr>
          <w:rFonts w:hint="eastAsia" w:ascii="宋体" w:hAnsi="宋体" w:cs="宋体"/>
          <w:kern w:val="0"/>
          <w:szCs w:val="21"/>
          <w:highlight w:val="none"/>
          <w:lang w:val="zh-CN"/>
        </w:rPr>
        <w:t>（盖章）</w:t>
      </w:r>
    </w:p>
    <w:p w14:paraId="6AAE76A9">
      <w:pPr>
        <w:widowControl/>
        <w:adjustRightInd w:val="0"/>
        <w:spacing w:line="240" w:lineRule="atLeast"/>
        <w:ind w:left="210" w:leftChars="100"/>
        <w:jc w:val="left"/>
        <w:rPr>
          <w:rFonts w:ascii="宋体" w:hAnsi="宋体" w:cs="宋体"/>
          <w:kern w:val="0"/>
          <w:szCs w:val="21"/>
          <w:highlight w:val="none"/>
          <w:lang w:val="zh-CN"/>
        </w:rPr>
      </w:pPr>
      <w:r>
        <w:rPr>
          <w:rFonts w:hint="eastAsia" w:ascii="宋体" w:hAnsi="宋体" w:cs="宋体"/>
          <w:kern w:val="0"/>
          <w:szCs w:val="21"/>
          <w:highlight w:val="none"/>
          <w:lang w:val="zh-CN"/>
        </w:rPr>
        <w:t>法定代表人或授权代表（签字或盖章）：</w:t>
      </w:r>
    </w:p>
    <w:p w14:paraId="420B25AF">
      <w:pPr>
        <w:widowControl/>
        <w:adjustRightInd w:val="0"/>
        <w:spacing w:line="240" w:lineRule="atLeast"/>
        <w:ind w:left="210" w:leftChars="100"/>
        <w:jc w:val="left"/>
        <w:rPr>
          <w:rFonts w:ascii="宋体" w:hAnsi="宋体" w:cs="宋体"/>
          <w:kern w:val="0"/>
          <w:szCs w:val="21"/>
          <w:highlight w:val="none"/>
          <w:lang w:val="zh-CN"/>
        </w:rPr>
      </w:pPr>
      <w:r>
        <w:rPr>
          <w:rFonts w:hint="eastAsia" w:ascii="宋体" w:hAnsi="宋体" w:cs="宋体"/>
          <w:kern w:val="0"/>
          <w:szCs w:val="21"/>
          <w:highlight w:val="none"/>
          <w:lang w:val="zh-CN"/>
        </w:rPr>
        <w:t xml:space="preserve">日期：    年    月    日  </w:t>
      </w:r>
    </w:p>
    <w:p w14:paraId="40B180D1">
      <w:pPr>
        <w:widowControl/>
        <w:adjustRightInd w:val="0"/>
        <w:spacing w:line="360" w:lineRule="auto"/>
        <w:ind w:firstLine="420" w:firstLineChars="200"/>
        <w:jc w:val="left"/>
        <w:rPr>
          <w:rFonts w:ascii="宋体" w:hAnsi="宋体" w:cs="宋体"/>
          <w:kern w:val="0"/>
          <w:szCs w:val="21"/>
          <w:highlight w:val="none"/>
          <w:lang w:val="zh-CN"/>
        </w:rPr>
      </w:pPr>
      <w:r>
        <w:rPr>
          <w:rFonts w:hint="eastAsia" w:ascii="宋体" w:hAnsi="宋体" w:cs="宋体"/>
          <w:kern w:val="0"/>
          <w:szCs w:val="21"/>
          <w:highlight w:val="none"/>
          <w:lang w:val="zh-CN"/>
        </w:rPr>
        <w:t>说明：</w:t>
      </w:r>
    </w:p>
    <w:p w14:paraId="5FD9EB59">
      <w:pPr>
        <w:widowControl/>
        <w:adjustRightInd w:val="0"/>
        <w:spacing w:line="360" w:lineRule="auto"/>
        <w:ind w:firstLine="420" w:firstLineChars="200"/>
        <w:jc w:val="left"/>
        <w:rPr>
          <w:rFonts w:ascii="宋体" w:hAnsi="宋体" w:cs="宋体"/>
          <w:kern w:val="0"/>
          <w:szCs w:val="21"/>
          <w:highlight w:val="none"/>
          <w:lang w:val="zh-CN"/>
        </w:rPr>
      </w:pPr>
      <w:r>
        <w:rPr>
          <w:rFonts w:hint="eastAsia" w:ascii="宋体" w:hAnsi="宋体" w:cs="宋体"/>
          <w:kern w:val="0"/>
          <w:szCs w:val="21"/>
          <w:highlight w:val="none"/>
          <w:lang w:val="en-US" w:eastAsia="zh-CN"/>
        </w:rPr>
        <w:t>1</w:t>
      </w:r>
      <w:r>
        <w:rPr>
          <w:rFonts w:hint="eastAsia" w:ascii="宋体" w:hAnsi="宋体" w:cs="宋体"/>
          <w:kern w:val="0"/>
          <w:szCs w:val="21"/>
          <w:highlight w:val="none"/>
          <w:lang w:val="zh-CN"/>
        </w:rPr>
        <w:t>.请注明是第几轮报价。</w:t>
      </w:r>
    </w:p>
    <w:p w14:paraId="0B9CB94B">
      <w:pPr>
        <w:widowControl/>
        <w:adjustRightInd w:val="0"/>
        <w:spacing w:line="360" w:lineRule="auto"/>
        <w:ind w:firstLine="420" w:firstLineChars="200"/>
        <w:jc w:val="left"/>
        <w:rPr>
          <w:rFonts w:hint="eastAsia" w:ascii="宋体" w:hAnsi="宋体" w:cs="宋体"/>
          <w:kern w:val="0"/>
          <w:szCs w:val="21"/>
          <w:highlight w:val="none"/>
          <w:lang w:val="zh-CN"/>
        </w:rPr>
      </w:pPr>
      <w:r>
        <w:rPr>
          <w:rFonts w:hint="eastAsia" w:ascii="宋体" w:hAnsi="宋体" w:cs="宋体"/>
          <w:kern w:val="0"/>
          <w:szCs w:val="21"/>
          <w:highlight w:val="none"/>
          <w:lang w:val="en-US" w:eastAsia="zh-CN"/>
        </w:rPr>
        <w:t>2</w:t>
      </w:r>
      <w:r>
        <w:rPr>
          <w:rFonts w:hint="eastAsia" w:ascii="宋体" w:hAnsi="宋体" w:cs="宋体"/>
          <w:kern w:val="0"/>
          <w:szCs w:val="21"/>
          <w:highlight w:val="none"/>
          <w:lang w:val="zh-CN"/>
        </w:rPr>
        <w:t>.第二轮的报价表应提前加盖单位公章，并单独携带，不需密封，供磋商报价时使用。</w:t>
      </w:r>
    </w:p>
    <w:p w14:paraId="4686D861">
      <w:pPr>
        <w:widowControl/>
        <w:adjustRightInd w:val="0"/>
        <w:spacing w:line="360" w:lineRule="auto"/>
        <w:ind w:firstLine="420" w:firstLineChars="200"/>
        <w:jc w:val="left"/>
        <w:rPr>
          <w:rFonts w:hint="eastAsia" w:ascii="宋体" w:hAnsi="宋体" w:eastAsia="宋体" w:cs="宋体"/>
          <w:kern w:val="0"/>
          <w:szCs w:val="21"/>
          <w:highlight w:val="none"/>
          <w:lang w:val="zh-CN"/>
        </w:rPr>
      </w:pPr>
      <w:r>
        <w:rPr>
          <w:rFonts w:hint="eastAsia" w:ascii="宋体" w:hAnsi="宋体" w:eastAsia="宋体" w:cs="宋体"/>
          <w:kern w:val="0"/>
          <w:szCs w:val="21"/>
          <w:highlight w:val="none"/>
          <w:lang w:val="en-US" w:eastAsia="zh-CN"/>
        </w:rPr>
        <w:t>3.</w:t>
      </w:r>
      <w:r>
        <w:rPr>
          <w:rFonts w:hint="eastAsia" w:ascii="宋体" w:hAnsi="宋体" w:eastAsia="宋体" w:cs="宋体"/>
          <w:kern w:val="0"/>
          <w:szCs w:val="21"/>
          <w:highlight w:val="none"/>
          <w:lang w:val="zh-CN"/>
        </w:rPr>
        <w:t>“供应商是否全部属于小微型企业”、“供应商是否全部属于残疾人福利性单位”、“供应商是否全部属于监狱企业”勾选“是”或“否”。如 “是”，供应商（联合体成员）需提供《中小企业声明函》、《残疾人福利性单位声明函》、《属于监狱企业的证明文件》；</w:t>
      </w:r>
    </w:p>
    <w:p w14:paraId="51A28D65">
      <w:pPr>
        <w:rPr>
          <w:rFonts w:ascii="宋体" w:hAnsi="宋体"/>
          <w:highlight w:val="none"/>
        </w:rPr>
      </w:pPr>
    </w:p>
    <w:p w14:paraId="116CE658">
      <w:pPr>
        <w:rPr>
          <w:rFonts w:ascii="宋体" w:hAnsi="宋体"/>
          <w:highlight w:val="none"/>
        </w:rPr>
      </w:pPr>
    </w:p>
    <w:p w14:paraId="64B43C0B">
      <w:pPr>
        <w:rPr>
          <w:rFonts w:ascii="宋体" w:hAnsi="宋体"/>
          <w:highlight w:val="none"/>
        </w:rPr>
      </w:pPr>
    </w:p>
    <w:p w14:paraId="48FA44C8">
      <w:pPr>
        <w:widowControl/>
        <w:adjustRightInd w:val="0"/>
        <w:spacing w:line="240" w:lineRule="atLeast"/>
        <w:jc w:val="center"/>
        <w:rPr>
          <w:rFonts w:hint="eastAsia" w:ascii="宋体" w:hAnsi="宋体" w:eastAsia="宋体" w:cs="宋体"/>
          <w:b/>
          <w:bCs/>
          <w:kern w:val="0"/>
          <w:sz w:val="28"/>
          <w:szCs w:val="28"/>
          <w:highlight w:val="none"/>
          <w:lang w:val="zh-CN"/>
        </w:rPr>
      </w:pPr>
    </w:p>
    <w:p w14:paraId="6521ACA5">
      <w:pPr>
        <w:widowControl/>
        <w:adjustRightInd w:val="0"/>
        <w:spacing w:line="240" w:lineRule="atLeast"/>
        <w:jc w:val="center"/>
        <w:rPr>
          <w:rFonts w:hint="eastAsia" w:ascii="宋体" w:hAnsi="宋体" w:eastAsia="宋体" w:cs="宋体"/>
          <w:b/>
          <w:bCs/>
          <w:kern w:val="0"/>
          <w:sz w:val="28"/>
          <w:szCs w:val="28"/>
          <w:highlight w:val="none"/>
          <w:lang w:val="zh-CN"/>
        </w:rPr>
      </w:pPr>
    </w:p>
    <w:p w14:paraId="79EE7334">
      <w:pPr>
        <w:widowControl/>
        <w:adjustRightInd w:val="0"/>
        <w:spacing w:line="240" w:lineRule="atLeast"/>
        <w:jc w:val="center"/>
        <w:rPr>
          <w:rFonts w:hint="eastAsia" w:ascii="宋体" w:hAnsi="宋体" w:eastAsia="宋体" w:cs="宋体"/>
          <w:b/>
          <w:bCs/>
          <w:kern w:val="0"/>
          <w:sz w:val="28"/>
          <w:szCs w:val="28"/>
          <w:highlight w:val="none"/>
          <w:lang w:val="zh-CN"/>
        </w:rPr>
      </w:pPr>
    </w:p>
    <w:p w14:paraId="33838E33">
      <w:pPr>
        <w:widowControl/>
        <w:adjustRightInd w:val="0"/>
        <w:spacing w:line="240" w:lineRule="atLeast"/>
        <w:jc w:val="center"/>
        <w:rPr>
          <w:rFonts w:hint="eastAsia" w:ascii="宋体" w:hAnsi="宋体" w:eastAsia="宋体" w:cs="宋体"/>
          <w:b/>
          <w:bCs/>
          <w:kern w:val="0"/>
          <w:sz w:val="28"/>
          <w:szCs w:val="28"/>
          <w:highlight w:val="none"/>
          <w:lang w:val="zh-CN"/>
        </w:rPr>
      </w:pPr>
    </w:p>
    <w:p w14:paraId="49B27F53">
      <w:pPr>
        <w:widowControl/>
        <w:adjustRightInd w:val="0"/>
        <w:spacing w:line="240" w:lineRule="atLeast"/>
        <w:jc w:val="center"/>
        <w:rPr>
          <w:rFonts w:hint="eastAsia" w:ascii="宋体" w:hAnsi="宋体" w:eastAsia="宋体" w:cs="宋体"/>
          <w:b/>
          <w:bCs/>
          <w:kern w:val="0"/>
          <w:sz w:val="28"/>
          <w:szCs w:val="28"/>
          <w:highlight w:val="none"/>
          <w:lang w:val="zh-CN"/>
        </w:rPr>
      </w:pPr>
    </w:p>
    <w:p w14:paraId="282B9783">
      <w:pPr>
        <w:widowControl/>
        <w:adjustRightInd w:val="0"/>
        <w:spacing w:line="240" w:lineRule="atLeast"/>
        <w:jc w:val="center"/>
        <w:rPr>
          <w:rFonts w:hint="eastAsia" w:ascii="宋体" w:hAnsi="宋体" w:eastAsia="宋体" w:cs="宋体"/>
          <w:b/>
          <w:bCs/>
          <w:kern w:val="0"/>
          <w:sz w:val="28"/>
          <w:szCs w:val="28"/>
          <w:highlight w:val="none"/>
          <w:lang w:val="zh-CN"/>
        </w:rPr>
      </w:pPr>
    </w:p>
    <w:p w14:paraId="5DD75B66">
      <w:pPr>
        <w:widowControl/>
        <w:adjustRightInd w:val="0"/>
        <w:spacing w:line="240" w:lineRule="atLeast"/>
        <w:jc w:val="center"/>
        <w:rPr>
          <w:rFonts w:hint="eastAsia" w:ascii="宋体" w:hAnsi="宋体" w:eastAsia="宋体" w:cs="宋体"/>
          <w:b/>
          <w:bCs/>
          <w:kern w:val="0"/>
          <w:sz w:val="28"/>
          <w:szCs w:val="28"/>
          <w:highlight w:val="none"/>
          <w:lang w:val="zh-CN"/>
        </w:rPr>
      </w:pPr>
    </w:p>
    <w:p w14:paraId="0EB11893">
      <w:pPr>
        <w:widowControl/>
        <w:adjustRightInd w:val="0"/>
        <w:spacing w:line="240" w:lineRule="atLeast"/>
        <w:jc w:val="cente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分项报价表</w:t>
      </w:r>
    </w:p>
    <w:p w14:paraId="3D3E249B">
      <w:pPr>
        <w:rPr>
          <w:rFonts w:ascii="宋体" w:hAnsi="宋体"/>
          <w:highlight w:val="none"/>
        </w:rPr>
      </w:pPr>
    </w:p>
    <w:tbl>
      <w:tblPr>
        <w:tblStyle w:val="29"/>
        <w:tblW w:w="91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3"/>
        <w:gridCol w:w="2205"/>
        <w:gridCol w:w="748"/>
        <w:gridCol w:w="797"/>
        <w:gridCol w:w="1090"/>
        <w:gridCol w:w="1113"/>
        <w:gridCol w:w="2280"/>
      </w:tblGrid>
      <w:tr w14:paraId="567BF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F7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F23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工作内容</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21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FC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工作量</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6A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74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合价（元）</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80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265FE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1C7E">
            <w:pPr>
              <w:keepNext w:val="0"/>
              <w:keepLines w:val="0"/>
              <w:widowControl/>
              <w:suppressLineNumbers w:val="0"/>
              <w:jc w:val="center"/>
              <w:textAlignment w:val="center"/>
              <w:rPr>
                <w:rFonts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87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多余土石方资源调查</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667F">
            <w:pPr>
              <w:jc w:val="center"/>
              <w:rPr>
                <w:rFonts w:hint="eastAsia" w:ascii="宋体" w:hAnsi="宋体" w:eastAsia="宋体" w:cs="宋体"/>
                <w:i w:val="0"/>
                <w:iCs w:val="0"/>
                <w:color w:val="000000"/>
                <w:sz w:val="21"/>
                <w:szCs w:val="21"/>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0BA7">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5175">
            <w:pPr>
              <w:jc w:val="center"/>
              <w:rPr>
                <w:rFonts w:hint="eastAsia" w:ascii="宋体" w:hAnsi="宋体" w:eastAsia="宋体" w:cs="宋体"/>
                <w:i w:val="0"/>
                <w:iCs w:val="0"/>
                <w:color w:val="000000"/>
                <w:sz w:val="21"/>
                <w:szCs w:val="21"/>
                <w:u w:val="none"/>
              </w:rPr>
            </w:pPr>
          </w:p>
        </w:tc>
        <w:tc>
          <w:tcPr>
            <w:tcW w:w="1113" w:type="dxa"/>
            <w:tcBorders>
              <w:top w:val="single" w:color="000000" w:sz="4" w:space="0"/>
              <w:left w:val="single" w:color="000000" w:sz="4" w:space="0"/>
              <w:bottom w:val="single" w:color="000000" w:sz="4" w:space="0"/>
              <w:right w:val="nil"/>
            </w:tcBorders>
            <w:shd w:val="clear" w:color="auto" w:fill="auto"/>
            <w:noWrap/>
            <w:vAlign w:val="center"/>
          </w:tcPr>
          <w:p w14:paraId="6C9DE9EA">
            <w:pPr>
              <w:jc w:val="center"/>
              <w:rPr>
                <w:rFonts w:hint="eastAsia" w:ascii="宋体" w:hAnsi="宋体" w:eastAsia="宋体" w:cs="宋体"/>
                <w:i w:val="0"/>
                <w:iCs w:val="0"/>
                <w:color w:val="000000"/>
                <w:sz w:val="21"/>
                <w:szCs w:val="21"/>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C5B1">
            <w:pPr>
              <w:jc w:val="center"/>
              <w:rPr>
                <w:rFonts w:hint="eastAsia" w:ascii="宋体" w:hAnsi="宋体" w:eastAsia="宋体" w:cs="宋体"/>
                <w:i w:val="0"/>
                <w:iCs w:val="0"/>
                <w:color w:val="000000"/>
                <w:sz w:val="21"/>
                <w:szCs w:val="21"/>
                <w:u w:val="none"/>
              </w:rPr>
            </w:pPr>
          </w:p>
        </w:tc>
      </w:tr>
      <w:tr w14:paraId="49E9D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264E">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93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控制点引设</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70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2A4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1C9E">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1113" w:type="dxa"/>
            <w:tcBorders>
              <w:top w:val="single" w:color="000000" w:sz="4" w:space="0"/>
              <w:left w:val="single" w:color="000000" w:sz="4" w:space="0"/>
              <w:bottom w:val="single" w:color="000000" w:sz="4" w:space="0"/>
              <w:right w:val="nil"/>
            </w:tcBorders>
            <w:shd w:val="clear" w:color="auto" w:fill="auto"/>
            <w:vAlign w:val="center"/>
          </w:tcPr>
          <w:p w14:paraId="2E4C347C">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1A53">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GPS</w:t>
            </w:r>
            <w:r>
              <w:rPr>
                <w:rFonts w:hint="eastAsia" w:ascii="宋体" w:hAnsi="宋体" w:eastAsia="宋体" w:cs="宋体"/>
                <w:i w:val="0"/>
                <w:iCs w:val="0"/>
                <w:color w:val="000000"/>
                <w:kern w:val="0"/>
                <w:sz w:val="21"/>
                <w:szCs w:val="21"/>
                <w:u w:val="none"/>
                <w:lang w:val="en-US" w:eastAsia="zh-CN" w:bidi="ar"/>
              </w:rPr>
              <w:t>控制点布设</w:t>
            </w:r>
          </w:p>
        </w:tc>
      </w:tr>
      <w:tr w14:paraId="4B937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827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42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地形图测量</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8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km²</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D25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0.75</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3B3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1113" w:type="dxa"/>
            <w:tcBorders>
              <w:top w:val="single" w:color="000000" w:sz="4" w:space="0"/>
              <w:left w:val="single" w:color="000000" w:sz="4" w:space="0"/>
              <w:bottom w:val="single" w:color="000000" w:sz="4" w:space="0"/>
              <w:right w:val="nil"/>
            </w:tcBorders>
            <w:shd w:val="clear" w:color="auto" w:fill="auto"/>
            <w:vAlign w:val="center"/>
          </w:tcPr>
          <w:p w14:paraId="3A618A00">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8F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露采矿山测量调整系数150%</w:t>
            </w:r>
          </w:p>
        </w:tc>
      </w:tr>
      <w:tr w14:paraId="1CF4B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34A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1.3</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CF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地质剖面测量</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D48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18BE">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FE96">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1113" w:type="dxa"/>
            <w:tcBorders>
              <w:top w:val="single" w:color="000000" w:sz="4" w:space="0"/>
              <w:left w:val="single" w:color="000000" w:sz="4" w:space="0"/>
              <w:bottom w:val="single" w:color="000000" w:sz="4" w:space="0"/>
              <w:right w:val="nil"/>
            </w:tcBorders>
            <w:shd w:val="clear" w:color="auto" w:fill="auto"/>
            <w:vAlign w:val="center"/>
          </w:tcPr>
          <w:p w14:paraId="170DF5FE">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57EF">
            <w:pPr>
              <w:jc w:val="center"/>
              <w:rPr>
                <w:rFonts w:hint="eastAsia" w:ascii="宋体" w:hAnsi="宋体" w:eastAsia="宋体" w:cs="宋体"/>
                <w:i w:val="0"/>
                <w:iCs w:val="0"/>
                <w:color w:val="000000"/>
                <w:sz w:val="21"/>
                <w:szCs w:val="21"/>
                <w:u w:val="none"/>
              </w:rPr>
            </w:pPr>
          </w:p>
        </w:tc>
      </w:tr>
      <w:tr w14:paraId="124E1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89A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9C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土石分类与资源成分鉴定</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AE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29D2">
            <w:pPr>
              <w:jc w:val="center"/>
              <w:rPr>
                <w:rFonts w:hint="default" w:ascii="Calibri" w:hAnsi="Calibri" w:eastAsia="宋体" w:cs="Calibri"/>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3CA5">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1113" w:type="dxa"/>
            <w:tcBorders>
              <w:top w:val="single" w:color="000000" w:sz="4" w:space="0"/>
              <w:left w:val="single" w:color="000000" w:sz="4" w:space="0"/>
              <w:bottom w:val="single" w:color="000000" w:sz="4" w:space="0"/>
              <w:right w:val="nil"/>
            </w:tcBorders>
            <w:shd w:val="clear" w:color="auto" w:fill="auto"/>
            <w:vAlign w:val="center"/>
          </w:tcPr>
          <w:p w14:paraId="3686BD2C">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0E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钻孔、筛选（钻100m，筛100样）</w:t>
            </w:r>
          </w:p>
        </w:tc>
      </w:tr>
      <w:tr w14:paraId="73288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F255D">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1.5</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2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资源调查报告编制</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23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7B10">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6AB0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1113" w:type="dxa"/>
            <w:tcBorders>
              <w:top w:val="single" w:color="000000" w:sz="4" w:space="0"/>
              <w:left w:val="single" w:color="000000" w:sz="4" w:space="0"/>
              <w:bottom w:val="single" w:color="000000" w:sz="4" w:space="0"/>
              <w:right w:val="nil"/>
            </w:tcBorders>
            <w:shd w:val="clear" w:color="auto" w:fill="auto"/>
            <w:vAlign w:val="center"/>
          </w:tcPr>
          <w:p w14:paraId="3C1C4325">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12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含报告编写、图件绘制（</w:t>
            </w:r>
            <w:r>
              <w:rPr>
                <w:rFonts w:hint="default" w:ascii="Calibri" w:hAnsi="Calibri" w:eastAsia="宋体" w:cs="Calibri"/>
                <w:i w:val="0"/>
                <w:iCs w:val="0"/>
                <w:color w:val="000000"/>
                <w:kern w:val="0"/>
                <w:sz w:val="21"/>
                <w:szCs w:val="21"/>
                <w:u w:val="none"/>
                <w:lang w:val="en-US" w:eastAsia="zh-CN" w:bidi="ar"/>
              </w:rPr>
              <w:t>6</w:t>
            </w:r>
            <w:r>
              <w:rPr>
                <w:rFonts w:hint="eastAsia" w:ascii="宋体" w:hAnsi="宋体" w:eastAsia="宋体" w:cs="宋体"/>
                <w:i w:val="0"/>
                <w:iCs w:val="0"/>
                <w:color w:val="000000"/>
                <w:kern w:val="0"/>
                <w:sz w:val="21"/>
                <w:szCs w:val="21"/>
                <w:u w:val="none"/>
                <w:lang w:val="en-US" w:eastAsia="zh-CN" w:bidi="ar"/>
              </w:rPr>
              <w:t>套）</w:t>
            </w:r>
          </w:p>
        </w:tc>
      </w:tr>
      <w:tr w14:paraId="5F47F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9243">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2A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多余土石方处置方案编制</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63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6BB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1854">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1113" w:type="dxa"/>
            <w:tcBorders>
              <w:top w:val="single" w:color="000000" w:sz="4" w:space="0"/>
              <w:left w:val="single" w:color="000000" w:sz="4" w:space="0"/>
              <w:bottom w:val="single" w:color="000000" w:sz="4" w:space="0"/>
              <w:right w:val="nil"/>
            </w:tcBorders>
            <w:shd w:val="clear" w:color="auto" w:fill="auto"/>
            <w:vAlign w:val="center"/>
          </w:tcPr>
          <w:p w14:paraId="6E7EAFB3">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70E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设计论证编写</w:t>
            </w:r>
          </w:p>
        </w:tc>
      </w:tr>
      <w:tr w14:paraId="7A07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B86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30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多余土石方资源资产评估</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1EE0D">
            <w:pPr>
              <w:jc w:val="center"/>
              <w:rPr>
                <w:rFonts w:hint="eastAsia" w:ascii="宋体" w:hAnsi="宋体" w:eastAsia="宋体" w:cs="宋体"/>
                <w:i w:val="0"/>
                <w:iCs w:val="0"/>
                <w:color w:val="000000"/>
                <w:sz w:val="21"/>
                <w:szCs w:val="21"/>
                <w:u w:val="none"/>
              </w:rPr>
            </w:pP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A856">
            <w:pPr>
              <w:jc w:val="center"/>
              <w:rPr>
                <w:rFonts w:hint="eastAsia" w:ascii="宋体" w:hAnsi="宋体" w:eastAsia="宋体" w:cs="宋体"/>
                <w:i w:val="0"/>
                <w:iCs w:val="0"/>
                <w:color w:val="000000"/>
                <w:sz w:val="21"/>
                <w:szCs w:val="21"/>
                <w:u w:val="none"/>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A83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1113" w:type="dxa"/>
            <w:tcBorders>
              <w:top w:val="single" w:color="000000" w:sz="4" w:space="0"/>
              <w:left w:val="single" w:color="000000" w:sz="4" w:space="0"/>
              <w:bottom w:val="single" w:color="000000" w:sz="4" w:space="0"/>
              <w:right w:val="nil"/>
            </w:tcBorders>
            <w:shd w:val="clear" w:color="auto" w:fill="auto"/>
            <w:vAlign w:val="center"/>
          </w:tcPr>
          <w:p w14:paraId="693C4D5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BE17">
            <w:pPr>
              <w:jc w:val="center"/>
              <w:rPr>
                <w:rFonts w:hint="eastAsia" w:ascii="宋体" w:hAnsi="宋体" w:eastAsia="宋体" w:cs="宋体"/>
                <w:i w:val="0"/>
                <w:iCs w:val="0"/>
                <w:color w:val="000000"/>
                <w:sz w:val="21"/>
                <w:szCs w:val="21"/>
                <w:u w:val="none"/>
              </w:rPr>
            </w:pPr>
          </w:p>
        </w:tc>
      </w:tr>
      <w:tr w14:paraId="4D4E2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6"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08FC">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D9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现场勘查与市场调研</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626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ECC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E12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1113" w:type="dxa"/>
            <w:tcBorders>
              <w:top w:val="single" w:color="000000" w:sz="4" w:space="0"/>
              <w:left w:val="single" w:color="000000" w:sz="4" w:space="0"/>
              <w:bottom w:val="single" w:color="000000" w:sz="4" w:space="0"/>
              <w:right w:val="nil"/>
            </w:tcBorders>
            <w:shd w:val="clear" w:color="auto" w:fill="auto"/>
            <w:vAlign w:val="center"/>
          </w:tcPr>
          <w:p w14:paraId="1BDB18D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 xml:space="preserve"> </w:t>
            </w: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7F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《中国资产评估协会收费指引》按计时收费法</w:t>
            </w:r>
          </w:p>
        </w:tc>
      </w:tr>
      <w:tr w14:paraId="0532E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405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A7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分岩土类别价值评估</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7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2CC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1090" w:type="dxa"/>
            <w:tcBorders>
              <w:top w:val="nil"/>
              <w:left w:val="single" w:color="000000" w:sz="4" w:space="0"/>
              <w:bottom w:val="nil"/>
              <w:right w:val="single" w:color="000000" w:sz="4" w:space="0"/>
            </w:tcBorders>
            <w:shd w:val="clear" w:color="auto" w:fill="auto"/>
            <w:vAlign w:val="center"/>
          </w:tcPr>
          <w:p w14:paraId="27C614F5">
            <w:pPr>
              <w:jc w:val="center"/>
              <w:rPr>
                <w:rFonts w:hint="default" w:ascii="Calibri" w:hAnsi="Calibri" w:eastAsia="宋体" w:cs="Calibri"/>
                <w:i w:val="0"/>
                <w:iCs w:val="0"/>
                <w:color w:val="000000"/>
                <w:sz w:val="21"/>
                <w:szCs w:val="21"/>
                <w:u w:val="none"/>
              </w:rPr>
            </w:pPr>
          </w:p>
        </w:tc>
        <w:tc>
          <w:tcPr>
            <w:tcW w:w="1113" w:type="dxa"/>
            <w:tcBorders>
              <w:top w:val="nil"/>
              <w:left w:val="single" w:color="000000" w:sz="4" w:space="0"/>
              <w:bottom w:val="nil"/>
              <w:right w:val="nil"/>
            </w:tcBorders>
            <w:shd w:val="clear" w:color="auto" w:fill="auto"/>
            <w:vAlign w:val="center"/>
          </w:tcPr>
          <w:p w14:paraId="43A991F9">
            <w:pPr>
              <w:jc w:val="center"/>
              <w:rPr>
                <w:rFonts w:hint="default" w:ascii="Calibri" w:hAnsi="Calibri" w:eastAsia="宋体" w:cs="Calibri"/>
                <w:i w:val="0"/>
                <w:iCs w:val="0"/>
                <w:color w:val="000000"/>
                <w:sz w:val="21"/>
                <w:szCs w:val="21"/>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0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基准费用测算法：涉及强风化岩、中风化花岗斑岩、破碎花岗斑岩、灰岩；</w:t>
            </w:r>
          </w:p>
        </w:tc>
      </w:tr>
      <w:tr w14:paraId="50C7D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E2E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3.3</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F6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资产评估报告编制</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71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9D0E">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1090" w:type="dxa"/>
            <w:tcBorders>
              <w:top w:val="nil"/>
              <w:left w:val="single" w:color="000000" w:sz="4" w:space="0"/>
              <w:bottom w:val="single" w:color="000000" w:sz="4" w:space="0"/>
              <w:right w:val="single" w:color="000000" w:sz="4" w:space="0"/>
            </w:tcBorders>
            <w:shd w:val="clear" w:color="auto" w:fill="auto"/>
            <w:vAlign w:val="center"/>
          </w:tcPr>
          <w:p w14:paraId="7910507A">
            <w:pPr>
              <w:jc w:val="center"/>
              <w:rPr>
                <w:rFonts w:hint="default" w:ascii="Calibri" w:hAnsi="Calibri" w:eastAsia="宋体" w:cs="Calibri"/>
                <w:i w:val="0"/>
                <w:iCs w:val="0"/>
                <w:color w:val="000000"/>
                <w:sz w:val="21"/>
                <w:szCs w:val="21"/>
                <w:u w:val="none"/>
              </w:rPr>
            </w:pPr>
          </w:p>
        </w:tc>
        <w:tc>
          <w:tcPr>
            <w:tcW w:w="1113" w:type="dxa"/>
            <w:tcBorders>
              <w:top w:val="nil"/>
              <w:left w:val="single" w:color="000000" w:sz="4" w:space="0"/>
              <w:bottom w:val="single" w:color="000000" w:sz="4" w:space="0"/>
              <w:right w:val="nil"/>
            </w:tcBorders>
            <w:shd w:val="clear" w:color="auto" w:fill="auto"/>
            <w:vAlign w:val="center"/>
          </w:tcPr>
          <w:p w14:paraId="5C8ED5A7">
            <w:pPr>
              <w:jc w:val="center"/>
              <w:rPr>
                <w:rFonts w:hint="default" w:ascii="Calibri" w:hAnsi="Calibri" w:eastAsia="宋体" w:cs="Calibri"/>
                <w:i w:val="0"/>
                <w:iCs w:val="0"/>
                <w:color w:val="000000"/>
                <w:sz w:val="21"/>
                <w:szCs w:val="21"/>
                <w:u w:val="none"/>
              </w:rPr>
            </w:pPr>
          </w:p>
        </w:tc>
        <w:tc>
          <w:tcPr>
            <w:tcW w:w="2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7A9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差额定率累进法 × 收益法/市场法报告编制系数</w:t>
            </w:r>
          </w:p>
        </w:tc>
      </w:tr>
      <w:tr w14:paraId="2B8B1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1C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 计</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CC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default" w:ascii="Calibri" w:hAnsi="Calibri" w:eastAsia="宋体" w:cs="Calibri"/>
                <w:i w:val="0"/>
                <w:iCs w:val="0"/>
                <w:color w:val="000000"/>
                <w:kern w:val="0"/>
                <w:sz w:val="21"/>
                <w:szCs w:val="21"/>
                <w:u w:val="none"/>
                <w:lang w:val="en-US" w:eastAsia="zh-CN" w:bidi="ar"/>
              </w:rPr>
              <w:t>1+2+3</w:t>
            </w:r>
            <w:r>
              <w:rPr>
                <w:rStyle w:val="102"/>
                <w:sz w:val="21"/>
                <w:szCs w:val="21"/>
                <w:lang w:val="en-US" w:eastAsia="zh-CN" w:bidi="ar"/>
              </w:rPr>
              <w:t>）</w:t>
            </w:r>
          </w:p>
        </w:tc>
        <w:tc>
          <w:tcPr>
            <w:tcW w:w="3748" w:type="dxa"/>
            <w:gridSpan w:val="4"/>
            <w:tcBorders>
              <w:top w:val="single" w:color="000000" w:sz="4" w:space="0"/>
              <w:left w:val="single" w:color="000000" w:sz="4" w:space="0"/>
              <w:bottom w:val="single" w:color="000000" w:sz="4" w:space="0"/>
              <w:right w:val="nil"/>
            </w:tcBorders>
            <w:shd w:val="clear" w:color="auto" w:fill="auto"/>
            <w:vAlign w:val="center"/>
          </w:tcPr>
          <w:p w14:paraId="78E2D2D5">
            <w:pPr>
              <w:keepNext w:val="0"/>
              <w:keepLines w:val="0"/>
              <w:widowControl/>
              <w:suppressLineNumbers w:val="0"/>
              <w:jc w:val="right"/>
              <w:textAlignment w:val="center"/>
              <w:rPr>
                <w:rFonts w:hint="default" w:ascii="Calibri" w:hAnsi="Calibri" w:eastAsia="宋体" w:cs="Calibri"/>
                <w:i w:val="0"/>
                <w:iCs w:val="0"/>
                <w:color w:val="000000"/>
                <w:sz w:val="21"/>
                <w:szCs w:val="21"/>
                <w:u w:val="none"/>
                <w:lang w:val="en-US"/>
              </w:rPr>
            </w:pPr>
            <w:r>
              <w:rPr>
                <w:rFonts w:hint="default" w:ascii="Calibri" w:hAnsi="Calibri" w:eastAsia="宋体" w:cs="Calibri"/>
                <w:i w:val="0"/>
                <w:iCs w:val="0"/>
                <w:color w:val="000000"/>
                <w:kern w:val="0"/>
                <w:sz w:val="21"/>
                <w:szCs w:val="21"/>
                <w:u w:val="none"/>
                <w:lang w:val="en-US" w:eastAsia="zh-CN" w:bidi="ar"/>
              </w:rPr>
              <w:t xml:space="preserve"> </w:t>
            </w:r>
            <w:r>
              <w:rPr>
                <w:rFonts w:hint="eastAsia" w:eastAsia="宋体" w:cs="Calibri"/>
                <w:i w:val="0"/>
                <w:iCs w:val="0"/>
                <w:color w:val="000000"/>
                <w:kern w:val="0"/>
                <w:sz w:val="21"/>
                <w:szCs w:val="21"/>
                <w:u w:val="none"/>
                <w:lang w:val="en-US" w:eastAsia="zh-CN" w:bidi="ar"/>
              </w:rPr>
              <w:t>元</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B64B">
            <w:pPr>
              <w:jc w:val="center"/>
              <w:rPr>
                <w:rFonts w:hint="eastAsia" w:ascii="宋体" w:hAnsi="宋体" w:eastAsia="宋体" w:cs="宋体"/>
                <w:i w:val="0"/>
                <w:iCs w:val="0"/>
                <w:color w:val="000000"/>
                <w:sz w:val="21"/>
                <w:szCs w:val="21"/>
                <w:u w:val="none"/>
              </w:rPr>
            </w:pPr>
          </w:p>
        </w:tc>
      </w:tr>
    </w:tbl>
    <w:p w14:paraId="05A9244A">
      <w:pPr>
        <w:rPr>
          <w:rFonts w:ascii="宋体" w:hAnsi="宋体"/>
          <w:highlight w:val="none"/>
        </w:rPr>
      </w:pPr>
    </w:p>
    <w:p w14:paraId="6770854B">
      <w:pPr>
        <w:rPr>
          <w:rFonts w:ascii="宋体" w:hAnsi="宋体"/>
          <w:highlight w:val="none"/>
        </w:rPr>
      </w:pPr>
    </w:p>
    <w:p w14:paraId="70232B1D">
      <w:pPr>
        <w:rPr>
          <w:rFonts w:hint="eastAsia" w:ascii="宋体" w:hAnsi="宋体" w:cs="仿宋"/>
          <w:b/>
          <w:szCs w:val="21"/>
          <w:highlight w:val="none"/>
          <w:lang w:val="en-US" w:eastAsia="zh-CN"/>
        </w:rPr>
      </w:pPr>
      <w:bookmarkStart w:id="235" w:name="_Toc354594118"/>
      <w:bookmarkStart w:id="236" w:name="_Toc341184785"/>
      <w:r>
        <w:rPr>
          <w:rFonts w:hint="eastAsia" w:ascii="宋体" w:hAnsi="宋体" w:cs="仿宋"/>
          <w:b/>
          <w:szCs w:val="21"/>
          <w:highlight w:val="none"/>
          <w:lang w:val="en-US" w:eastAsia="zh-CN"/>
        </w:rPr>
        <w:t xml:space="preserve">                    </w:t>
      </w:r>
    </w:p>
    <w:p w14:paraId="1D82713B">
      <w:pPr>
        <w:rPr>
          <w:rFonts w:hint="eastAsia" w:ascii="宋体" w:hAnsi="宋体" w:cs="仿宋"/>
          <w:b/>
          <w:szCs w:val="21"/>
          <w:highlight w:val="none"/>
          <w:lang w:val="en-US" w:eastAsia="zh-CN"/>
        </w:rPr>
      </w:pPr>
    </w:p>
    <w:p w14:paraId="1582FD53">
      <w:pPr>
        <w:rPr>
          <w:rFonts w:hint="eastAsia" w:ascii="宋体" w:hAnsi="宋体" w:cs="仿宋"/>
          <w:b/>
          <w:szCs w:val="21"/>
          <w:highlight w:val="none"/>
          <w:lang w:val="en-US" w:eastAsia="zh-CN"/>
        </w:rPr>
      </w:pPr>
    </w:p>
    <w:p w14:paraId="26AB0C96">
      <w:pPr>
        <w:rPr>
          <w:rFonts w:hint="eastAsia" w:ascii="宋体" w:hAnsi="宋体" w:cs="仿宋"/>
          <w:b/>
          <w:szCs w:val="21"/>
          <w:highlight w:val="none"/>
          <w:lang w:val="en-US" w:eastAsia="zh-CN"/>
        </w:rPr>
      </w:pPr>
    </w:p>
    <w:p w14:paraId="7FFDD3F7">
      <w:pPr>
        <w:rPr>
          <w:rFonts w:hint="eastAsia" w:ascii="宋体" w:hAnsi="宋体" w:cs="仿宋"/>
          <w:b/>
          <w:szCs w:val="21"/>
          <w:highlight w:val="none"/>
          <w:lang w:val="en-US" w:eastAsia="zh-CN"/>
        </w:rPr>
      </w:pPr>
    </w:p>
    <w:p w14:paraId="41BAB5D5">
      <w:pPr>
        <w:rPr>
          <w:rFonts w:hint="eastAsia" w:ascii="宋体" w:hAnsi="宋体" w:cs="仿宋"/>
          <w:b/>
          <w:szCs w:val="21"/>
          <w:highlight w:val="none"/>
          <w:lang w:val="en-US" w:eastAsia="zh-CN"/>
        </w:rPr>
      </w:pPr>
    </w:p>
    <w:p w14:paraId="2E49BCD7">
      <w:pPr>
        <w:rPr>
          <w:rFonts w:hint="eastAsia" w:ascii="宋体" w:hAnsi="宋体" w:cs="仿宋"/>
          <w:b/>
          <w:szCs w:val="21"/>
          <w:highlight w:val="none"/>
          <w:lang w:val="en-US" w:eastAsia="zh-CN"/>
        </w:rPr>
      </w:pPr>
    </w:p>
    <w:p w14:paraId="41210BA6">
      <w:pPr>
        <w:rPr>
          <w:rFonts w:hint="eastAsia" w:ascii="宋体" w:hAnsi="宋体" w:cs="仿宋"/>
          <w:b/>
          <w:szCs w:val="21"/>
          <w:highlight w:val="none"/>
          <w:lang w:val="en-US" w:eastAsia="zh-CN"/>
        </w:rPr>
      </w:pPr>
    </w:p>
    <w:p w14:paraId="58A367D7">
      <w:pPr>
        <w:rPr>
          <w:rFonts w:hint="eastAsia" w:ascii="宋体" w:hAnsi="宋体" w:cs="仿宋"/>
          <w:b/>
          <w:szCs w:val="21"/>
          <w:highlight w:val="none"/>
          <w:lang w:val="en-US" w:eastAsia="zh-CN"/>
        </w:rPr>
      </w:pPr>
    </w:p>
    <w:p w14:paraId="2E89A594">
      <w:pPr>
        <w:rPr>
          <w:rFonts w:hint="eastAsia" w:ascii="宋体" w:hAnsi="宋体" w:cs="宋体"/>
          <w:b/>
          <w:sz w:val="30"/>
          <w:szCs w:val="30"/>
          <w:highlight w:val="none"/>
          <w:lang w:val="zh-CN"/>
        </w:rPr>
      </w:pPr>
      <w:r>
        <w:rPr>
          <w:rFonts w:hint="eastAsia" w:ascii="宋体" w:hAnsi="宋体" w:cs="仿宋"/>
          <w:b/>
          <w:szCs w:val="21"/>
          <w:highlight w:val="none"/>
          <w:lang w:val="en-US" w:eastAsia="zh-CN"/>
        </w:rPr>
        <w:t xml:space="preserve">     </w:t>
      </w:r>
      <w:r>
        <w:rPr>
          <w:rFonts w:hint="eastAsia" w:ascii="宋体" w:hAnsi="宋体" w:eastAsia="宋体" w:cs="宋体"/>
          <w:b/>
          <w:bCs/>
          <w:kern w:val="0"/>
          <w:sz w:val="28"/>
          <w:szCs w:val="28"/>
          <w:highlight w:val="none"/>
          <w:lang w:val="en-US" w:eastAsia="zh-CN"/>
        </w:rPr>
        <w:t xml:space="preserve">      </w:t>
      </w:r>
      <w:bookmarkStart w:id="237" w:name="_Toc28955"/>
      <w:bookmarkStart w:id="238" w:name="_Toc19964"/>
      <w:bookmarkStart w:id="239" w:name="_Toc32045"/>
      <w:bookmarkStart w:id="240" w:name="_Toc49780109"/>
      <w:bookmarkStart w:id="241" w:name="_Toc20087"/>
      <w:bookmarkStart w:id="242" w:name="_Toc459109596"/>
      <w:bookmarkStart w:id="243" w:name="_Toc49779955"/>
    </w:p>
    <w:p w14:paraId="130D2B2A">
      <w:pPr>
        <w:widowControl/>
        <w:adjustRightInd w:val="0"/>
        <w:spacing w:line="360" w:lineRule="auto"/>
        <w:jc w:val="left"/>
        <w:rPr>
          <w:rFonts w:ascii="宋体" w:hAnsi="宋体" w:cs="宋体"/>
          <w:b/>
          <w:sz w:val="30"/>
          <w:szCs w:val="30"/>
          <w:highlight w:val="none"/>
          <w:lang w:val="zh-CN"/>
        </w:rPr>
      </w:pPr>
      <w:r>
        <w:rPr>
          <w:rFonts w:hint="eastAsia" w:ascii="宋体" w:hAnsi="宋体" w:cs="宋体"/>
          <w:b/>
          <w:sz w:val="30"/>
          <w:szCs w:val="30"/>
          <w:highlight w:val="none"/>
          <w:lang w:val="zh-CN"/>
        </w:rPr>
        <w:t>四、供应商基本情况说明</w:t>
      </w:r>
      <w:bookmarkEnd w:id="237"/>
      <w:bookmarkEnd w:id="238"/>
      <w:bookmarkEnd w:id="239"/>
      <w:bookmarkEnd w:id="240"/>
      <w:bookmarkEnd w:id="241"/>
      <w:bookmarkEnd w:id="242"/>
      <w:bookmarkEnd w:id="243"/>
    </w:p>
    <w:p w14:paraId="7B3DA7C5">
      <w:pPr>
        <w:ind w:firstLine="422" w:firstLineChars="200"/>
        <w:jc w:val="center"/>
        <w:rPr>
          <w:rFonts w:ascii="宋体" w:cs="宋体"/>
          <w:b/>
          <w:highlight w:val="none"/>
          <w:lang w:val="zh-CN"/>
        </w:rPr>
      </w:pPr>
      <w:r>
        <w:rPr>
          <w:rFonts w:hint="eastAsia" w:ascii="宋体" w:cs="宋体"/>
          <w:b/>
          <w:highlight w:val="none"/>
          <w:lang w:val="zh-CN"/>
        </w:rPr>
        <w:t>供应商基本情况说明</w:t>
      </w:r>
    </w:p>
    <w:p w14:paraId="075A35A5">
      <w:pPr>
        <w:ind w:firstLine="525" w:firstLineChars="250"/>
        <w:rPr>
          <w:rFonts w:ascii="宋体" w:cs="宋体"/>
          <w:szCs w:val="21"/>
          <w:highlight w:val="none"/>
          <w:lang w:val="zh-CN"/>
        </w:rPr>
      </w:pPr>
    </w:p>
    <w:p w14:paraId="2AC89ED5">
      <w:pPr>
        <w:ind w:firstLine="525" w:firstLineChars="250"/>
        <w:rPr>
          <w:rFonts w:ascii="宋体" w:cs="宋体"/>
          <w:szCs w:val="21"/>
          <w:highlight w:val="none"/>
          <w:lang w:val="zh-CN"/>
        </w:rPr>
      </w:pPr>
      <w:r>
        <w:rPr>
          <w:rFonts w:hint="eastAsia" w:ascii="宋体" w:cs="宋体"/>
          <w:szCs w:val="21"/>
          <w:highlight w:val="none"/>
          <w:lang w:val="zh-CN"/>
        </w:rPr>
        <w:t>要求尽可能简短精炼。</w:t>
      </w:r>
    </w:p>
    <w:p w14:paraId="6D822B71">
      <w:pPr>
        <w:ind w:firstLine="420" w:firstLineChars="200"/>
        <w:rPr>
          <w:rFonts w:ascii="宋体" w:cs="宋体"/>
          <w:szCs w:val="21"/>
          <w:highlight w:val="none"/>
          <w:lang w:val="zh-CN"/>
        </w:rPr>
      </w:pPr>
      <w:r>
        <w:rPr>
          <w:rFonts w:hint="eastAsia" w:ascii="宋体" w:cs="宋体"/>
          <w:szCs w:val="21"/>
          <w:highlight w:val="none"/>
          <w:lang w:val="zh-CN"/>
        </w:rPr>
        <w:t>（一）名称及有关情况：</w:t>
      </w:r>
    </w:p>
    <w:p w14:paraId="35C974A1">
      <w:pPr>
        <w:ind w:firstLine="420" w:firstLineChars="200"/>
        <w:rPr>
          <w:rFonts w:ascii="宋体" w:cs="宋体"/>
          <w:szCs w:val="21"/>
          <w:highlight w:val="none"/>
          <w:lang w:val="zh-CN"/>
        </w:rPr>
      </w:pPr>
      <w:r>
        <w:rPr>
          <w:rFonts w:hint="eastAsia" w:ascii="宋体" w:cs="宋体"/>
          <w:szCs w:val="21"/>
          <w:highlight w:val="none"/>
          <w:lang w:val="zh-CN"/>
        </w:rPr>
        <w:t>（1）名称：</w:t>
      </w:r>
    </w:p>
    <w:p w14:paraId="0C8C1198">
      <w:pPr>
        <w:ind w:firstLine="420" w:firstLineChars="200"/>
        <w:rPr>
          <w:rFonts w:ascii="宋体" w:cs="宋体"/>
          <w:szCs w:val="21"/>
          <w:highlight w:val="none"/>
          <w:lang w:val="zh-CN"/>
        </w:rPr>
      </w:pPr>
      <w:r>
        <w:rPr>
          <w:rFonts w:hint="eastAsia" w:ascii="宋体" w:cs="宋体"/>
          <w:szCs w:val="21"/>
          <w:highlight w:val="none"/>
          <w:lang w:val="zh-CN"/>
        </w:rPr>
        <w:t>（2）地址：　　　　　　　　　传真/电话：　　　　　邮编：</w:t>
      </w:r>
    </w:p>
    <w:p w14:paraId="748BA42C">
      <w:pPr>
        <w:ind w:firstLine="420" w:firstLineChars="200"/>
        <w:rPr>
          <w:rFonts w:ascii="宋体" w:cs="宋体"/>
          <w:szCs w:val="21"/>
          <w:highlight w:val="none"/>
          <w:lang w:val="zh-CN"/>
        </w:rPr>
      </w:pPr>
      <w:r>
        <w:rPr>
          <w:rFonts w:hint="eastAsia" w:ascii="宋体" w:cs="宋体"/>
          <w:szCs w:val="21"/>
          <w:highlight w:val="none"/>
          <w:lang w:val="zh-CN"/>
        </w:rPr>
        <w:t>（3）成立或注册日期：</w:t>
      </w:r>
    </w:p>
    <w:p w14:paraId="2C260F6A">
      <w:pPr>
        <w:ind w:firstLine="420" w:firstLineChars="200"/>
        <w:rPr>
          <w:rFonts w:ascii="宋体" w:cs="宋体"/>
          <w:szCs w:val="21"/>
          <w:highlight w:val="none"/>
          <w:lang w:val="zh-CN"/>
        </w:rPr>
      </w:pPr>
      <w:r>
        <w:rPr>
          <w:rFonts w:hint="eastAsia" w:ascii="宋体" w:cs="宋体"/>
          <w:szCs w:val="21"/>
          <w:highlight w:val="none"/>
          <w:lang w:val="zh-CN"/>
        </w:rPr>
        <w:t>（4）法人代表姓名：</w:t>
      </w:r>
    </w:p>
    <w:p w14:paraId="4B2A30D8">
      <w:pPr>
        <w:ind w:firstLine="420" w:firstLineChars="200"/>
        <w:rPr>
          <w:rFonts w:ascii="宋体" w:cs="宋体"/>
          <w:szCs w:val="21"/>
          <w:highlight w:val="none"/>
          <w:lang w:val="zh-CN"/>
        </w:rPr>
      </w:pPr>
      <w:r>
        <w:rPr>
          <w:rFonts w:hint="eastAsia" w:ascii="宋体" w:cs="宋体"/>
          <w:szCs w:val="21"/>
          <w:highlight w:val="none"/>
          <w:lang w:val="zh-CN"/>
        </w:rPr>
        <w:t>（5）开户银行名称及地址：</w:t>
      </w:r>
    </w:p>
    <w:p w14:paraId="2CA0B86B">
      <w:pPr>
        <w:ind w:firstLine="420" w:firstLineChars="200"/>
        <w:rPr>
          <w:rFonts w:ascii="宋体" w:cs="宋体"/>
          <w:szCs w:val="21"/>
          <w:highlight w:val="none"/>
          <w:lang w:val="zh-CN"/>
        </w:rPr>
      </w:pPr>
      <w:r>
        <w:rPr>
          <w:rFonts w:hint="eastAsia" w:ascii="宋体" w:cs="宋体"/>
          <w:szCs w:val="21"/>
          <w:highlight w:val="none"/>
          <w:lang w:val="zh-CN"/>
        </w:rPr>
        <w:t>（6）供应商在南京地区的代表姓名和地址邮编、传真、电话</w:t>
      </w:r>
    </w:p>
    <w:p w14:paraId="2CCFB491">
      <w:pPr>
        <w:ind w:firstLine="420" w:firstLineChars="200"/>
        <w:rPr>
          <w:rFonts w:ascii="宋体" w:cs="宋体"/>
          <w:szCs w:val="21"/>
          <w:highlight w:val="none"/>
          <w:lang w:val="zh-CN"/>
        </w:rPr>
      </w:pPr>
      <w:r>
        <w:rPr>
          <w:rFonts w:hint="eastAsia" w:ascii="宋体" w:cs="宋体"/>
          <w:szCs w:val="21"/>
          <w:highlight w:val="none"/>
          <w:lang w:val="zh-CN"/>
        </w:rPr>
        <w:t>（二）供应商简介：主要包括以下内容</w:t>
      </w:r>
    </w:p>
    <w:p w14:paraId="374EF465">
      <w:pPr>
        <w:ind w:firstLine="420" w:firstLineChars="200"/>
        <w:rPr>
          <w:rFonts w:ascii="宋体" w:cs="宋体"/>
          <w:szCs w:val="21"/>
          <w:highlight w:val="none"/>
          <w:lang w:val="zh-CN"/>
        </w:rPr>
      </w:pPr>
      <w:r>
        <w:rPr>
          <w:rFonts w:hint="eastAsia" w:ascii="宋体" w:cs="宋体"/>
          <w:szCs w:val="21"/>
          <w:highlight w:val="none"/>
          <w:lang w:val="zh-CN"/>
        </w:rPr>
        <w:t>（1）企业发展简史</w:t>
      </w:r>
    </w:p>
    <w:p w14:paraId="6B0298BC">
      <w:pPr>
        <w:ind w:firstLine="420" w:firstLineChars="200"/>
        <w:rPr>
          <w:rFonts w:ascii="宋体" w:cs="宋体"/>
          <w:szCs w:val="21"/>
          <w:highlight w:val="none"/>
          <w:lang w:val="zh-CN"/>
        </w:rPr>
      </w:pPr>
      <w:r>
        <w:rPr>
          <w:rFonts w:hint="eastAsia" w:ascii="宋体" w:cs="宋体"/>
          <w:szCs w:val="21"/>
          <w:highlight w:val="none"/>
          <w:lang w:val="zh-CN"/>
        </w:rPr>
        <w:t>（2）企业获得的荣誉、受过的违规处罚情况等</w:t>
      </w:r>
    </w:p>
    <w:p w14:paraId="5DAA6087">
      <w:pPr>
        <w:ind w:firstLine="420" w:firstLineChars="200"/>
        <w:rPr>
          <w:rFonts w:ascii="宋体" w:cs="宋体"/>
          <w:szCs w:val="21"/>
          <w:highlight w:val="none"/>
          <w:lang w:val="zh-CN"/>
        </w:rPr>
      </w:pPr>
      <w:r>
        <w:rPr>
          <w:rFonts w:hint="eastAsia" w:ascii="宋体" w:cs="宋体"/>
          <w:szCs w:val="21"/>
          <w:highlight w:val="none"/>
          <w:lang w:val="zh-CN"/>
        </w:rPr>
        <w:t>（三）供应商认为需要说明的其它情况</w:t>
      </w:r>
    </w:p>
    <w:p w14:paraId="6C45FB2C">
      <w:pPr>
        <w:wordWrap w:val="0"/>
        <w:autoSpaceDE w:val="0"/>
        <w:autoSpaceDN w:val="0"/>
        <w:adjustRightInd w:val="0"/>
        <w:jc w:val="right"/>
        <w:rPr>
          <w:rFonts w:ascii="宋体" w:hAnsi="宋体" w:cs="宋体"/>
          <w:szCs w:val="21"/>
          <w:highlight w:val="none"/>
          <w:lang w:val="zh-CN"/>
        </w:rPr>
      </w:pPr>
      <w:r>
        <w:rPr>
          <w:rFonts w:hint="eastAsia" w:ascii="宋体" w:hAnsi="宋体" w:cs="宋体"/>
          <w:szCs w:val="21"/>
          <w:highlight w:val="none"/>
          <w:lang w:val="zh-CN"/>
        </w:rPr>
        <w:t>供应商</w:t>
      </w:r>
      <w:r>
        <w:rPr>
          <w:rFonts w:hint="eastAsia" w:ascii="宋体" w:hAnsi="宋体"/>
          <w:szCs w:val="21"/>
          <w:highlight w:val="none"/>
        </w:rPr>
        <w:t xml:space="preserve">（盖章）：            </w:t>
      </w:r>
    </w:p>
    <w:p w14:paraId="53C1C8E9">
      <w:pPr>
        <w:wordWrap w:val="0"/>
        <w:autoSpaceDE w:val="0"/>
        <w:autoSpaceDN w:val="0"/>
        <w:adjustRightInd w:val="0"/>
        <w:jc w:val="right"/>
        <w:rPr>
          <w:rFonts w:ascii="宋体" w:hAnsi="宋体" w:cs="宋体"/>
          <w:szCs w:val="21"/>
          <w:highlight w:val="none"/>
          <w:lang w:val="zh-CN"/>
        </w:rPr>
      </w:pPr>
      <w:r>
        <w:rPr>
          <w:rFonts w:hint="eastAsia" w:ascii="宋体" w:hAnsi="宋体" w:cs="宋体"/>
          <w:szCs w:val="21"/>
          <w:highlight w:val="none"/>
          <w:lang w:val="zh-CN"/>
        </w:rPr>
        <w:t xml:space="preserve">授权代表签字：             </w:t>
      </w:r>
    </w:p>
    <w:p w14:paraId="4C456B49">
      <w:pPr>
        <w:autoSpaceDE w:val="0"/>
        <w:autoSpaceDN w:val="0"/>
        <w:adjustRightInd w:val="0"/>
        <w:jc w:val="right"/>
        <w:rPr>
          <w:rFonts w:ascii="宋体" w:hAnsi="宋体" w:cs="宋体"/>
          <w:szCs w:val="21"/>
          <w:highlight w:val="none"/>
          <w:lang w:val="zh-CN"/>
        </w:rPr>
      </w:pPr>
      <w:r>
        <w:rPr>
          <w:rFonts w:hint="eastAsia" w:ascii="宋体" w:hAnsi="宋体" w:cs="宋体"/>
          <w:szCs w:val="21"/>
          <w:highlight w:val="none"/>
          <w:lang w:val="zh-CN"/>
        </w:rPr>
        <w:t>日</w:t>
      </w:r>
      <w:r>
        <w:rPr>
          <w:rFonts w:ascii="宋体" w:hAnsi="宋体" w:cs="宋体"/>
          <w:szCs w:val="21"/>
          <w:highlight w:val="none"/>
          <w:lang w:val="zh-CN"/>
        </w:rPr>
        <w:t xml:space="preserve">    </w:t>
      </w:r>
      <w:r>
        <w:rPr>
          <w:rFonts w:hint="eastAsia" w:ascii="宋体" w:hAnsi="宋体" w:cs="宋体"/>
          <w:szCs w:val="21"/>
          <w:highlight w:val="none"/>
          <w:lang w:val="zh-CN"/>
        </w:rPr>
        <w:t>期：</w:t>
      </w:r>
      <w:r>
        <w:rPr>
          <w:rFonts w:ascii="宋体" w:hAnsi="宋体" w:cs="宋体"/>
          <w:szCs w:val="21"/>
          <w:highlight w:val="none"/>
          <w:lang w:val="zh-CN"/>
        </w:rPr>
        <w:t xml:space="preserve">    </w:t>
      </w:r>
      <w:r>
        <w:rPr>
          <w:rFonts w:hint="eastAsia" w:ascii="宋体" w:hAnsi="宋体" w:cs="宋体"/>
          <w:szCs w:val="21"/>
          <w:highlight w:val="none"/>
          <w:lang w:val="zh-CN"/>
        </w:rPr>
        <w:t>年</w:t>
      </w:r>
      <w:r>
        <w:rPr>
          <w:rFonts w:ascii="宋体" w:hAnsi="宋体" w:cs="宋体"/>
          <w:szCs w:val="21"/>
          <w:highlight w:val="none"/>
          <w:lang w:val="zh-CN"/>
        </w:rPr>
        <w:t xml:space="preserve">    </w:t>
      </w:r>
      <w:r>
        <w:rPr>
          <w:rFonts w:hint="eastAsia" w:ascii="宋体" w:hAnsi="宋体" w:cs="宋体"/>
          <w:szCs w:val="21"/>
          <w:highlight w:val="none"/>
          <w:lang w:val="zh-CN"/>
        </w:rPr>
        <w:t>月</w:t>
      </w:r>
      <w:r>
        <w:rPr>
          <w:rFonts w:ascii="宋体" w:hAnsi="宋体" w:cs="宋体"/>
          <w:szCs w:val="21"/>
          <w:highlight w:val="none"/>
          <w:lang w:val="zh-CN"/>
        </w:rPr>
        <w:t xml:space="preserve">   </w:t>
      </w:r>
      <w:r>
        <w:rPr>
          <w:rFonts w:hint="eastAsia" w:ascii="宋体" w:hAnsi="宋体" w:cs="宋体"/>
          <w:szCs w:val="21"/>
          <w:highlight w:val="none"/>
          <w:lang w:val="zh-CN"/>
        </w:rPr>
        <w:t>日</w:t>
      </w:r>
    </w:p>
    <w:p w14:paraId="1E31A4CA">
      <w:pPr>
        <w:ind w:firstLine="843" w:firstLineChars="400"/>
        <w:rPr>
          <w:rFonts w:ascii="宋体" w:hAnsi="宋体"/>
          <w:b/>
          <w:szCs w:val="21"/>
          <w:highlight w:val="none"/>
        </w:rPr>
      </w:pPr>
    </w:p>
    <w:p w14:paraId="0347A2FF">
      <w:pPr>
        <w:pStyle w:val="39"/>
        <w:rPr>
          <w:rFonts w:ascii="宋体" w:hAnsi="宋体"/>
          <w:b/>
          <w:szCs w:val="21"/>
          <w:highlight w:val="none"/>
        </w:rPr>
      </w:pPr>
    </w:p>
    <w:p w14:paraId="7559E6AD">
      <w:pPr>
        <w:pStyle w:val="39"/>
        <w:rPr>
          <w:rFonts w:ascii="宋体" w:hAnsi="宋体"/>
          <w:b/>
          <w:szCs w:val="21"/>
          <w:highlight w:val="none"/>
        </w:rPr>
      </w:pPr>
    </w:p>
    <w:p w14:paraId="44E39CC7">
      <w:pPr>
        <w:widowControl/>
        <w:adjustRightInd w:val="0"/>
        <w:spacing w:line="360" w:lineRule="auto"/>
        <w:jc w:val="left"/>
        <w:rPr>
          <w:rFonts w:ascii="宋体" w:hAnsi="宋体" w:cs="宋体"/>
          <w:b/>
          <w:sz w:val="30"/>
          <w:szCs w:val="30"/>
          <w:highlight w:val="none"/>
          <w:lang w:val="zh-CN"/>
        </w:rPr>
      </w:pPr>
      <w:bookmarkStart w:id="244" w:name="_Toc2013"/>
      <w:bookmarkStart w:id="245" w:name="_Toc29395"/>
      <w:bookmarkStart w:id="246" w:name="_Toc49779956"/>
      <w:bookmarkStart w:id="247" w:name="_Toc49780110"/>
      <w:bookmarkStart w:id="248" w:name="_Toc13098"/>
      <w:bookmarkStart w:id="249" w:name="_Toc9482"/>
    </w:p>
    <w:p w14:paraId="15B836C8">
      <w:pPr>
        <w:widowControl/>
        <w:adjustRightInd w:val="0"/>
        <w:spacing w:line="360" w:lineRule="auto"/>
        <w:jc w:val="left"/>
        <w:rPr>
          <w:rFonts w:ascii="宋体" w:hAnsi="宋体"/>
          <w:szCs w:val="21"/>
          <w:highlight w:val="none"/>
        </w:rPr>
      </w:pPr>
      <w:r>
        <w:rPr>
          <w:rFonts w:hint="eastAsia" w:ascii="宋体" w:hAnsi="宋体" w:cs="宋体"/>
          <w:b/>
          <w:sz w:val="30"/>
          <w:szCs w:val="30"/>
          <w:highlight w:val="none"/>
          <w:lang w:val="zh-CN"/>
        </w:rPr>
        <w:t>五、项目</w:t>
      </w:r>
      <w:r>
        <w:rPr>
          <w:rFonts w:hint="eastAsia" w:ascii="宋体" w:hAnsi="宋体" w:cs="宋体"/>
          <w:b/>
          <w:sz w:val="30"/>
          <w:szCs w:val="30"/>
          <w:highlight w:val="none"/>
        </w:rPr>
        <w:t>服务</w:t>
      </w:r>
      <w:r>
        <w:rPr>
          <w:rFonts w:hint="eastAsia" w:ascii="宋体" w:hAnsi="宋体" w:cs="宋体"/>
          <w:b/>
          <w:sz w:val="30"/>
          <w:szCs w:val="30"/>
          <w:highlight w:val="none"/>
          <w:lang w:val="zh-CN"/>
        </w:rPr>
        <w:t>方案</w:t>
      </w:r>
      <w:bookmarkEnd w:id="235"/>
      <w:bookmarkEnd w:id="244"/>
      <w:bookmarkEnd w:id="245"/>
      <w:bookmarkEnd w:id="246"/>
      <w:bookmarkEnd w:id="247"/>
      <w:bookmarkEnd w:id="248"/>
      <w:bookmarkEnd w:id="249"/>
    </w:p>
    <w:bookmarkEnd w:id="236"/>
    <w:p w14:paraId="571A4E07">
      <w:pPr>
        <w:jc w:val="center"/>
        <w:rPr>
          <w:b/>
          <w:bCs/>
          <w:highlight w:val="none"/>
          <w:lang w:val="zh-CN"/>
        </w:rPr>
      </w:pPr>
      <w:bookmarkStart w:id="250" w:name="_Toc341184786"/>
      <w:bookmarkStart w:id="251" w:name="_Toc24991"/>
      <w:r>
        <w:rPr>
          <w:rFonts w:hint="eastAsia"/>
          <w:b/>
          <w:bCs/>
          <w:highlight w:val="none"/>
          <w:lang w:val="zh-CN"/>
        </w:rPr>
        <w:t>项目</w:t>
      </w:r>
      <w:r>
        <w:rPr>
          <w:rFonts w:hint="eastAsia"/>
          <w:b/>
          <w:bCs/>
          <w:highlight w:val="none"/>
        </w:rPr>
        <w:t>服务</w:t>
      </w:r>
      <w:r>
        <w:rPr>
          <w:rFonts w:hint="eastAsia"/>
          <w:b/>
          <w:bCs/>
          <w:highlight w:val="none"/>
          <w:lang w:val="zh-CN"/>
        </w:rPr>
        <w:t>方案</w:t>
      </w:r>
      <w:bookmarkEnd w:id="250"/>
      <w:bookmarkEnd w:id="251"/>
    </w:p>
    <w:p w14:paraId="2730454D">
      <w:pPr>
        <w:jc w:val="center"/>
        <w:rPr>
          <w:highlight w:val="none"/>
        </w:rPr>
      </w:pPr>
      <w:bookmarkStart w:id="252" w:name="_Toc7404"/>
      <w:r>
        <w:rPr>
          <w:rFonts w:hint="eastAsia"/>
          <w:highlight w:val="none"/>
          <w:lang w:val="zh-CN"/>
        </w:rPr>
        <w:t>（格式自拟）</w:t>
      </w:r>
      <w:bookmarkEnd w:id="252"/>
    </w:p>
    <w:p w14:paraId="01DF5DE3">
      <w:pPr>
        <w:autoSpaceDE w:val="0"/>
        <w:autoSpaceDN w:val="0"/>
        <w:adjustRightInd w:val="0"/>
        <w:jc w:val="center"/>
        <w:rPr>
          <w:rFonts w:ascii="宋体" w:hAnsi="宋体" w:cs="宋体"/>
          <w:b/>
          <w:bCs/>
          <w:szCs w:val="21"/>
          <w:highlight w:val="none"/>
        </w:rPr>
      </w:pPr>
    </w:p>
    <w:p w14:paraId="712188CE">
      <w:pPr>
        <w:autoSpaceDE w:val="0"/>
        <w:autoSpaceDN w:val="0"/>
        <w:adjustRightInd w:val="0"/>
        <w:jc w:val="center"/>
        <w:rPr>
          <w:rFonts w:ascii="宋体" w:hAnsi="宋体" w:cs="宋体"/>
          <w:b/>
          <w:bCs/>
          <w:szCs w:val="21"/>
          <w:highlight w:val="none"/>
          <w:lang w:val="zh-CN"/>
        </w:rPr>
      </w:pPr>
    </w:p>
    <w:p w14:paraId="2E8A41A6">
      <w:pPr>
        <w:autoSpaceDE w:val="0"/>
        <w:autoSpaceDN w:val="0"/>
        <w:adjustRightInd w:val="0"/>
        <w:jc w:val="center"/>
        <w:rPr>
          <w:rFonts w:ascii="宋体" w:hAnsi="宋体" w:cs="宋体"/>
          <w:b/>
          <w:bCs/>
          <w:szCs w:val="21"/>
          <w:highlight w:val="none"/>
          <w:lang w:val="zh-CN"/>
        </w:rPr>
      </w:pPr>
    </w:p>
    <w:p w14:paraId="09053C9F">
      <w:pPr>
        <w:autoSpaceDE w:val="0"/>
        <w:autoSpaceDN w:val="0"/>
        <w:adjustRightInd w:val="0"/>
        <w:jc w:val="center"/>
        <w:rPr>
          <w:rFonts w:ascii="宋体" w:hAnsi="宋体" w:cs="宋体"/>
          <w:b/>
          <w:bCs/>
          <w:szCs w:val="21"/>
          <w:highlight w:val="none"/>
          <w:lang w:val="zh-CN"/>
        </w:rPr>
      </w:pPr>
    </w:p>
    <w:p w14:paraId="28F365E5">
      <w:pPr>
        <w:autoSpaceDE w:val="0"/>
        <w:autoSpaceDN w:val="0"/>
        <w:adjustRightInd w:val="0"/>
        <w:jc w:val="center"/>
        <w:rPr>
          <w:rFonts w:ascii="宋体" w:hAnsi="宋体" w:cs="宋体"/>
          <w:b/>
          <w:bCs/>
          <w:szCs w:val="21"/>
          <w:highlight w:val="none"/>
          <w:lang w:val="zh-CN"/>
        </w:rPr>
      </w:pPr>
    </w:p>
    <w:p w14:paraId="1C98DCA2">
      <w:pPr>
        <w:autoSpaceDE w:val="0"/>
        <w:autoSpaceDN w:val="0"/>
        <w:adjustRightInd w:val="0"/>
        <w:jc w:val="center"/>
        <w:rPr>
          <w:rFonts w:ascii="宋体" w:hAnsi="宋体" w:cs="宋体"/>
          <w:b/>
          <w:bCs/>
          <w:szCs w:val="21"/>
          <w:highlight w:val="none"/>
          <w:lang w:val="zh-CN"/>
        </w:rPr>
      </w:pPr>
    </w:p>
    <w:p w14:paraId="2F54EF8B">
      <w:pPr>
        <w:wordWrap w:val="0"/>
        <w:autoSpaceDE w:val="0"/>
        <w:autoSpaceDN w:val="0"/>
        <w:adjustRightInd w:val="0"/>
        <w:jc w:val="right"/>
        <w:rPr>
          <w:rFonts w:ascii="宋体" w:hAnsi="宋体" w:cs="宋体"/>
          <w:szCs w:val="21"/>
          <w:highlight w:val="none"/>
          <w:lang w:val="zh-CN"/>
        </w:rPr>
      </w:pPr>
      <w:r>
        <w:rPr>
          <w:rFonts w:hint="eastAsia" w:ascii="宋体" w:hAnsi="宋体" w:cs="宋体"/>
          <w:szCs w:val="21"/>
          <w:highlight w:val="none"/>
          <w:lang w:val="zh-CN"/>
        </w:rPr>
        <w:t>供应商</w:t>
      </w:r>
      <w:r>
        <w:rPr>
          <w:rFonts w:hint="eastAsia" w:ascii="宋体" w:hAnsi="宋体"/>
          <w:szCs w:val="21"/>
          <w:highlight w:val="none"/>
        </w:rPr>
        <w:t xml:space="preserve">（盖章）：            </w:t>
      </w:r>
    </w:p>
    <w:p w14:paraId="68768647">
      <w:pPr>
        <w:wordWrap w:val="0"/>
        <w:autoSpaceDE w:val="0"/>
        <w:autoSpaceDN w:val="0"/>
        <w:adjustRightInd w:val="0"/>
        <w:jc w:val="right"/>
        <w:rPr>
          <w:rFonts w:ascii="宋体" w:hAnsi="宋体" w:cs="宋体"/>
          <w:szCs w:val="21"/>
          <w:highlight w:val="none"/>
          <w:lang w:val="zh-CN"/>
        </w:rPr>
      </w:pPr>
      <w:r>
        <w:rPr>
          <w:rFonts w:hint="eastAsia" w:ascii="宋体" w:hAnsi="宋体" w:cs="宋体"/>
          <w:szCs w:val="21"/>
          <w:highlight w:val="none"/>
          <w:lang w:val="zh-CN"/>
        </w:rPr>
        <w:t xml:space="preserve">授权代表签字：             </w:t>
      </w:r>
    </w:p>
    <w:p w14:paraId="260A4961">
      <w:pPr>
        <w:autoSpaceDE w:val="0"/>
        <w:autoSpaceDN w:val="0"/>
        <w:adjustRightInd w:val="0"/>
        <w:jc w:val="right"/>
        <w:rPr>
          <w:rFonts w:ascii="宋体" w:hAnsi="宋体"/>
          <w:b/>
          <w:szCs w:val="21"/>
          <w:highlight w:val="none"/>
        </w:rPr>
      </w:pPr>
      <w:r>
        <w:rPr>
          <w:rFonts w:hint="eastAsia" w:ascii="宋体" w:hAnsi="宋体" w:cs="宋体"/>
          <w:szCs w:val="21"/>
          <w:highlight w:val="none"/>
          <w:lang w:val="zh-CN"/>
        </w:rPr>
        <w:t>日</w:t>
      </w:r>
      <w:r>
        <w:rPr>
          <w:rFonts w:ascii="宋体" w:hAnsi="宋体" w:cs="宋体"/>
          <w:szCs w:val="21"/>
          <w:highlight w:val="none"/>
          <w:lang w:val="zh-CN"/>
        </w:rPr>
        <w:t xml:space="preserve">    </w:t>
      </w:r>
      <w:r>
        <w:rPr>
          <w:rFonts w:hint="eastAsia" w:ascii="宋体" w:hAnsi="宋体" w:cs="宋体"/>
          <w:szCs w:val="21"/>
          <w:highlight w:val="none"/>
          <w:lang w:val="zh-CN"/>
        </w:rPr>
        <w:t>期：</w:t>
      </w:r>
      <w:r>
        <w:rPr>
          <w:rFonts w:ascii="宋体" w:hAnsi="宋体" w:cs="宋体"/>
          <w:szCs w:val="21"/>
          <w:highlight w:val="none"/>
          <w:lang w:val="zh-CN"/>
        </w:rPr>
        <w:t xml:space="preserve">    </w:t>
      </w:r>
      <w:r>
        <w:rPr>
          <w:rFonts w:hint="eastAsia" w:ascii="宋体" w:hAnsi="宋体" w:cs="宋体"/>
          <w:szCs w:val="21"/>
          <w:highlight w:val="none"/>
          <w:lang w:val="zh-CN"/>
        </w:rPr>
        <w:t>年</w:t>
      </w:r>
      <w:r>
        <w:rPr>
          <w:rFonts w:ascii="宋体" w:hAnsi="宋体" w:cs="宋体"/>
          <w:szCs w:val="21"/>
          <w:highlight w:val="none"/>
          <w:lang w:val="zh-CN"/>
        </w:rPr>
        <w:t xml:space="preserve">    </w:t>
      </w:r>
      <w:r>
        <w:rPr>
          <w:rFonts w:hint="eastAsia" w:ascii="宋体" w:hAnsi="宋体" w:cs="宋体"/>
          <w:szCs w:val="21"/>
          <w:highlight w:val="none"/>
          <w:lang w:val="zh-CN"/>
        </w:rPr>
        <w:t>月</w:t>
      </w:r>
      <w:r>
        <w:rPr>
          <w:rFonts w:ascii="宋体" w:hAnsi="宋体" w:cs="宋体"/>
          <w:szCs w:val="21"/>
          <w:highlight w:val="none"/>
          <w:lang w:val="zh-CN"/>
        </w:rPr>
        <w:t xml:space="preserve">   </w:t>
      </w:r>
      <w:bookmarkStart w:id="253" w:name="_Toc354594120"/>
    </w:p>
    <w:p w14:paraId="73ADE42E">
      <w:pPr>
        <w:pStyle w:val="16"/>
        <w:ind w:left="0" w:firstLine="0"/>
        <w:rPr>
          <w:highlight w:val="none"/>
        </w:rPr>
      </w:pPr>
    </w:p>
    <w:p w14:paraId="71179FA9">
      <w:pPr>
        <w:pStyle w:val="16"/>
        <w:ind w:left="0" w:firstLine="0"/>
        <w:rPr>
          <w:highlight w:val="none"/>
        </w:rPr>
      </w:pPr>
    </w:p>
    <w:bookmarkEnd w:id="253"/>
    <w:p w14:paraId="3255066A">
      <w:pPr>
        <w:rPr>
          <w:highlight w:val="none"/>
          <w:lang w:eastAsia="zh-CN"/>
        </w:rPr>
      </w:pPr>
      <w:bookmarkStart w:id="254" w:name="_Toc49780112"/>
      <w:bookmarkStart w:id="255" w:name="_Toc459109600"/>
      <w:bookmarkStart w:id="256" w:name="_Toc31726"/>
      <w:bookmarkStart w:id="257" w:name="_Toc49779958"/>
      <w:bookmarkStart w:id="258" w:name="_Toc11058"/>
      <w:bookmarkStart w:id="259" w:name="_Toc3708"/>
      <w:bookmarkStart w:id="260" w:name="_Toc14286"/>
      <w:bookmarkStart w:id="261" w:name="_Toc354594121"/>
      <w:r>
        <w:rPr>
          <w:highlight w:val="none"/>
          <w:lang w:eastAsia="zh-CN"/>
        </w:rPr>
        <w:br w:type="page"/>
      </w:r>
    </w:p>
    <w:p w14:paraId="4A9804C6">
      <w:pPr>
        <w:rPr>
          <w:lang w:eastAsia="zh-CN"/>
        </w:rPr>
      </w:pPr>
    </w:p>
    <w:p w14:paraId="02E3D944">
      <w:pPr>
        <w:widowControl/>
        <w:adjustRightInd w:val="0"/>
        <w:spacing w:line="360" w:lineRule="auto"/>
        <w:jc w:val="left"/>
        <w:rPr>
          <w:rFonts w:ascii="宋体" w:hAnsi="宋体" w:cs="宋体"/>
          <w:b/>
          <w:sz w:val="30"/>
          <w:szCs w:val="30"/>
          <w:highlight w:val="none"/>
          <w:lang w:val="zh-CN"/>
        </w:rPr>
      </w:pPr>
      <w:r>
        <w:rPr>
          <w:rFonts w:hint="eastAsia" w:ascii="宋体" w:hAnsi="宋体" w:cs="宋体"/>
          <w:b/>
          <w:sz w:val="30"/>
          <w:szCs w:val="30"/>
          <w:highlight w:val="none"/>
        </w:rPr>
        <w:t>六</w:t>
      </w:r>
      <w:r>
        <w:rPr>
          <w:rFonts w:hint="eastAsia" w:ascii="宋体" w:hAnsi="宋体" w:cs="宋体"/>
          <w:b/>
          <w:sz w:val="30"/>
          <w:szCs w:val="30"/>
          <w:highlight w:val="none"/>
          <w:lang w:val="zh-CN"/>
        </w:rPr>
        <w:t>、业绩</w:t>
      </w:r>
    </w:p>
    <w:tbl>
      <w:tblPr>
        <w:tblStyle w:val="29"/>
        <w:tblW w:w="9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758"/>
        <w:gridCol w:w="2635"/>
        <w:gridCol w:w="2780"/>
      </w:tblGrid>
      <w:tr w14:paraId="0F50A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932" w:type="dxa"/>
            <w:vAlign w:val="center"/>
          </w:tcPr>
          <w:p w14:paraId="7A12C77D">
            <w:pPr>
              <w:jc w:val="center"/>
              <w:rPr>
                <w:rFonts w:ascii="宋体" w:hAnsi="宋体"/>
                <w:color w:val="000000"/>
                <w:sz w:val="28"/>
                <w:szCs w:val="28"/>
                <w:highlight w:val="none"/>
              </w:rPr>
            </w:pPr>
            <w:r>
              <w:rPr>
                <w:rFonts w:hint="eastAsia" w:ascii="宋体" w:hAnsi="宋体"/>
                <w:color w:val="000000"/>
                <w:sz w:val="28"/>
                <w:szCs w:val="28"/>
                <w:highlight w:val="none"/>
              </w:rPr>
              <w:t>序号</w:t>
            </w:r>
          </w:p>
        </w:tc>
        <w:tc>
          <w:tcPr>
            <w:tcW w:w="2758" w:type="dxa"/>
            <w:vAlign w:val="center"/>
          </w:tcPr>
          <w:p w14:paraId="3D7BF2AF">
            <w:pPr>
              <w:jc w:val="center"/>
              <w:rPr>
                <w:rFonts w:ascii="宋体" w:hAnsi="宋体"/>
                <w:color w:val="000000"/>
                <w:sz w:val="28"/>
                <w:szCs w:val="28"/>
                <w:highlight w:val="none"/>
              </w:rPr>
            </w:pPr>
            <w:r>
              <w:rPr>
                <w:rFonts w:hint="eastAsia" w:ascii="宋体" w:hAnsi="宋体"/>
                <w:color w:val="000000"/>
                <w:sz w:val="28"/>
                <w:szCs w:val="28"/>
                <w:highlight w:val="none"/>
              </w:rPr>
              <w:t>项目名称</w:t>
            </w:r>
          </w:p>
        </w:tc>
        <w:tc>
          <w:tcPr>
            <w:tcW w:w="2635" w:type="dxa"/>
            <w:vAlign w:val="center"/>
          </w:tcPr>
          <w:p w14:paraId="571A001C">
            <w:pPr>
              <w:jc w:val="center"/>
              <w:rPr>
                <w:rFonts w:ascii="宋体" w:hAnsi="宋体"/>
                <w:color w:val="000000"/>
                <w:sz w:val="28"/>
                <w:szCs w:val="28"/>
                <w:highlight w:val="none"/>
              </w:rPr>
            </w:pPr>
            <w:r>
              <w:rPr>
                <w:rFonts w:hint="eastAsia" w:ascii="宋体" w:hAnsi="宋体"/>
                <w:color w:val="000000"/>
                <w:sz w:val="28"/>
                <w:szCs w:val="28"/>
                <w:highlight w:val="none"/>
              </w:rPr>
              <w:t>委托单位</w:t>
            </w:r>
          </w:p>
        </w:tc>
        <w:tc>
          <w:tcPr>
            <w:tcW w:w="2780" w:type="dxa"/>
            <w:vAlign w:val="center"/>
          </w:tcPr>
          <w:p w14:paraId="1B831887">
            <w:pPr>
              <w:jc w:val="center"/>
              <w:rPr>
                <w:rFonts w:ascii="宋体" w:hAnsi="宋体"/>
                <w:color w:val="000000"/>
                <w:sz w:val="28"/>
                <w:szCs w:val="28"/>
                <w:highlight w:val="none"/>
              </w:rPr>
            </w:pPr>
            <w:r>
              <w:rPr>
                <w:rFonts w:hint="eastAsia" w:ascii="宋体" w:hAnsi="宋体"/>
                <w:color w:val="000000"/>
                <w:sz w:val="28"/>
                <w:szCs w:val="28"/>
                <w:highlight w:val="none"/>
              </w:rPr>
              <w:t>时 间</w:t>
            </w:r>
          </w:p>
        </w:tc>
      </w:tr>
      <w:tr w14:paraId="417F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932" w:type="dxa"/>
            <w:vAlign w:val="center"/>
          </w:tcPr>
          <w:p w14:paraId="24C345F9">
            <w:pPr>
              <w:rPr>
                <w:rFonts w:ascii="宋体" w:hAnsi="宋体"/>
                <w:sz w:val="30"/>
                <w:szCs w:val="30"/>
                <w:highlight w:val="none"/>
              </w:rPr>
            </w:pPr>
          </w:p>
        </w:tc>
        <w:tc>
          <w:tcPr>
            <w:tcW w:w="2758" w:type="dxa"/>
            <w:vAlign w:val="center"/>
          </w:tcPr>
          <w:p w14:paraId="72602185">
            <w:pPr>
              <w:rPr>
                <w:rFonts w:ascii="宋体" w:hAnsi="宋体"/>
                <w:sz w:val="30"/>
                <w:szCs w:val="30"/>
                <w:highlight w:val="none"/>
              </w:rPr>
            </w:pPr>
          </w:p>
        </w:tc>
        <w:tc>
          <w:tcPr>
            <w:tcW w:w="2635" w:type="dxa"/>
            <w:vAlign w:val="center"/>
          </w:tcPr>
          <w:p w14:paraId="6CF2D0C4">
            <w:pPr>
              <w:rPr>
                <w:rFonts w:ascii="宋体" w:hAnsi="宋体"/>
                <w:sz w:val="30"/>
                <w:szCs w:val="30"/>
                <w:highlight w:val="none"/>
              </w:rPr>
            </w:pPr>
          </w:p>
        </w:tc>
        <w:tc>
          <w:tcPr>
            <w:tcW w:w="2780" w:type="dxa"/>
            <w:vAlign w:val="center"/>
          </w:tcPr>
          <w:p w14:paraId="3A3FED4F">
            <w:pPr>
              <w:rPr>
                <w:rFonts w:ascii="宋体" w:hAnsi="宋体"/>
                <w:sz w:val="30"/>
                <w:szCs w:val="30"/>
                <w:highlight w:val="none"/>
              </w:rPr>
            </w:pPr>
          </w:p>
        </w:tc>
      </w:tr>
      <w:tr w14:paraId="61BF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932" w:type="dxa"/>
            <w:vAlign w:val="center"/>
          </w:tcPr>
          <w:p w14:paraId="5CAE9876">
            <w:pPr>
              <w:rPr>
                <w:rFonts w:ascii="宋体" w:hAnsi="宋体"/>
                <w:sz w:val="30"/>
                <w:szCs w:val="30"/>
                <w:highlight w:val="none"/>
              </w:rPr>
            </w:pPr>
          </w:p>
        </w:tc>
        <w:tc>
          <w:tcPr>
            <w:tcW w:w="2758" w:type="dxa"/>
            <w:vAlign w:val="center"/>
          </w:tcPr>
          <w:p w14:paraId="311BCCD9">
            <w:pPr>
              <w:rPr>
                <w:rFonts w:ascii="宋体" w:hAnsi="宋体"/>
                <w:sz w:val="30"/>
                <w:szCs w:val="30"/>
                <w:highlight w:val="none"/>
              </w:rPr>
            </w:pPr>
          </w:p>
        </w:tc>
        <w:tc>
          <w:tcPr>
            <w:tcW w:w="2635" w:type="dxa"/>
            <w:vAlign w:val="center"/>
          </w:tcPr>
          <w:p w14:paraId="128E5C7A">
            <w:pPr>
              <w:rPr>
                <w:rFonts w:ascii="宋体" w:hAnsi="宋体"/>
                <w:sz w:val="30"/>
                <w:szCs w:val="30"/>
                <w:highlight w:val="none"/>
              </w:rPr>
            </w:pPr>
          </w:p>
        </w:tc>
        <w:tc>
          <w:tcPr>
            <w:tcW w:w="2780" w:type="dxa"/>
            <w:vAlign w:val="center"/>
          </w:tcPr>
          <w:p w14:paraId="7A7E7E45">
            <w:pPr>
              <w:rPr>
                <w:rFonts w:ascii="宋体" w:hAnsi="宋体"/>
                <w:sz w:val="30"/>
                <w:szCs w:val="30"/>
                <w:highlight w:val="none"/>
              </w:rPr>
            </w:pPr>
          </w:p>
        </w:tc>
      </w:tr>
      <w:tr w14:paraId="799F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932" w:type="dxa"/>
            <w:vAlign w:val="center"/>
          </w:tcPr>
          <w:p w14:paraId="7D6DBF64">
            <w:pPr>
              <w:rPr>
                <w:rFonts w:ascii="宋体" w:hAnsi="宋体"/>
                <w:sz w:val="30"/>
                <w:szCs w:val="30"/>
                <w:highlight w:val="none"/>
              </w:rPr>
            </w:pPr>
          </w:p>
        </w:tc>
        <w:tc>
          <w:tcPr>
            <w:tcW w:w="2758" w:type="dxa"/>
            <w:vAlign w:val="center"/>
          </w:tcPr>
          <w:p w14:paraId="76545F27">
            <w:pPr>
              <w:rPr>
                <w:rFonts w:ascii="宋体" w:hAnsi="宋体"/>
                <w:sz w:val="30"/>
                <w:szCs w:val="30"/>
                <w:highlight w:val="none"/>
              </w:rPr>
            </w:pPr>
          </w:p>
        </w:tc>
        <w:tc>
          <w:tcPr>
            <w:tcW w:w="2635" w:type="dxa"/>
            <w:vAlign w:val="center"/>
          </w:tcPr>
          <w:p w14:paraId="1DD356E1">
            <w:pPr>
              <w:rPr>
                <w:rFonts w:ascii="宋体" w:hAnsi="宋体"/>
                <w:sz w:val="30"/>
                <w:szCs w:val="30"/>
                <w:highlight w:val="none"/>
              </w:rPr>
            </w:pPr>
          </w:p>
        </w:tc>
        <w:tc>
          <w:tcPr>
            <w:tcW w:w="2780" w:type="dxa"/>
            <w:vAlign w:val="center"/>
          </w:tcPr>
          <w:p w14:paraId="4FB8A504">
            <w:pPr>
              <w:rPr>
                <w:rFonts w:ascii="宋体" w:hAnsi="宋体"/>
                <w:sz w:val="30"/>
                <w:szCs w:val="30"/>
                <w:highlight w:val="none"/>
              </w:rPr>
            </w:pPr>
          </w:p>
        </w:tc>
      </w:tr>
      <w:tr w14:paraId="40F6D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932" w:type="dxa"/>
            <w:vAlign w:val="center"/>
          </w:tcPr>
          <w:p w14:paraId="7660DA2D">
            <w:pPr>
              <w:rPr>
                <w:rFonts w:ascii="宋体" w:hAnsi="宋体"/>
                <w:sz w:val="30"/>
                <w:szCs w:val="30"/>
                <w:highlight w:val="none"/>
              </w:rPr>
            </w:pPr>
          </w:p>
        </w:tc>
        <w:tc>
          <w:tcPr>
            <w:tcW w:w="2758" w:type="dxa"/>
            <w:vAlign w:val="center"/>
          </w:tcPr>
          <w:p w14:paraId="7C9EF664">
            <w:pPr>
              <w:rPr>
                <w:rFonts w:ascii="宋体" w:hAnsi="宋体"/>
                <w:sz w:val="30"/>
                <w:szCs w:val="30"/>
                <w:highlight w:val="none"/>
              </w:rPr>
            </w:pPr>
          </w:p>
        </w:tc>
        <w:tc>
          <w:tcPr>
            <w:tcW w:w="2635" w:type="dxa"/>
            <w:vAlign w:val="center"/>
          </w:tcPr>
          <w:p w14:paraId="795F58E1">
            <w:pPr>
              <w:rPr>
                <w:rFonts w:ascii="宋体" w:hAnsi="宋体"/>
                <w:sz w:val="30"/>
                <w:szCs w:val="30"/>
                <w:highlight w:val="none"/>
              </w:rPr>
            </w:pPr>
          </w:p>
        </w:tc>
        <w:tc>
          <w:tcPr>
            <w:tcW w:w="2780" w:type="dxa"/>
            <w:vAlign w:val="center"/>
          </w:tcPr>
          <w:p w14:paraId="59E1A7FF">
            <w:pPr>
              <w:rPr>
                <w:rFonts w:ascii="宋体" w:hAnsi="宋体"/>
                <w:sz w:val="30"/>
                <w:szCs w:val="30"/>
                <w:highlight w:val="none"/>
              </w:rPr>
            </w:pPr>
          </w:p>
        </w:tc>
      </w:tr>
    </w:tbl>
    <w:p w14:paraId="5796A58E">
      <w:pPr>
        <w:pStyle w:val="3"/>
        <w:rPr>
          <w:highlight w:val="none"/>
          <w:lang w:eastAsia="zh-CN"/>
        </w:rPr>
      </w:pPr>
    </w:p>
    <w:p w14:paraId="495A27B4">
      <w:pPr>
        <w:pStyle w:val="3"/>
        <w:rPr>
          <w:highlight w:val="none"/>
          <w:lang w:eastAsia="zh-CN"/>
        </w:rPr>
      </w:pPr>
    </w:p>
    <w:p w14:paraId="22B20C8B">
      <w:pPr>
        <w:pStyle w:val="3"/>
        <w:rPr>
          <w:highlight w:val="none"/>
          <w:lang w:eastAsia="zh-CN"/>
        </w:rPr>
      </w:pPr>
    </w:p>
    <w:p w14:paraId="2397F668">
      <w:pPr>
        <w:widowControl/>
        <w:adjustRightInd w:val="0"/>
        <w:spacing w:line="360" w:lineRule="auto"/>
        <w:jc w:val="left"/>
        <w:rPr>
          <w:rFonts w:ascii="宋体" w:hAnsi="宋体" w:cs="宋体"/>
          <w:b/>
          <w:sz w:val="30"/>
          <w:szCs w:val="30"/>
          <w:highlight w:val="none"/>
          <w:lang w:val="zh-CN"/>
        </w:rPr>
      </w:pPr>
      <w:r>
        <w:rPr>
          <w:rFonts w:hint="eastAsia" w:ascii="宋体" w:hAnsi="宋体" w:cs="宋体"/>
          <w:b/>
          <w:sz w:val="30"/>
          <w:szCs w:val="30"/>
          <w:highlight w:val="none"/>
        </w:rPr>
        <w:t>七</w:t>
      </w:r>
      <w:r>
        <w:rPr>
          <w:rFonts w:hint="eastAsia" w:ascii="宋体" w:hAnsi="宋体" w:cs="宋体"/>
          <w:b/>
          <w:sz w:val="30"/>
          <w:szCs w:val="30"/>
          <w:highlight w:val="none"/>
          <w:lang w:val="zh-CN"/>
        </w:rPr>
        <w:t>、无重大违法记录声明格式</w:t>
      </w:r>
      <w:bookmarkEnd w:id="254"/>
      <w:bookmarkEnd w:id="255"/>
      <w:bookmarkEnd w:id="256"/>
      <w:bookmarkEnd w:id="257"/>
      <w:bookmarkEnd w:id="258"/>
      <w:bookmarkEnd w:id="259"/>
      <w:bookmarkEnd w:id="260"/>
    </w:p>
    <w:p w14:paraId="17D4B951">
      <w:pPr>
        <w:jc w:val="center"/>
        <w:rPr>
          <w:rFonts w:ascii="黑体" w:eastAsia="黑体"/>
          <w:sz w:val="36"/>
          <w:szCs w:val="36"/>
          <w:highlight w:val="none"/>
        </w:rPr>
      </w:pPr>
      <w:r>
        <w:rPr>
          <w:rFonts w:hint="eastAsia" w:ascii="宋体" w:hAnsi="宋体" w:cs="黑体"/>
          <w:b/>
          <w:bCs/>
          <w:sz w:val="28"/>
          <w:szCs w:val="28"/>
          <w:highlight w:val="none"/>
          <w:lang w:val="zh-CN"/>
        </w:rPr>
        <w:t>无重大违法记录声明</w:t>
      </w:r>
    </w:p>
    <w:p w14:paraId="56D6217B">
      <w:pPr>
        <w:spacing w:line="360" w:lineRule="auto"/>
        <w:rPr>
          <w:rFonts w:ascii="宋体" w:hAnsi="宋体" w:cs="仿宋_GB2312"/>
          <w:spacing w:val="6"/>
          <w:szCs w:val="21"/>
          <w:highlight w:val="none"/>
        </w:rPr>
      </w:pPr>
      <w:r>
        <w:rPr>
          <w:rFonts w:hint="eastAsia" w:ascii="宋体" w:hAnsi="宋体" w:cs="仿宋_GB2312"/>
          <w:spacing w:val="6"/>
          <w:szCs w:val="21"/>
          <w:highlight w:val="none"/>
        </w:rPr>
        <w:t xml:space="preserve"> </w:t>
      </w:r>
      <w:r>
        <w:rPr>
          <w:rFonts w:hint="eastAsia" w:ascii="宋体" w:hAnsi="宋体" w:cs="仿宋_GB2312"/>
          <w:spacing w:val="6"/>
          <w:szCs w:val="21"/>
          <w:highlight w:val="none"/>
          <w:lang w:eastAsia="zh-CN"/>
        </w:rPr>
        <w:t>南京市江宁区人民政府淳化街道办事处</w:t>
      </w:r>
      <w:r>
        <w:rPr>
          <w:rFonts w:hint="eastAsia" w:ascii="宋体" w:hAnsi="宋体" w:cs="仿宋_GB2312"/>
          <w:spacing w:val="6"/>
          <w:szCs w:val="21"/>
          <w:highlight w:val="none"/>
        </w:rPr>
        <w:t>：</w:t>
      </w:r>
    </w:p>
    <w:p w14:paraId="6FCF4957">
      <w:pPr>
        <w:spacing w:line="360" w:lineRule="auto"/>
        <w:rPr>
          <w:rFonts w:ascii="宋体" w:hAnsi="宋体" w:cs="仿宋_GB2312"/>
          <w:spacing w:val="6"/>
          <w:szCs w:val="21"/>
          <w:highlight w:val="none"/>
        </w:rPr>
      </w:pPr>
      <w:r>
        <w:rPr>
          <w:rFonts w:hint="eastAsia" w:ascii="宋体" w:hAnsi="宋体" w:cs="仿宋_GB2312"/>
          <w:spacing w:val="6"/>
          <w:szCs w:val="21"/>
          <w:highlight w:val="none"/>
        </w:rPr>
        <w:t xml:space="preserve">    我单位</w:t>
      </w:r>
      <w:r>
        <w:rPr>
          <w:rFonts w:hint="eastAsia" w:ascii="宋体" w:hAnsi="宋体" w:cs="仿宋_GB2312"/>
          <w:spacing w:val="6"/>
          <w:szCs w:val="21"/>
          <w:highlight w:val="none"/>
          <w:u w:val="single"/>
        </w:rPr>
        <w:t xml:space="preserve">                       </w:t>
      </w:r>
      <w:r>
        <w:rPr>
          <w:rFonts w:hint="eastAsia" w:ascii="宋体" w:hAnsi="宋体" w:cs="仿宋_GB2312"/>
          <w:spacing w:val="6"/>
          <w:szCs w:val="21"/>
          <w:highlight w:val="none"/>
        </w:rPr>
        <w:t>（供应商名称）郑重声明：</w:t>
      </w:r>
    </w:p>
    <w:p w14:paraId="7E3D90C1">
      <w:pPr>
        <w:spacing w:line="360" w:lineRule="auto"/>
        <w:rPr>
          <w:rFonts w:ascii="宋体" w:hAnsi="宋体" w:cs="仿宋_GB2312"/>
          <w:spacing w:val="6"/>
          <w:szCs w:val="21"/>
          <w:highlight w:val="none"/>
        </w:rPr>
      </w:pPr>
      <w:r>
        <w:rPr>
          <w:rFonts w:hint="eastAsia" w:ascii="宋体" w:hAnsi="宋体" w:cs="仿宋_GB2312"/>
          <w:spacing w:val="6"/>
          <w:szCs w:val="21"/>
          <w:highlight w:val="none"/>
        </w:rPr>
        <w:t xml:space="preserve">    参加采购活动前3年内在经营活动中</w:t>
      </w:r>
      <w:r>
        <w:rPr>
          <w:rFonts w:hint="eastAsia" w:ascii="宋体" w:hAnsi="宋体" w:cs="仿宋_GB2312"/>
          <w:spacing w:val="6"/>
          <w:szCs w:val="21"/>
          <w:highlight w:val="none"/>
          <w:u w:val="single"/>
        </w:rPr>
        <w:t xml:space="preserve">        </w:t>
      </w:r>
      <w:r>
        <w:rPr>
          <w:rFonts w:hint="eastAsia" w:ascii="宋体" w:hAnsi="宋体" w:cs="仿宋_GB2312"/>
          <w:spacing w:val="6"/>
          <w:szCs w:val="21"/>
          <w:highlight w:val="none"/>
        </w:rPr>
        <w:t>（在下划线上如实填写：有或没有）重大违法记录。</w:t>
      </w:r>
    </w:p>
    <w:p w14:paraId="1AE72996">
      <w:pPr>
        <w:spacing w:line="360" w:lineRule="auto"/>
        <w:rPr>
          <w:rFonts w:ascii="宋体" w:hAnsi="宋体" w:cs="仿宋_GB2312"/>
          <w:spacing w:val="6"/>
          <w:szCs w:val="21"/>
          <w:highlight w:val="none"/>
        </w:rPr>
      </w:pPr>
      <w:r>
        <w:rPr>
          <w:rFonts w:hint="eastAsia" w:ascii="宋体" w:hAnsi="宋体" w:cs="仿宋_GB2312"/>
          <w:spacing w:val="6"/>
          <w:szCs w:val="21"/>
          <w:highlight w:val="none"/>
        </w:rPr>
        <w:t xml:space="preserve">    </w:t>
      </w:r>
    </w:p>
    <w:p w14:paraId="31332181">
      <w:pPr>
        <w:rPr>
          <w:rFonts w:ascii="宋体" w:hAnsi="宋体" w:cs="宋体"/>
          <w:szCs w:val="21"/>
          <w:highlight w:val="none"/>
          <w:lang w:val="zh-CN"/>
        </w:rPr>
      </w:pPr>
      <w:r>
        <w:rPr>
          <w:rFonts w:hint="eastAsia" w:ascii="宋体" w:hAnsi="宋体" w:cs="仿宋_GB2312"/>
          <w:spacing w:val="6"/>
          <w:szCs w:val="21"/>
          <w:highlight w:val="none"/>
        </w:rPr>
        <w:t xml:space="preserve">                                                 </w:t>
      </w:r>
      <w:bookmarkStart w:id="262" w:name="_Toc2290"/>
      <w:r>
        <w:rPr>
          <w:rFonts w:hint="eastAsia" w:ascii="宋体" w:hAnsi="宋体" w:cs="宋体"/>
          <w:szCs w:val="21"/>
          <w:highlight w:val="none"/>
          <w:lang w:val="zh-CN"/>
        </w:rPr>
        <w:t>供应商</w:t>
      </w:r>
      <w:r>
        <w:rPr>
          <w:rFonts w:hint="eastAsia" w:ascii="宋体" w:hAnsi="宋体"/>
          <w:szCs w:val="21"/>
          <w:highlight w:val="none"/>
        </w:rPr>
        <w:t>（盖章）：</w:t>
      </w:r>
      <w:bookmarkEnd w:id="262"/>
      <w:r>
        <w:rPr>
          <w:rFonts w:hint="eastAsia" w:ascii="宋体" w:hAnsi="宋体"/>
          <w:szCs w:val="21"/>
          <w:highlight w:val="none"/>
        </w:rPr>
        <w:t xml:space="preserve">            </w:t>
      </w:r>
    </w:p>
    <w:p w14:paraId="11992CAE">
      <w:pPr>
        <w:wordWrap w:val="0"/>
        <w:autoSpaceDE w:val="0"/>
        <w:autoSpaceDN w:val="0"/>
        <w:adjustRightInd w:val="0"/>
        <w:jc w:val="right"/>
        <w:rPr>
          <w:rFonts w:ascii="宋体" w:hAnsi="宋体" w:cs="宋体"/>
          <w:szCs w:val="21"/>
          <w:highlight w:val="none"/>
          <w:lang w:val="zh-CN"/>
        </w:rPr>
      </w:pPr>
      <w:r>
        <w:rPr>
          <w:rFonts w:hint="eastAsia" w:ascii="宋体" w:hAnsi="宋体" w:cs="宋体"/>
          <w:szCs w:val="21"/>
          <w:highlight w:val="none"/>
          <w:lang w:val="zh-CN"/>
        </w:rPr>
        <w:t xml:space="preserve">授权代表签字：             </w:t>
      </w:r>
    </w:p>
    <w:p w14:paraId="3C53C862">
      <w:pPr>
        <w:autoSpaceDE w:val="0"/>
        <w:autoSpaceDN w:val="0"/>
        <w:adjustRightInd w:val="0"/>
        <w:jc w:val="right"/>
        <w:rPr>
          <w:rFonts w:ascii="宋体" w:hAnsi="宋体"/>
          <w:b/>
          <w:szCs w:val="21"/>
          <w:highlight w:val="none"/>
        </w:rPr>
      </w:pPr>
      <w:r>
        <w:rPr>
          <w:rFonts w:hint="eastAsia" w:ascii="宋体" w:hAnsi="宋体" w:cs="宋体"/>
          <w:szCs w:val="21"/>
          <w:highlight w:val="none"/>
          <w:lang w:val="zh-CN"/>
        </w:rPr>
        <w:t>日</w:t>
      </w:r>
      <w:r>
        <w:rPr>
          <w:rFonts w:ascii="宋体" w:hAnsi="宋体" w:cs="宋体"/>
          <w:szCs w:val="21"/>
          <w:highlight w:val="none"/>
          <w:lang w:val="zh-CN"/>
        </w:rPr>
        <w:t xml:space="preserve">    </w:t>
      </w:r>
      <w:r>
        <w:rPr>
          <w:rFonts w:hint="eastAsia" w:ascii="宋体" w:hAnsi="宋体" w:cs="宋体"/>
          <w:szCs w:val="21"/>
          <w:highlight w:val="none"/>
          <w:lang w:val="zh-CN"/>
        </w:rPr>
        <w:t>期：</w:t>
      </w:r>
      <w:r>
        <w:rPr>
          <w:rFonts w:ascii="宋体" w:hAnsi="宋体" w:cs="宋体"/>
          <w:szCs w:val="21"/>
          <w:highlight w:val="none"/>
          <w:lang w:val="zh-CN"/>
        </w:rPr>
        <w:t xml:space="preserve">    </w:t>
      </w:r>
      <w:r>
        <w:rPr>
          <w:rFonts w:hint="eastAsia" w:ascii="宋体" w:hAnsi="宋体" w:cs="宋体"/>
          <w:szCs w:val="21"/>
          <w:highlight w:val="none"/>
          <w:lang w:val="zh-CN"/>
        </w:rPr>
        <w:t>年</w:t>
      </w:r>
      <w:r>
        <w:rPr>
          <w:rFonts w:ascii="宋体" w:hAnsi="宋体" w:cs="宋体"/>
          <w:szCs w:val="21"/>
          <w:highlight w:val="none"/>
          <w:lang w:val="zh-CN"/>
        </w:rPr>
        <w:t xml:space="preserve">    </w:t>
      </w:r>
      <w:r>
        <w:rPr>
          <w:rFonts w:hint="eastAsia" w:ascii="宋体" w:hAnsi="宋体" w:cs="宋体"/>
          <w:szCs w:val="21"/>
          <w:highlight w:val="none"/>
          <w:lang w:val="zh-CN"/>
        </w:rPr>
        <w:t>月</w:t>
      </w:r>
      <w:r>
        <w:rPr>
          <w:rFonts w:ascii="宋体" w:hAnsi="宋体" w:cs="宋体"/>
          <w:szCs w:val="21"/>
          <w:highlight w:val="none"/>
          <w:lang w:val="zh-CN"/>
        </w:rPr>
        <w:t xml:space="preserve">   </w:t>
      </w:r>
      <w:r>
        <w:rPr>
          <w:rFonts w:hint="eastAsia" w:ascii="宋体" w:hAnsi="宋体" w:cs="宋体"/>
          <w:szCs w:val="21"/>
          <w:highlight w:val="none"/>
          <w:lang w:val="zh-CN"/>
        </w:rPr>
        <w:t>日</w:t>
      </w:r>
    </w:p>
    <w:p w14:paraId="753B21C7">
      <w:pPr>
        <w:autoSpaceDE w:val="0"/>
        <w:autoSpaceDN w:val="0"/>
        <w:adjustRightInd w:val="0"/>
        <w:spacing w:line="460" w:lineRule="exact"/>
        <w:rPr>
          <w:rFonts w:ascii="宋体" w:hAnsi="宋体" w:cs="黑体"/>
          <w:b/>
          <w:bCs/>
          <w:szCs w:val="21"/>
          <w:highlight w:val="none"/>
        </w:rPr>
      </w:pPr>
      <w:bookmarkStart w:id="263" w:name="_Toc504126844"/>
      <w:bookmarkStart w:id="264" w:name="_Toc506199234"/>
    </w:p>
    <w:p w14:paraId="788BC8C0">
      <w:pPr>
        <w:pStyle w:val="16"/>
        <w:rPr>
          <w:highlight w:val="none"/>
        </w:rPr>
      </w:pPr>
    </w:p>
    <w:p w14:paraId="25A15886">
      <w:pPr>
        <w:widowControl/>
        <w:adjustRightInd w:val="0"/>
        <w:spacing w:line="360" w:lineRule="auto"/>
        <w:jc w:val="left"/>
        <w:rPr>
          <w:rFonts w:ascii="宋体" w:hAnsi="宋体" w:cs="宋体"/>
          <w:b/>
          <w:sz w:val="30"/>
          <w:szCs w:val="30"/>
          <w:highlight w:val="none"/>
          <w:lang w:val="zh-CN"/>
        </w:rPr>
      </w:pPr>
      <w:bookmarkStart w:id="265" w:name="_Toc27923"/>
      <w:bookmarkStart w:id="266" w:name="_Toc20125"/>
      <w:bookmarkStart w:id="267" w:name="_Toc49780113"/>
      <w:bookmarkStart w:id="268" w:name="_Toc613"/>
      <w:bookmarkStart w:id="269" w:name="_Toc49779959"/>
      <w:bookmarkStart w:id="270" w:name="_Toc11616"/>
      <w:r>
        <w:rPr>
          <w:rFonts w:hint="eastAsia" w:ascii="宋体" w:hAnsi="宋体" w:cs="宋体"/>
          <w:b/>
          <w:sz w:val="30"/>
          <w:szCs w:val="30"/>
          <w:highlight w:val="none"/>
        </w:rPr>
        <w:t>八</w:t>
      </w:r>
      <w:r>
        <w:rPr>
          <w:rFonts w:hint="eastAsia" w:ascii="宋体" w:hAnsi="宋体" w:cs="宋体"/>
          <w:b/>
          <w:sz w:val="30"/>
          <w:szCs w:val="30"/>
          <w:highlight w:val="none"/>
          <w:lang w:val="zh-CN"/>
        </w:rPr>
        <w:t>、具备履行合同所必需的设备和专业技术能力的书面声明</w:t>
      </w:r>
      <w:bookmarkEnd w:id="263"/>
      <w:bookmarkEnd w:id="264"/>
      <w:bookmarkEnd w:id="265"/>
      <w:bookmarkEnd w:id="266"/>
      <w:bookmarkEnd w:id="267"/>
      <w:bookmarkEnd w:id="268"/>
      <w:bookmarkEnd w:id="269"/>
      <w:bookmarkEnd w:id="270"/>
    </w:p>
    <w:p w14:paraId="39CDE060">
      <w:pPr>
        <w:spacing w:line="360" w:lineRule="auto"/>
        <w:ind w:firstLine="444" w:firstLineChars="200"/>
        <w:rPr>
          <w:spacing w:val="6"/>
          <w:szCs w:val="21"/>
          <w:highlight w:val="none"/>
        </w:rPr>
      </w:pPr>
    </w:p>
    <w:p w14:paraId="2A259898">
      <w:pPr>
        <w:autoSpaceDE w:val="0"/>
        <w:autoSpaceDN w:val="0"/>
        <w:adjustRightInd w:val="0"/>
        <w:rPr>
          <w:rFonts w:ascii="宋体" w:hAnsi="宋体" w:cs="宋体"/>
          <w:szCs w:val="21"/>
          <w:highlight w:val="none"/>
          <w:lang w:val="zh-CN"/>
        </w:rPr>
      </w:pPr>
      <w:r>
        <w:rPr>
          <w:rFonts w:hint="eastAsia" w:ascii="宋体" w:hAnsi="宋体" w:cs="宋体"/>
          <w:szCs w:val="21"/>
          <w:highlight w:val="none"/>
          <w:lang w:val="zh-CN"/>
        </w:rPr>
        <w:t xml:space="preserve">    我单位郑重声明：我单位具备履行本项采购合同所必需的设备和专业技术能力，为履行本项采购合同我公司具备如下主要设备和主要专业技术能力：</w:t>
      </w:r>
    </w:p>
    <w:p w14:paraId="7F5BD143">
      <w:pPr>
        <w:autoSpaceDE w:val="0"/>
        <w:autoSpaceDN w:val="0"/>
        <w:adjustRightInd w:val="0"/>
        <w:rPr>
          <w:rFonts w:ascii="宋体" w:hAnsi="宋体" w:cs="宋体"/>
          <w:szCs w:val="21"/>
          <w:highlight w:val="none"/>
          <w:lang w:val="zh-CN"/>
        </w:rPr>
      </w:pPr>
      <w:r>
        <w:rPr>
          <w:rFonts w:hint="eastAsia" w:ascii="宋体" w:hAnsi="宋体" w:cs="宋体"/>
          <w:szCs w:val="21"/>
          <w:highlight w:val="none"/>
          <w:lang w:val="zh-CN"/>
        </w:rPr>
        <w:t xml:space="preserve">    主要设备有：</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w:t>
      </w:r>
    </w:p>
    <w:p w14:paraId="0077F393">
      <w:pPr>
        <w:autoSpaceDE w:val="0"/>
        <w:autoSpaceDN w:val="0"/>
        <w:adjustRightInd w:val="0"/>
        <w:rPr>
          <w:rFonts w:ascii="宋体" w:hAnsi="宋体" w:cs="宋体"/>
          <w:szCs w:val="21"/>
          <w:highlight w:val="none"/>
          <w:lang w:val="zh-CN"/>
        </w:rPr>
      </w:pPr>
      <w:r>
        <w:rPr>
          <w:rFonts w:hint="eastAsia" w:ascii="宋体" w:hAnsi="宋体" w:cs="宋体"/>
          <w:szCs w:val="21"/>
          <w:highlight w:val="none"/>
          <w:lang w:val="zh-CN"/>
        </w:rPr>
        <w:t xml:space="preserve">    主要专业技术能力有：</w:t>
      </w:r>
      <w:r>
        <w:rPr>
          <w:rFonts w:hint="eastAsia" w:ascii="宋体" w:hAnsi="宋体" w:cs="宋体"/>
          <w:szCs w:val="21"/>
          <w:highlight w:val="none"/>
          <w:u w:val="single"/>
          <w:lang w:val="zh-CN"/>
        </w:rPr>
        <w:t xml:space="preserve">             </w:t>
      </w:r>
      <w:r>
        <w:rPr>
          <w:rFonts w:hint="eastAsia" w:ascii="宋体" w:hAnsi="宋体" w:cs="宋体"/>
          <w:szCs w:val="21"/>
          <w:highlight w:val="none"/>
          <w:lang w:val="zh-CN"/>
        </w:rPr>
        <w:t>。</w:t>
      </w:r>
    </w:p>
    <w:p w14:paraId="14C8082D">
      <w:pPr>
        <w:autoSpaceDE w:val="0"/>
        <w:autoSpaceDN w:val="0"/>
        <w:adjustRightInd w:val="0"/>
        <w:rPr>
          <w:rFonts w:ascii="宋体" w:hAnsi="宋体" w:cs="宋体"/>
          <w:szCs w:val="21"/>
          <w:highlight w:val="none"/>
          <w:lang w:val="zh-CN"/>
        </w:rPr>
      </w:pPr>
      <w:r>
        <w:rPr>
          <w:rFonts w:hint="eastAsia" w:ascii="宋体" w:hAnsi="宋体" w:cs="宋体"/>
          <w:szCs w:val="21"/>
          <w:highlight w:val="none"/>
          <w:lang w:val="zh-CN"/>
        </w:rPr>
        <w:t xml:space="preserve">                                     </w:t>
      </w:r>
    </w:p>
    <w:p w14:paraId="58EE5B8C">
      <w:pPr>
        <w:rPr>
          <w:szCs w:val="21"/>
          <w:highlight w:val="none"/>
          <w:lang w:val="zh-CN"/>
        </w:rPr>
      </w:pPr>
      <w:r>
        <w:rPr>
          <w:rFonts w:hint="eastAsia"/>
          <w:szCs w:val="21"/>
          <w:highlight w:val="none"/>
          <w:lang w:val="zh-CN"/>
        </w:rPr>
        <w:t xml:space="preserve">                                         </w:t>
      </w:r>
      <w:bookmarkStart w:id="271" w:name="_Toc7976"/>
      <w:r>
        <w:rPr>
          <w:szCs w:val="21"/>
          <w:highlight w:val="none"/>
          <w:lang w:val="zh-CN"/>
        </w:rPr>
        <w:t>供应商</w:t>
      </w:r>
      <w:r>
        <w:rPr>
          <w:szCs w:val="21"/>
          <w:highlight w:val="none"/>
        </w:rPr>
        <w:t>（盖章）：</w:t>
      </w:r>
      <w:bookmarkEnd w:id="271"/>
      <w:r>
        <w:rPr>
          <w:szCs w:val="21"/>
          <w:highlight w:val="none"/>
        </w:rPr>
        <w:t xml:space="preserve">           </w:t>
      </w:r>
    </w:p>
    <w:p w14:paraId="4B3AEDDA">
      <w:pPr>
        <w:rPr>
          <w:highlight w:val="none"/>
          <w:lang w:val="zh-CN"/>
        </w:rPr>
      </w:pPr>
      <w:r>
        <w:rPr>
          <w:rFonts w:hint="eastAsia"/>
          <w:highlight w:val="none"/>
          <w:lang w:val="zh-CN"/>
        </w:rPr>
        <w:t xml:space="preserve">                                                       </w:t>
      </w:r>
      <w:bookmarkStart w:id="272" w:name="_Toc20944"/>
      <w:r>
        <w:rPr>
          <w:highlight w:val="none"/>
          <w:lang w:val="zh-CN"/>
        </w:rPr>
        <w:t>授权代表签字：</w:t>
      </w:r>
      <w:bookmarkEnd w:id="272"/>
      <w:r>
        <w:rPr>
          <w:highlight w:val="none"/>
          <w:lang w:val="zh-CN"/>
        </w:rPr>
        <w:t xml:space="preserve">            </w:t>
      </w:r>
    </w:p>
    <w:p w14:paraId="2EC39A37">
      <w:pPr>
        <w:autoSpaceDE w:val="0"/>
        <w:autoSpaceDN w:val="0"/>
        <w:adjustRightInd w:val="0"/>
        <w:snapToGrid w:val="0"/>
        <w:jc w:val="right"/>
        <w:rPr>
          <w:rFonts w:ascii="宋体" w:hAnsi="宋体"/>
          <w:highlight w:val="none"/>
        </w:rPr>
      </w:pPr>
      <w:r>
        <w:rPr>
          <w:szCs w:val="21"/>
          <w:highlight w:val="none"/>
          <w:lang w:val="zh-CN"/>
        </w:rPr>
        <w:t>日    期：    年    月   日</w:t>
      </w:r>
    </w:p>
    <w:p w14:paraId="20FFF78A">
      <w:pPr>
        <w:wordWrap w:val="0"/>
        <w:ind w:right="444"/>
        <w:jc w:val="center"/>
        <w:rPr>
          <w:rFonts w:ascii="宋体" w:hAnsi="宋体"/>
          <w:b/>
          <w:szCs w:val="21"/>
          <w:highlight w:val="none"/>
        </w:rPr>
      </w:pPr>
    </w:p>
    <w:p w14:paraId="16C82E85">
      <w:pPr>
        <w:wordWrap w:val="0"/>
        <w:ind w:right="444"/>
        <w:jc w:val="center"/>
        <w:rPr>
          <w:rFonts w:ascii="宋体" w:hAnsi="宋体"/>
          <w:b/>
          <w:szCs w:val="21"/>
          <w:highlight w:val="none"/>
        </w:rPr>
      </w:pPr>
    </w:p>
    <w:p w14:paraId="18AD5F70">
      <w:pPr>
        <w:widowControl/>
        <w:adjustRightInd w:val="0"/>
        <w:spacing w:line="360" w:lineRule="auto"/>
        <w:jc w:val="left"/>
        <w:rPr>
          <w:rFonts w:ascii="宋体" w:hAnsi="宋体" w:cs="宋体"/>
          <w:b/>
          <w:sz w:val="30"/>
          <w:szCs w:val="30"/>
          <w:highlight w:val="none"/>
          <w:lang w:val="zh-CN"/>
        </w:rPr>
      </w:pPr>
      <w:bookmarkStart w:id="273" w:name="_Toc13813"/>
      <w:bookmarkStart w:id="274" w:name="_Toc29233"/>
      <w:bookmarkStart w:id="275" w:name="_Toc49779960"/>
      <w:bookmarkStart w:id="276" w:name="_Toc3448"/>
      <w:bookmarkStart w:id="277" w:name="_Toc49780114"/>
      <w:bookmarkStart w:id="278" w:name="_Toc28457"/>
    </w:p>
    <w:p w14:paraId="4E330B3A">
      <w:pPr>
        <w:widowControl/>
        <w:adjustRightInd w:val="0"/>
        <w:spacing w:line="360" w:lineRule="auto"/>
        <w:jc w:val="left"/>
        <w:rPr>
          <w:rFonts w:ascii="宋体" w:hAnsi="宋体" w:cs="宋体"/>
          <w:b/>
          <w:sz w:val="30"/>
          <w:szCs w:val="30"/>
          <w:highlight w:val="none"/>
          <w:lang w:val="zh-CN"/>
        </w:rPr>
      </w:pPr>
      <w:r>
        <w:rPr>
          <w:rFonts w:hint="eastAsia" w:ascii="宋体" w:hAnsi="宋体" w:cs="宋体"/>
          <w:b/>
          <w:sz w:val="30"/>
          <w:szCs w:val="30"/>
          <w:highlight w:val="none"/>
        </w:rPr>
        <w:t>九</w:t>
      </w:r>
      <w:r>
        <w:rPr>
          <w:rFonts w:hint="eastAsia" w:ascii="宋体" w:hAnsi="宋体" w:cs="宋体"/>
          <w:b/>
          <w:sz w:val="30"/>
          <w:szCs w:val="30"/>
          <w:highlight w:val="none"/>
          <w:lang w:val="zh-CN"/>
        </w:rPr>
        <w:t>、质量保证</w:t>
      </w:r>
      <w:bookmarkEnd w:id="261"/>
      <w:r>
        <w:rPr>
          <w:rFonts w:hint="eastAsia" w:ascii="宋体" w:hAnsi="宋体" w:cs="宋体"/>
          <w:b/>
          <w:sz w:val="30"/>
          <w:szCs w:val="30"/>
          <w:highlight w:val="none"/>
          <w:lang w:val="zh-CN"/>
        </w:rPr>
        <w:t>及服务承诺</w:t>
      </w:r>
      <w:bookmarkEnd w:id="273"/>
      <w:bookmarkEnd w:id="274"/>
      <w:bookmarkEnd w:id="275"/>
      <w:bookmarkEnd w:id="276"/>
      <w:bookmarkEnd w:id="277"/>
      <w:bookmarkEnd w:id="278"/>
    </w:p>
    <w:p w14:paraId="17428B1C">
      <w:pPr>
        <w:autoSpaceDE w:val="0"/>
        <w:autoSpaceDN w:val="0"/>
        <w:adjustRightInd w:val="0"/>
        <w:spacing w:line="460" w:lineRule="exact"/>
        <w:jc w:val="center"/>
        <w:rPr>
          <w:rFonts w:ascii="黑体" w:eastAsia="黑体" w:cs="黑体"/>
          <w:b/>
          <w:bCs/>
          <w:sz w:val="28"/>
          <w:szCs w:val="28"/>
          <w:highlight w:val="none"/>
          <w:lang w:val="zh-CN"/>
        </w:rPr>
      </w:pPr>
      <w:bookmarkStart w:id="279" w:name="_Toc341184789"/>
      <w:r>
        <w:rPr>
          <w:rFonts w:hint="eastAsia" w:ascii="黑体" w:eastAsia="黑体" w:cs="黑体"/>
          <w:b/>
          <w:bCs/>
          <w:sz w:val="28"/>
          <w:szCs w:val="28"/>
          <w:highlight w:val="none"/>
          <w:lang w:val="zh-CN"/>
        </w:rPr>
        <w:t>质量</w:t>
      </w:r>
      <w:bookmarkEnd w:id="279"/>
      <w:r>
        <w:rPr>
          <w:rFonts w:hint="eastAsia" w:ascii="黑体" w:eastAsia="黑体" w:cs="黑体"/>
          <w:b/>
          <w:bCs/>
          <w:sz w:val="28"/>
          <w:szCs w:val="28"/>
          <w:highlight w:val="none"/>
          <w:lang w:val="zh-CN"/>
        </w:rPr>
        <w:t>保证及服务承诺</w:t>
      </w:r>
    </w:p>
    <w:p w14:paraId="6EDF7F3F">
      <w:pPr>
        <w:autoSpaceDE w:val="0"/>
        <w:autoSpaceDN w:val="0"/>
        <w:adjustRightInd w:val="0"/>
        <w:jc w:val="center"/>
        <w:rPr>
          <w:rFonts w:eastAsia="黑体"/>
          <w:szCs w:val="21"/>
          <w:highlight w:val="none"/>
        </w:rPr>
      </w:pPr>
    </w:p>
    <w:p w14:paraId="0F217812">
      <w:pPr>
        <w:autoSpaceDE w:val="0"/>
        <w:autoSpaceDN w:val="0"/>
        <w:adjustRightInd w:val="0"/>
        <w:rPr>
          <w:szCs w:val="21"/>
          <w:highlight w:val="none"/>
        </w:rPr>
      </w:pPr>
      <w:r>
        <w:rPr>
          <w:rFonts w:hint="eastAsia" w:ascii="宋体" w:cs="宋体"/>
          <w:szCs w:val="21"/>
          <w:highlight w:val="none"/>
          <w:lang w:val="zh-CN"/>
        </w:rPr>
        <w:tab/>
      </w:r>
      <w:r>
        <w:rPr>
          <w:rFonts w:hint="eastAsia" w:ascii="宋体" w:cs="宋体"/>
          <w:szCs w:val="21"/>
          <w:highlight w:val="none"/>
          <w:lang w:val="zh-CN"/>
        </w:rPr>
        <w:t>我公司就项目编号为“</w:t>
      </w:r>
      <w:r>
        <w:rPr>
          <w:rFonts w:hint="eastAsia" w:ascii="宋体" w:cs="宋体"/>
          <w:szCs w:val="21"/>
          <w:highlight w:val="none"/>
        </w:rPr>
        <w:t xml:space="preserve">     </w:t>
      </w:r>
      <w:r>
        <w:rPr>
          <w:rFonts w:hint="eastAsia" w:ascii="宋体" w:cs="宋体"/>
          <w:szCs w:val="21"/>
          <w:highlight w:val="none"/>
          <w:lang w:val="zh-CN"/>
        </w:rPr>
        <w:t>”的</w:t>
      </w:r>
      <w:r>
        <w:rPr>
          <w:rFonts w:hint="eastAsia"/>
          <w:highlight w:val="none"/>
          <w:lang w:eastAsia="zh-CN"/>
        </w:rPr>
        <w:t>省强制医疗所项目多余土石方资源调查、处置方案编制及资产评估</w:t>
      </w:r>
      <w:r>
        <w:rPr>
          <w:rFonts w:hint="eastAsia" w:ascii="宋体" w:cs="宋体"/>
          <w:szCs w:val="21"/>
          <w:highlight w:val="none"/>
          <w:lang w:val="zh-CN"/>
        </w:rPr>
        <w:t>质量保证及服务承诺如下：</w:t>
      </w:r>
    </w:p>
    <w:p w14:paraId="1207F879">
      <w:pPr>
        <w:jc w:val="center"/>
        <w:rPr>
          <w:highlight w:val="none"/>
          <w:lang w:val="zh-CN"/>
        </w:rPr>
      </w:pPr>
      <w:bookmarkStart w:id="280" w:name="_Toc14450"/>
      <w:r>
        <w:rPr>
          <w:rFonts w:hint="eastAsia"/>
          <w:highlight w:val="none"/>
          <w:lang w:val="zh-CN"/>
        </w:rPr>
        <w:t>（供应商自拟）</w:t>
      </w:r>
      <w:bookmarkEnd w:id="280"/>
    </w:p>
    <w:p w14:paraId="56D3FAB2">
      <w:pPr>
        <w:autoSpaceDE w:val="0"/>
        <w:autoSpaceDN w:val="0"/>
        <w:adjustRightInd w:val="0"/>
        <w:ind w:firstLine="360"/>
        <w:jc w:val="center"/>
        <w:rPr>
          <w:rFonts w:ascii="宋体" w:cs="宋体"/>
          <w:szCs w:val="21"/>
          <w:highlight w:val="none"/>
          <w:lang w:val="zh-CN"/>
        </w:rPr>
      </w:pPr>
    </w:p>
    <w:p w14:paraId="1D45561C">
      <w:pPr>
        <w:wordWrap w:val="0"/>
        <w:autoSpaceDE w:val="0"/>
        <w:autoSpaceDN w:val="0"/>
        <w:adjustRightInd w:val="0"/>
        <w:jc w:val="right"/>
        <w:rPr>
          <w:rFonts w:ascii="宋体" w:hAnsi="宋体" w:cs="宋体"/>
          <w:szCs w:val="21"/>
          <w:highlight w:val="none"/>
          <w:lang w:val="zh-CN"/>
        </w:rPr>
      </w:pPr>
      <w:r>
        <w:rPr>
          <w:rFonts w:hint="eastAsia" w:ascii="宋体" w:hAnsi="宋体" w:cs="宋体"/>
          <w:szCs w:val="21"/>
          <w:highlight w:val="none"/>
          <w:lang w:val="zh-CN"/>
        </w:rPr>
        <w:t>供应商</w:t>
      </w:r>
      <w:r>
        <w:rPr>
          <w:rFonts w:hint="eastAsia" w:ascii="宋体" w:hAnsi="宋体"/>
          <w:szCs w:val="21"/>
          <w:highlight w:val="none"/>
        </w:rPr>
        <w:t xml:space="preserve">（盖章）：            </w:t>
      </w:r>
    </w:p>
    <w:p w14:paraId="080522AD">
      <w:pPr>
        <w:wordWrap w:val="0"/>
        <w:autoSpaceDE w:val="0"/>
        <w:autoSpaceDN w:val="0"/>
        <w:adjustRightInd w:val="0"/>
        <w:jc w:val="right"/>
        <w:rPr>
          <w:rFonts w:ascii="宋体" w:hAnsi="宋体" w:cs="宋体"/>
          <w:szCs w:val="21"/>
          <w:highlight w:val="none"/>
          <w:lang w:val="zh-CN"/>
        </w:rPr>
      </w:pPr>
      <w:r>
        <w:rPr>
          <w:rFonts w:hint="eastAsia" w:ascii="宋体" w:hAnsi="宋体" w:cs="宋体"/>
          <w:szCs w:val="21"/>
          <w:highlight w:val="none"/>
          <w:lang w:val="zh-CN"/>
        </w:rPr>
        <w:t xml:space="preserve">授权代表签字：             </w:t>
      </w:r>
    </w:p>
    <w:p w14:paraId="48100AA8">
      <w:pPr>
        <w:autoSpaceDE w:val="0"/>
        <w:autoSpaceDN w:val="0"/>
        <w:adjustRightInd w:val="0"/>
        <w:jc w:val="right"/>
        <w:rPr>
          <w:rFonts w:ascii="宋体" w:hAnsi="宋体" w:cs="宋体"/>
          <w:szCs w:val="21"/>
          <w:highlight w:val="none"/>
          <w:lang w:val="zh-CN"/>
        </w:rPr>
      </w:pPr>
      <w:r>
        <w:rPr>
          <w:rFonts w:hint="eastAsia" w:ascii="宋体" w:hAnsi="宋体" w:cs="宋体"/>
          <w:szCs w:val="21"/>
          <w:highlight w:val="none"/>
          <w:lang w:val="zh-CN"/>
        </w:rPr>
        <w:t>日</w:t>
      </w:r>
      <w:r>
        <w:rPr>
          <w:rFonts w:ascii="宋体" w:hAnsi="宋体" w:cs="宋体"/>
          <w:szCs w:val="21"/>
          <w:highlight w:val="none"/>
          <w:lang w:val="zh-CN"/>
        </w:rPr>
        <w:t xml:space="preserve">    </w:t>
      </w:r>
      <w:r>
        <w:rPr>
          <w:rFonts w:hint="eastAsia" w:ascii="宋体" w:hAnsi="宋体" w:cs="宋体"/>
          <w:szCs w:val="21"/>
          <w:highlight w:val="none"/>
          <w:lang w:val="zh-CN"/>
        </w:rPr>
        <w:t>期：</w:t>
      </w:r>
      <w:r>
        <w:rPr>
          <w:rFonts w:ascii="宋体" w:hAnsi="宋体" w:cs="宋体"/>
          <w:szCs w:val="21"/>
          <w:highlight w:val="none"/>
          <w:lang w:val="zh-CN"/>
        </w:rPr>
        <w:t xml:space="preserve">    </w:t>
      </w:r>
      <w:r>
        <w:rPr>
          <w:rFonts w:hint="eastAsia" w:ascii="宋体" w:hAnsi="宋体" w:cs="宋体"/>
          <w:szCs w:val="21"/>
          <w:highlight w:val="none"/>
          <w:lang w:val="zh-CN"/>
        </w:rPr>
        <w:t>年</w:t>
      </w:r>
      <w:r>
        <w:rPr>
          <w:rFonts w:ascii="宋体" w:hAnsi="宋体" w:cs="宋体"/>
          <w:szCs w:val="21"/>
          <w:highlight w:val="none"/>
          <w:lang w:val="zh-CN"/>
        </w:rPr>
        <w:t xml:space="preserve">    </w:t>
      </w:r>
      <w:r>
        <w:rPr>
          <w:rFonts w:hint="eastAsia" w:ascii="宋体" w:hAnsi="宋体" w:cs="宋体"/>
          <w:szCs w:val="21"/>
          <w:highlight w:val="none"/>
          <w:lang w:val="zh-CN"/>
        </w:rPr>
        <w:t>月</w:t>
      </w:r>
      <w:r>
        <w:rPr>
          <w:rFonts w:ascii="宋体" w:hAnsi="宋体" w:cs="宋体"/>
          <w:szCs w:val="21"/>
          <w:highlight w:val="none"/>
          <w:lang w:val="zh-CN"/>
        </w:rPr>
        <w:t xml:space="preserve">   </w:t>
      </w:r>
      <w:r>
        <w:rPr>
          <w:rFonts w:hint="eastAsia" w:ascii="宋体" w:hAnsi="宋体" w:cs="宋体"/>
          <w:szCs w:val="21"/>
          <w:highlight w:val="none"/>
          <w:lang w:val="zh-CN"/>
        </w:rPr>
        <w:t>日</w:t>
      </w:r>
    </w:p>
    <w:p w14:paraId="2A75B7A2">
      <w:pPr>
        <w:pStyle w:val="3"/>
        <w:ind w:left="0"/>
        <w:jc w:val="both"/>
        <w:rPr>
          <w:rFonts w:ascii="宋体" w:hAnsi="宋体" w:eastAsia="宋体" w:cs="宋体"/>
          <w:b/>
          <w:kern w:val="2"/>
          <w:sz w:val="30"/>
          <w:szCs w:val="30"/>
          <w:highlight w:val="none"/>
          <w:lang w:val="zh-CN" w:eastAsia="zh-CN"/>
        </w:rPr>
      </w:pPr>
      <w:r>
        <w:rPr>
          <w:rFonts w:hint="eastAsia" w:ascii="宋体" w:hAnsi="宋体"/>
          <w:szCs w:val="21"/>
          <w:highlight w:val="none"/>
          <w:lang w:eastAsia="zh-CN"/>
        </w:rPr>
        <w:br w:type="page"/>
      </w:r>
      <w:bookmarkStart w:id="281" w:name="_Toc4112"/>
      <w:r>
        <w:rPr>
          <w:rFonts w:hint="eastAsia" w:ascii="宋体" w:hAnsi="宋体" w:eastAsia="宋体" w:cs="宋体"/>
          <w:b/>
          <w:kern w:val="2"/>
          <w:sz w:val="30"/>
          <w:szCs w:val="30"/>
          <w:highlight w:val="none"/>
          <w:lang w:eastAsia="zh-CN"/>
        </w:rPr>
        <w:t>十、</w:t>
      </w:r>
      <w:r>
        <w:rPr>
          <w:rFonts w:hint="eastAsia" w:ascii="宋体" w:hAnsi="宋体" w:eastAsia="宋体" w:cs="宋体"/>
          <w:b/>
          <w:kern w:val="2"/>
          <w:sz w:val="30"/>
          <w:szCs w:val="30"/>
          <w:highlight w:val="none"/>
          <w:lang w:val="zh-CN" w:eastAsia="zh-CN"/>
        </w:rPr>
        <w:t>中小企业声明函（服务）</w:t>
      </w:r>
      <w:bookmarkEnd w:id="281"/>
    </w:p>
    <w:p w14:paraId="01128B36">
      <w:pPr>
        <w:rPr>
          <w:highlight w:val="none"/>
        </w:rPr>
      </w:pPr>
    </w:p>
    <w:p w14:paraId="3F73436D">
      <w:pPr>
        <w:pStyle w:val="9"/>
        <w:autoSpaceDE w:val="0"/>
        <w:autoSpaceDN w:val="0"/>
        <w:spacing w:line="360" w:lineRule="auto"/>
        <w:ind w:firstLine="420" w:firstLineChars="200"/>
        <w:jc w:val="left"/>
        <w:rPr>
          <w:rFonts w:ascii="宋体" w:hAnsi="宋体" w:cs="宋体"/>
          <w:highlight w:val="none"/>
        </w:rPr>
      </w:pPr>
      <w:r>
        <w:rPr>
          <w:rFonts w:hint="eastAsia" w:ascii="宋体" w:hAnsi="宋体" w:cs="宋体"/>
          <w:highlight w:val="none"/>
        </w:rPr>
        <w:t>本公司（联合体）郑重声明，根据《政府采购促进中小企业发展管理办法》（财库﹝2020﹞46 号）的规定，本公司（联合体）参加</w:t>
      </w:r>
      <w:r>
        <w:rPr>
          <w:rFonts w:hint="eastAsia" w:ascii="宋体" w:hAnsi="宋体" w:cs="宋体"/>
          <w:highlight w:val="none"/>
          <w:u w:val="single"/>
        </w:rPr>
        <w:t>（单位名称）</w:t>
      </w:r>
      <w:r>
        <w:rPr>
          <w:rFonts w:hint="eastAsia" w:ascii="宋体" w:hAnsi="宋体" w:cs="宋体"/>
          <w:highlight w:val="none"/>
        </w:rPr>
        <w:t>的</w:t>
      </w:r>
      <w:r>
        <w:rPr>
          <w:rFonts w:hint="eastAsia" w:ascii="宋体" w:hAnsi="宋体" w:cs="宋体"/>
          <w:highlight w:val="none"/>
          <w:u w:val="single"/>
        </w:rPr>
        <w:t>（项目名称）</w:t>
      </w:r>
      <w:r>
        <w:rPr>
          <w:rFonts w:hint="eastAsia" w:ascii="宋体" w:hAnsi="宋体" w:cs="宋体"/>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43EE77E7">
      <w:pPr>
        <w:pStyle w:val="9"/>
        <w:autoSpaceDE w:val="0"/>
        <w:autoSpaceDN w:val="0"/>
        <w:spacing w:line="360" w:lineRule="auto"/>
        <w:ind w:firstLine="420" w:firstLineChars="200"/>
        <w:jc w:val="left"/>
        <w:rPr>
          <w:rFonts w:ascii="宋体" w:hAnsi="宋体" w:cs="宋体"/>
          <w:highlight w:val="none"/>
        </w:rPr>
      </w:pPr>
      <w:r>
        <w:rPr>
          <w:rFonts w:hint="eastAsia" w:ascii="宋体" w:hAnsi="宋体" w:cs="宋体"/>
          <w:highlight w:val="none"/>
        </w:rPr>
        <w:t>1.</w:t>
      </w:r>
      <w:r>
        <w:rPr>
          <w:rFonts w:hint="eastAsia" w:ascii="宋体" w:hAnsi="宋体" w:cs="宋体"/>
          <w:highlight w:val="none"/>
          <w:u w:val="single"/>
        </w:rPr>
        <w:t>（标的名称）</w:t>
      </w:r>
      <w:r>
        <w:rPr>
          <w:rFonts w:hint="eastAsia" w:ascii="宋体" w:hAnsi="宋体" w:cs="宋体"/>
          <w:highlight w:val="none"/>
        </w:rPr>
        <w:t>，属于</w:t>
      </w:r>
      <w:r>
        <w:rPr>
          <w:rFonts w:hint="eastAsia" w:ascii="宋体" w:hAnsi="宋体" w:cs="宋体"/>
          <w:highlight w:val="none"/>
          <w:u w:val="single"/>
        </w:rPr>
        <w:t>（采购文件中明确的所属行业）</w:t>
      </w:r>
      <w:r>
        <w:rPr>
          <w:rFonts w:hint="eastAsia" w:ascii="宋体" w:hAnsi="宋体" w:cs="宋体"/>
          <w:highlight w:val="none"/>
        </w:rPr>
        <w:t>；承建（承接）企业为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 xml:space="preserve">       </w:t>
      </w:r>
      <w:r>
        <w:rPr>
          <w:rFonts w:hint="eastAsia" w:ascii="宋体" w:hAnsi="宋体" w:cs="宋体"/>
          <w:highlight w:val="none"/>
        </w:rPr>
        <w:t>（中型企业、小型企业、微型企业）；</w:t>
      </w:r>
    </w:p>
    <w:p w14:paraId="2E7AACEA">
      <w:pPr>
        <w:pStyle w:val="9"/>
        <w:autoSpaceDE w:val="0"/>
        <w:autoSpaceDN w:val="0"/>
        <w:spacing w:line="360" w:lineRule="auto"/>
        <w:ind w:firstLine="420" w:firstLineChars="200"/>
        <w:jc w:val="left"/>
        <w:rPr>
          <w:rFonts w:ascii="宋体" w:hAnsi="宋体" w:cs="宋体"/>
          <w:highlight w:val="none"/>
        </w:rPr>
      </w:pPr>
      <w:r>
        <w:rPr>
          <w:rFonts w:hint="eastAsia" w:ascii="宋体" w:hAnsi="宋体" w:cs="宋体"/>
          <w:highlight w:val="none"/>
        </w:rPr>
        <w:t>2.</w:t>
      </w:r>
      <w:r>
        <w:rPr>
          <w:rFonts w:hint="eastAsia" w:ascii="宋体" w:hAnsi="宋体" w:cs="宋体"/>
          <w:highlight w:val="none"/>
          <w:u w:val="single"/>
        </w:rPr>
        <w:t>（标的名称）</w:t>
      </w:r>
      <w:r>
        <w:rPr>
          <w:rFonts w:hint="eastAsia" w:ascii="宋体" w:hAnsi="宋体" w:cs="宋体"/>
          <w:highlight w:val="none"/>
        </w:rPr>
        <w:t>，属于</w:t>
      </w:r>
      <w:r>
        <w:rPr>
          <w:rFonts w:hint="eastAsia" w:ascii="宋体" w:hAnsi="宋体" w:cs="宋体"/>
          <w:highlight w:val="none"/>
          <w:u w:val="single"/>
        </w:rPr>
        <w:t>（采购文件中明确的所属行业）</w:t>
      </w:r>
      <w:r>
        <w:rPr>
          <w:rFonts w:hint="eastAsia" w:ascii="宋体" w:hAnsi="宋体" w:cs="宋体"/>
          <w:highlight w:val="none"/>
        </w:rPr>
        <w:t>；承建（承接）企业为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 xml:space="preserve">       </w:t>
      </w:r>
      <w:r>
        <w:rPr>
          <w:rFonts w:hint="eastAsia" w:ascii="宋体" w:hAnsi="宋体" w:cs="宋体"/>
          <w:highlight w:val="none"/>
        </w:rPr>
        <w:t>（中型企业、小型企业、微型企业）；</w:t>
      </w:r>
    </w:p>
    <w:p w14:paraId="3348583D">
      <w:pPr>
        <w:pStyle w:val="9"/>
        <w:autoSpaceDE w:val="0"/>
        <w:autoSpaceDN w:val="0"/>
        <w:spacing w:line="360" w:lineRule="auto"/>
        <w:ind w:firstLine="420" w:firstLineChars="200"/>
        <w:jc w:val="left"/>
        <w:rPr>
          <w:rFonts w:ascii="宋体" w:hAnsi="宋体" w:cs="宋体"/>
          <w:highlight w:val="none"/>
        </w:rPr>
      </w:pPr>
    </w:p>
    <w:p w14:paraId="796DDDB8">
      <w:pPr>
        <w:pStyle w:val="9"/>
        <w:autoSpaceDE w:val="0"/>
        <w:autoSpaceDN w:val="0"/>
        <w:spacing w:line="360" w:lineRule="auto"/>
        <w:ind w:firstLine="420" w:firstLineChars="200"/>
        <w:jc w:val="left"/>
        <w:rPr>
          <w:rFonts w:ascii="宋体" w:hAnsi="宋体" w:cs="宋体"/>
          <w:highlight w:val="none"/>
        </w:rPr>
      </w:pPr>
      <w:r>
        <w:rPr>
          <w:rFonts w:hint="eastAsia" w:ascii="宋体" w:hAnsi="宋体" w:cs="宋体"/>
          <w:highlight w:val="none"/>
        </w:rPr>
        <w:t>……</w:t>
      </w:r>
    </w:p>
    <w:p w14:paraId="06DFD994">
      <w:pPr>
        <w:pStyle w:val="9"/>
        <w:autoSpaceDE w:val="0"/>
        <w:autoSpaceDN w:val="0"/>
        <w:spacing w:line="360" w:lineRule="auto"/>
        <w:ind w:firstLine="408" w:firstLineChars="200"/>
        <w:jc w:val="left"/>
        <w:rPr>
          <w:rFonts w:ascii="宋体" w:hAnsi="宋体" w:cs="宋体"/>
          <w:highlight w:val="none"/>
        </w:rPr>
      </w:pPr>
      <w:r>
        <w:rPr>
          <w:rFonts w:hint="eastAsia" w:ascii="宋体" w:hAnsi="宋体" w:cs="宋体"/>
          <w:spacing w:val="-3"/>
          <w:highlight w:val="none"/>
        </w:rPr>
        <w:t>以上企业，不属于大企业的分支机构，不存在控股股东</w:t>
      </w:r>
      <w:r>
        <w:rPr>
          <w:rFonts w:hint="eastAsia" w:ascii="宋体" w:hAnsi="宋体" w:cs="宋体"/>
          <w:spacing w:val="-5"/>
          <w:highlight w:val="none"/>
        </w:rPr>
        <w:t>为大企业的情形，也不存在与大企业的负责人为同一人的情形。</w:t>
      </w:r>
    </w:p>
    <w:p w14:paraId="54AAAE73">
      <w:pPr>
        <w:pStyle w:val="9"/>
        <w:autoSpaceDE w:val="0"/>
        <w:autoSpaceDN w:val="0"/>
        <w:spacing w:line="360" w:lineRule="auto"/>
        <w:ind w:firstLine="420" w:firstLineChars="200"/>
        <w:jc w:val="left"/>
        <w:rPr>
          <w:rFonts w:ascii="宋体" w:hAnsi="宋体" w:cs="宋体"/>
          <w:highlight w:val="none"/>
        </w:rPr>
      </w:pPr>
      <w:r>
        <w:rPr>
          <w:rFonts w:hint="eastAsia" w:ascii="宋体" w:hAnsi="宋体" w:cs="宋体"/>
          <w:highlight w:val="none"/>
        </w:rPr>
        <w:t>本企业对上述声明内容的真实性负责。如有虚假，将依法承担相应责任。</w:t>
      </w:r>
    </w:p>
    <w:p w14:paraId="32F347A5">
      <w:pPr>
        <w:pStyle w:val="9"/>
        <w:autoSpaceDE w:val="0"/>
        <w:autoSpaceDN w:val="0"/>
        <w:spacing w:line="360" w:lineRule="auto"/>
        <w:ind w:firstLine="2730" w:firstLineChars="1300"/>
        <w:jc w:val="left"/>
        <w:rPr>
          <w:rFonts w:ascii="宋体" w:hAnsi="宋体" w:cs="宋体"/>
          <w:highlight w:val="none"/>
        </w:rPr>
      </w:pPr>
      <w:r>
        <w:rPr>
          <w:rFonts w:hint="eastAsia" w:ascii="宋体" w:hAnsi="宋体" w:cs="宋体"/>
          <w:highlight w:val="none"/>
        </w:rPr>
        <w:t>企业名称（盖章）：</w:t>
      </w:r>
    </w:p>
    <w:p w14:paraId="3A1064ED">
      <w:pPr>
        <w:pStyle w:val="9"/>
        <w:autoSpaceDE w:val="0"/>
        <w:autoSpaceDN w:val="0"/>
        <w:spacing w:line="360" w:lineRule="auto"/>
        <w:ind w:firstLine="516" w:firstLineChars="200"/>
        <w:jc w:val="center"/>
        <w:rPr>
          <w:rFonts w:ascii="宋体" w:hAnsi="宋体" w:cs="宋体"/>
          <w:spacing w:val="24"/>
          <w:szCs w:val="28"/>
          <w:highlight w:val="none"/>
        </w:rPr>
      </w:pPr>
      <w:r>
        <w:rPr>
          <w:rFonts w:hint="eastAsia" w:ascii="宋体" w:hAnsi="宋体" w:cs="宋体"/>
          <w:spacing w:val="24"/>
          <w:szCs w:val="28"/>
          <w:highlight w:val="none"/>
        </w:rPr>
        <w:t>日期：</w:t>
      </w:r>
    </w:p>
    <w:p w14:paraId="21FCA5BA">
      <w:pPr>
        <w:rPr>
          <w:rFonts w:ascii="宋体" w:hAnsi="宋体"/>
          <w:b/>
          <w:szCs w:val="21"/>
          <w:highlight w:val="none"/>
        </w:rPr>
      </w:pPr>
    </w:p>
    <w:p w14:paraId="746E8AF0">
      <w:pPr>
        <w:rPr>
          <w:rFonts w:ascii="宋体" w:hAnsi="宋体"/>
          <w:b/>
          <w:szCs w:val="21"/>
          <w:highlight w:val="none"/>
        </w:rPr>
      </w:pPr>
    </w:p>
    <w:p w14:paraId="3A592463">
      <w:pPr>
        <w:pStyle w:val="3"/>
        <w:ind w:left="0"/>
        <w:jc w:val="both"/>
        <w:rPr>
          <w:rFonts w:ascii="宋体" w:hAnsi="宋体"/>
          <w:szCs w:val="21"/>
          <w:highlight w:val="none"/>
          <w:lang w:eastAsia="zh-CN"/>
        </w:rPr>
      </w:pPr>
      <w:r>
        <w:rPr>
          <w:rFonts w:hint="eastAsia" w:ascii="宋体" w:hAnsi="宋体"/>
          <w:szCs w:val="21"/>
          <w:highlight w:val="none"/>
          <w:lang w:eastAsia="zh-CN"/>
        </w:rPr>
        <w:br w:type="page"/>
      </w:r>
      <w:r>
        <w:rPr>
          <w:rFonts w:hint="eastAsia" w:ascii="宋体" w:hAnsi="宋体" w:eastAsia="宋体" w:cs="宋体"/>
          <w:b/>
          <w:kern w:val="2"/>
          <w:sz w:val="30"/>
          <w:szCs w:val="30"/>
          <w:highlight w:val="none"/>
          <w:lang w:val="zh-CN" w:eastAsia="zh-CN"/>
        </w:rPr>
        <w:t>十</w:t>
      </w:r>
      <w:r>
        <w:rPr>
          <w:rFonts w:hint="eastAsia" w:ascii="宋体" w:hAnsi="宋体" w:eastAsia="宋体" w:cs="宋体"/>
          <w:b/>
          <w:kern w:val="2"/>
          <w:sz w:val="30"/>
          <w:szCs w:val="30"/>
          <w:highlight w:val="none"/>
          <w:lang w:eastAsia="zh-CN"/>
        </w:rPr>
        <w:t>一</w:t>
      </w:r>
      <w:r>
        <w:rPr>
          <w:rFonts w:hint="eastAsia" w:ascii="宋体" w:hAnsi="宋体" w:eastAsia="宋体" w:cs="宋体"/>
          <w:b/>
          <w:kern w:val="2"/>
          <w:sz w:val="30"/>
          <w:szCs w:val="30"/>
          <w:highlight w:val="none"/>
          <w:lang w:val="zh-CN" w:eastAsia="zh-CN"/>
        </w:rPr>
        <w:t>、残疾人福利性单位声明函</w:t>
      </w:r>
    </w:p>
    <w:p w14:paraId="08D5C23C">
      <w:pPr>
        <w:widowControl/>
        <w:ind w:firstLine="562" w:firstLineChars="200"/>
        <w:rPr>
          <w:rFonts w:eastAsia="黑体"/>
          <w:b/>
          <w:bCs/>
          <w:sz w:val="28"/>
          <w:szCs w:val="28"/>
          <w:highlight w:val="none"/>
        </w:rPr>
      </w:pPr>
    </w:p>
    <w:p w14:paraId="0B892A3A">
      <w:pPr>
        <w:widowControl/>
        <w:ind w:firstLine="562" w:firstLineChars="200"/>
        <w:jc w:val="center"/>
        <w:rPr>
          <w:highlight w:val="none"/>
        </w:rPr>
      </w:pPr>
      <w:r>
        <w:rPr>
          <w:rFonts w:eastAsia="黑体"/>
          <w:b/>
          <w:bCs/>
          <w:sz w:val="28"/>
          <w:szCs w:val="28"/>
          <w:highlight w:val="none"/>
        </w:rPr>
        <w:t>残疾人福利性单位声明函</w:t>
      </w:r>
    </w:p>
    <w:p w14:paraId="2825AFEA">
      <w:pPr>
        <w:ind w:firstLine="444" w:firstLineChars="200"/>
        <w:rPr>
          <w:spacing w:val="6"/>
          <w:szCs w:val="21"/>
          <w:highlight w:val="none"/>
          <w:lang w:val="zh-CN"/>
        </w:rPr>
      </w:pPr>
      <w:r>
        <w:rPr>
          <w:rFonts w:hint="eastAsia"/>
          <w:spacing w:val="6"/>
          <w:szCs w:val="21"/>
          <w:highlight w:val="none"/>
          <w:lang w:val="zh-CN"/>
        </w:rPr>
        <w:t>本单位郑重声明，根据《财政部 民政部 中国残疾人联合会关于促进残疾人就业政府采购政策的通知》（财库〔2017〕 141号）的规定，本单位为   （符合/不符合）   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8DA6A5E">
      <w:pPr>
        <w:ind w:firstLine="444" w:firstLineChars="200"/>
        <w:rPr>
          <w:spacing w:val="6"/>
          <w:szCs w:val="21"/>
          <w:highlight w:val="none"/>
          <w:lang w:val="zh-CN"/>
        </w:rPr>
      </w:pPr>
      <w:r>
        <w:rPr>
          <w:rFonts w:hint="eastAsia"/>
          <w:spacing w:val="6"/>
          <w:szCs w:val="21"/>
          <w:highlight w:val="none"/>
          <w:lang w:val="zh-CN"/>
        </w:rPr>
        <w:t>本单位对上述声明的真实性负责。如有虚假，将依法承担相应责任。</w:t>
      </w:r>
    </w:p>
    <w:p w14:paraId="7E2F6120">
      <w:pPr>
        <w:autoSpaceDE w:val="0"/>
        <w:autoSpaceDN w:val="0"/>
        <w:adjustRightInd w:val="0"/>
        <w:rPr>
          <w:szCs w:val="21"/>
          <w:highlight w:val="none"/>
          <w:lang w:val="zh-CN"/>
        </w:rPr>
      </w:pPr>
    </w:p>
    <w:p w14:paraId="7AAE05AD">
      <w:pPr>
        <w:wordWrap w:val="0"/>
        <w:autoSpaceDE w:val="0"/>
        <w:autoSpaceDN w:val="0"/>
        <w:adjustRightInd w:val="0"/>
        <w:jc w:val="right"/>
        <w:rPr>
          <w:szCs w:val="21"/>
          <w:highlight w:val="none"/>
          <w:lang w:val="zh-CN"/>
        </w:rPr>
      </w:pPr>
      <w:r>
        <w:rPr>
          <w:szCs w:val="21"/>
          <w:highlight w:val="none"/>
          <w:lang w:val="zh-CN"/>
        </w:rPr>
        <w:t>供应商</w:t>
      </w:r>
      <w:r>
        <w:rPr>
          <w:szCs w:val="21"/>
          <w:highlight w:val="none"/>
        </w:rPr>
        <w:t xml:space="preserve">（盖章）：            </w:t>
      </w:r>
    </w:p>
    <w:p w14:paraId="011CC433">
      <w:pPr>
        <w:wordWrap w:val="0"/>
        <w:autoSpaceDE w:val="0"/>
        <w:autoSpaceDN w:val="0"/>
        <w:adjustRightInd w:val="0"/>
        <w:jc w:val="right"/>
        <w:rPr>
          <w:szCs w:val="21"/>
          <w:highlight w:val="none"/>
          <w:lang w:val="zh-CN"/>
        </w:rPr>
      </w:pPr>
      <w:r>
        <w:rPr>
          <w:szCs w:val="21"/>
          <w:highlight w:val="none"/>
          <w:lang w:val="zh-CN"/>
        </w:rPr>
        <w:t xml:space="preserve">授权代表签字：             </w:t>
      </w:r>
    </w:p>
    <w:p w14:paraId="479F7FDD">
      <w:pPr>
        <w:autoSpaceDE w:val="0"/>
        <w:autoSpaceDN w:val="0"/>
        <w:adjustRightInd w:val="0"/>
        <w:jc w:val="right"/>
        <w:rPr>
          <w:szCs w:val="21"/>
          <w:highlight w:val="none"/>
          <w:lang w:val="zh-CN"/>
        </w:rPr>
      </w:pPr>
      <w:r>
        <w:rPr>
          <w:szCs w:val="21"/>
          <w:highlight w:val="none"/>
          <w:lang w:val="zh-CN"/>
        </w:rPr>
        <w:t>日    期：    年    月   日</w:t>
      </w:r>
    </w:p>
    <w:p w14:paraId="4CF928FD">
      <w:pPr>
        <w:widowControl/>
        <w:adjustRightInd w:val="0"/>
        <w:spacing w:line="360" w:lineRule="auto"/>
        <w:jc w:val="left"/>
        <w:outlineLvl w:val="1"/>
        <w:rPr>
          <w:rFonts w:ascii="宋体" w:hAnsi="宋体" w:cs="宋体"/>
          <w:b/>
          <w:sz w:val="30"/>
          <w:szCs w:val="30"/>
          <w:highlight w:val="none"/>
          <w:lang w:val="zh-CN"/>
        </w:rPr>
      </w:pPr>
      <w:bookmarkStart w:id="282" w:name="_Toc106020672"/>
      <w:r>
        <w:rPr>
          <w:rFonts w:hint="eastAsia" w:ascii="宋体" w:hAnsi="宋体" w:cs="宋体"/>
          <w:b/>
          <w:sz w:val="30"/>
          <w:szCs w:val="30"/>
          <w:highlight w:val="none"/>
          <w:lang w:val="zh-CN"/>
        </w:rPr>
        <w:t>十</w:t>
      </w:r>
      <w:r>
        <w:rPr>
          <w:rFonts w:hint="eastAsia" w:ascii="宋体" w:hAnsi="宋体" w:cs="宋体"/>
          <w:b/>
          <w:sz w:val="30"/>
          <w:szCs w:val="30"/>
          <w:highlight w:val="none"/>
        </w:rPr>
        <w:t>二</w:t>
      </w:r>
      <w:r>
        <w:rPr>
          <w:rFonts w:hint="eastAsia" w:ascii="宋体" w:hAnsi="宋体" w:cs="宋体"/>
          <w:b/>
          <w:sz w:val="30"/>
          <w:szCs w:val="30"/>
          <w:highlight w:val="none"/>
          <w:lang w:val="zh-CN"/>
        </w:rPr>
        <w:t>、技术条款偏离表格式</w:t>
      </w:r>
      <w:bookmarkEnd w:id="282"/>
    </w:p>
    <w:p w14:paraId="0DA63FD7">
      <w:pPr>
        <w:widowControl/>
        <w:adjustRightInd w:val="0"/>
        <w:ind w:firstLine="723" w:firstLineChars="200"/>
        <w:jc w:val="center"/>
        <w:rPr>
          <w:rFonts w:eastAsia="黑体"/>
          <w:b/>
          <w:bCs/>
          <w:color w:val="000000"/>
          <w:sz w:val="36"/>
          <w:szCs w:val="28"/>
          <w:highlight w:val="none"/>
        </w:rPr>
      </w:pPr>
      <w:bookmarkStart w:id="283" w:name="_Toc11155"/>
      <w:bookmarkStart w:id="284" w:name="_Toc26433"/>
      <w:bookmarkStart w:id="285" w:name="_Toc23139"/>
      <w:r>
        <w:rPr>
          <w:rFonts w:hint="eastAsia" w:eastAsia="黑体"/>
          <w:b/>
          <w:bCs/>
          <w:color w:val="000000"/>
          <w:sz w:val="36"/>
          <w:szCs w:val="28"/>
          <w:highlight w:val="none"/>
        </w:rPr>
        <w:t>技术条款偏离表</w:t>
      </w:r>
    </w:p>
    <w:tbl>
      <w:tblPr>
        <w:tblStyle w:val="29"/>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7"/>
        <w:gridCol w:w="895"/>
        <w:gridCol w:w="2496"/>
        <w:gridCol w:w="2120"/>
        <w:gridCol w:w="1399"/>
        <w:gridCol w:w="1863"/>
      </w:tblGrid>
      <w:tr w14:paraId="6874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6" w:hRule="atLeast"/>
          <w:jc w:val="center"/>
        </w:trPr>
        <w:tc>
          <w:tcPr>
            <w:tcW w:w="9360" w:type="dxa"/>
            <w:gridSpan w:val="6"/>
            <w:tcBorders>
              <w:top w:val="single" w:color="auto" w:sz="4" w:space="0"/>
            </w:tcBorders>
            <w:vAlign w:val="center"/>
          </w:tcPr>
          <w:p w14:paraId="3DEBCAFC">
            <w:pPr>
              <w:jc w:val="left"/>
              <w:rPr>
                <w:color w:val="000000"/>
                <w:sz w:val="24"/>
                <w:highlight w:val="none"/>
                <w:lang w:val="zh-CN"/>
              </w:rPr>
            </w:pPr>
            <w:r>
              <w:rPr>
                <w:rFonts w:hint="eastAsia"/>
                <w:color w:val="000000"/>
                <w:sz w:val="24"/>
                <w:highlight w:val="none"/>
                <w:lang w:val="zh-CN"/>
              </w:rPr>
              <w:t>项目名称：</w:t>
            </w:r>
            <w:r>
              <w:rPr>
                <w:rFonts w:hint="eastAsia"/>
                <w:color w:val="000000"/>
                <w:sz w:val="24"/>
                <w:highlight w:val="none"/>
              </w:rPr>
              <w:t xml:space="preserve"> </w:t>
            </w:r>
          </w:p>
          <w:p w14:paraId="19D70203">
            <w:pPr>
              <w:pStyle w:val="9"/>
              <w:rPr>
                <w:color w:val="000000"/>
                <w:sz w:val="24"/>
                <w:highlight w:val="none"/>
                <w:lang w:val="zh-CN"/>
              </w:rPr>
            </w:pPr>
            <w:r>
              <w:rPr>
                <w:rFonts w:hint="eastAsia"/>
                <w:color w:val="000000"/>
                <w:sz w:val="24"/>
                <w:highlight w:val="none"/>
                <w:lang w:val="zh-CN"/>
              </w:rPr>
              <w:t>项目编号：</w:t>
            </w:r>
            <w:r>
              <w:rPr>
                <w:rFonts w:hint="eastAsia"/>
                <w:color w:val="000000"/>
                <w:sz w:val="24"/>
                <w:highlight w:val="none"/>
              </w:rPr>
              <w:t xml:space="preserve"> </w:t>
            </w:r>
          </w:p>
        </w:tc>
      </w:tr>
      <w:tr w14:paraId="30DB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587" w:type="dxa"/>
            <w:vAlign w:val="center"/>
          </w:tcPr>
          <w:p w14:paraId="67ACA2C7">
            <w:pPr>
              <w:jc w:val="center"/>
              <w:rPr>
                <w:color w:val="000000"/>
                <w:spacing w:val="6"/>
                <w:sz w:val="24"/>
                <w:szCs w:val="21"/>
                <w:highlight w:val="none"/>
                <w:lang w:val="zh-CN"/>
              </w:rPr>
            </w:pPr>
            <w:r>
              <w:rPr>
                <w:rFonts w:hint="eastAsia"/>
                <w:color w:val="000000"/>
                <w:spacing w:val="6"/>
                <w:sz w:val="24"/>
                <w:szCs w:val="21"/>
                <w:highlight w:val="none"/>
                <w:lang w:val="zh-CN"/>
              </w:rPr>
              <w:t>序号</w:t>
            </w:r>
          </w:p>
        </w:tc>
        <w:tc>
          <w:tcPr>
            <w:tcW w:w="895" w:type="dxa"/>
            <w:vAlign w:val="center"/>
          </w:tcPr>
          <w:p w14:paraId="64ED87A1">
            <w:pPr>
              <w:jc w:val="center"/>
              <w:rPr>
                <w:color w:val="000000"/>
                <w:spacing w:val="6"/>
                <w:sz w:val="24"/>
                <w:szCs w:val="21"/>
                <w:highlight w:val="none"/>
                <w:lang w:val="zh-CN"/>
              </w:rPr>
            </w:pPr>
            <w:r>
              <w:rPr>
                <w:rFonts w:hint="eastAsia"/>
                <w:color w:val="000000"/>
                <w:spacing w:val="6"/>
                <w:sz w:val="24"/>
                <w:szCs w:val="21"/>
                <w:highlight w:val="none"/>
                <w:lang w:val="zh-CN"/>
              </w:rPr>
              <w:t>磋商文件条目号</w:t>
            </w:r>
          </w:p>
        </w:tc>
        <w:tc>
          <w:tcPr>
            <w:tcW w:w="2496" w:type="dxa"/>
            <w:vAlign w:val="center"/>
          </w:tcPr>
          <w:p w14:paraId="07791571">
            <w:pPr>
              <w:jc w:val="center"/>
              <w:rPr>
                <w:color w:val="000000"/>
                <w:spacing w:val="6"/>
                <w:sz w:val="24"/>
                <w:szCs w:val="21"/>
                <w:highlight w:val="none"/>
                <w:lang w:val="zh-CN"/>
              </w:rPr>
            </w:pPr>
            <w:r>
              <w:rPr>
                <w:rFonts w:hint="eastAsia"/>
                <w:color w:val="000000"/>
                <w:spacing w:val="6"/>
                <w:sz w:val="24"/>
                <w:szCs w:val="21"/>
                <w:highlight w:val="none"/>
                <w:lang w:val="zh-CN"/>
              </w:rPr>
              <w:t>响应文件要求的规格型号</w:t>
            </w:r>
          </w:p>
        </w:tc>
        <w:tc>
          <w:tcPr>
            <w:tcW w:w="2120" w:type="dxa"/>
            <w:vAlign w:val="center"/>
          </w:tcPr>
          <w:p w14:paraId="4B383D62">
            <w:pPr>
              <w:jc w:val="center"/>
              <w:rPr>
                <w:color w:val="000000"/>
                <w:spacing w:val="6"/>
                <w:sz w:val="24"/>
                <w:szCs w:val="21"/>
                <w:highlight w:val="none"/>
                <w:lang w:val="zh-CN"/>
              </w:rPr>
            </w:pPr>
            <w:r>
              <w:rPr>
                <w:rFonts w:hint="eastAsia"/>
                <w:color w:val="000000"/>
                <w:spacing w:val="6"/>
                <w:sz w:val="24"/>
                <w:szCs w:val="21"/>
                <w:highlight w:val="none"/>
                <w:lang w:val="zh-CN"/>
              </w:rPr>
              <w:t>参与采购的技术响应</w:t>
            </w:r>
          </w:p>
        </w:tc>
        <w:tc>
          <w:tcPr>
            <w:tcW w:w="1399" w:type="dxa"/>
            <w:vAlign w:val="center"/>
          </w:tcPr>
          <w:p w14:paraId="4797AE52">
            <w:pPr>
              <w:jc w:val="center"/>
              <w:rPr>
                <w:color w:val="000000"/>
                <w:spacing w:val="6"/>
                <w:sz w:val="24"/>
                <w:szCs w:val="21"/>
                <w:highlight w:val="none"/>
                <w:lang w:val="zh-CN"/>
              </w:rPr>
            </w:pPr>
            <w:r>
              <w:rPr>
                <w:rFonts w:hint="eastAsia"/>
                <w:color w:val="000000"/>
                <w:spacing w:val="6"/>
                <w:sz w:val="24"/>
                <w:szCs w:val="21"/>
                <w:highlight w:val="none"/>
                <w:lang w:val="zh-CN"/>
              </w:rPr>
              <w:t>是否偏离</w:t>
            </w:r>
          </w:p>
        </w:tc>
        <w:tc>
          <w:tcPr>
            <w:tcW w:w="1863" w:type="dxa"/>
            <w:vAlign w:val="center"/>
          </w:tcPr>
          <w:p w14:paraId="210751D6">
            <w:pPr>
              <w:jc w:val="center"/>
              <w:rPr>
                <w:color w:val="000000"/>
                <w:spacing w:val="6"/>
                <w:sz w:val="24"/>
                <w:szCs w:val="21"/>
                <w:highlight w:val="none"/>
                <w:lang w:val="zh-CN"/>
              </w:rPr>
            </w:pPr>
            <w:r>
              <w:rPr>
                <w:rFonts w:hint="eastAsia"/>
                <w:color w:val="000000"/>
                <w:spacing w:val="6"/>
                <w:sz w:val="24"/>
                <w:szCs w:val="21"/>
                <w:highlight w:val="none"/>
                <w:lang w:val="zh-CN"/>
              </w:rPr>
              <w:t>偏离内容及原因</w:t>
            </w:r>
          </w:p>
        </w:tc>
      </w:tr>
      <w:tr w14:paraId="0612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587" w:type="dxa"/>
            <w:vAlign w:val="center"/>
          </w:tcPr>
          <w:p w14:paraId="6949C4A7">
            <w:pPr>
              <w:ind w:firstLine="504" w:firstLineChars="200"/>
              <w:jc w:val="left"/>
              <w:rPr>
                <w:color w:val="000000"/>
                <w:spacing w:val="6"/>
                <w:sz w:val="24"/>
                <w:szCs w:val="21"/>
                <w:highlight w:val="none"/>
                <w:lang w:val="zh-CN"/>
              </w:rPr>
            </w:pPr>
          </w:p>
        </w:tc>
        <w:tc>
          <w:tcPr>
            <w:tcW w:w="895" w:type="dxa"/>
            <w:vAlign w:val="center"/>
          </w:tcPr>
          <w:p w14:paraId="4E0A2EA8">
            <w:pPr>
              <w:ind w:firstLine="504" w:firstLineChars="200"/>
              <w:jc w:val="left"/>
              <w:rPr>
                <w:color w:val="000000"/>
                <w:spacing w:val="6"/>
                <w:sz w:val="24"/>
                <w:szCs w:val="21"/>
                <w:highlight w:val="none"/>
                <w:lang w:val="zh-CN"/>
              </w:rPr>
            </w:pPr>
          </w:p>
        </w:tc>
        <w:tc>
          <w:tcPr>
            <w:tcW w:w="2496" w:type="dxa"/>
            <w:vAlign w:val="center"/>
          </w:tcPr>
          <w:p w14:paraId="77ACC3C3">
            <w:pPr>
              <w:widowControl/>
              <w:adjustRightInd w:val="0"/>
              <w:spacing w:line="360" w:lineRule="auto"/>
              <w:jc w:val="center"/>
              <w:rPr>
                <w:rFonts w:hint="eastAsia" w:eastAsia="宋体"/>
                <w:color w:val="000000"/>
                <w:spacing w:val="6"/>
                <w:sz w:val="24"/>
                <w:szCs w:val="21"/>
                <w:highlight w:val="none"/>
                <w:lang w:val="zh-CN" w:eastAsia="zh-CN"/>
              </w:rPr>
            </w:pPr>
            <w:r>
              <w:rPr>
                <w:rFonts w:hint="eastAsia" w:ascii="宋体" w:hAnsi="宋体"/>
                <w:bCs/>
                <w:color w:val="000000"/>
                <w:sz w:val="22"/>
                <w:szCs w:val="21"/>
                <w:highlight w:val="none"/>
                <w:lang w:val="en-US" w:eastAsia="zh-CN"/>
              </w:rPr>
              <w:t xml:space="preserve"> </w:t>
            </w:r>
          </w:p>
        </w:tc>
        <w:tc>
          <w:tcPr>
            <w:tcW w:w="2120" w:type="dxa"/>
            <w:vAlign w:val="center"/>
          </w:tcPr>
          <w:p w14:paraId="39DEFCC9">
            <w:pPr>
              <w:ind w:firstLine="504" w:firstLineChars="200"/>
              <w:jc w:val="left"/>
              <w:rPr>
                <w:color w:val="000000"/>
                <w:spacing w:val="6"/>
                <w:sz w:val="24"/>
                <w:szCs w:val="21"/>
                <w:highlight w:val="none"/>
                <w:lang w:val="zh-CN"/>
              </w:rPr>
            </w:pPr>
          </w:p>
        </w:tc>
        <w:tc>
          <w:tcPr>
            <w:tcW w:w="1399" w:type="dxa"/>
            <w:vAlign w:val="center"/>
          </w:tcPr>
          <w:p w14:paraId="3A94890E">
            <w:pPr>
              <w:ind w:firstLine="504" w:firstLineChars="200"/>
              <w:jc w:val="left"/>
              <w:rPr>
                <w:color w:val="000000"/>
                <w:spacing w:val="6"/>
                <w:sz w:val="24"/>
                <w:szCs w:val="21"/>
                <w:highlight w:val="none"/>
                <w:lang w:val="zh-CN"/>
              </w:rPr>
            </w:pPr>
          </w:p>
        </w:tc>
        <w:tc>
          <w:tcPr>
            <w:tcW w:w="1863" w:type="dxa"/>
            <w:vAlign w:val="center"/>
          </w:tcPr>
          <w:p w14:paraId="6F5AB659">
            <w:pPr>
              <w:ind w:firstLine="504" w:firstLineChars="200"/>
              <w:jc w:val="left"/>
              <w:rPr>
                <w:color w:val="000000"/>
                <w:spacing w:val="6"/>
                <w:sz w:val="24"/>
                <w:szCs w:val="21"/>
                <w:highlight w:val="none"/>
                <w:lang w:val="zh-CN"/>
              </w:rPr>
            </w:pPr>
          </w:p>
        </w:tc>
      </w:tr>
      <w:tr w14:paraId="2123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jc w:val="center"/>
        </w:trPr>
        <w:tc>
          <w:tcPr>
            <w:tcW w:w="587" w:type="dxa"/>
            <w:vAlign w:val="center"/>
          </w:tcPr>
          <w:p w14:paraId="0CE53F55">
            <w:pPr>
              <w:ind w:firstLine="504" w:firstLineChars="200"/>
              <w:jc w:val="left"/>
              <w:rPr>
                <w:color w:val="000000"/>
                <w:spacing w:val="6"/>
                <w:sz w:val="24"/>
                <w:szCs w:val="21"/>
                <w:highlight w:val="none"/>
                <w:lang w:val="zh-CN"/>
              </w:rPr>
            </w:pPr>
          </w:p>
        </w:tc>
        <w:tc>
          <w:tcPr>
            <w:tcW w:w="895" w:type="dxa"/>
            <w:vAlign w:val="center"/>
          </w:tcPr>
          <w:p w14:paraId="51BB46D7">
            <w:pPr>
              <w:ind w:firstLine="504" w:firstLineChars="200"/>
              <w:jc w:val="left"/>
              <w:rPr>
                <w:color w:val="000000"/>
                <w:spacing w:val="6"/>
                <w:sz w:val="24"/>
                <w:szCs w:val="21"/>
                <w:highlight w:val="none"/>
                <w:lang w:val="zh-CN"/>
              </w:rPr>
            </w:pPr>
          </w:p>
        </w:tc>
        <w:tc>
          <w:tcPr>
            <w:tcW w:w="2496" w:type="dxa"/>
            <w:vAlign w:val="center"/>
          </w:tcPr>
          <w:p w14:paraId="18999155">
            <w:pPr>
              <w:widowControl/>
              <w:adjustRightInd w:val="0"/>
              <w:spacing w:line="360" w:lineRule="auto"/>
              <w:jc w:val="center"/>
              <w:rPr>
                <w:color w:val="000000"/>
                <w:spacing w:val="6"/>
                <w:sz w:val="24"/>
                <w:szCs w:val="21"/>
                <w:highlight w:val="none"/>
                <w:lang w:val="zh-CN"/>
              </w:rPr>
            </w:pPr>
            <w:r>
              <w:rPr>
                <w:rFonts w:hint="eastAsia" w:ascii="宋体" w:hAnsi="宋体"/>
                <w:bCs/>
                <w:color w:val="000000"/>
                <w:sz w:val="22"/>
                <w:szCs w:val="21"/>
                <w:highlight w:val="none"/>
                <w:lang w:val="en-US" w:eastAsia="zh-CN"/>
              </w:rPr>
              <w:t xml:space="preserve"> </w:t>
            </w:r>
          </w:p>
        </w:tc>
        <w:tc>
          <w:tcPr>
            <w:tcW w:w="2120" w:type="dxa"/>
            <w:vAlign w:val="center"/>
          </w:tcPr>
          <w:p w14:paraId="56691A95">
            <w:pPr>
              <w:ind w:firstLine="504" w:firstLineChars="200"/>
              <w:jc w:val="left"/>
              <w:rPr>
                <w:color w:val="000000"/>
                <w:spacing w:val="6"/>
                <w:sz w:val="24"/>
                <w:szCs w:val="21"/>
                <w:highlight w:val="none"/>
                <w:lang w:val="zh-CN"/>
              </w:rPr>
            </w:pPr>
          </w:p>
        </w:tc>
        <w:tc>
          <w:tcPr>
            <w:tcW w:w="1399" w:type="dxa"/>
            <w:vAlign w:val="center"/>
          </w:tcPr>
          <w:p w14:paraId="192DA285">
            <w:pPr>
              <w:ind w:firstLine="504" w:firstLineChars="200"/>
              <w:jc w:val="left"/>
              <w:rPr>
                <w:color w:val="000000"/>
                <w:spacing w:val="6"/>
                <w:sz w:val="24"/>
                <w:szCs w:val="21"/>
                <w:highlight w:val="none"/>
                <w:lang w:val="zh-CN"/>
              </w:rPr>
            </w:pPr>
          </w:p>
        </w:tc>
        <w:tc>
          <w:tcPr>
            <w:tcW w:w="1863" w:type="dxa"/>
            <w:vAlign w:val="center"/>
          </w:tcPr>
          <w:p w14:paraId="06C07A5F">
            <w:pPr>
              <w:ind w:firstLine="504" w:firstLineChars="200"/>
              <w:jc w:val="left"/>
              <w:rPr>
                <w:color w:val="000000"/>
                <w:spacing w:val="6"/>
                <w:sz w:val="24"/>
                <w:szCs w:val="21"/>
                <w:highlight w:val="none"/>
                <w:lang w:val="zh-CN"/>
              </w:rPr>
            </w:pPr>
          </w:p>
        </w:tc>
      </w:tr>
      <w:tr w14:paraId="5380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87" w:type="dxa"/>
            <w:vAlign w:val="center"/>
          </w:tcPr>
          <w:p w14:paraId="6295C256">
            <w:pPr>
              <w:ind w:firstLine="504" w:firstLineChars="200"/>
              <w:jc w:val="left"/>
              <w:rPr>
                <w:color w:val="000000"/>
                <w:spacing w:val="6"/>
                <w:sz w:val="24"/>
                <w:szCs w:val="21"/>
                <w:highlight w:val="none"/>
                <w:lang w:val="zh-CN"/>
              </w:rPr>
            </w:pPr>
          </w:p>
        </w:tc>
        <w:tc>
          <w:tcPr>
            <w:tcW w:w="895" w:type="dxa"/>
            <w:vAlign w:val="center"/>
          </w:tcPr>
          <w:p w14:paraId="264D4AB7">
            <w:pPr>
              <w:ind w:firstLine="504" w:firstLineChars="200"/>
              <w:jc w:val="left"/>
              <w:rPr>
                <w:color w:val="000000"/>
                <w:spacing w:val="6"/>
                <w:sz w:val="24"/>
                <w:szCs w:val="21"/>
                <w:highlight w:val="none"/>
                <w:lang w:val="zh-CN"/>
              </w:rPr>
            </w:pPr>
          </w:p>
        </w:tc>
        <w:tc>
          <w:tcPr>
            <w:tcW w:w="2496" w:type="dxa"/>
            <w:vAlign w:val="center"/>
          </w:tcPr>
          <w:p w14:paraId="7E38106A">
            <w:pPr>
              <w:widowControl/>
              <w:adjustRightInd w:val="0"/>
              <w:spacing w:line="360" w:lineRule="auto"/>
              <w:jc w:val="center"/>
              <w:rPr>
                <w:rFonts w:hint="eastAsia" w:eastAsia="宋体"/>
                <w:color w:val="000000"/>
                <w:spacing w:val="6"/>
                <w:sz w:val="24"/>
                <w:szCs w:val="21"/>
                <w:highlight w:val="none"/>
                <w:lang w:val="zh-CN" w:eastAsia="zh-CN"/>
              </w:rPr>
            </w:pPr>
            <w:r>
              <w:rPr>
                <w:rFonts w:hint="eastAsia" w:ascii="宋体" w:hAnsi="宋体"/>
                <w:bCs/>
                <w:color w:val="000000"/>
                <w:sz w:val="22"/>
                <w:szCs w:val="21"/>
                <w:highlight w:val="none"/>
                <w:lang w:val="en-US" w:eastAsia="zh-CN"/>
              </w:rPr>
              <w:t xml:space="preserve"> </w:t>
            </w:r>
          </w:p>
        </w:tc>
        <w:tc>
          <w:tcPr>
            <w:tcW w:w="2120" w:type="dxa"/>
            <w:vAlign w:val="center"/>
          </w:tcPr>
          <w:p w14:paraId="47DAACB7">
            <w:pPr>
              <w:ind w:firstLine="504" w:firstLineChars="200"/>
              <w:jc w:val="left"/>
              <w:rPr>
                <w:color w:val="000000"/>
                <w:spacing w:val="6"/>
                <w:sz w:val="24"/>
                <w:szCs w:val="21"/>
                <w:highlight w:val="none"/>
                <w:lang w:val="zh-CN"/>
              </w:rPr>
            </w:pPr>
          </w:p>
        </w:tc>
        <w:tc>
          <w:tcPr>
            <w:tcW w:w="1399" w:type="dxa"/>
            <w:vAlign w:val="center"/>
          </w:tcPr>
          <w:p w14:paraId="2B20CC36">
            <w:pPr>
              <w:ind w:firstLine="504" w:firstLineChars="200"/>
              <w:jc w:val="left"/>
              <w:rPr>
                <w:color w:val="000000"/>
                <w:spacing w:val="6"/>
                <w:sz w:val="24"/>
                <w:szCs w:val="21"/>
                <w:highlight w:val="none"/>
                <w:lang w:val="zh-CN"/>
              </w:rPr>
            </w:pPr>
          </w:p>
        </w:tc>
        <w:tc>
          <w:tcPr>
            <w:tcW w:w="1863" w:type="dxa"/>
            <w:vAlign w:val="center"/>
          </w:tcPr>
          <w:p w14:paraId="24470464">
            <w:pPr>
              <w:ind w:firstLine="504" w:firstLineChars="200"/>
              <w:jc w:val="left"/>
              <w:rPr>
                <w:color w:val="000000"/>
                <w:spacing w:val="6"/>
                <w:sz w:val="24"/>
                <w:szCs w:val="21"/>
                <w:highlight w:val="none"/>
                <w:lang w:val="zh-CN"/>
              </w:rPr>
            </w:pPr>
          </w:p>
        </w:tc>
      </w:tr>
      <w:tr w14:paraId="0D7A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87" w:type="dxa"/>
            <w:vAlign w:val="center"/>
          </w:tcPr>
          <w:p w14:paraId="7A9071F7">
            <w:pPr>
              <w:ind w:firstLine="504" w:firstLineChars="200"/>
              <w:jc w:val="left"/>
              <w:rPr>
                <w:color w:val="000000"/>
                <w:spacing w:val="6"/>
                <w:sz w:val="24"/>
                <w:szCs w:val="21"/>
                <w:highlight w:val="none"/>
                <w:lang w:val="zh-CN"/>
              </w:rPr>
            </w:pPr>
          </w:p>
        </w:tc>
        <w:tc>
          <w:tcPr>
            <w:tcW w:w="895" w:type="dxa"/>
            <w:vAlign w:val="center"/>
          </w:tcPr>
          <w:p w14:paraId="1270FE5B">
            <w:pPr>
              <w:ind w:firstLine="504" w:firstLineChars="200"/>
              <w:jc w:val="left"/>
              <w:rPr>
                <w:color w:val="000000"/>
                <w:spacing w:val="6"/>
                <w:sz w:val="24"/>
                <w:szCs w:val="21"/>
                <w:highlight w:val="none"/>
                <w:lang w:val="zh-CN"/>
              </w:rPr>
            </w:pPr>
          </w:p>
        </w:tc>
        <w:tc>
          <w:tcPr>
            <w:tcW w:w="2496" w:type="dxa"/>
            <w:vAlign w:val="center"/>
          </w:tcPr>
          <w:p w14:paraId="13DA92A6">
            <w:pPr>
              <w:ind w:firstLine="504" w:firstLineChars="200"/>
              <w:jc w:val="left"/>
              <w:rPr>
                <w:color w:val="000000"/>
                <w:spacing w:val="6"/>
                <w:sz w:val="24"/>
                <w:szCs w:val="21"/>
                <w:highlight w:val="none"/>
                <w:lang w:val="zh-CN"/>
              </w:rPr>
            </w:pPr>
          </w:p>
        </w:tc>
        <w:tc>
          <w:tcPr>
            <w:tcW w:w="2120" w:type="dxa"/>
            <w:vAlign w:val="center"/>
          </w:tcPr>
          <w:p w14:paraId="43389683">
            <w:pPr>
              <w:ind w:firstLine="504" w:firstLineChars="200"/>
              <w:jc w:val="left"/>
              <w:rPr>
                <w:color w:val="000000"/>
                <w:spacing w:val="6"/>
                <w:sz w:val="24"/>
                <w:szCs w:val="21"/>
                <w:highlight w:val="none"/>
                <w:lang w:val="zh-CN"/>
              </w:rPr>
            </w:pPr>
          </w:p>
        </w:tc>
        <w:tc>
          <w:tcPr>
            <w:tcW w:w="1399" w:type="dxa"/>
            <w:vAlign w:val="center"/>
          </w:tcPr>
          <w:p w14:paraId="6CF2FFDF">
            <w:pPr>
              <w:ind w:firstLine="504" w:firstLineChars="200"/>
              <w:jc w:val="left"/>
              <w:rPr>
                <w:color w:val="000000"/>
                <w:spacing w:val="6"/>
                <w:sz w:val="24"/>
                <w:szCs w:val="21"/>
                <w:highlight w:val="none"/>
                <w:lang w:val="zh-CN"/>
              </w:rPr>
            </w:pPr>
          </w:p>
        </w:tc>
        <w:tc>
          <w:tcPr>
            <w:tcW w:w="1863" w:type="dxa"/>
            <w:vAlign w:val="center"/>
          </w:tcPr>
          <w:p w14:paraId="414EF783">
            <w:pPr>
              <w:ind w:firstLine="504" w:firstLineChars="200"/>
              <w:jc w:val="left"/>
              <w:rPr>
                <w:color w:val="000000"/>
                <w:spacing w:val="6"/>
                <w:sz w:val="24"/>
                <w:szCs w:val="21"/>
                <w:highlight w:val="none"/>
                <w:lang w:val="zh-CN"/>
              </w:rPr>
            </w:pPr>
          </w:p>
        </w:tc>
      </w:tr>
      <w:tr w14:paraId="6732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587" w:type="dxa"/>
            <w:vAlign w:val="center"/>
          </w:tcPr>
          <w:p w14:paraId="2316FC30">
            <w:pPr>
              <w:ind w:firstLine="504" w:firstLineChars="200"/>
              <w:jc w:val="left"/>
              <w:rPr>
                <w:color w:val="000000"/>
                <w:spacing w:val="6"/>
                <w:sz w:val="24"/>
                <w:szCs w:val="21"/>
                <w:highlight w:val="none"/>
                <w:lang w:val="zh-CN"/>
              </w:rPr>
            </w:pPr>
          </w:p>
        </w:tc>
        <w:tc>
          <w:tcPr>
            <w:tcW w:w="895" w:type="dxa"/>
            <w:vAlign w:val="center"/>
          </w:tcPr>
          <w:p w14:paraId="43D58D3C">
            <w:pPr>
              <w:ind w:firstLine="504" w:firstLineChars="200"/>
              <w:jc w:val="left"/>
              <w:rPr>
                <w:color w:val="000000"/>
                <w:spacing w:val="6"/>
                <w:sz w:val="24"/>
                <w:szCs w:val="21"/>
                <w:highlight w:val="none"/>
                <w:lang w:val="zh-CN"/>
              </w:rPr>
            </w:pPr>
          </w:p>
        </w:tc>
        <w:tc>
          <w:tcPr>
            <w:tcW w:w="2496" w:type="dxa"/>
            <w:vAlign w:val="center"/>
          </w:tcPr>
          <w:p w14:paraId="729821CB">
            <w:pPr>
              <w:ind w:firstLine="504" w:firstLineChars="200"/>
              <w:jc w:val="left"/>
              <w:rPr>
                <w:color w:val="000000"/>
                <w:spacing w:val="6"/>
                <w:sz w:val="24"/>
                <w:szCs w:val="21"/>
                <w:highlight w:val="none"/>
                <w:lang w:val="zh-CN"/>
              </w:rPr>
            </w:pPr>
          </w:p>
        </w:tc>
        <w:tc>
          <w:tcPr>
            <w:tcW w:w="2120" w:type="dxa"/>
            <w:vAlign w:val="center"/>
          </w:tcPr>
          <w:p w14:paraId="51555145">
            <w:pPr>
              <w:ind w:firstLine="504" w:firstLineChars="200"/>
              <w:jc w:val="left"/>
              <w:rPr>
                <w:color w:val="000000"/>
                <w:spacing w:val="6"/>
                <w:sz w:val="24"/>
                <w:szCs w:val="21"/>
                <w:highlight w:val="none"/>
                <w:lang w:val="zh-CN"/>
              </w:rPr>
            </w:pPr>
          </w:p>
        </w:tc>
        <w:tc>
          <w:tcPr>
            <w:tcW w:w="1399" w:type="dxa"/>
            <w:vAlign w:val="center"/>
          </w:tcPr>
          <w:p w14:paraId="511BACE4">
            <w:pPr>
              <w:ind w:firstLine="504" w:firstLineChars="200"/>
              <w:jc w:val="left"/>
              <w:rPr>
                <w:color w:val="000000"/>
                <w:spacing w:val="6"/>
                <w:sz w:val="24"/>
                <w:szCs w:val="21"/>
                <w:highlight w:val="none"/>
                <w:lang w:val="zh-CN"/>
              </w:rPr>
            </w:pPr>
          </w:p>
        </w:tc>
        <w:tc>
          <w:tcPr>
            <w:tcW w:w="1863" w:type="dxa"/>
            <w:vAlign w:val="center"/>
          </w:tcPr>
          <w:p w14:paraId="2DC48517">
            <w:pPr>
              <w:ind w:firstLine="504" w:firstLineChars="200"/>
              <w:jc w:val="left"/>
              <w:rPr>
                <w:color w:val="000000"/>
                <w:spacing w:val="6"/>
                <w:sz w:val="24"/>
                <w:szCs w:val="21"/>
                <w:highlight w:val="none"/>
                <w:lang w:val="zh-CN"/>
              </w:rPr>
            </w:pPr>
          </w:p>
        </w:tc>
      </w:tr>
    </w:tbl>
    <w:p w14:paraId="18EB39B0">
      <w:pPr>
        <w:spacing w:line="360" w:lineRule="auto"/>
        <w:jc w:val="left"/>
        <w:rPr>
          <w:rFonts w:ascii="宋体" w:hAnsi="宋体" w:cs="宋体"/>
          <w:color w:val="000000"/>
          <w:spacing w:val="6"/>
          <w:szCs w:val="21"/>
          <w:highlight w:val="none"/>
          <w:lang w:val="zh-CN"/>
        </w:rPr>
      </w:pPr>
      <w:r>
        <w:rPr>
          <w:rFonts w:hint="eastAsia" w:ascii="宋体" w:hAnsi="宋体" w:cs="宋体"/>
          <w:color w:val="000000"/>
          <w:spacing w:val="6"/>
          <w:szCs w:val="21"/>
          <w:highlight w:val="none"/>
          <w:lang w:val="zh-CN"/>
        </w:rPr>
        <w:t>注：请磋商供应商根据磋商文件第二章第</w:t>
      </w:r>
      <w:r>
        <w:rPr>
          <w:rFonts w:hint="eastAsia" w:ascii="宋体" w:hAnsi="宋体" w:cs="宋体"/>
          <w:color w:val="000000"/>
          <w:spacing w:val="6"/>
          <w:szCs w:val="21"/>
          <w:highlight w:val="none"/>
        </w:rPr>
        <w:t>13</w:t>
      </w:r>
      <w:r>
        <w:rPr>
          <w:rFonts w:hint="eastAsia" w:ascii="宋体" w:hAnsi="宋体" w:cs="宋体"/>
          <w:color w:val="000000"/>
          <w:spacing w:val="6"/>
          <w:szCs w:val="21"/>
          <w:highlight w:val="none"/>
          <w:lang w:val="zh-CN"/>
        </w:rPr>
        <w:t>条要求详列技术条款，并注明在响应文件中予以响应的情况。如果一字不漏照抄磋商文件要求，将作无效磋商处理。</w:t>
      </w:r>
    </w:p>
    <w:p w14:paraId="1310D2E8">
      <w:pPr>
        <w:spacing w:line="360" w:lineRule="auto"/>
        <w:ind w:firstLine="444" w:firstLineChars="200"/>
        <w:jc w:val="left"/>
        <w:rPr>
          <w:rFonts w:ascii="宋体" w:hAnsi="宋体" w:cs="宋体"/>
          <w:color w:val="000000"/>
          <w:spacing w:val="6"/>
          <w:szCs w:val="21"/>
          <w:highlight w:val="none"/>
          <w:lang w:val="zh-CN"/>
        </w:rPr>
      </w:pPr>
      <w:r>
        <w:rPr>
          <w:rFonts w:hint="eastAsia" w:ascii="宋体" w:hAnsi="宋体" w:cs="宋体"/>
          <w:color w:val="000000"/>
          <w:spacing w:val="6"/>
          <w:szCs w:val="21"/>
          <w:highlight w:val="none"/>
          <w:lang w:val="zh-CN"/>
        </w:rPr>
        <w:t>供应商名称：（盖章）</w:t>
      </w:r>
    </w:p>
    <w:p w14:paraId="0777CA14">
      <w:pPr>
        <w:widowControl/>
        <w:adjustRightInd w:val="0"/>
        <w:spacing w:line="360" w:lineRule="auto"/>
        <w:ind w:firstLine="444" w:firstLineChars="200"/>
        <w:jc w:val="left"/>
        <w:rPr>
          <w:rFonts w:ascii="宋体" w:hAnsi="宋体" w:cs="宋体"/>
          <w:color w:val="000000"/>
          <w:szCs w:val="21"/>
          <w:highlight w:val="none"/>
          <w:lang w:val="zh-CN"/>
        </w:rPr>
      </w:pPr>
      <w:r>
        <w:rPr>
          <w:rFonts w:hint="eastAsia" w:ascii="宋体" w:hAnsi="宋体" w:cs="宋体"/>
          <w:color w:val="000000"/>
          <w:spacing w:val="6"/>
          <w:szCs w:val="21"/>
          <w:highlight w:val="none"/>
          <w:lang w:val="zh-CN"/>
        </w:rPr>
        <w:t>法定代表人或授权代表（签字或盖章）：</w:t>
      </w:r>
    </w:p>
    <w:p w14:paraId="199012CC">
      <w:pPr>
        <w:spacing w:line="360" w:lineRule="auto"/>
        <w:ind w:firstLine="444" w:firstLineChars="200"/>
        <w:jc w:val="left"/>
        <w:rPr>
          <w:rFonts w:ascii="宋体" w:hAnsi="宋体" w:cs="宋体"/>
          <w:color w:val="000000"/>
          <w:spacing w:val="6"/>
          <w:szCs w:val="21"/>
          <w:highlight w:val="none"/>
          <w:lang w:val="zh-CN"/>
        </w:rPr>
      </w:pPr>
      <w:r>
        <w:rPr>
          <w:rFonts w:hint="eastAsia" w:ascii="宋体" w:hAnsi="宋体" w:cs="宋体"/>
          <w:color w:val="000000"/>
          <w:spacing w:val="6"/>
          <w:szCs w:val="21"/>
          <w:highlight w:val="none"/>
          <w:lang w:val="zh-CN"/>
        </w:rPr>
        <w:t>日期：</w:t>
      </w:r>
    </w:p>
    <w:p w14:paraId="110BEE0B">
      <w:pPr>
        <w:ind w:firstLine="426" w:firstLineChars="200"/>
        <w:jc w:val="left"/>
        <w:rPr>
          <w:b/>
          <w:bCs/>
          <w:color w:val="000000"/>
          <w:spacing w:val="6"/>
          <w:sz w:val="20"/>
          <w:szCs w:val="16"/>
          <w:highlight w:val="none"/>
          <w:lang w:val="zh-CN"/>
        </w:rPr>
      </w:pPr>
      <w:r>
        <w:rPr>
          <w:rFonts w:hint="eastAsia"/>
          <w:b/>
          <w:bCs/>
          <w:color w:val="000000"/>
          <w:spacing w:val="6"/>
          <w:sz w:val="20"/>
          <w:szCs w:val="16"/>
          <w:highlight w:val="none"/>
          <w:lang w:val="zh-CN"/>
        </w:rPr>
        <w:t>说明：1、如果行数不够，请自行增加。</w:t>
      </w:r>
    </w:p>
    <w:p w14:paraId="11B7D039">
      <w:pPr>
        <w:ind w:firstLine="1064" w:firstLineChars="500"/>
        <w:jc w:val="left"/>
        <w:rPr>
          <w:b/>
          <w:bCs/>
          <w:color w:val="000000"/>
          <w:spacing w:val="6"/>
          <w:sz w:val="20"/>
          <w:szCs w:val="16"/>
          <w:highlight w:val="none"/>
          <w:lang w:val="zh-CN"/>
        </w:rPr>
      </w:pPr>
      <w:r>
        <w:rPr>
          <w:rFonts w:hint="eastAsia"/>
          <w:b/>
          <w:bCs/>
          <w:color w:val="000000"/>
          <w:spacing w:val="6"/>
          <w:sz w:val="20"/>
          <w:szCs w:val="16"/>
          <w:highlight w:val="none"/>
          <w:lang w:val="zh-CN"/>
        </w:rPr>
        <w:t>2、按照项目需求详细填列</w:t>
      </w:r>
    </w:p>
    <w:p w14:paraId="53BBE556">
      <w:pPr>
        <w:ind w:firstLine="1064" w:firstLineChars="500"/>
        <w:jc w:val="left"/>
        <w:rPr>
          <w:b/>
          <w:bCs/>
          <w:color w:val="000000"/>
          <w:spacing w:val="6"/>
          <w:sz w:val="20"/>
          <w:szCs w:val="16"/>
          <w:highlight w:val="none"/>
          <w:lang w:val="zh-CN"/>
        </w:rPr>
      </w:pPr>
      <w:r>
        <w:rPr>
          <w:b/>
          <w:bCs/>
          <w:color w:val="000000"/>
          <w:spacing w:val="6"/>
          <w:sz w:val="20"/>
          <w:szCs w:val="16"/>
          <w:highlight w:val="none"/>
          <w:lang w:val="zh-CN"/>
        </w:rPr>
        <w:t>3</w:t>
      </w:r>
      <w:r>
        <w:rPr>
          <w:rFonts w:hint="eastAsia"/>
          <w:b/>
          <w:bCs/>
          <w:color w:val="000000"/>
          <w:spacing w:val="6"/>
          <w:sz w:val="20"/>
          <w:szCs w:val="16"/>
          <w:highlight w:val="none"/>
          <w:lang w:val="zh-CN"/>
        </w:rPr>
        <w:t>、请如实填写偏离表，如果虚假响应，将被暂停进入南京市江宁区政府采购活动。</w:t>
      </w:r>
    </w:p>
    <w:p w14:paraId="6A59EAC8">
      <w:pPr>
        <w:widowControl/>
        <w:adjustRightInd w:val="0"/>
        <w:spacing w:line="360" w:lineRule="auto"/>
        <w:jc w:val="left"/>
        <w:outlineLvl w:val="1"/>
        <w:rPr>
          <w:rFonts w:ascii="宋体" w:cs="宋体"/>
          <w:b/>
          <w:color w:val="000000"/>
          <w:kern w:val="0"/>
          <w:sz w:val="20"/>
          <w:szCs w:val="21"/>
          <w:highlight w:val="none"/>
        </w:rPr>
      </w:pPr>
      <w:r>
        <w:rPr>
          <w:rFonts w:hint="eastAsia"/>
          <w:b/>
          <w:bCs/>
          <w:color w:val="000000"/>
          <w:spacing w:val="6"/>
          <w:sz w:val="20"/>
          <w:szCs w:val="16"/>
          <w:highlight w:val="none"/>
        </w:rPr>
        <w:t>4、请供应商根据磋商实际情况填写，如果磋商实际响应与供应商提供的证明资料有实质性偏离的，将作无效磋商处理。</w:t>
      </w:r>
      <w:r>
        <w:rPr>
          <w:rFonts w:hint="eastAsia" w:ascii="宋体" w:cs="宋体"/>
          <w:b/>
          <w:color w:val="000000"/>
          <w:kern w:val="0"/>
          <w:sz w:val="20"/>
          <w:szCs w:val="21"/>
          <w:highlight w:val="none"/>
        </w:rPr>
        <w:br w:type="page"/>
      </w:r>
    </w:p>
    <w:p w14:paraId="1690F2FE">
      <w:pPr>
        <w:widowControl/>
        <w:adjustRightInd w:val="0"/>
        <w:spacing w:line="360" w:lineRule="auto"/>
        <w:jc w:val="left"/>
        <w:outlineLvl w:val="1"/>
        <w:rPr>
          <w:rFonts w:ascii="宋体" w:hAnsi="宋体" w:cs="宋体"/>
          <w:b/>
          <w:sz w:val="30"/>
          <w:szCs w:val="30"/>
          <w:highlight w:val="none"/>
          <w:lang w:val="zh-CN"/>
        </w:rPr>
      </w:pPr>
      <w:bookmarkStart w:id="286" w:name="_Toc106020673"/>
      <w:r>
        <w:rPr>
          <w:rFonts w:hint="eastAsia" w:ascii="宋体" w:hAnsi="宋体" w:cs="宋体"/>
          <w:b/>
          <w:sz w:val="30"/>
          <w:szCs w:val="30"/>
          <w:highlight w:val="none"/>
          <w:lang w:val="zh-CN"/>
        </w:rPr>
        <w:t>十</w:t>
      </w:r>
      <w:r>
        <w:rPr>
          <w:rFonts w:hint="eastAsia" w:ascii="宋体" w:hAnsi="宋体" w:cs="宋体"/>
          <w:b/>
          <w:sz w:val="30"/>
          <w:szCs w:val="30"/>
          <w:highlight w:val="none"/>
        </w:rPr>
        <w:t>三</w:t>
      </w:r>
      <w:r>
        <w:rPr>
          <w:rFonts w:hint="eastAsia" w:ascii="宋体" w:hAnsi="宋体" w:cs="宋体"/>
          <w:b/>
          <w:sz w:val="30"/>
          <w:szCs w:val="30"/>
          <w:highlight w:val="none"/>
          <w:lang w:val="zh-CN"/>
        </w:rPr>
        <w:t>、商务条款偏离表格式</w:t>
      </w:r>
      <w:bookmarkEnd w:id="283"/>
      <w:bookmarkEnd w:id="284"/>
      <w:bookmarkEnd w:id="285"/>
      <w:bookmarkEnd w:id="286"/>
    </w:p>
    <w:p w14:paraId="51C6C92C">
      <w:pPr>
        <w:widowControl/>
        <w:adjustRightInd w:val="0"/>
        <w:spacing w:line="360" w:lineRule="auto"/>
        <w:ind w:firstLine="723" w:firstLineChars="200"/>
        <w:jc w:val="center"/>
        <w:rPr>
          <w:rFonts w:eastAsia="黑体"/>
          <w:b/>
          <w:bCs/>
          <w:color w:val="000000"/>
          <w:sz w:val="36"/>
          <w:szCs w:val="28"/>
          <w:highlight w:val="none"/>
        </w:rPr>
      </w:pPr>
      <w:r>
        <w:rPr>
          <w:rFonts w:hint="eastAsia" w:eastAsia="黑体"/>
          <w:b/>
          <w:bCs/>
          <w:color w:val="000000"/>
          <w:sz w:val="36"/>
          <w:szCs w:val="28"/>
          <w:highlight w:val="none"/>
        </w:rPr>
        <w:t>商务条款偏离表</w:t>
      </w:r>
    </w:p>
    <w:tbl>
      <w:tblPr>
        <w:tblStyle w:val="29"/>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1"/>
        <w:gridCol w:w="2264"/>
        <w:gridCol w:w="2400"/>
        <w:gridCol w:w="2029"/>
        <w:gridCol w:w="978"/>
        <w:gridCol w:w="1526"/>
      </w:tblGrid>
      <w:tr w14:paraId="1327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8" w:hRule="atLeast"/>
          <w:jc w:val="center"/>
        </w:trPr>
        <w:tc>
          <w:tcPr>
            <w:tcW w:w="9858" w:type="dxa"/>
            <w:gridSpan w:val="6"/>
            <w:vAlign w:val="center"/>
          </w:tcPr>
          <w:p w14:paraId="52208116">
            <w:pPr>
              <w:jc w:val="left"/>
              <w:rPr>
                <w:color w:val="000000"/>
                <w:sz w:val="24"/>
                <w:highlight w:val="none"/>
                <w:lang w:val="zh-CN"/>
              </w:rPr>
            </w:pPr>
            <w:r>
              <w:rPr>
                <w:rFonts w:hint="eastAsia"/>
                <w:color w:val="000000"/>
                <w:sz w:val="24"/>
                <w:highlight w:val="none"/>
                <w:lang w:val="zh-CN"/>
              </w:rPr>
              <w:t>项目名称：</w:t>
            </w:r>
          </w:p>
          <w:p w14:paraId="44051C9B">
            <w:pPr>
              <w:widowControl/>
              <w:adjustRightInd w:val="0"/>
              <w:spacing w:line="360" w:lineRule="auto"/>
              <w:rPr>
                <w:rFonts w:ascii="宋体" w:hAnsi="宋体"/>
                <w:bCs/>
                <w:color w:val="000000"/>
                <w:sz w:val="24"/>
                <w:szCs w:val="21"/>
                <w:highlight w:val="none"/>
                <w:lang w:val="zh-CN"/>
              </w:rPr>
            </w:pPr>
            <w:r>
              <w:rPr>
                <w:rFonts w:hint="eastAsia"/>
                <w:color w:val="000000"/>
                <w:sz w:val="24"/>
                <w:highlight w:val="none"/>
                <w:lang w:val="zh-CN"/>
              </w:rPr>
              <w:t>项目编号：</w:t>
            </w:r>
          </w:p>
        </w:tc>
      </w:tr>
      <w:tr w14:paraId="7377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661" w:type="dxa"/>
            <w:vAlign w:val="center"/>
          </w:tcPr>
          <w:p w14:paraId="65645180">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序号</w:t>
            </w:r>
          </w:p>
        </w:tc>
        <w:tc>
          <w:tcPr>
            <w:tcW w:w="2264" w:type="dxa"/>
            <w:vAlign w:val="center"/>
          </w:tcPr>
          <w:p w14:paraId="54977783">
            <w:pPr>
              <w:widowControl/>
              <w:adjustRightInd w:val="0"/>
              <w:spacing w:line="360" w:lineRule="auto"/>
              <w:jc w:val="center"/>
              <w:rPr>
                <w:rFonts w:ascii="宋体" w:hAnsi="宋体"/>
                <w:bCs/>
                <w:color w:val="000000"/>
                <w:sz w:val="24"/>
                <w:szCs w:val="21"/>
                <w:highlight w:val="none"/>
              </w:rPr>
            </w:pPr>
            <w:r>
              <w:rPr>
                <w:rFonts w:hint="eastAsia" w:ascii="宋体" w:hAnsi="宋体"/>
                <w:bCs/>
                <w:color w:val="000000"/>
                <w:sz w:val="24"/>
                <w:szCs w:val="21"/>
                <w:highlight w:val="none"/>
                <w:lang w:val="zh-CN"/>
              </w:rPr>
              <w:t>磋商文件条目号</w:t>
            </w:r>
          </w:p>
        </w:tc>
        <w:tc>
          <w:tcPr>
            <w:tcW w:w="2400" w:type="dxa"/>
            <w:vAlign w:val="center"/>
          </w:tcPr>
          <w:p w14:paraId="51D0B887">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磋商文件要求的商务条款</w:t>
            </w:r>
          </w:p>
        </w:tc>
        <w:tc>
          <w:tcPr>
            <w:tcW w:w="2029" w:type="dxa"/>
            <w:vAlign w:val="center"/>
          </w:tcPr>
          <w:p w14:paraId="4F43E803">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参与采购的商务响应</w:t>
            </w:r>
          </w:p>
        </w:tc>
        <w:tc>
          <w:tcPr>
            <w:tcW w:w="978" w:type="dxa"/>
            <w:vAlign w:val="center"/>
          </w:tcPr>
          <w:p w14:paraId="7B28942D">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是否偏离</w:t>
            </w:r>
          </w:p>
        </w:tc>
        <w:tc>
          <w:tcPr>
            <w:tcW w:w="1526" w:type="dxa"/>
            <w:vAlign w:val="center"/>
          </w:tcPr>
          <w:p w14:paraId="5EC9816D">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供应商的承诺或说明</w:t>
            </w:r>
          </w:p>
        </w:tc>
      </w:tr>
      <w:tr w14:paraId="2DBF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661" w:type="dxa"/>
            <w:vAlign w:val="center"/>
          </w:tcPr>
          <w:p w14:paraId="3980F239">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1</w:t>
            </w:r>
          </w:p>
        </w:tc>
        <w:tc>
          <w:tcPr>
            <w:tcW w:w="2264" w:type="dxa"/>
            <w:vAlign w:val="center"/>
          </w:tcPr>
          <w:p w14:paraId="22D93D77">
            <w:pPr>
              <w:widowControl/>
              <w:adjustRightInd w:val="0"/>
              <w:spacing w:line="360" w:lineRule="auto"/>
              <w:jc w:val="center"/>
              <w:rPr>
                <w:rFonts w:ascii="宋体" w:hAnsi="宋体"/>
                <w:bCs/>
                <w:color w:val="000000"/>
                <w:sz w:val="24"/>
                <w:szCs w:val="21"/>
                <w:highlight w:val="none"/>
              </w:rPr>
            </w:pPr>
          </w:p>
        </w:tc>
        <w:tc>
          <w:tcPr>
            <w:tcW w:w="2400" w:type="dxa"/>
            <w:vAlign w:val="center"/>
          </w:tcPr>
          <w:p w14:paraId="0317C006">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2"/>
                <w:szCs w:val="21"/>
                <w:highlight w:val="none"/>
              </w:rPr>
              <w:t>磋商申请及声明</w:t>
            </w:r>
          </w:p>
        </w:tc>
        <w:tc>
          <w:tcPr>
            <w:tcW w:w="2029" w:type="dxa"/>
            <w:vAlign w:val="center"/>
          </w:tcPr>
          <w:p w14:paraId="412E45BA">
            <w:pPr>
              <w:widowControl/>
              <w:adjustRightInd w:val="0"/>
              <w:spacing w:line="360" w:lineRule="auto"/>
              <w:jc w:val="center"/>
              <w:rPr>
                <w:rFonts w:ascii="宋体" w:hAnsi="宋体"/>
                <w:bCs/>
                <w:color w:val="000000"/>
                <w:sz w:val="24"/>
                <w:szCs w:val="21"/>
                <w:highlight w:val="none"/>
                <w:lang w:val="zh-CN"/>
              </w:rPr>
            </w:pPr>
          </w:p>
        </w:tc>
        <w:tc>
          <w:tcPr>
            <w:tcW w:w="978" w:type="dxa"/>
            <w:vAlign w:val="center"/>
          </w:tcPr>
          <w:p w14:paraId="2735B61C">
            <w:pPr>
              <w:widowControl/>
              <w:adjustRightInd w:val="0"/>
              <w:spacing w:line="360" w:lineRule="auto"/>
              <w:jc w:val="center"/>
              <w:rPr>
                <w:rFonts w:ascii="宋体" w:hAnsi="宋体"/>
                <w:bCs/>
                <w:color w:val="000000"/>
                <w:sz w:val="24"/>
                <w:szCs w:val="21"/>
                <w:highlight w:val="none"/>
                <w:lang w:val="zh-CN"/>
              </w:rPr>
            </w:pPr>
          </w:p>
        </w:tc>
        <w:tc>
          <w:tcPr>
            <w:tcW w:w="1526" w:type="dxa"/>
            <w:vAlign w:val="center"/>
          </w:tcPr>
          <w:p w14:paraId="529809DE">
            <w:pPr>
              <w:widowControl/>
              <w:adjustRightInd w:val="0"/>
              <w:spacing w:line="360" w:lineRule="auto"/>
              <w:jc w:val="center"/>
              <w:rPr>
                <w:rFonts w:ascii="宋体" w:hAnsi="宋体"/>
                <w:bCs/>
                <w:color w:val="000000"/>
                <w:sz w:val="24"/>
                <w:szCs w:val="21"/>
                <w:highlight w:val="none"/>
                <w:lang w:val="zh-CN"/>
              </w:rPr>
            </w:pPr>
          </w:p>
        </w:tc>
      </w:tr>
      <w:tr w14:paraId="678D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5" w:hRule="atLeast"/>
          <w:jc w:val="center"/>
        </w:trPr>
        <w:tc>
          <w:tcPr>
            <w:tcW w:w="661" w:type="dxa"/>
            <w:vAlign w:val="center"/>
          </w:tcPr>
          <w:p w14:paraId="218F4D23">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2</w:t>
            </w:r>
          </w:p>
        </w:tc>
        <w:tc>
          <w:tcPr>
            <w:tcW w:w="2264" w:type="dxa"/>
            <w:vAlign w:val="center"/>
          </w:tcPr>
          <w:p w14:paraId="118EFEAD">
            <w:pPr>
              <w:widowControl/>
              <w:adjustRightInd w:val="0"/>
              <w:spacing w:line="360" w:lineRule="auto"/>
              <w:jc w:val="center"/>
              <w:rPr>
                <w:rFonts w:ascii="宋体" w:hAnsi="宋体"/>
                <w:bCs/>
                <w:color w:val="000000"/>
                <w:sz w:val="24"/>
                <w:szCs w:val="21"/>
                <w:highlight w:val="none"/>
              </w:rPr>
            </w:pPr>
          </w:p>
        </w:tc>
        <w:tc>
          <w:tcPr>
            <w:tcW w:w="2400" w:type="dxa"/>
            <w:vAlign w:val="center"/>
          </w:tcPr>
          <w:p w14:paraId="35CCE6D9">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2"/>
                <w:szCs w:val="21"/>
                <w:highlight w:val="none"/>
              </w:rPr>
              <w:t>法定代表人授权委托书</w:t>
            </w:r>
          </w:p>
        </w:tc>
        <w:tc>
          <w:tcPr>
            <w:tcW w:w="2029" w:type="dxa"/>
            <w:vAlign w:val="center"/>
          </w:tcPr>
          <w:p w14:paraId="10C0EEEC">
            <w:pPr>
              <w:widowControl/>
              <w:adjustRightInd w:val="0"/>
              <w:spacing w:line="360" w:lineRule="auto"/>
              <w:jc w:val="center"/>
              <w:rPr>
                <w:rFonts w:ascii="宋体" w:hAnsi="宋体"/>
                <w:bCs/>
                <w:color w:val="000000"/>
                <w:sz w:val="24"/>
                <w:szCs w:val="21"/>
                <w:highlight w:val="none"/>
                <w:lang w:val="zh-CN"/>
              </w:rPr>
            </w:pPr>
          </w:p>
        </w:tc>
        <w:tc>
          <w:tcPr>
            <w:tcW w:w="978" w:type="dxa"/>
            <w:vAlign w:val="center"/>
          </w:tcPr>
          <w:p w14:paraId="549A9047">
            <w:pPr>
              <w:widowControl/>
              <w:adjustRightInd w:val="0"/>
              <w:spacing w:line="360" w:lineRule="auto"/>
              <w:jc w:val="center"/>
              <w:rPr>
                <w:rFonts w:ascii="宋体" w:hAnsi="宋体"/>
                <w:bCs/>
                <w:color w:val="000000"/>
                <w:sz w:val="24"/>
                <w:szCs w:val="21"/>
                <w:highlight w:val="none"/>
                <w:lang w:val="zh-CN"/>
              </w:rPr>
            </w:pPr>
          </w:p>
        </w:tc>
        <w:tc>
          <w:tcPr>
            <w:tcW w:w="1526" w:type="dxa"/>
            <w:vAlign w:val="center"/>
          </w:tcPr>
          <w:p w14:paraId="489DC4A4">
            <w:pPr>
              <w:widowControl/>
              <w:adjustRightInd w:val="0"/>
              <w:spacing w:line="360" w:lineRule="auto"/>
              <w:jc w:val="center"/>
              <w:rPr>
                <w:rFonts w:ascii="宋体" w:hAnsi="宋体"/>
                <w:bCs/>
                <w:color w:val="000000"/>
                <w:sz w:val="24"/>
                <w:szCs w:val="21"/>
                <w:highlight w:val="none"/>
                <w:lang w:val="zh-CN"/>
              </w:rPr>
            </w:pPr>
          </w:p>
        </w:tc>
      </w:tr>
      <w:tr w14:paraId="704D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9" w:hRule="atLeast"/>
          <w:jc w:val="center"/>
        </w:trPr>
        <w:tc>
          <w:tcPr>
            <w:tcW w:w="661" w:type="dxa"/>
            <w:vAlign w:val="center"/>
          </w:tcPr>
          <w:p w14:paraId="3F67F831">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3</w:t>
            </w:r>
          </w:p>
        </w:tc>
        <w:tc>
          <w:tcPr>
            <w:tcW w:w="2264" w:type="dxa"/>
            <w:vAlign w:val="center"/>
          </w:tcPr>
          <w:p w14:paraId="12A9376F">
            <w:pPr>
              <w:widowControl/>
              <w:adjustRightInd w:val="0"/>
              <w:spacing w:line="360" w:lineRule="auto"/>
              <w:jc w:val="center"/>
              <w:rPr>
                <w:rFonts w:ascii="宋体" w:hAnsi="宋体"/>
                <w:bCs/>
                <w:color w:val="000000"/>
                <w:sz w:val="24"/>
                <w:szCs w:val="21"/>
                <w:highlight w:val="none"/>
              </w:rPr>
            </w:pPr>
          </w:p>
        </w:tc>
        <w:tc>
          <w:tcPr>
            <w:tcW w:w="2400" w:type="dxa"/>
            <w:vAlign w:val="center"/>
          </w:tcPr>
          <w:p w14:paraId="00C069AE">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2"/>
                <w:szCs w:val="21"/>
                <w:highlight w:val="none"/>
              </w:rPr>
              <w:t>磋商报价汇总表</w:t>
            </w:r>
          </w:p>
        </w:tc>
        <w:tc>
          <w:tcPr>
            <w:tcW w:w="2029" w:type="dxa"/>
            <w:vAlign w:val="center"/>
          </w:tcPr>
          <w:p w14:paraId="70A2EF35">
            <w:pPr>
              <w:widowControl/>
              <w:adjustRightInd w:val="0"/>
              <w:spacing w:line="360" w:lineRule="auto"/>
              <w:jc w:val="center"/>
              <w:rPr>
                <w:rFonts w:ascii="宋体" w:hAnsi="宋体"/>
                <w:bCs/>
                <w:color w:val="000000"/>
                <w:sz w:val="24"/>
                <w:szCs w:val="21"/>
                <w:highlight w:val="none"/>
                <w:lang w:val="zh-CN"/>
              </w:rPr>
            </w:pPr>
          </w:p>
        </w:tc>
        <w:tc>
          <w:tcPr>
            <w:tcW w:w="978" w:type="dxa"/>
            <w:vAlign w:val="center"/>
          </w:tcPr>
          <w:p w14:paraId="35BFAA88">
            <w:pPr>
              <w:widowControl/>
              <w:adjustRightInd w:val="0"/>
              <w:spacing w:line="360" w:lineRule="auto"/>
              <w:jc w:val="center"/>
              <w:rPr>
                <w:rFonts w:ascii="宋体" w:hAnsi="宋体"/>
                <w:bCs/>
                <w:color w:val="000000"/>
                <w:sz w:val="24"/>
                <w:szCs w:val="21"/>
                <w:highlight w:val="none"/>
                <w:lang w:val="zh-CN"/>
              </w:rPr>
            </w:pPr>
          </w:p>
        </w:tc>
        <w:tc>
          <w:tcPr>
            <w:tcW w:w="1526" w:type="dxa"/>
            <w:vAlign w:val="center"/>
          </w:tcPr>
          <w:p w14:paraId="14FE068A">
            <w:pPr>
              <w:widowControl/>
              <w:adjustRightInd w:val="0"/>
              <w:spacing w:line="360" w:lineRule="auto"/>
              <w:jc w:val="center"/>
              <w:rPr>
                <w:rFonts w:ascii="宋体" w:hAnsi="宋体"/>
                <w:bCs/>
                <w:color w:val="000000"/>
                <w:sz w:val="24"/>
                <w:szCs w:val="21"/>
                <w:highlight w:val="none"/>
                <w:lang w:val="zh-CN"/>
              </w:rPr>
            </w:pPr>
          </w:p>
        </w:tc>
      </w:tr>
      <w:tr w14:paraId="3AAD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61" w:type="dxa"/>
            <w:vAlign w:val="center"/>
          </w:tcPr>
          <w:p w14:paraId="6C5430C7">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4</w:t>
            </w:r>
          </w:p>
        </w:tc>
        <w:tc>
          <w:tcPr>
            <w:tcW w:w="2264" w:type="dxa"/>
            <w:vAlign w:val="center"/>
          </w:tcPr>
          <w:p w14:paraId="74E03F0C">
            <w:pPr>
              <w:widowControl/>
              <w:adjustRightInd w:val="0"/>
              <w:spacing w:line="360" w:lineRule="auto"/>
              <w:jc w:val="center"/>
              <w:rPr>
                <w:rFonts w:ascii="宋体" w:hAnsi="宋体"/>
                <w:bCs/>
                <w:color w:val="000000"/>
                <w:sz w:val="24"/>
                <w:szCs w:val="21"/>
                <w:highlight w:val="none"/>
                <w:lang w:val="zh-CN"/>
              </w:rPr>
            </w:pPr>
          </w:p>
        </w:tc>
        <w:tc>
          <w:tcPr>
            <w:tcW w:w="2400" w:type="dxa"/>
            <w:vAlign w:val="center"/>
          </w:tcPr>
          <w:p w14:paraId="59DF99D5">
            <w:pPr>
              <w:widowControl/>
              <w:adjustRightInd w:val="0"/>
              <w:spacing w:line="360" w:lineRule="auto"/>
              <w:jc w:val="center"/>
              <w:rPr>
                <w:rFonts w:ascii="宋体" w:hAnsi="宋体"/>
                <w:bCs/>
                <w:color w:val="000000"/>
                <w:sz w:val="24"/>
                <w:szCs w:val="21"/>
                <w:highlight w:val="none"/>
                <w:lang w:val="zh-CN"/>
              </w:rPr>
            </w:pPr>
          </w:p>
        </w:tc>
        <w:tc>
          <w:tcPr>
            <w:tcW w:w="2029" w:type="dxa"/>
            <w:vAlign w:val="center"/>
          </w:tcPr>
          <w:p w14:paraId="721D5E90">
            <w:pPr>
              <w:widowControl/>
              <w:adjustRightInd w:val="0"/>
              <w:spacing w:line="360" w:lineRule="auto"/>
              <w:jc w:val="center"/>
              <w:rPr>
                <w:rFonts w:ascii="宋体" w:hAnsi="宋体"/>
                <w:bCs/>
                <w:color w:val="000000"/>
                <w:sz w:val="24"/>
                <w:szCs w:val="21"/>
                <w:highlight w:val="none"/>
                <w:lang w:val="zh-CN"/>
              </w:rPr>
            </w:pPr>
          </w:p>
        </w:tc>
        <w:tc>
          <w:tcPr>
            <w:tcW w:w="978" w:type="dxa"/>
            <w:vAlign w:val="center"/>
          </w:tcPr>
          <w:p w14:paraId="6BC1A083">
            <w:pPr>
              <w:widowControl/>
              <w:adjustRightInd w:val="0"/>
              <w:spacing w:line="360" w:lineRule="auto"/>
              <w:jc w:val="center"/>
              <w:rPr>
                <w:rFonts w:ascii="宋体" w:hAnsi="宋体"/>
                <w:bCs/>
                <w:color w:val="000000"/>
                <w:sz w:val="24"/>
                <w:szCs w:val="21"/>
                <w:highlight w:val="none"/>
                <w:lang w:val="zh-CN"/>
              </w:rPr>
            </w:pPr>
          </w:p>
        </w:tc>
        <w:tc>
          <w:tcPr>
            <w:tcW w:w="1526" w:type="dxa"/>
            <w:vAlign w:val="center"/>
          </w:tcPr>
          <w:p w14:paraId="7E37B87F">
            <w:pPr>
              <w:widowControl/>
              <w:adjustRightInd w:val="0"/>
              <w:spacing w:line="360" w:lineRule="auto"/>
              <w:jc w:val="center"/>
              <w:rPr>
                <w:rFonts w:ascii="宋体" w:hAnsi="宋体"/>
                <w:bCs/>
                <w:color w:val="000000"/>
                <w:sz w:val="24"/>
                <w:szCs w:val="21"/>
                <w:highlight w:val="none"/>
                <w:lang w:val="zh-CN"/>
              </w:rPr>
            </w:pPr>
          </w:p>
        </w:tc>
      </w:tr>
      <w:tr w14:paraId="39E9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661" w:type="dxa"/>
            <w:vAlign w:val="center"/>
          </w:tcPr>
          <w:p w14:paraId="3D0B29C4">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5</w:t>
            </w:r>
          </w:p>
        </w:tc>
        <w:tc>
          <w:tcPr>
            <w:tcW w:w="2264" w:type="dxa"/>
            <w:vAlign w:val="center"/>
          </w:tcPr>
          <w:p w14:paraId="704E0D2E">
            <w:pPr>
              <w:widowControl/>
              <w:adjustRightInd w:val="0"/>
              <w:spacing w:line="360" w:lineRule="auto"/>
              <w:jc w:val="center"/>
              <w:rPr>
                <w:rFonts w:ascii="宋体" w:hAnsi="宋体"/>
                <w:bCs/>
                <w:color w:val="000000"/>
                <w:sz w:val="24"/>
                <w:szCs w:val="21"/>
                <w:highlight w:val="none"/>
                <w:lang w:val="zh-CN"/>
              </w:rPr>
            </w:pPr>
          </w:p>
        </w:tc>
        <w:tc>
          <w:tcPr>
            <w:tcW w:w="2400" w:type="dxa"/>
            <w:vAlign w:val="center"/>
          </w:tcPr>
          <w:p w14:paraId="7D5C9AC3">
            <w:pPr>
              <w:widowControl/>
              <w:adjustRightInd w:val="0"/>
              <w:spacing w:line="360" w:lineRule="auto"/>
              <w:jc w:val="center"/>
              <w:rPr>
                <w:rFonts w:ascii="宋体" w:hAnsi="宋体"/>
                <w:bCs/>
                <w:color w:val="000000"/>
                <w:sz w:val="24"/>
                <w:szCs w:val="21"/>
                <w:highlight w:val="none"/>
                <w:lang w:val="zh-CN"/>
              </w:rPr>
            </w:pPr>
          </w:p>
        </w:tc>
        <w:tc>
          <w:tcPr>
            <w:tcW w:w="2029" w:type="dxa"/>
            <w:vAlign w:val="center"/>
          </w:tcPr>
          <w:p w14:paraId="64AA312F">
            <w:pPr>
              <w:widowControl/>
              <w:adjustRightInd w:val="0"/>
              <w:spacing w:line="360" w:lineRule="auto"/>
              <w:jc w:val="center"/>
              <w:rPr>
                <w:rFonts w:ascii="宋体" w:hAnsi="宋体"/>
                <w:bCs/>
                <w:color w:val="000000"/>
                <w:sz w:val="24"/>
                <w:szCs w:val="21"/>
                <w:highlight w:val="none"/>
                <w:lang w:val="zh-CN"/>
              </w:rPr>
            </w:pPr>
          </w:p>
        </w:tc>
        <w:tc>
          <w:tcPr>
            <w:tcW w:w="978" w:type="dxa"/>
            <w:vAlign w:val="center"/>
          </w:tcPr>
          <w:p w14:paraId="702DCC23">
            <w:pPr>
              <w:widowControl/>
              <w:adjustRightInd w:val="0"/>
              <w:spacing w:line="360" w:lineRule="auto"/>
              <w:jc w:val="center"/>
              <w:rPr>
                <w:rFonts w:ascii="宋体" w:hAnsi="宋体"/>
                <w:bCs/>
                <w:color w:val="000000"/>
                <w:sz w:val="24"/>
                <w:szCs w:val="21"/>
                <w:highlight w:val="none"/>
                <w:lang w:val="zh-CN"/>
              </w:rPr>
            </w:pPr>
          </w:p>
        </w:tc>
        <w:tc>
          <w:tcPr>
            <w:tcW w:w="1526" w:type="dxa"/>
            <w:vAlign w:val="center"/>
          </w:tcPr>
          <w:p w14:paraId="27FD426B">
            <w:pPr>
              <w:widowControl/>
              <w:adjustRightInd w:val="0"/>
              <w:spacing w:line="360" w:lineRule="auto"/>
              <w:jc w:val="center"/>
              <w:rPr>
                <w:rFonts w:ascii="宋体" w:hAnsi="宋体"/>
                <w:bCs/>
                <w:color w:val="000000"/>
                <w:sz w:val="24"/>
                <w:szCs w:val="21"/>
                <w:highlight w:val="none"/>
                <w:lang w:val="zh-CN"/>
              </w:rPr>
            </w:pPr>
          </w:p>
        </w:tc>
      </w:tr>
      <w:tr w14:paraId="4B26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jc w:val="center"/>
        </w:trPr>
        <w:tc>
          <w:tcPr>
            <w:tcW w:w="661" w:type="dxa"/>
            <w:vAlign w:val="center"/>
          </w:tcPr>
          <w:p w14:paraId="58442C23">
            <w:pPr>
              <w:widowControl/>
              <w:adjustRightInd w:val="0"/>
              <w:spacing w:line="360" w:lineRule="auto"/>
              <w:jc w:val="center"/>
              <w:rPr>
                <w:rFonts w:ascii="宋体" w:hAnsi="宋体"/>
                <w:bCs/>
                <w:color w:val="000000"/>
                <w:sz w:val="24"/>
                <w:szCs w:val="21"/>
                <w:highlight w:val="none"/>
                <w:lang w:val="zh-CN"/>
              </w:rPr>
            </w:pPr>
            <w:r>
              <w:rPr>
                <w:rFonts w:hint="eastAsia" w:ascii="宋体" w:hAnsi="宋体"/>
                <w:bCs/>
                <w:color w:val="000000"/>
                <w:sz w:val="24"/>
                <w:szCs w:val="21"/>
                <w:highlight w:val="none"/>
                <w:lang w:val="zh-CN"/>
              </w:rPr>
              <w:t>6</w:t>
            </w:r>
          </w:p>
        </w:tc>
        <w:tc>
          <w:tcPr>
            <w:tcW w:w="2264" w:type="dxa"/>
            <w:vAlign w:val="center"/>
          </w:tcPr>
          <w:p w14:paraId="4A5E27E3">
            <w:pPr>
              <w:widowControl/>
              <w:adjustRightInd w:val="0"/>
              <w:spacing w:line="360" w:lineRule="auto"/>
              <w:jc w:val="center"/>
              <w:rPr>
                <w:rFonts w:ascii="宋体" w:hAnsi="宋体"/>
                <w:bCs/>
                <w:color w:val="000000"/>
                <w:sz w:val="24"/>
                <w:szCs w:val="21"/>
                <w:highlight w:val="none"/>
              </w:rPr>
            </w:pPr>
            <w:r>
              <w:rPr>
                <w:rFonts w:hint="eastAsia" w:ascii="宋体" w:hAnsi="宋体"/>
                <w:bCs/>
                <w:color w:val="000000"/>
                <w:sz w:val="24"/>
                <w:szCs w:val="21"/>
                <w:highlight w:val="none"/>
              </w:rPr>
              <w:t>（行数不够，自行添加）</w:t>
            </w:r>
          </w:p>
        </w:tc>
        <w:tc>
          <w:tcPr>
            <w:tcW w:w="2400" w:type="dxa"/>
            <w:vAlign w:val="center"/>
          </w:tcPr>
          <w:p w14:paraId="192CFBE5">
            <w:pPr>
              <w:widowControl/>
              <w:adjustRightInd w:val="0"/>
              <w:spacing w:line="360" w:lineRule="auto"/>
              <w:jc w:val="center"/>
              <w:rPr>
                <w:rFonts w:ascii="宋体" w:hAnsi="宋体"/>
                <w:bCs/>
                <w:color w:val="000000"/>
                <w:sz w:val="24"/>
                <w:szCs w:val="21"/>
                <w:highlight w:val="none"/>
                <w:lang w:val="zh-CN"/>
              </w:rPr>
            </w:pPr>
          </w:p>
        </w:tc>
        <w:tc>
          <w:tcPr>
            <w:tcW w:w="2029" w:type="dxa"/>
            <w:vAlign w:val="center"/>
          </w:tcPr>
          <w:p w14:paraId="6DC83E28">
            <w:pPr>
              <w:widowControl/>
              <w:adjustRightInd w:val="0"/>
              <w:spacing w:line="360" w:lineRule="auto"/>
              <w:jc w:val="center"/>
              <w:rPr>
                <w:rFonts w:ascii="宋体" w:hAnsi="宋体"/>
                <w:bCs/>
                <w:color w:val="000000"/>
                <w:sz w:val="24"/>
                <w:szCs w:val="21"/>
                <w:highlight w:val="none"/>
                <w:lang w:val="zh-CN"/>
              </w:rPr>
            </w:pPr>
          </w:p>
        </w:tc>
        <w:tc>
          <w:tcPr>
            <w:tcW w:w="978" w:type="dxa"/>
            <w:vAlign w:val="center"/>
          </w:tcPr>
          <w:p w14:paraId="360566B0">
            <w:pPr>
              <w:widowControl/>
              <w:adjustRightInd w:val="0"/>
              <w:spacing w:line="360" w:lineRule="auto"/>
              <w:jc w:val="center"/>
              <w:rPr>
                <w:rFonts w:ascii="宋体" w:hAnsi="宋体"/>
                <w:bCs/>
                <w:color w:val="000000"/>
                <w:sz w:val="24"/>
                <w:szCs w:val="21"/>
                <w:highlight w:val="none"/>
                <w:lang w:val="zh-CN"/>
              </w:rPr>
            </w:pPr>
          </w:p>
        </w:tc>
        <w:tc>
          <w:tcPr>
            <w:tcW w:w="1526" w:type="dxa"/>
            <w:vAlign w:val="center"/>
          </w:tcPr>
          <w:p w14:paraId="084145FB">
            <w:pPr>
              <w:widowControl/>
              <w:adjustRightInd w:val="0"/>
              <w:spacing w:line="360" w:lineRule="auto"/>
              <w:jc w:val="center"/>
              <w:rPr>
                <w:rFonts w:ascii="宋体" w:hAnsi="宋体"/>
                <w:bCs/>
                <w:color w:val="000000"/>
                <w:sz w:val="24"/>
                <w:szCs w:val="21"/>
                <w:highlight w:val="none"/>
                <w:lang w:val="zh-CN"/>
              </w:rPr>
            </w:pPr>
          </w:p>
        </w:tc>
      </w:tr>
    </w:tbl>
    <w:p w14:paraId="1CF2E5BF">
      <w:pPr>
        <w:spacing w:line="360" w:lineRule="auto"/>
        <w:jc w:val="left"/>
        <w:rPr>
          <w:rFonts w:ascii="宋体" w:hAnsi="宋体" w:cs="宋体"/>
          <w:color w:val="000000"/>
          <w:spacing w:val="6"/>
          <w:szCs w:val="21"/>
          <w:highlight w:val="none"/>
          <w:lang w:val="zh-CN"/>
        </w:rPr>
      </w:pPr>
      <w:r>
        <w:rPr>
          <w:rFonts w:hint="eastAsia" w:ascii="宋体" w:hAnsi="宋体" w:cs="宋体"/>
          <w:color w:val="000000"/>
          <w:spacing w:val="6"/>
          <w:szCs w:val="21"/>
          <w:highlight w:val="none"/>
          <w:lang w:val="zh-CN"/>
        </w:rPr>
        <w:t>注：请磋商供应商根据磋商文件第二章第</w:t>
      </w:r>
      <w:r>
        <w:rPr>
          <w:rFonts w:hint="eastAsia" w:ascii="宋体" w:hAnsi="宋体" w:cs="宋体"/>
          <w:color w:val="000000"/>
          <w:spacing w:val="6"/>
          <w:szCs w:val="21"/>
          <w:highlight w:val="none"/>
        </w:rPr>
        <w:t>11</w:t>
      </w:r>
      <w:r>
        <w:rPr>
          <w:rFonts w:hint="eastAsia" w:ascii="宋体" w:hAnsi="宋体" w:cs="宋体"/>
          <w:color w:val="000000"/>
          <w:spacing w:val="6"/>
          <w:szCs w:val="21"/>
          <w:highlight w:val="none"/>
          <w:lang w:val="zh-CN"/>
        </w:rPr>
        <w:t>条要求详列商务条款，并注明在响应文件中予以响应的情况。如果一字不漏照抄磋商文件要求，将作无效磋商处理。</w:t>
      </w:r>
    </w:p>
    <w:p w14:paraId="2D64959F">
      <w:pPr>
        <w:widowControl/>
        <w:adjustRightInd w:val="0"/>
        <w:spacing w:line="360" w:lineRule="auto"/>
        <w:ind w:firstLine="444" w:firstLineChars="200"/>
        <w:jc w:val="left"/>
        <w:rPr>
          <w:rFonts w:ascii="宋体" w:hAnsi="宋体" w:cs="宋体"/>
          <w:color w:val="000000"/>
          <w:spacing w:val="6"/>
          <w:szCs w:val="21"/>
          <w:highlight w:val="none"/>
          <w:lang w:val="zh-CN"/>
        </w:rPr>
      </w:pPr>
      <w:r>
        <w:rPr>
          <w:rFonts w:hint="eastAsia" w:ascii="宋体" w:hAnsi="宋体" w:cs="宋体"/>
          <w:color w:val="000000"/>
          <w:spacing w:val="6"/>
          <w:szCs w:val="21"/>
          <w:highlight w:val="none"/>
          <w:lang w:val="zh-CN"/>
        </w:rPr>
        <w:t>供应商名称：（盖章）</w:t>
      </w:r>
    </w:p>
    <w:p w14:paraId="06CCC850">
      <w:pPr>
        <w:widowControl/>
        <w:adjustRightInd w:val="0"/>
        <w:spacing w:line="360" w:lineRule="auto"/>
        <w:ind w:firstLine="444" w:firstLineChars="200"/>
        <w:jc w:val="left"/>
        <w:rPr>
          <w:rFonts w:ascii="宋体" w:hAnsi="宋体" w:cs="宋体"/>
          <w:color w:val="000000"/>
          <w:szCs w:val="21"/>
          <w:highlight w:val="none"/>
          <w:lang w:val="zh-CN"/>
        </w:rPr>
      </w:pPr>
      <w:r>
        <w:rPr>
          <w:rFonts w:hint="eastAsia" w:ascii="宋体" w:hAnsi="宋体" w:cs="宋体"/>
          <w:color w:val="000000"/>
          <w:spacing w:val="6"/>
          <w:szCs w:val="21"/>
          <w:highlight w:val="none"/>
          <w:lang w:val="zh-CN"/>
        </w:rPr>
        <w:t>法定代表人或授权代表（签字或盖章）：</w:t>
      </w:r>
    </w:p>
    <w:p w14:paraId="792D467A">
      <w:pPr>
        <w:widowControl/>
        <w:adjustRightInd w:val="0"/>
        <w:spacing w:line="360" w:lineRule="auto"/>
        <w:ind w:firstLine="444" w:firstLineChars="200"/>
        <w:jc w:val="left"/>
        <w:rPr>
          <w:rFonts w:ascii="宋体" w:hAnsi="宋体" w:cs="宋体"/>
          <w:color w:val="000000"/>
          <w:spacing w:val="6"/>
          <w:szCs w:val="21"/>
          <w:highlight w:val="none"/>
          <w:lang w:val="zh-CN"/>
        </w:rPr>
      </w:pPr>
      <w:r>
        <w:rPr>
          <w:rFonts w:hint="eastAsia" w:ascii="宋体" w:hAnsi="宋体" w:cs="宋体"/>
          <w:color w:val="000000"/>
          <w:spacing w:val="6"/>
          <w:szCs w:val="21"/>
          <w:highlight w:val="none"/>
          <w:lang w:val="zh-CN"/>
        </w:rPr>
        <w:t>日期：</w:t>
      </w:r>
    </w:p>
    <w:p w14:paraId="58F5B6F9">
      <w:pPr>
        <w:autoSpaceDE w:val="0"/>
        <w:autoSpaceDN w:val="0"/>
        <w:adjustRightInd w:val="0"/>
        <w:spacing w:line="360" w:lineRule="auto"/>
        <w:jc w:val="left"/>
        <w:outlineLvl w:val="1"/>
        <w:rPr>
          <w:rFonts w:ascii="宋体" w:hAnsi="宋体" w:cs="宋体"/>
          <w:b/>
          <w:bCs/>
          <w:color w:val="000000"/>
          <w:szCs w:val="21"/>
          <w:highlight w:val="none"/>
        </w:rPr>
      </w:pPr>
      <w:r>
        <w:rPr>
          <w:rFonts w:hint="eastAsia" w:ascii="宋体" w:hAnsi="宋体" w:cs="宋体"/>
          <w:color w:val="000000"/>
          <w:spacing w:val="6"/>
          <w:szCs w:val="21"/>
          <w:highlight w:val="none"/>
          <w:lang w:val="zh-CN"/>
        </w:rPr>
        <w:t>说明：如果行数不够，请自行增加。</w:t>
      </w:r>
    </w:p>
    <w:p w14:paraId="657943A6">
      <w:pPr>
        <w:autoSpaceDE w:val="0"/>
        <w:autoSpaceDN w:val="0"/>
        <w:adjustRightInd w:val="0"/>
        <w:jc w:val="right"/>
        <w:rPr>
          <w:szCs w:val="21"/>
          <w:highlight w:val="none"/>
          <w:lang w:val="zh-CN"/>
        </w:rPr>
      </w:pPr>
    </w:p>
    <w:p w14:paraId="7825254C">
      <w:pPr>
        <w:autoSpaceDE w:val="0"/>
        <w:autoSpaceDN w:val="0"/>
        <w:adjustRightInd w:val="0"/>
        <w:jc w:val="right"/>
        <w:rPr>
          <w:rFonts w:ascii="宋体" w:hAnsi="宋体" w:cs="宋体"/>
          <w:szCs w:val="21"/>
          <w:highlight w:val="none"/>
          <w:lang w:val="zh-CN"/>
        </w:rPr>
      </w:pPr>
    </w:p>
    <w:p w14:paraId="4414C753">
      <w:pPr>
        <w:autoSpaceDE w:val="0"/>
        <w:autoSpaceDN w:val="0"/>
        <w:adjustRightInd w:val="0"/>
        <w:jc w:val="right"/>
        <w:rPr>
          <w:rFonts w:ascii="宋体" w:hAnsi="宋体" w:cs="宋体"/>
          <w:szCs w:val="21"/>
          <w:highlight w:val="none"/>
          <w:lang w:val="zh-CN"/>
        </w:rPr>
      </w:pPr>
    </w:p>
    <w:p w14:paraId="6C2F9896">
      <w:pPr>
        <w:autoSpaceDE w:val="0"/>
        <w:autoSpaceDN w:val="0"/>
        <w:adjustRightInd w:val="0"/>
        <w:jc w:val="right"/>
        <w:rPr>
          <w:rFonts w:ascii="宋体" w:hAnsi="宋体" w:cs="宋体"/>
          <w:szCs w:val="21"/>
          <w:highlight w:val="none"/>
          <w:lang w:val="zh-CN"/>
        </w:rPr>
      </w:pPr>
    </w:p>
    <w:p w14:paraId="78FD9FBC">
      <w:pPr>
        <w:autoSpaceDE w:val="0"/>
        <w:autoSpaceDN w:val="0"/>
        <w:adjustRightInd w:val="0"/>
        <w:jc w:val="right"/>
        <w:rPr>
          <w:rFonts w:ascii="宋体" w:hAnsi="宋体" w:cs="宋体"/>
          <w:szCs w:val="21"/>
          <w:highlight w:val="none"/>
          <w:lang w:val="zh-CN"/>
        </w:rPr>
      </w:pPr>
    </w:p>
    <w:p w14:paraId="34E5E935">
      <w:pPr>
        <w:autoSpaceDE w:val="0"/>
        <w:autoSpaceDN w:val="0"/>
        <w:adjustRightInd w:val="0"/>
        <w:jc w:val="right"/>
        <w:rPr>
          <w:rFonts w:ascii="宋体" w:hAnsi="宋体" w:cs="宋体"/>
          <w:szCs w:val="21"/>
          <w:highlight w:val="none"/>
          <w:lang w:val="zh-CN"/>
        </w:rPr>
      </w:pPr>
    </w:p>
    <w:p w14:paraId="73305E1B">
      <w:pPr>
        <w:autoSpaceDE w:val="0"/>
        <w:autoSpaceDN w:val="0"/>
        <w:adjustRightInd w:val="0"/>
        <w:jc w:val="right"/>
        <w:rPr>
          <w:rFonts w:ascii="宋体" w:hAnsi="宋体" w:cs="宋体"/>
          <w:szCs w:val="21"/>
          <w:highlight w:val="none"/>
          <w:lang w:val="zh-CN"/>
        </w:rPr>
      </w:pPr>
    </w:p>
    <w:p w14:paraId="2197396E">
      <w:pPr>
        <w:autoSpaceDE w:val="0"/>
        <w:autoSpaceDN w:val="0"/>
        <w:adjustRightInd w:val="0"/>
        <w:jc w:val="right"/>
        <w:rPr>
          <w:rFonts w:ascii="宋体" w:hAnsi="宋体" w:cs="宋体"/>
          <w:szCs w:val="21"/>
          <w:highlight w:val="none"/>
          <w:lang w:val="zh-CN"/>
        </w:rPr>
      </w:pPr>
    </w:p>
    <w:p w14:paraId="4183021C">
      <w:pPr>
        <w:autoSpaceDE w:val="0"/>
        <w:autoSpaceDN w:val="0"/>
        <w:adjustRightInd w:val="0"/>
        <w:jc w:val="right"/>
        <w:rPr>
          <w:rFonts w:ascii="宋体" w:hAnsi="宋体" w:cs="宋体"/>
          <w:szCs w:val="21"/>
          <w:highlight w:val="none"/>
          <w:lang w:val="zh-CN"/>
        </w:rPr>
      </w:pPr>
    </w:p>
    <w:p w14:paraId="59F4BB25">
      <w:pPr>
        <w:autoSpaceDE w:val="0"/>
        <w:autoSpaceDN w:val="0"/>
        <w:adjustRightInd w:val="0"/>
        <w:jc w:val="right"/>
        <w:rPr>
          <w:rFonts w:ascii="宋体" w:hAnsi="宋体" w:cs="宋体"/>
          <w:szCs w:val="21"/>
          <w:highlight w:val="none"/>
          <w:lang w:val="zh-CN"/>
        </w:rPr>
      </w:pPr>
    </w:p>
    <w:p w14:paraId="1CBC6584">
      <w:pPr>
        <w:autoSpaceDE w:val="0"/>
        <w:autoSpaceDN w:val="0"/>
        <w:adjustRightInd w:val="0"/>
        <w:jc w:val="right"/>
        <w:rPr>
          <w:rFonts w:ascii="宋体" w:hAnsi="宋体" w:cs="宋体"/>
          <w:szCs w:val="21"/>
          <w:highlight w:val="none"/>
          <w:lang w:val="zh-CN"/>
        </w:rPr>
      </w:pPr>
    </w:p>
    <w:p w14:paraId="559B2FA5">
      <w:pPr>
        <w:autoSpaceDE w:val="0"/>
        <w:autoSpaceDN w:val="0"/>
        <w:adjustRightInd w:val="0"/>
        <w:jc w:val="right"/>
        <w:rPr>
          <w:rFonts w:ascii="宋体" w:hAnsi="宋体" w:cs="宋体"/>
          <w:szCs w:val="21"/>
          <w:highlight w:val="none"/>
          <w:lang w:val="zh-CN"/>
        </w:rPr>
      </w:pPr>
    </w:p>
    <w:p w14:paraId="3D7FAB5A">
      <w:pPr>
        <w:widowControl/>
        <w:adjustRightInd w:val="0"/>
        <w:spacing w:line="360" w:lineRule="auto"/>
        <w:jc w:val="left"/>
        <w:outlineLvl w:val="1"/>
        <w:rPr>
          <w:rFonts w:ascii="宋体" w:hAnsi="宋体" w:cs="宋体"/>
          <w:b/>
          <w:sz w:val="30"/>
          <w:szCs w:val="30"/>
          <w:highlight w:val="none"/>
          <w:lang w:val="zh-CN"/>
        </w:rPr>
      </w:pPr>
      <w:bookmarkStart w:id="287" w:name="_Toc12407"/>
      <w:bookmarkStart w:id="288" w:name="_Toc27059"/>
      <w:bookmarkStart w:id="289" w:name="_Toc15576"/>
      <w:bookmarkStart w:id="290" w:name="_Toc5074"/>
      <w:bookmarkStart w:id="291" w:name="_Toc20557"/>
      <w:r>
        <w:rPr>
          <w:rFonts w:hint="eastAsia" w:ascii="宋体" w:hAnsi="宋体" w:cs="宋体"/>
          <w:b/>
          <w:sz w:val="30"/>
          <w:szCs w:val="30"/>
          <w:highlight w:val="none"/>
          <w:lang w:val="zh-CN"/>
        </w:rPr>
        <w:t>十</w:t>
      </w:r>
      <w:bookmarkEnd w:id="287"/>
      <w:bookmarkEnd w:id="288"/>
      <w:bookmarkEnd w:id="289"/>
      <w:bookmarkEnd w:id="290"/>
      <w:bookmarkEnd w:id="291"/>
      <w:r>
        <w:rPr>
          <w:rFonts w:hint="eastAsia" w:ascii="宋体" w:hAnsi="宋体" w:cs="宋体"/>
          <w:b/>
          <w:sz w:val="30"/>
          <w:szCs w:val="30"/>
          <w:highlight w:val="none"/>
        </w:rPr>
        <w:t>四、</w:t>
      </w:r>
      <w:r>
        <w:rPr>
          <w:rFonts w:hint="eastAsia" w:ascii="宋体" w:hAnsi="宋体" w:cs="宋体"/>
          <w:b/>
          <w:sz w:val="30"/>
          <w:szCs w:val="30"/>
          <w:highlight w:val="none"/>
          <w:lang w:val="zh-CN"/>
        </w:rPr>
        <w:t>南京市政府采购供应商信用记录表暨信用承诺书</w:t>
      </w:r>
    </w:p>
    <w:p w14:paraId="556C02EF">
      <w:pPr>
        <w:pStyle w:val="14"/>
        <w:spacing w:line="380" w:lineRule="exact"/>
        <w:rPr>
          <w:rFonts w:hint="eastAsia" w:hAnsi="宋体" w:cs="宋体"/>
          <w:b/>
          <w:bCs/>
          <w:kern w:val="0"/>
          <w:sz w:val="24"/>
          <w:szCs w:val="30"/>
        </w:rPr>
      </w:pPr>
      <w:r>
        <w:rPr>
          <w:rFonts w:hint="eastAsia" w:ascii="宋体" w:hAnsi="宋体" w:eastAsia="宋体" w:cs="宋体"/>
          <w:b/>
          <w:sz w:val="30"/>
          <w:szCs w:val="30"/>
          <w:highlight w:val="none"/>
          <w:lang w:val="en-US" w:eastAsia="zh-CN"/>
        </w:rPr>
        <w:t>十五、</w:t>
      </w:r>
      <w:r>
        <w:rPr>
          <w:rFonts w:hint="eastAsia" w:ascii="宋体" w:hAnsi="宋体" w:eastAsia="宋体" w:cs="宋体"/>
          <w:b/>
          <w:kern w:val="2"/>
          <w:sz w:val="30"/>
          <w:szCs w:val="30"/>
          <w:highlight w:val="none"/>
          <w:lang w:val="zh-CN" w:eastAsia="zh-CN" w:bidi="ar-SA"/>
        </w:rPr>
        <w:t>联合体协议书格式</w:t>
      </w:r>
    </w:p>
    <w:p w14:paraId="2BB975C0">
      <w:pPr>
        <w:spacing w:line="411" w:lineRule="exact"/>
        <w:ind w:right="6"/>
        <w:jc w:val="center"/>
        <w:rPr>
          <w:rFonts w:hint="eastAsia" w:ascii="宋体" w:hAnsi="宋体" w:cs="宋体"/>
          <w:b/>
          <w:bCs/>
          <w:sz w:val="36"/>
          <w:szCs w:val="36"/>
        </w:rPr>
      </w:pPr>
    </w:p>
    <w:p w14:paraId="04E701F3">
      <w:pPr>
        <w:spacing w:line="411" w:lineRule="exact"/>
        <w:ind w:right="6"/>
        <w:jc w:val="center"/>
        <w:rPr>
          <w:rFonts w:hint="eastAsia" w:ascii="宋体" w:hAnsi="宋体" w:cs="宋体"/>
          <w:sz w:val="20"/>
        </w:rPr>
      </w:pPr>
      <w:r>
        <w:rPr>
          <w:rFonts w:hint="eastAsia" w:ascii="宋体" w:hAnsi="宋体" w:cs="宋体"/>
          <w:b/>
          <w:bCs/>
          <w:sz w:val="36"/>
          <w:szCs w:val="36"/>
        </w:rPr>
        <w:t>联合体协议书</w:t>
      </w:r>
    </w:p>
    <w:p w14:paraId="2D42676C">
      <w:pPr>
        <w:spacing w:line="264" w:lineRule="exact"/>
        <w:rPr>
          <w:rFonts w:hint="eastAsia" w:ascii="宋体" w:hAnsi="宋体" w:cs="宋体"/>
          <w:sz w:val="24"/>
          <w:szCs w:val="24"/>
        </w:rPr>
      </w:pPr>
    </w:p>
    <w:p w14:paraId="67867126">
      <w:pPr>
        <w:tabs>
          <w:tab w:val="left" w:pos="5240"/>
        </w:tabs>
        <w:spacing w:line="240" w:lineRule="exact"/>
        <w:ind w:left="360"/>
        <w:rPr>
          <w:rFonts w:hint="eastAsia" w:ascii="宋体" w:hAnsi="宋体" w:cs="宋体"/>
          <w:kern w:val="0"/>
          <w:szCs w:val="21"/>
          <w:lang w:val="zh-CN"/>
        </w:rPr>
      </w:pPr>
      <w:r>
        <w:rPr>
          <w:rFonts w:hint="eastAsia" w:ascii="宋体" w:hAnsi="宋体" w:cs="宋体"/>
          <w:kern w:val="0"/>
          <w:szCs w:val="21"/>
          <w:lang w:val="zh-CN"/>
        </w:rPr>
        <w:t>（甲公司名称）</w:t>
      </w:r>
      <w:r>
        <w:rPr>
          <w:rFonts w:hint="eastAsia" w:ascii="宋体" w:hAnsi="宋体" w:cs="宋体"/>
          <w:kern w:val="0"/>
          <w:szCs w:val="21"/>
          <w:lang w:val="zh-CN"/>
        </w:rPr>
        <w:tab/>
      </w:r>
      <w:r>
        <w:rPr>
          <w:rFonts w:hint="eastAsia" w:ascii="宋体" w:hAnsi="宋体" w:cs="宋体"/>
          <w:kern w:val="0"/>
          <w:szCs w:val="21"/>
          <w:lang w:val="zh-CN"/>
        </w:rPr>
        <w:t>法定人：</w:t>
      </w:r>
    </w:p>
    <w:p w14:paraId="2BAFB39F">
      <w:pPr>
        <w:spacing w:line="240" w:lineRule="exact"/>
        <w:rPr>
          <w:rFonts w:hint="eastAsia" w:ascii="宋体" w:hAnsi="宋体" w:cs="宋体"/>
          <w:kern w:val="0"/>
          <w:szCs w:val="21"/>
          <w:lang w:val="zh-CN"/>
        </w:rPr>
      </w:pPr>
      <w:r>
        <w:rPr>
          <w:rFonts w:hint="eastAsia" w:ascii="宋体" w:hAnsi="宋体" w:cs="宋体"/>
        </w:rPr>
        <mc:AlternateContent>
          <mc:Choice Requires="wps">
            <w:drawing>
              <wp:anchor distT="0" distB="0" distL="0" distR="0" simplePos="0" relativeHeight="251659264" behindDoc="0" locked="0" layoutInCell="0" allowOverlap="1">
                <wp:simplePos x="0" y="0"/>
                <wp:positionH relativeFrom="column">
                  <wp:posOffset>1475105</wp:posOffset>
                </wp:positionH>
                <wp:positionV relativeFrom="paragraph">
                  <wp:posOffset>0</wp:posOffset>
                </wp:positionV>
                <wp:extent cx="1597660" cy="0"/>
                <wp:effectExtent l="0" t="5080" r="0" b="4445"/>
                <wp:wrapNone/>
                <wp:docPr id="1" name="Shape 1"/>
                <wp:cNvGraphicFramePr/>
                <a:graphic xmlns:a="http://schemas.openxmlformats.org/drawingml/2006/main">
                  <a:graphicData uri="http://schemas.microsoft.com/office/word/2010/wordprocessingShape">
                    <wps:wsp>
                      <wps:cNvCnPr/>
                      <wps:spPr>
                        <a:xfrm>
                          <a:off x="0" y="0"/>
                          <a:ext cx="159766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Shape 1" o:spid="_x0000_s1026" o:spt="20" style="position:absolute;left:0pt;margin-left:116.15pt;margin-top:0pt;height:0pt;width:125.8pt;z-index:251659264;mso-width-relative:page;mso-height-relative:page;" filled="f" stroked="t" coordsize="21600,21600" o:allowincell="f" o:gfxdata="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tsRLt0wAAAAUBAAAPAAAAAAAAAAEAIAAAACIAAABk&#10;cnMvZG93bnJldi54bWxQSwECFAAUAAAACACHTuJAjqmQgdIBAADOAwAADgAAAAAAAAABACAAAAAi&#10;AQAAZHJzL2Uyb0RvYy54bWxQSwUGAAAAAAYABgBZAQAAZgUAAAAA&#10;">
                <v:fill on="f" focussize="0,0"/>
                <v:stroke weight="0.72pt" color="#000000" joinstyle="round"/>
                <v:imagedata o:title=""/>
                <o:lock v:ext="edit" aspectratio="f"/>
              </v:line>
            </w:pict>
          </mc:Fallback>
        </mc:AlternateContent>
      </w:r>
    </w:p>
    <w:p w14:paraId="0E8A950F">
      <w:pPr>
        <w:tabs>
          <w:tab w:val="left" w:pos="5240"/>
        </w:tabs>
        <w:spacing w:line="240" w:lineRule="exact"/>
        <w:ind w:left="360"/>
        <w:rPr>
          <w:rFonts w:hint="eastAsia" w:ascii="宋体" w:hAnsi="宋体" w:cs="宋体"/>
          <w:kern w:val="0"/>
          <w:szCs w:val="21"/>
          <w:lang w:val="zh-CN"/>
        </w:rPr>
      </w:pPr>
      <w:r>
        <w:rPr>
          <w:rFonts w:hint="eastAsia" w:ascii="宋体" w:hAnsi="宋体" w:cs="宋体"/>
          <w:kern w:val="0"/>
          <w:szCs w:val="21"/>
          <w:lang w:val="zh-CN"/>
        </w:rPr>
        <w:t>（乙公司名称）</w:t>
      </w:r>
      <w:r>
        <w:rPr>
          <w:rFonts w:hint="eastAsia" w:ascii="宋体" w:hAnsi="宋体" w:cs="宋体"/>
          <w:kern w:val="0"/>
          <w:szCs w:val="21"/>
          <w:lang w:val="zh-CN"/>
        </w:rPr>
        <w:tab/>
      </w:r>
      <w:r>
        <w:rPr>
          <w:rFonts w:hint="eastAsia" w:ascii="宋体" w:hAnsi="宋体" w:cs="宋体"/>
          <w:kern w:val="0"/>
          <w:szCs w:val="21"/>
          <w:lang w:val="zh-CN"/>
        </w:rPr>
        <w:t>法定人：</w:t>
      </w:r>
    </w:p>
    <w:p w14:paraId="7585200F">
      <w:pPr>
        <w:spacing w:line="240" w:lineRule="exact"/>
        <w:rPr>
          <w:rFonts w:hint="eastAsia" w:ascii="宋体" w:hAnsi="宋体" w:cs="宋体"/>
          <w:kern w:val="0"/>
          <w:szCs w:val="21"/>
          <w:lang w:val="zh-CN"/>
        </w:rPr>
      </w:pPr>
      <w:r>
        <w:rPr>
          <w:rFonts w:hint="eastAsia" w:ascii="宋体" w:hAnsi="宋体" w:cs="宋体"/>
        </w:rPr>
        <mc:AlternateContent>
          <mc:Choice Requires="wps">
            <w:drawing>
              <wp:anchor distT="0" distB="0" distL="0" distR="0" simplePos="0" relativeHeight="251660288" behindDoc="0" locked="0" layoutInCell="0" allowOverlap="1">
                <wp:simplePos x="0" y="0"/>
                <wp:positionH relativeFrom="column">
                  <wp:posOffset>1475105</wp:posOffset>
                </wp:positionH>
                <wp:positionV relativeFrom="paragraph">
                  <wp:posOffset>0</wp:posOffset>
                </wp:positionV>
                <wp:extent cx="1597660" cy="0"/>
                <wp:effectExtent l="0" t="5080" r="0" b="4445"/>
                <wp:wrapNone/>
                <wp:docPr id="2" name="Shape 2"/>
                <wp:cNvGraphicFramePr/>
                <a:graphic xmlns:a="http://schemas.openxmlformats.org/drawingml/2006/main">
                  <a:graphicData uri="http://schemas.microsoft.com/office/word/2010/wordprocessingShape">
                    <wps:wsp>
                      <wps:cNvCnPr/>
                      <wps:spPr>
                        <a:xfrm>
                          <a:off x="0" y="0"/>
                          <a:ext cx="159766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Shape 2" o:spid="_x0000_s1026" o:spt="20" style="position:absolute;left:0pt;margin-left:116.15pt;margin-top:0pt;height:0pt;width:125.8pt;z-index:251660288;mso-width-relative:page;mso-height-relative:page;" filled="f" stroked="t" coordsize="21600,21600" o:allowincell="f" o:gfxdata="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&#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tsRLt0wAAAAUBAAAPAAAAAAAAAAEAIAAAACIAAABk&#10;cnMvZG93bnJldi54bWxQSwECFAAUAAAACACHTuJAMqaYQdIBAADOAwAADgAAAAAAAAABACAAAAAi&#10;AQAAZHJzL2Uyb0RvYy54bWxQSwUGAAAAAAYABgBZAQAAZgUAAAAA&#10;">
                <v:fill on="f" focussize="0,0"/>
                <v:stroke weight="0.72pt" color="#000000" joinstyle="round"/>
                <v:imagedata o:title=""/>
                <o:lock v:ext="edit" aspectratio="f"/>
              </v:line>
            </w:pict>
          </mc:Fallback>
        </mc:AlternateContent>
      </w:r>
    </w:p>
    <w:p w14:paraId="0F2BE7D2">
      <w:pPr>
        <w:tabs>
          <w:tab w:val="left" w:pos="7240"/>
        </w:tabs>
        <w:spacing w:line="240" w:lineRule="exact"/>
        <w:ind w:left="360" w:firstLine="420" w:firstLineChars="200"/>
        <w:rPr>
          <w:rFonts w:hint="eastAsia" w:ascii="宋体" w:hAnsi="宋体" w:cs="宋体"/>
          <w:kern w:val="0"/>
          <w:szCs w:val="21"/>
          <w:lang w:val="zh-CN"/>
        </w:rPr>
      </w:pPr>
      <w:r>
        <w:rPr>
          <w:rFonts w:hint="eastAsia" w:ascii="宋体" w:hAnsi="宋体" w:cs="宋体"/>
          <w:kern w:val="0"/>
          <w:szCs w:val="21"/>
          <w:lang w:val="zh-CN"/>
        </w:rPr>
        <w:t>自愿组成联合体，参加</w:t>
      </w:r>
      <w:r>
        <w:rPr>
          <w:rFonts w:hint="eastAsia" w:ascii="宋体" w:hAnsi="宋体" w:cs="宋体"/>
          <w:kern w:val="0"/>
          <w:szCs w:val="21"/>
          <w:lang w:val="zh-CN"/>
        </w:rPr>
        <w:tab/>
      </w:r>
      <w:r>
        <w:rPr>
          <w:rFonts w:hint="eastAsia" w:ascii="宋体" w:hAnsi="宋体" w:cs="宋体"/>
          <w:kern w:val="0"/>
          <w:szCs w:val="21"/>
          <w:lang w:val="zh-CN"/>
        </w:rPr>
        <w:t>项目投标。</w:t>
      </w:r>
    </w:p>
    <w:p w14:paraId="22692D3F">
      <w:pPr>
        <w:spacing w:line="240" w:lineRule="exact"/>
        <w:rPr>
          <w:rFonts w:hint="eastAsia" w:ascii="宋体" w:hAnsi="宋体" w:cs="宋体"/>
          <w:kern w:val="0"/>
          <w:szCs w:val="21"/>
          <w:lang w:val="zh-CN"/>
        </w:rPr>
      </w:pPr>
      <w:r>
        <w:rPr>
          <w:rFonts w:hint="eastAsia" w:ascii="宋体" w:hAnsi="宋体" w:cs="宋体"/>
        </w:rPr>
        <mc:AlternateContent>
          <mc:Choice Requires="wps">
            <w:drawing>
              <wp:anchor distT="0" distB="0" distL="0" distR="0" simplePos="0" relativeHeight="251660288" behindDoc="0" locked="0" layoutInCell="0" allowOverlap="1">
                <wp:simplePos x="0" y="0"/>
                <wp:positionH relativeFrom="column">
                  <wp:posOffset>2013585</wp:posOffset>
                </wp:positionH>
                <wp:positionV relativeFrom="paragraph">
                  <wp:posOffset>0</wp:posOffset>
                </wp:positionV>
                <wp:extent cx="2598420" cy="0"/>
                <wp:effectExtent l="0" t="4445" r="0" b="5080"/>
                <wp:wrapNone/>
                <wp:docPr id="3" name="Shape 3"/>
                <wp:cNvGraphicFramePr/>
                <a:graphic xmlns:a="http://schemas.openxmlformats.org/drawingml/2006/main">
                  <a:graphicData uri="http://schemas.microsoft.com/office/word/2010/wordprocessingShape">
                    <wps:wsp>
                      <wps:cNvCnPr/>
                      <wps:spPr>
                        <a:xfrm>
                          <a:off x="0" y="0"/>
                          <a:ext cx="2598420" cy="0"/>
                        </a:xfrm>
                        <a:prstGeom prst="line">
                          <a:avLst/>
                        </a:prstGeom>
                        <a:ln w="9143" cap="flat" cmpd="sng">
                          <a:solidFill>
                            <a:srgbClr val="000000"/>
                          </a:solidFill>
                          <a:prstDash val="solid"/>
                          <a:headEnd type="none" w="med" len="med"/>
                          <a:tailEnd type="none" w="med" len="med"/>
                        </a:ln>
                      </wps:spPr>
                      <wps:bodyPr/>
                    </wps:wsp>
                  </a:graphicData>
                </a:graphic>
              </wp:anchor>
            </w:drawing>
          </mc:Choice>
          <mc:Fallback>
            <w:pict>
              <v:line id="Shape 3" o:spid="_x0000_s1026" o:spt="20" style="position:absolute;left:0pt;margin-left:158.55pt;margin-top:0pt;height:0pt;width:204.6pt;z-index:251660288;mso-width-relative:page;mso-height-relative:page;" filled="f" stroked="t" coordsize="21600,21600" o:allowincell="f" o:gfxdata="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I2W9ZzVAAAABQEAAA8AAAAAAAAAAQAgAAAAIgAA&#10;AGRycy9kb3ducmV2LnhtbFBLAQIUABQAAAAIAIdO4kBMMiM+0gEAAM4DAAAOAAAAAAAAAAEAIAAA&#10;ACQBAABkcnMvZTJvRG9jLnhtbFBLBQYAAAAABgAGAFkBAABoBQAAAAA=&#10;">
                <v:fill on="f" focussize="0,0"/>
                <v:stroke weight="0.71992125984252pt" color="#000000" joinstyle="round"/>
                <v:imagedata o:title=""/>
                <o:lock v:ext="edit" aspectratio="f"/>
              </v:line>
            </w:pict>
          </mc:Fallback>
        </mc:AlternateContent>
      </w:r>
    </w:p>
    <w:p w14:paraId="37F98814">
      <w:pPr>
        <w:spacing w:line="240" w:lineRule="exact"/>
        <w:ind w:left="360"/>
        <w:rPr>
          <w:rFonts w:hint="eastAsia" w:ascii="宋体" w:hAnsi="宋体" w:cs="宋体"/>
          <w:kern w:val="0"/>
          <w:szCs w:val="21"/>
          <w:lang w:val="zh-CN"/>
        </w:rPr>
      </w:pPr>
      <w:r>
        <w:rPr>
          <w:rFonts w:hint="eastAsia" w:ascii="宋体" w:hAnsi="宋体" w:cs="宋体"/>
          <w:kern w:val="0"/>
          <w:szCs w:val="21"/>
          <w:lang w:val="zh-CN"/>
        </w:rPr>
        <w:t>现就有关事宜订立协议如下：</w:t>
      </w:r>
    </w:p>
    <w:p w14:paraId="7AE637F6">
      <w:pPr>
        <w:spacing w:line="240" w:lineRule="exact"/>
        <w:rPr>
          <w:rFonts w:hint="eastAsia" w:ascii="宋体" w:hAnsi="宋体" w:cs="宋体"/>
          <w:kern w:val="0"/>
          <w:szCs w:val="21"/>
          <w:lang w:val="zh-CN"/>
        </w:rPr>
      </w:pPr>
    </w:p>
    <w:p w14:paraId="6CFDCA41">
      <w:pPr>
        <w:spacing w:line="360" w:lineRule="auto"/>
        <w:ind w:firstLine="420" w:firstLineChars="200"/>
        <w:rPr>
          <w:rFonts w:hint="eastAsia" w:ascii="宋体" w:hAnsi="宋体" w:cs="宋体"/>
          <w:kern w:val="0"/>
          <w:szCs w:val="21"/>
          <w:lang w:val="zh-CN"/>
        </w:rPr>
      </w:pPr>
      <w:r>
        <w:rPr>
          <w:rFonts w:hint="eastAsia" w:ascii="宋体" w:hAnsi="宋体" w:cs="宋体"/>
          <w:kern w:val="0"/>
          <w:szCs w:val="21"/>
          <w:lang w:val="zh-CN"/>
        </w:rPr>
        <w:t>1、</w:t>
      </w:r>
      <w:r>
        <w:rPr>
          <w:rFonts w:hint="eastAsia" w:ascii="宋体" w:hAnsi="宋体" w:cs="宋体"/>
          <w:kern w:val="0"/>
          <w:szCs w:val="21"/>
          <w:u w:val="single"/>
          <w:lang w:val="zh-CN"/>
        </w:rPr>
        <w:t xml:space="preserve">   甲公司名称）  </w:t>
      </w:r>
      <w:r>
        <w:rPr>
          <w:rFonts w:hint="eastAsia" w:ascii="宋体" w:hAnsi="宋体" w:cs="宋体"/>
          <w:kern w:val="0"/>
          <w:szCs w:val="21"/>
          <w:lang w:val="zh-CN"/>
        </w:rPr>
        <w:t xml:space="preserve">为联合体牵头方， </w:t>
      </w:r>
      <w:r>
        <w:rPr>
          <w:rFonts w:hint="eastAsia" w:ascii="宋体" w:hAnsi="宋体" w:cs="宋体"/>
          <w:kern w:val="0"/>
          <w:szCs w:val="21"/>
          <w:u w:val="single"/>
          <w:lang w:val="zh-CN"/>
        </w:rPr>
        <w:t xml:space="preserve">  （乙公司名称）  </w:t>
      </w:r>
      <w:r>
        <w:rPr>
          <w:rFonts w:hint="eastAsia" w:ascii="宋体" w:hAnsi="宋体" w:cs="宋体"/>
          <w:kern w:val="0"/>
          <w:szCs w:val="21"/>
          <w:lang w:val="zh-CN"/>
        </w:rPr>
        <w:t>为联合体成员；</w:t>
      </w:r>
    </w:p>
    <w:p w14:paraId="5F452369">
      <w:pPr>
        <w:spacing w:line="360" w:lineRule="auto"/>
        <w:ind w:firstLine="422" w:firstLineChars="200"/>
        <w:rPr>
          <w:rFonts w:hint="eastAsia" w:ascii="宋体" w:hAnsi="宋体" w:cs="宋体"/>
          <w:b/>
          <w:kern w:val="0"/>
          <w:szCs w:val="21"/>
          <w:lang w:val="zh-CN"/>
        </w:rPr>
      </w:pPr>
      <w:r>
        <w:rPr>
          <w:rFonts w:hint="eastAsia" w:ascii="宋体" w:hAnsi="宋体" w:cs="宋体"/>
          <w:b/>
          <w:kern w:val="0"/>
          <w:szCs w:val="21"/>
          <w:lang w:val="zh-CN"/>
        </w:rPr>
        <w:t xml:space="preserve">联合体牵头方：小微型企业 </w:t>
      </w:r>
      <w:r>
        <w:rPr>
          <w:rFonts w:hint="eastAsia" w:ascii="宋体" w:hAnsi="宋体" w:cs="宋体"/>
          <w:b/>
          <w:kern w:val="0"/>
          <w:szCs w:val="21"/>
          <w:u w:val="single"/>
          <w:lang w:val="zh-CN"/>
        </w:rPr>
        <w:t xml:space="preserve">      </w:t>
      </w:r>
      <w:r>
        <w:rPr>
          <w:rFonts w:hint="eastAsia" w:ascii="宋体" w:hAnsi="宋体" w:cs="宋体"/>
          <w:b/>
          <w:kern w:val="0"/>
          <w:szCs w:val="21"/>
          <w:lang w:val="zh-CN"/>
        </w:rPr>
        <w:t>（是/否，如是须提供中小企业声明函）;</w:t>
      </w:r>
    </w:p>
    <w:p w14:paraId="7A6C6076">
      <w:pPr>
        <w:spacing w:line="360" w:lineRule="auto"/>
        <w:ind w:firstLine="422" w:firstLineChars="200"/>
        <w:rPr>
          <w:rFonts w:hint="eastAsia" w:ascii="宋体" w:hAnsi="宋体" w:cs="宋体"/>
          <w:kern w:val="0"/>
          <w:szCs w:val="21"/>
          <w:lang w:val="zh-CN"/>
        </w:rPr>
      </w:pPr>
      <w:r>
        <w:rPr>
          <w:rFonts w:hint="eastAsia" w:ascii="宋体" w:hAnsi="宋体" w:cs="宋体"/>
          <w:b/>
          <w:kern w:val="0"/>
          <w:szCs w:val="21"/>
          <w:lang w:val="zh-CN"/>
        </w:rPr>
        <w:t xml:space="preserve">联合体成员：小微型企业 </w:t>
      </w:r>
      <w:r>
        <w:rPr>
          <w:rFonts w:hint="eastAsia" w:ascii="宋体" w:hAnsi="宋体" w:cs="宋体"/>
          <w:b/>
          <w:kern w:val="0"/>
          <w:szCs w:val="21"/>
          <w:u w:val="single"/>
          <w:lang w:val="zh-CN"/>
        </w:rPr>
        <w:t xml:space="preserve">      </w:t>
      </w:r>
      <w:r>
        <w:rPr>
          <w:rFonts w:hint="eastAsia" w:ascii="宋体" w:hAnsi="宋体" w:cs="宋体"/>
          <w:b/>
          <w:kern w:val="0"/>
          <w:szCs w:val="21"/>
          <w:lang w:val="zh-CN"/>
        </w:rPr>
        <w:t>（是/否，如是须提供中小企业声明函）。</w:t>
      </w:r>
    </w:p>
    <w:p w14:paraId="2ABD8F98">
      <w:pPr>
        <w:spacing w:line="360" w:lineRule="auto"/>
        <w:ind w:firstLine="420" w:firstLineChars="200"/>
        <w:rPr>
          <w:rFonts w:hint="eastAsia" w:ascii="宋体" w:hAnsi="宋体" w:cs="宋体"/>
          <w:kern w:val="0"/>
          <w:szCs w:val="21"/>
          <w:lang w:val="zh-CN"/>
        </w:rPr>
      </w:pPr>
      <w:r>
        <w:rPr>
          <w:rFonts w:hint="eastAsia" w:ascii="宋体" w:hAnsi="宋体" w:cs="宋体"/>
          <w:kern w:val="0"/>
          <w:szCs w:val="21"/>
          <w:lang w:val="zh-CN"/>
        </w:rPr>
        <w:t>2、双方均有义务提供足够的资料，以满足采购人对投标资格的要求。</w:t>
      </w:r>
    </w:p>
    <w:p w14:paraId="453A9675">
      <w:pPr>
        <w:spacing w:line="360" w:lineRule="auto"/>
        <w:ind w:right="-13" w:firstLine="420" w:firstLineChars="200"/>
        <w:rPr>
          <w:rFonts w:hint="eastAsia" w:ascii="宋体" w:hAnsi="宋体" w:cs="宋体"/>
          <w:kern w:val="0"/>
          <w:szCs w:val="21"/>
          <w:lang w:val="zh-CN"/>
        </w:rPr>
      </w:pPr>
      <w:r>
        <w:rPr>
          <w:rFonts w:hint="eastAsia" w:ascii="宋体" w:hAnsi="宋体" w:cs="宋体"/>
          <w:kern w:val="0"/>
          <w:szCs w:val="21"/>
          <w:lang w:val="zh-CN"/>
        </w:rPr>
        <w:t>3、联合体的投标文件、采购人的招标文件、联合体与采购人签订的合同均对双方具有约束力。</w:t>
      </w:r>
    </w:p>
    <w:p w14:paraId="73AAD0FB">
      <w:pPr>
        <w:spacing w:line="360" w:lineRule="auto"/>
        <w:ind w:right="-13" w:firstLine="420" w:firstLineChars="200"/>
        <w:rPr>
          <w:rFonts w:hint="eastAsia" w:ascii="宋体" w:hAnsi="宋体" w:cs="宋体"/>
          <w:kern w:val="0"/>
          <w:szCs w:val="21"/>
          <w:lang w:val="zh-CN"/>
        </w:rPr>
      </w:pPr>
      <w:r>
        <w:rPr>
          <w:rFonts w:hint="eastAsia" w:ascii="宋体" w:hAnsi="宋体" w:cs="宋体"/>
          <w:kern w:val="0"/>
          <w:szCs w:val="21"/>
          <w:lang w:val="zh-CN"/>
        </w:rPr>
        <w:t>4、因联合体的一方或双方没有履行自己的义务，造成联合体在履行与采购人的合同时违约或联合体与采购人的合同无法继续履行时，直接责任方应承担相关责任。</w:t>
      </w:r>
    </w:p>
    <w:p w14:paraId="7B201C26">
      <w:pPr>
        <w:spacing w:line="360" w:lineRule="auto"/>
        <w:ind w:firstLine="420" w:firstLineChars="200"/>
        <w:rPr>
          <w:rFonts w:hint="eastAsia" w:ascii="宋体" w:hAnsi="宋体" w:cs="宋体"/>
          <w:kern w:val="0"/>
          <w:szCs w:val="21"/>
          <w:lang w:val="zh-CN"/>
        </w:rPr>
      </w:pPr>
      <w:r>
        <w:rPr>
          <w:rFonts w:hint="eastAsia" w:ascii="宋体" w:hAnsi="宋体" w:cs="宋体"/>
          <w:kern w:val="0"/>
          <w:szCs w:val="21"/>
          <w:lang w:val="zh-CN"/>
        </w:rPr>
        <w:t>5、联合体内部有关事项规定如下：</w:t>
      </w:r>
    </w:p>
    <w:p w14:paraId="19E4DE76">
      <w:pPr>
        <w:spacing w:line="360" w:lineRule="auto"/>
        <w:ind w:firstLine="420" w:firstLineChars="200"/>
        <w:rPr>
          <w:rFonts w:hint="eastAsia" w:ascii="宋体" w:hAnsi="宋体" w:cs="宋体"/>
          <w:kern w:val="0"/>
          <w:szCs w:val="21"/>
          <w:lang w:val="zh-CN"/>
        </w:rPr>
      </w:pPr>
      <w:r>
        <w:rPr>
          <w:rFonts w:hint="eastAsia" w:ascii="宋体" w:hAnsi="宋体" w:cs="宋体"/>
          <w:kern w:val="0"/>
          <w:szCs w:val="21"/>
          <w:lang w:val="zh-CN"/>
        </w:rPr>
        <w:t>（1）联合体由牵头方负责与业主联系。</w:t>
      </w:r>
    </w:p>
    <w:p w14:paraId="7C3703B2">
      <w:pPr>
        <w:spacing w:line="360" w:lineRule="auto"/>
        <w:ind w:right="-13" w:firstLine="420" w:firstLineChars="200"/>
        <w:rPr>
          <w:rFonts w:hint="eastAsia" w:ascii="宋体" w:hAnsi="宋体" w:cs="宋体"/>
          <w:kern w:val="0"/>
          <w:szCs w:val="21"/>
          <w:lang w:val="zh-CN"/>
        </w:rPr>
      </w:pPr>
      <w:r>
        <w:rPr>
          <w:rFonts w:hint="eastAsia" w:ascii="宋体" w:hAnsi="宋体" w:cs="宋体"/>
          <w:kern w:val="0"/>
          <w:szCs w:val="21"/>
          <w:lang w:val="zh-CN"/>
        </w:rPr>
        <w:t>（2）投标工作由联合体牵头方负责，由双方组成的投标小组具体实施；联合体牵头方代表联合体办理投标事宜，联合体牵头方在投标文件中的所有承诺均代表了联合体各成员。</w:t>
      </w:r>
    </w:p>
    <w:p w14:paraId="6595B1A8">
      <w:pPr>
        <w:spacing w:line="360" w:lineRule="auto"/>
        <w:ind w:right="-13" w:firstLine="420" w:firstLineChars="200"/>
        <w:rPr>
          <w:rFonts w:hint="eastAsia" w:ascii="宋体" w:hAnsi="宋体" w:cs="宋体"/>
          <w:kern w:val="0"/>
          <w:szCs w:val="21"/>
          <w:lang w:val="zh-CN"/>
        </w:rPr>
      </w:pPr>
      <w:r>
        <w:rPr>
          <w:rFonts w:hint="eastAsia" w:ascii="宋体" w:hAnsi="宋体" w:cs="宋体"/>
          <w:kern w:val="0"/>
          <w:szCs w:val="21"/>
          <w:lang w:val="zh-CN"/>
        </w:rPr>
        <w:t>（3）联合体将严格按照招标文件的各项要求，递交投标文件，切实执行一切合同文件，共同承担合同规定的一切义务和责任，同时按照内部职责的划分，承担自身所负的责任和风险，在法律上承担连带责任。</w:t>
      </w:r>
    </w:p>
    <w:p w14:paraId="3ACD6CBF">
      <w:pPr>
        <w:spacing w:line="360" w:lineRule="auto"/>
        <w:ind w:left="360"/>
        <w:rPr>
          <w:rFonts w:hint="eastAsia" w:ascii="宋体" w:hAnsi="宋体" w:cs="宋体"/>
          <w:kern w:val="0"/>
          <w:szCs w:val="21"/>
          <w:lang w:val="zh-CN"/>
        </w:rPr>
      </w:pPr>
      <w:r>
        <w:rPr>
          <w:rFonts w:hint="eastAsia" w:ascii="宋体" w:hAnsi="宋体" w:cs="宋体"/>
          <w:kern w:val="0"/>
          <w:szCs w:val="21"/>
          <w:lang w:val="zh-CN"/>
        </w:rPr>
        <w:t>（4）如中标，联合体内部将遵守以下规定：</w:t>
      </w:r>
    </w:p>
    <w:p w14:paraId="75D1B8BF">
      <w:pPr>
        <w:spacing w:line="360" w:lineRule="auto"/>
        <w:ind w:right="6" w:firstLine="420" w:firstLineChars="200"/>
        <w:rPr>
          <w:rFonts w:hint="eastAsia" w:ascii="宋体" w:hAnsi="宋体" w:cs="宋体"/>
          <w:kern w:val="0"/>
          <w:szCs w:val="21"/>
          <w:lang w:val="zh-CN"/>
        </w:rPr>
      </w:pPr>
      <w:r>
        <w:rPr>
          <w:rFonts w:hint="eastAsia" w:ascii="宋体" w:hAnsi="宋体" w:cs="宋体"/>
          <w:kern w:val="0"/>
          <w:szCs w:val="21"/>
          <w:lang w:val="zh-CN"/>
        </w:rPr>
        <w:t>a．联合体牵头方和成员共同与业主签订合同书，并就中标项目向业</w:t>
      </w:r>
      <w:bookmarkStart w:id="292" w:name="page2"/>
      <w:bookmarkEnd w:id="292"/>
      <w:r>
        <w:rPr>
          <w:rFonts w:hint="eastAsia" w:ascii="宋体" w:hAnsi="宋体" w:cs="宋体"/>
          <w:kern w:val="0"/>
          <w:szCs w:val="21"/>
          <w:lang w:val="zh-CN"/>
        </w:rPr>
        <w:t>主负责有连带的和各自的法律责任；</w:t>
      </w:r>
    </w:p>
    <w:p w14:paraId="09A95DAB">
      <w:pPr>
        <w:spacing w:line="360" w:lineRule="auto"/>
        <w:ind w:right="-13" w:firstLine="420" w:firstLineChars="200"/>
        <w:rPr>
          <w:rFonts w:hint="eastAsia" w:ascii="宋体" w:hAnsi="宋体" w:cs="宋体"/>
          <w:kern w:val="0"/>
          <w:szCs w:val="21"/>
          <w:lang w:val="zh-CN"/>
        </w:rPr>
      </w:pPr>
      <w:r>
        <w:rPr>
          <w:rFonts w:hint="eastAsia" w:ascii="宋体" w:hAnsi="宋体" w:cs="宋体"/>
          <w:kern w:val="0"/>
          <w:szCs w:val="21"/>
          <w:lang w:val="zh-CN"/>
        </w:rPr>
        <w:t>b．联合体牵头方代表联合体成员承担责任和接受业主的指令、指示和通知，并且在整个合同实施过程中的全部事宜（包括</w:t>
      </w:r>
      <w:r>
        <w:rPr>
          <w:rFonts w:hint="eastAsia" w:ascii="宋体" w:hAnsi="宋体" w:cs="宋体"/>
          <w:kern w:val="0"/>
          <w:szCs w:val="21"/>
          <w:lang w:val="en-US" w:eastAsia="zh-CN"/>
        </w:rPr>
        <w:t>合同</w:t>
      </w:r>
      <w:r>
        <w:rPr>
          <w:rFonts w:hint="eastAsia" w:ascii="宋体" w:hAnsi="宋体" w:cs="宋体"/>
          <w:kern w:val="0"/>
          <w:szCs w:val="21"/>
          <w:lang w:val="zh-CN"/>
        </w:rPr>
        <w:t>价款支付）均由联合体牵头方负责；联合体内部的资金结算、拨付由联合体内部协议确定，与采购人无关。</w:t>
      </w:r>
    </w:p>
    <w:p w14:paraId="417B1A59">
      <w:pPr>
        <w:spacing w:line="360" w:lineRule="auto"/>
        <w:ind w:right="6" w:firstLine="420" w:firstLineChars="200"/>
        <w:rPr>
          <w:rFonts w:hint="eastAsia" w:ascii="宋体" w:hAnsi="宋体" w:cs="宋体"/>
          <w:kern w:val="0"/>
          <w:szCs w:val="21"/>
          <w:lang w:val="zh-CN"/>
        </w:rPr>
      </w:pPr>
      <w:r>
        <w:rPr>
          <w:rFonts w:hint="eastAsia" w:ascii="宋体" w:hAnsi="宋体" w:cs="宋体"/>
          <w:kern w:val="0"/>
          <w:szCs w:val="21"/>
          <w:lang w:val="zh-CN"/>
        </w:rPr>
        <w:t>c．联合体分工原则：联合体牵头方负责本</w:t>
      </w:r>
      <w:r>
        <w:rPr>
          <w:rFonts w:hint="eastAsia" w:ascii="宋体" w:hAnsi="宋体" w:cs="宋体"/>
          <w:kern w:val="0"/>
          <w:szCs w:val="21"/>
        </w:rPr>
        <w:t>项目</w:t>
      </w:r>
      <w:r>
        <w:rPr>
          <w:rFonts w:hint="eastAsia" w:ascii="宋体" w:hAnsi="宋体" w:cs="宋体"/>
          <w:kern w:val="0"/>
          <w:szCs w:val="21"/>
          <w:lang w:val="zh-CN"/>
        </w:rPr>
        <w:t>招标范围内的竣工决算审计以及</w:t>
      </w:r>
      <w:r>
        <w:rPr>
          <w:rFonts w:hint="eastAsia" w:ascii="宋体" w:hAnsi="宋体" w:cs="宋体"/>
          <w:kern w:val="0"/>
          <w:szCs w:val="21"/>
        </w:rPr>
        <w:t>比选</w:t>
      </w:r>
      <w:r>
        <w:rPr>
          <w:rFonts w:hint="eastAsia" w:ascii="宋体" w:hAnsi="宋体" w:cs="宋体"/>
          <w:kern w:val="0"/>
          <w:szCs w:val="21"/>
          <w:lang w:val="zh-CN"/>
        </w:rPr>
        <w:t>文件规定的所有内容牵头实施，负责协调联合体内部事宜。联合体各成员负责本</w:t>
      </w:r>
      <w:r>
        <w:rPr>
          <w:rFonts w:hint="eastAsia" w:ascii="宋体" w:hAnsi="宋体" w:cs="宋体"/>
          <w:kern w:val="0"/>
          <w:szCs w:val="21"/>
        </w:rPr>
        <w:t>项目比选</w:t>
      </w:r>
      <w:r>
        <w:rPr>
          <w:rFonts w:hint="eastAsia" w:ascii="宋体" w:hAnsi="宋体" w:cs="宋体"/>
          <w:kern w:val="0"/>
          <w:szCs w:val="21"/>
          <w:lang w:val="zh-CN"/>
        </w:rPr>
        <w:t>文件要求规定的各项工作。</w:t>
      </w:r>
    </w:p>
    <w:p w14:paraId="2AAEAF23">
      <w:pPr>
        <w:spacing w:line="360" w:lineRule="auto"/>
        <w:ind w:right="-13" w:firstLine="420" w:firstLineChars="200"/>
        <w:rPr>
          <w:rFonts w:hint="eastAsia" w:ascii="宋体" w:hAnsi="宋体" w:cs="宋体"/>
          <w:kern w:val="0"/>
          <w:szCs w:val="21"/>
          <w:lang w:val="zh-CN"/>
        </w:rPr>
      </w:pPr>
      <w:r>
        <w:rPr>
          <w:rFonts w:hint="eastAsia" w:ascii="宋体" w:hAnsi="宋体" w:cs="宋体"/>
          <w:kern w:val="0"/>
          <w:szCs w:val="21"/>
          <w:lang w:val="zh-CN"/>
        </w:rPr>
        <w:t>（5）投标工作和联合体在中标后</w:t>
      </w:r>
      <w:r>
        <w:rPr>
          <w:rFonts w:hint="eastAsia" w:ascii="宋体" w:hAnsi="宋体" w:cs="宋体"/>
          <w:kern w:val="0"/>
          <w:szCs w:val="21"/>
        </w:rPr>
        <w:t>项目</w:t>
      </w:r>
      <w:r>
        <w:rPr>
          <w:rFonts w:hint="eastAsia" w:ascii="宋体" w:hAnsi="宋体" w:cs="宋体"/>
          <w:kern w:val="0"/>
          <w:szCs w:val="21"/>
          <w:lang w:val="zh-CN"/>
        </w:rPr>
        <w:t>实施过程中的有关费用由联合体牵头单位统一承担，联合体内部按各自承担的工作量分摊。</w:t>
      </w:r>
    </w:p>
    <w:p w14:paraId="0A818D49">
      <w:pPr>
        <w:spacing w:line="360" w:lineRule="auto"/>
        <w:ind w:right="6" w:firstLine="420" w:firstLineChars="200"/>
        <w:rPr>
          <w:rFonts w:hint="eastAsia" w:ascii="宋体" w:hAnsi="宋体" w:cs="宋体"/>
          <w:kern w:val="0"/>
          <w:szCs w:val="21"/>
          <w:lang w:val="zh-CN"/>
        </w:rPr>
      </w:pPr>
      <w:r>
        <w:rPr>
          <w:rFonts w:hint="eastAsia" w:ascii="宋体" w:hAnsi="宋体" w:cs="宋体"/>
          <w:kern w:val="0"/>
          <w:szCs w:val="21"/>
          <w:lang w:val="zh-CN"/>
        </w:rPr>
        <w:t>6、本协议书自签署之日起生效，在上述（5）a 所述的合同书规定的期限之后后自行失效；如中标后，联合体内部另有协议的，联合体牵头方应将该协议书送交业主。</w:t>
      </w:r>
    </w:p>
    <w:p w14:paraId="2715EC82">
      <w:pPr>
        <w:spacing w:line="360" w:lineRule="auto"/>
        <w:ind w:firstLine="420" w:firstLineChars="200"/>
        <w:rPr>
          <w:rFonts w:hint="eastAsia" w:ascii="宋体" w:hAnsi="宋体" w:cs="宋体"/>
          <w:kern w:val="0"/>
          <w:szCs w:val="21"/>
          <w:lang w:val="zh-CN"/>
        </w:rPr>
      </w:pPr>
      <w:r>
        <w:rPr>
          <w:rFonts w:hint="eastAsia" w:ascii="宋体" w:hAnsi="宋体" w:cs="宋体"/>
          <w:kern w:val="0"/>
          <w:szCs w:val="21"/>
          <w:lang w:val="zh-CN"/>
        </w:rPr>
        <w:t>7、在实施过程中，本协议未竟事宜，由双方协商解决。</w:t>
      </w:r>
    </w:p>
    <w:p w14:paraId="0F1EF98B">
      <w:pPr>
        <w:spacing w:line="360" w:lineRule="auto"/>
        <w:ind w:right="-13" w:firstLine="420" w:firstLineChars="200"/>
        <w:rPr>
          <w:rFonts w:hint="eastAsia" w:ascii="宋体" w:hAnsi="宋体" w:cs="宋体"/>
          <w:kern w:val="0"/>
          <w:szCs w:val="21"/>
          <w:lang w:val="zh-CN"/>
        </w:rPr>
      </w:pPr>
      <w:r>
        <w:rPr>
          <w:rFonts w:hint="eastAsia" w:ascii="宋体" w:hAnsi="宋体" w:cs="宋体"/>
          <w:kern w:val="0"/>
          <w:szCs w:val="21"/>
          <w:lang w:val="zh-CN"/>
        </w:rPr>
        <w:t>8、本协议书一式</w:t>
      </w:r>
      <w:r>
        <w:rPr>
          <w:rFonts w:hint="eastAsia" w:ascii="宋体" w:hAnsi="宋体" w:cs="宋体"/>
          <w:kern w:val="0"/>
          <w:szCs w:val="21"/>
        </w:rPr>
        <w:t>三</w:t>
      </w:r>
      <w:r>
        <w:rPr>
          <w:rFonts w:hint="eastAsia" w:ascii="宋体" w:hAnsi="宋体" w:cs="宋体"/>
          <w:kern w:val="0"/>
          <w:szCs w:val="21"/>
          <w:lang w:val="zh-CN"/>
        </w:rPr>
        <w:t>份，送业主一份，联合体成员各一份。</w:t>
      </w:r>
    </w:p>
    <w:p w14:paraId="73239E8D">
      <w:pPr>
        <w:spacing w:line="360" w:lineRule="auto"/>
        <w:rPr>
          <w:rFonts w:hint="eastAsia" w:ascii="宋体" w:hAnsi="宋体" w:cs="宋体"/>
          <w:kern w:val="0"/>
          <w:szCs w:val="21"/>
          <w:lang w:val="zh-CN"/>
        </w:rPr>
      </w:pPr>
    </w:p>
    <w:p w14:paraId="38867944">
      <w:pPr>
        <w:tabs>
          <w:tab w:val="left" w:pos="5440"/>
        </w:tabs>
        <w:spacing w:line="360" w:lineRule="auto"/>
        <w:ind w:left="360"/>
        <w:rPr>
          <w:rFonts w:hint="eastAsia" w:ascii="宋体" w:hAnsi="宋体" w:cs="宋体"/>
          <w:kern w:val="0"/>
          <w:szCs w:val="21"/>
          <w:lang w:val="zh-CN"/>
        </w:rPr>
      </w:pPr>
      <w:r>
        <w:rPr>
          <w:rFonts w:hint="eastAsia" w:ascii="宋体" w:hAnsi="宋体" w:cs="宋体"/>
          <w:kern w:val="0"/>
          <w:szCs w:val="21"/>
          <w:lang w:val="zh-CN"/>
        </w:rPr>
        <w:t>甲公司名称：（全称）（盖章）</w:t>
      </w:r>
      <w:r>
        <w:rPr>
          <w:rFonts w:hint="eastAsia" w:ascii="宋体" w:hAnsi="宋体" w:cs="宋体"/>
          <w:kern w:val="0"/>
          <w:szCs w:val="21"/>
          <w:lang w:val="zh-CN"/>
        </w:rPr>
        <w:tab/>
      </w:r>
      <w:r>
        <w:rPr>
          <w:rFonts w:hint="eastAsia" w:ascii="宋体" w:hAnsi="宋体" w:cs="宋体"/>
          <w:kern w:val="0"/>
          <w:szCs w:val="21"/>
          <w:lang w:val="zh-CN"/>
        </w:rPr>
        <w:t>乙公司名称：（全称）（盖章）</w:t>
      </w:r>
    </w:p>
    <w:p w14:paraId="4ACCECDD">
      <w:pPr>
        <w:spacing w:line="360" w:lineRule="auto"/>
        <w:rPr>
          <w:rFonts w:hint="eastAsia" w:ascii="宋体" w:hAnsi="宋体" w:cs="宋体"/>
          <w:kern w:val="0"/>
          <w:szCs w:val="21"/>
          <w:lang w:val="zh-CN"/>
        </w:rPr>
      </w:pPr>
    </w:p>
    <w:p w14:paraId="32A7A630">
      <w:pPr>
        <w:tabs>
          <w:tab w:val="left" w:pos="5380"/>
        </w:tabs>
        <w:spacing w:line="360" w:lineRule="auto"/>
        <w:ind w:left="360"/>
        <w:rPr>
          <w:rFonts w:hint="eastAsia" w:ascii="宋体" w:hAnsi="宋体" w:cs="宋体"/>
          <w:kern w:val="0"/>
          <w:szCs w:val="21"/>
          <w:lang w:val="zh-CN"/>
        </w:rPr>
      </w:pPr>
      <w:r>
        <w:rPr>
          <w:rFonts w:hint="eastAsia" w:ascii="宋体" w:hAnsi="宋体" w:cs="宋体"/>
          <w:kern w:val="0"/>
          <w:szCs w:val="21"/>
          <w:lang w:val="zh-CN"/>
        </w:rPr>
        <w:t>法定代表人：（签字且盖章）</w:t>
      </w:r>
      <w:r>
        <w:rPr>
          <w:rFonts w:hint="eastAsia" w:ascii="宋体" w:hAnsi="宋体" w:cs="宋体"/>
          <w:kern w:val="0"/>
          <w:szCs w:val="21"/>
          <w:lang w:val="zh-CN"/>
        </w:rPr>
        <w:tab/>
      </w:r>
      <w:r>
        <w:rPr>
          <w:rFonts w:hint="eastAsia" w:ascii="宋体" w:hAnsi="宋体" w:cs="宋体"/>
          <w:kern w:val="0"/>
          <w:szCs w:val="21"/>
          <w:lang w:val="zh-CN"/>
        </w:rPr>
        <w:t>法定代表人：（签字且盖章）</w:t>
      </w:r>
    </w:p>
    <w:p w14:paraId="5033AA56">
      <w:pPr>
        <w:spacing w:line="360" w:lineRule="auto"/>
        <w:rPr>
          <w:rFonts w:hint="eastAsia" w:ascii="宋体" w:hAnsi="宋体" w:cs="宋体"/>
          <w:kern w:val="0"/>
          <w:szCs w:val="21"/>
          <w:lang w:val="zh-CN"/>
        </w:rPr>
      </w:pPr>
    </w:p>
    <w:p w14:paraId="691A7A82">
      <w:pPr>
        <w:tabs>
          <w:tab w:val="left" w:pos="2020"/>
          <w:tab w:val="left" w:pos="2860"/>
          <w:tab w:val="left" w:pos="6100"/>
          <w:tab w:val="left" w:pos="7060"/>
          <w:tab w:val="left" w:pos="7900"/>
        </w:tabs>
        <w:spacing w:line="360" w:lineRule="auto"/>
        <w:ind w:left="1080"/>
        <w:rPr>
          <w:rFonts w:hint="eastAsia" w:ascii="宋体" w:hAnsi="宋体" w:cs="宋体"/>
          <w:kern w:val="0"/>
          <w:szCs w:val="21"/>
          <w:lang w:val="zh-CN"/>
        </w:rPr>
      </w:pPr>
      <w:r>
        <w:rPr>
          <w:rFonts w:hint="eastAsia" w:ascii="宋体" w:hAnsi="宋体" w:cs="宋体"/>
          <w:kern w:val="0"/>
          <w:szCs w:val="21"/>
          <w:lang w:val="zh-CN"/>
        </w:rPr>
        <w:t>年</w:t>
      </w:r>
      <w:r>
        <w:rPr>
          <w:rFonts w:hint="eastAsia" w:ascii="宋体" w:hAnsi="宋体" w:cs="宋体"/>
          <w:kern w:val="0"/>
          <w:szCs w:val="21"/>
          <w:lang w:val="zh-CN"/>
        </w:rPr>
        <w:tab/>
      </w:r>
      <w:r>
        <w:rPr>
          <w:rFonts w:hint="eastAsia" w:ascii="宋体" w:hAnsi="宋体" w:cs="宋体"/>
          <w:kern w:val="0"/>
          <w:szCs w:val="21"/>
          <w:lang w:val="zh-CN"/>
        </w:rPr>
        <w:t>月</w:t>
      </w:r>
      <w:r>
        <w:rPr>
          <w:rFonts w:hint="eastAsia" w:ascii="宋体" w:hAnsi="宋体" w:cs="宋体"/>
          <w:kern w:val="0"/>
          <w:szCs w:val="21"/>
          <w:lang w:val="zh-CN"/>
        </w:rPr>
        <w:tab/>
      </w:r>
      <w:r>
        <w:rPr>
          <w:rFonts w:hint="eastAsia" w:ascii="宋体" w:hAnsi="宋体" w:cs="宋体"/>
          <w:kern w:val="0"/>
          <w:szCs w:val="21"/>
          <w:lang w:val="zh-CN"/>
        </w:rPr>
        <w:t>日</w:t>
      </w:r>
      <w:r>
        <w:rPr>
          <w:rFonts w:hint="eastAsia" w:ascii="宋体" w:hAnsi="宋体" w:cs="宋体"/>
          <w:kern w:val="0"/>
          <w:szCs w:val="21"/>
          <w:lang w:val="zh-CN"/>
        </w:rPr>
        <w:tab/>
      </w:r>
      <w:r>
        <w:rPr>
          <w:rFonts w:hint="eastAsia" w:ascii="宋体" w:hAnsi="宋体" w:cs="宋体"/>
          <w:kern w:val="0"/>
          <w:szCs w:val="21"/>
          <w:lang w:val="zh-CN"/>
        </w:rPr>
        <w:t>年</w:t>
      </w:r>
      <w:r>
        <w:rPr>
          <w:rFonts w:hint="eastAsia" w:ascii="宋体" w:hAnsi="宋体" w:cs="宋体"/>
          <w:kern w:val="0"/>
          <w:szCs w:val="21"/>
          <w:lang w:val="zh-CN"/>
        </w:rPr>
        <w:tab/>
      </w:r>
      <w:r>
        <w:rPr>
          <w:rFonts w:hint="eastAsia" w:ascii="宋体" w:hAnsi="宋体" w:cs="宋体"/>
          <w:kern w:val="0"/>
          <w:szCs w:val="21"/>
          <w:lang w:val="zh-CN"/>
        </w:rPr>
        <w:t>月</w:t>
      </w:r>
      <w:r>
        <w:rPr>
          <w:rFonts w:hint="eastAsia" w:ascii="宋体" w:hAnsi="宋体" w:cs="宋体"/>
          <w:kern w:val="0"/>
          <w:szCs w:val="21"/>
          <w:lang w:val="zh-CN"/>
        </w:rPr>
        <w:tab/>
      </w:r>
      <w:r>
        <w:rPr>
          <w:rFonts w:hint="eastAsia" w:ascii="宋体" w:hAnsi="宋体" w:cs="宋体"/>
          <w:kern w:val="0"/>
          <w:szCs w:val="21"/>
          <w:lang w:val="zh-CN"/>
        </w:rPr>
        <w:t>日</w:t>
      </w:r>
    </w:p>
    <w:p w14:paraId="37DAC231">
      <w:pPr>
        <w:keepNext/>
        <w:jc w:val="left"/>
        <w:outlineLvl w:val="1"/>
        <w:rPr>
          <w:rFonts w:hint="eastAsia" w:ascii="宋体" w:hAnsi="宋体" w:cs="宋体"/>
          <w:b/>
          <w:bCs/>
          <w:kern w:val="0"/>
          <w:sz w:val="24"/>
          <w:szCs w:val="30"/>
        </w:rPr>
      </w:pPr>
    </w:p>
    <w:p w14:paraId="1FEC03E2">
      <w:pPr>
        <w:autoSpaceDE w:val="0"/>
        <w:autoSpaceDN w:val="0"/>
        <w:adjustRightInd w:val="0"/>
        <w:jc w:val="left"/>
        <w:rPr>
          <w:rFonts w:ascii="宋体" w:hAnsi="宋体" w:cs="宋体"/>
          <w:b/>
          <w:color w:val="000000"/>
          <w:sz w:val="22"/>
          <w:szCs w:val="21"/>
          <w:highlight w:val="none"/>
        </w:rPr>
      </w:pPr>
    </w:p>
    <w:p w14:paraId="3C5DC08E">
      <w:pPr>
        <w:autoSpaceDE w:val="0"/>
        <w:autoSpaceDN w:val="0"/>
        <w:adjustRightInd w:val="0"/>
        <w:jc w:val="left"/>
        <w:rPr>
          <w:rFonts w:ascii="宋体" w:hAnsi="宋体" w:cs="宋体"/>
          <w:b/>
          <w:color w:val="000000"/>
          <w:sz w:val="22"/>
          <w:szCs w:val="21"/>
          <w:highlight w:val="none"/>
        </w:rPr>
      </w:pPr>
    </w:p>
    <w:p w14:paraId="63438A16">
      <w:pPr>
        <w:widowControl/>
        <w:adjustRightInd w:val="0"/>
        <w:spacing w:line="360" w:lineRule="auto"/>
        <w:jc w:val="left"/>
        <w:outlineLvl w:val="1"/>
        <w:rPr>
          <w:rFonts w:ascii="宋体" w:hAnsi="宋体" w:cs="宋体"/>
          <w:b/>
          <w:sz w:val="30"/>
          <w:szCs w:val="30"/>
          <w:highlight w:val="none"/>
          <w:lang w:val="zh-CN"/>
        </w:rPr>
      </w:pPr>
      <w:bookmarkStart w:id="293" w:name="_Toc31210"/>
      <w:r>
        <w:rPr>
          <w:rFonts w:hint="eastAsia" w:ascii="宋体" w:hAnsi="宋体" w:cs="宋体"/>
          <w:b/>
          <w:sz w:val="30"/>
          <w:szCs w:val="30"/>
          <w:highlight w:val="none"/>
          <w:lang w:val="en-US" w:eastAsia="zh-CN"/>
        </w:rPr>
        <w:t>十六</w:t>
      </w:r>
      <w:r>
        <w:rPr>
          <w:rFonts w:hint="eastAsia" w:ascii="宋体" w:hAnsi="宋体" w:cs="宋体"/>
          <w:b/>
          <w:sz w:val="30"/>
          <w:szCs w:val="30"/>
          <w:highlight w:val="none"/>
          <w:lang w:val="zh-CN"/>
        </w:rPr>
        <w:t>、属于监狱企业的证明文件</w:t>
      </w:r>
      <w:bookmarkEnd w:id="293"/>
    </w:p>
    <w:p w14:paraId="31156774">
      <w:pPr>
        <w:jc w:val="center"/>
        <w:rPr>
          <w:rFonts w:ascii="宋体" w:hAnsi="宋体" w:cs="宋体"/>
          <w:b/>
          <w:spacing w:val="15"/>
          <w:kern w:val="0"/>
          <w:szCs w:val="21"/>
          <w:highlight w:val="none"/>
        </w:rPr>
      </w:pPr>
    </w:p>
    <w:p w14:paraId="1D2E917A">
      <w:pPr>
        <w:jc w:val="center"/>
        <w:rPr>
          <w:rFonts w:ascii="宋体" w:hAnsi="宋体" w:cs="宋体"/>
          <w:b/>
          <w:spacing w:val="15"/>
          <w:kern w:val="0"/>
          <w:szCs w:val="21"/>
          <w:highlight w:val="none"/>
        </w:rPr>
      </w:pPr>
      <w:r>
        <w:rPr>
          <w:rFonts w:hint="eastAsia" w:ascii="宋体" w:hAnsi="宋体" w:cs="宋体"/>
          <w:b/>
          <w:spacing w:val="15"/>
          <w:kern w:val="0"/>
          <w:szCs w:val="21"/>
          <w:highlight w:val="none"/>
        </w:rPr>
        <w:t>属于监狱企业的证明文件</w:t>
      </w:r>
    </w:p>
    <w:p w14:paraId="1E8FC1F9">
      <w:pPr>
        <w:rPr>
          <w:rFonts w:ascii="宋体" w:hAnsi="宋体" w:cs="宋体"/>
          <w:spacing w:val="15"/>
          <w:kern w:val="0"/>
          <w:szCs w:val="21"/>
          <w:highlight w:val="none"/>
        </w:rPr>
      </w:pPr>
      <w:r>
        <w:rPr>
          <w:rFonts w:hint="eastAsia" w:ascii="宋体" w:hAnsi="宋体" w:cs="宋体"/>
          <w:spacing w:val="15"/>
          <w:kern w:val="0"/>
          <w:szCs w:val="21"/>
          <w:highlight w:val="none"/>
        </w:rPr>
        <w:t>（提供由省级以上监狱管理局、戒毒管理局(含新疆生产建设兵团)出具的属于监狱企业的证 明文件）</w:t>
      </w:r>
    </w:p>
    <w:p w14:paraId="0C114055">
      <w:pPr>
        <w:rPr>
          <w:rFonts w:ascii="宋体" w:hAnsi="宋体" w:cs="宋体"/>
          <w:b/>
          <w:spacing w:val="15"/>
          <w:kern w:val="0"/>
          <w:szCs w:val="21"/>
          <w:highlight w:val="none"/>
        </w:rPr>
      </w:pPr>
    </w:p>
    <w:p w14:paraId="0CDDAC50">
      <w:pPr>
        <w:widowControl/>
        <w:adjustRightInd w:val="0"/>
        <w:spacing w:line="360" w:lineRule="auto"/>
        <w:jc w:val="left"/>
        <w:outlineLvl w:val="1"/>
        <w:rPr>
          <w:rFonts w:ascii="宋体" w:hAnsi="宋体" w:cs="宋体"/>
          <w:b/>
          <w:sz w:val="30"/>
          <w:szCs w:val="30"/>
          <w:highlight w:val="none"/>
        </w:rPr>
      </w:pPr>
      <w:bookmarkStart w:id="294" w:name="_Toc18335"/>
      <w:r>
        <w:rPr>
          <w:rFonts w:hint="eastAsia" w:ascii="宋体" w:hAnsi="宋体" w:cs="宋体"/>
          <w:b/>
          <w:sz w:val="30"/>
          <w:szCs w:val="30"/>
          <w:highlight w:val="none"/>
          <w:lang w:val="en-US" w:eastAsia="zh-CN"/>
        </w:rPr>
        <w:t>十七</w:t>
      </w:r>
      <w:r>
        <w:rPr>
          <w:rFonts w:hint="eastAsia" w:ascii="宋体" w:hAnsi="宋体" w:cs="宋体"/>
          <w:b/>
          <w:sz w:val="30"/>
          <w:szCs w:val="30"/>
          <w:highlight w:val="none"/>
        </w:rPr>
        <w:t>、节能产品认证文件</w:t>
      </w:r>
      <w:bookmarkEnd w:id="294"/>
    </w:p>
    <w:p w14:paraId="2F282BB7">
      <w:pPr>
        <w:jc w:val="center"/>
        <w:rPr>
          <w:rFonts w:ascii="宋体" w:hAnsi="宋体" w:cs="宋体"/>
          <w:spacing w:val="15"/>
          <w:kern w:val="0"/>
          <w:szCs w:val="21"/>
          <w:highlight w:val="none"/>
        </w:rPr>
      </w:pPr>
      <w:r>
        <w:rPr>
          <w:rFonts w:hint="eastAsia" w:ascii="宋体" w:hAnsi="宋体" w:cs="宋体"/>
          <w:spacing w:val="15"/>
          <w:kern w:val="0"/>
          <w:szCs w:val="21"/>
          <w:highlight w:val="none"/>
        </w:rPr>
        <w:t>节能产品认证文件</w:t>
      </w:r>
    </w:p>
    <w:p w14:paraId="3321DD3A">
      <w:pPr>
        <w:jc w:val="center"/>
        <w:rPr>
          <w:rFonts w:ascii="宋体" w:hAnsi="宋体" w:cs="宋体"/>
          <w:spacing w:val="15"/>
          <w:kern w:val="0"/>
          <w:szCs w:val="21"/>
          <w:highlight w:val="none"/>
        </w:rPr>
      </w:pPr>
      <w:r>
        <w:rPr>
          <w:rFonts w:hint="eastAsia" w:ascii="宋体" w:hAnsi="宋体" w:cs="宋体"/>
          <w:spacing w:val="15"/>
          <w:kern w:val="0"/>
          <w:szCs w:val="21"/>
          <w:highlight w:val="none"/>
        </w:rPr>
        <w:t>（提供产品在《节能产品政府采购清单》中相应的页面）</w:t>
      </w:r>
    </w:p>
    <w:p w14:paraId="3530DA6E">
      <w:pPr>
        <w:jc w:val="center"/>
        <w:rPr>
          <w:rFonts w:ascii="宋体" w:hAnsi="宋体" w:cs="宋体"/>
          <w:spacing w:val="15"/>
          <w:kern w:val="0"/>
          <w:szCs w:val="21"/>
          <w:highlight w:val="none"/>
        </w:rPr>
      </w:pPr>
    </w:p>
    <w:p w14:paraId="2E387811">
      <w:pPr>
        <w:rPr>
          <w:rFonts w:ascii="宋体" w:hAnsi="宋体" w:cs="宋体"/>
          <w:spacing w:val="15"/>
          <w:kern w:val="0"/>
          <w:szCs w:val="21"/>
          <w:highlight w:val="none"/>
        </w:rPr>
      </w:pPr>
    </w:p>
    <w:p w14:paraId="4762F04E">
      <w:pPr>
        <w:widowControl/>
        <w:adjustRightInd w:val="0"/>
        <w:spacing w:line="360" w:lineRule="auto"/>
        <w:jc w:val="left"/>
        <w:outlineLvl w:val="1"/>
        <w:rPr>
          <w:rFonts w:ascii="宋体" w:hAnsi="宋体" w:cs="宋体"/>
          <w:b/>
          <w:sz w:val="30"/>
          <w:szCs w:val="30"/>
          <w:highlight w:val="none"/>
        </w:rPr>
      </w:pPr>
      <w:bookmarkStart w:id="295" w:name="_Toc8113"/>
      <w:r>
        <w:rPr>
          <w:rFonts w:hint="eastAsia" w:ascii="宋体" w:hAnsi="宋体" w:cs="宋体"/>
          <w:b/>
          <w:sz w:val="30"/>
          <w:szCs w:val="30"/>
          <w:highlight w:val="none"/>
          <w:lang w:val="en-US" w:eastAsia="zh-CN"/>
        </w:rPr>
        <w:t>十八</w:t>
      </w:r>
      <w:r>
        <w:rPr>
          <w:rFonts w:hint="eastAsia" w:ascii="宋体" w:hAnsi="宋体" w:cs="宋体"/>
          <w:b/>
          <w:sz w:val="30"/>
          <w:szCs w:val="30"/>
          <w:highlight w:val="none"/>
        </w:rPr>
        <w:t>、环境标志产品认证文件</w:t>
      </w:r>
      <w:bookmarkEnd w:id="295"/>
    </w:p>
    <w:p w14:paraId="39A9A8CB">
      <w:pPr>
        <w:rPr>
          <w:rFonts w:ascii="宋体" w:hAnsi="宋体" w:cs="宋体"/>
          <w:b/>
          <w:spacing w:val="15"/>
          <w:kern w:val="0"/>
          <w:szCs w:val="21"/>
          <w:highlight w:val="none"/>
        </w:rPr>
      </w:pPr>
    </w:p>
    <w:p w14:paraId="3CBD4006">
      <w:pPr>
        <w:jc w:val="center"/>
        <w:rPr>
          <w:rFonts w:ascii="宋体" w:hAnsi="宋体" w:cs="宋体"/>
          <w:spacing w:val="15"/>
          <w:kern w:val="0"/>
          <w:szCs w:val="21"/>
          <w:highlight w:val="none"/>
        </w:rPr>
      </w:pPr>
      <w:r>
        <w:rPr>
          <w:rFonts w:hint="eastAsia" w:ascii="宋体" w:hAnsi="宋体" w:cs="宋体"/>
          <w:spacing w:val="15"/>
          <w:kern w:val="0"/>
          <w:szCs w:val="21"/>
          <w:highlight w:val="none"/>
        </w:rPr>
        <w:t>环境标志产品认证文件</w:t>
      </w:r>
    </w:p>
    <w:p w14:paraId="434DFC92">
      <w:pPr>
        <w:jc w:val="center"/>
        <w:rPr>
          <w:rFonts w:ascii="宋体" w:hAnsi="宋体" w:cs="宋体"/>
          <w:spacing w:val="15"/>
          <w:kern w:val="0"/>
          <w:szCs w:val="21"/>
          <w:highlight w:val="none"/>
        </w:rPr>
      </w:pPr>
      <w:r>
        <w:rPr>
          <w:rFonts w:hint="eastAsia" w:ascii="宋体" w:hAnsi="宋体" w:cs="宋体"/>
          <w:spacing w:val="15"/>
          <w:kern w:val="0"/>
          <w:szCs w:val="21"/>
          <w:highlight w:val="none"/>
        </w:rPr>
        <w:t>（提供产品在《环境标志产品政府采购清单》中相应的页面）</w:t>
      </w:r>
    </w:p>
    <w:p w14:paraId="21DF5770">
      <w:pPr>
        <w:rPr>
          <w:rFonts w:ascii="宋体" w:hAnsi="宋体" w:cs="宋体"/>
          <w:b/>
          <w:spacing w:val="15"/>
          <w:kern w:val="0"/>
          <w:szCs w:val="21"/>
          <w:highlight w:val="none"/>
        </w:rPr>
      </w:pPr>
    </w:p>
    <w:p w14:paraId="102A3AD5">
      <w:pPr>
        <w:rPr>
          <w:rFonts w:ascii="宋体" w:hAnsi="宋体" w:cs="宋体"/>
          <w:b/>
          <w:spacing w:val="15"/>
          <w:kern w:val="0"/>
          <w:szCs w:val="21"/>
          <w:highlight w:val="none"/>
        </w:rPr>
      </w:pPr>
    </w:p>
    <w:p w14:paraId="3F1FBA5F">
      <w:pPr>
        <w:widowControl/>
        <w:adjustRightInd w:val="0"/>
        <w:spacing w:line="360" w:lineRule="auto"/>
        <w:jc w:val="left"/>
        <w:outlineLvl w:val="1"/>
        <w:rPr>
          <w:rFonts w:ascii="宋体" w:hAnsi="宋体" w:cs="宋体"/>
          <w:b/>
          <w:sz w:val="30"/>
          <w:szCs w:val="30"/>
          <w:highlight w:val="none"/>
        </w:rPr>
      </w:pPr>
      <w:bookmarkStart w:id="296" w:name="_Toc24477"/>
      <w:r>
        <w:rPr>
          <w:rFonts w:hint="eastAsia" w:ascii="宋体" w:hAnsi="宋体" w:cs="宋体"/>
          <w:b/>
          <w:sz w:val="30"/>
          <w:szCs w:val="30"/>
          <w:highlight w:val="none"/>
          <w:lang w:val="en-US" w:eastAsia="zh-CN"/>
        </w:rPr>
        <w:t>十九</w:t>
      </w:r>
      <w:r>
        <w:rPr>
          <w:rFonts w:hint="eastAsia" w:ascii="宋体" w:hAnsi="宋体" w:cs="宋体"/>
          <w:b/>
          <w:sz w:val="30"/>
          <w:szCs w:val="30"/>
          <w:highlight w:val="none"/>
        </w:rPr>
        <w:t>、进口产品转让技术、消化吸收再创新方案</w:t>
      </w:r>
      <w:bookmarkEnd w:id="296"/>
    </w:p>
    <w:p w14:paraId="3F3DA2CE">
      <w:pPr>
        <w:jc w:val="center"/>
        <w:rPr>
          <w:rFonts w:ascii="宋体" w:hAnsi="宋体" w:cs="宋体"/>
          <w:b/>
          <w:spacing w:val="15"/>
          <w:kern w:val="0"/>
          <w:szCs w:val="21"/>
          <w:highlight w:val="none"/>
        </w:rPr>
      </w:pPr>
    </w:p>
    <w:p w14:paraId="3A9B9FF0">
      <w:pPr>
        <w:jc w:val="center"/>
        <w:rPr>
          <w:rFonts w:ascii="宋体" w:hAnsi="宋体" w:cs="宋体"/>
          <w:spacing w:val="15"/>
          <w:kern w:val="0"/>
          <w:szCs w:val="21"/>
          <w:highlight w:val="none"/>
        </w:rPr>
      </w:pPr>
      <w:r>
        <w:rPr>
          <w:rFonts w:hint="eastAsia" w:ascii="宋体" w:hAnsi="宋体" w:cs="宋体"/>
          <w:spacing w:val="15"/>
          <w:kern w:val="0"/>
          <w:szCs w:val="21"/>
          <w:highlight w:val="none"/>
        </w:rPr>
        <w:t>进口产品转让技术、消化吸收再创新方案</w:t>
      </w:r>
    </w:p>
    <w:p w14:paraId="7F5391A0">
      <w:pPr>
        <w:jc w:val="center"/>
        <w:rPr>
          <w:rFonts w:ascii="宋体" w:hAnsi="宋体" w:cs="宋体"/>
          <w:b/>
          <w:spacing w:val="15"/>
          <w:kern w:val="0"/>
          <w:szCs w:val="21"/>
          <w:highlight w:val="none"/>
        </w:rPr>
      </w:pPr>
      <w:r>
        <w:rPr>
          <w:rFonts w:hint="eastAsia" w:ascii="宋体" w:hAnsi="宋体" w:cs="宋体"/>
          <w:spacing w:val="15"/>
          <w:kern w:val="0"/>
          <w:szCs w:val="21"/>
          <w:highlight w:val="none"/>
        </w:rPr>
        <w:t>（对于允许进口产品参加的项目）</w:t>
      </w:r>
    </w:p>
    <w:p w14:paraId="4406A65A">
      <w:pPr>
        <w:autoSpaceDE w:val="0"/>
        <w:autoSpaceDN w:val="0"/>
        <w:adjustRightInd w:val="0"/>
        <w:jc w:val="left"/>
        <w:rPr>
          <w:rFonts w:ascii="宋体" w:hAnsi="宋体" w:cs="宋体"/>
          <w:b/>
          <w:color w:val="000000"/>
          <w:sz w:val="22"/>
          <w:szCs w:val="21"/>
          <w:highlight w:val="none"/>
        </w:rPr>
      </w:pPr>
    </w:p>
    <w:p w14:paraId="1E30A250">
      <w:pPr>
        <w:pStyle w:val="75"/>
        <w:spacing w:before="60" w:after="156"/>
        <w:ind w:left="0" w:firstLine="0" w:firstLineChars="0"/>
        <w:rPr>
          <w:highlight w:val="none"/>
        </w:rPr>
      </w:pPr>
      <w:bookmarkStart w:id="297" w:name="_Toc31028"/>
      <w:r>
        <w:rPr>
          <w:highlight w:val="none"/>
        </w:rPr>
        <w:t>第七章 </w:t>
      </w:r>
      <w:r>
        <w:rPr>
          <w:rFonts w:hint="eastAsia"/>
          <w:highlight w:val="none"/>
        </w:rPr>
        <w:t>投标供应商</w:t>
      </w:r>
      <w:r>
        <w:rPr>
          <w:highlight w:val="none"/>
        </w:rPr>
        <w:t>中标后需要提交核验的资料</w:t>
      </w:r>
      <w:bookmarkEnd w:id="297"/>
    </w:p>
    <w:p w14:paraId="050A6B4E">
      <w:pPr>
        <w:pStyle w:val="76"/>
        <w:spacing w:before="60"/>
        <w:ind w:left="-178" w:leftChars="-85" w:firstLine="0" w:firstLineChars="0"/>
        <w:rPr>
          <w:rFonts w:hint="eastAsia"/>
          <w:color w:val="000000"/>
          <w:highlight w:val="none"/>
          <w:lang w:val="zh-CN" w:eastAsia="zh-CN"/>
        </w:rPr>
      </w:pPr>
      <w:r>
        <w:rPr>
          <w:rFonts w:hint="eastAsia"/>
          <w:color w:val="000000"/>
          <w:highlight w:val="none"/>
          <w:lang w:val="en-US" w:eastAsia="zh-CN"/>
        </w:rPr>
        <w:t>一、</w:t>
      </w:r>
      <w:r>
        <w:rPr>
          <w:rFonts w:hint="eastAsia"/>
          <w:color w:val="000000"/>
          <w:highlight w:val="none"/>
          <w:lang w:val="zh-CN" w:eastAsia="zh-CN"/>
        </w:rPr>
        <w:t>具有独立承担民事责任的能力（提供法人或者其他组织的营业执照，自然人的身份证明，复印件加盖公章）；</w:t>
      </w:r>
    </w:p>
    <w:p w14:paraId="631AAF87">
      <w:pPr>
        <w:pStyle w:val="76"/>
        <w:spacing w:before="60"/>
        <w:ind w:left="-178" w:leftChars="-85" w:firstLine="0" w:firstLineChars="0"/>
        <w:rPr>
          <w:rFonts w:hint="eastAsia"/>
          <w:color w:val="000000"/>
          <w:highlight w:val="none"/>
          <w:lang w:val="zh-CN" w:eastAsia="zh-CN"/>
        </w:rPr>
      </w:pPr>
      <w:r>
        <w:rPr>
          <w:rFonts w:hint="eastAsia"/>
          <w:color w:val="000000"/>
          <w:highlight w:val="none"/>
          <w:lang w:val="en-US" w:eastAsia="zh-CN"/>
        </w:rPr>
        <w:t>二、</w:t>
      </w:r>
      <w:r>
        <w:rPr>
          <w:rFonts w:hint="eastAsia"/>
          <w:color w:val="000000"/>
          <w:highlight w:val="none"/>
          <w:lang w:val="zh-CN" w:eastAsia="zh-CN"/>
        </w:rPr>
        <w:t>具有良好的商业信誉和健全的财务会计制度（提供2026年以来任意一个月的资产负债表和利润表，复印件加盖公章）；</w:t>
      </w:r>
    </w:p>
    <w:p w14:paraId="25B1B06C">
      <w:pPr>
        <w:pStyle w:val="76"/>
        <w:spacing w:before="60"/>
        <w:ind w:left="-178" w:leftChars="-85" w:firstLine="0" w:firstLineChars="0"/>
        <w:rPr>
          <w:rFonts w:hint="eastAsia"/>
          <w:color w:val="000000"/>
          <w:highlight w:val="none"/>
          <w:lang w:val="zh-CN" w:eastAsia="zh-CN"/>
        </w:rPr>
      </w:pPr>
      <w:r>
        <w:rPr>
          <w:rFonts w:hint="eastAsia"/>
          <w:color w:val="000000"/>
          <w:highlight w:val="none"/>
          <w:lang w:val="en-US" w:eastAsia="zh-CN"/>
        </w:rPr>
        <w:t>三、</w:t>
      </w:r>
      <w:r>
        <w:rPr>
          <w:rFonts w:hint="eastAsia"/>
          <w:color w:val="000000"/>
          <w:highlight w:val="none"/>
          <w:lang w:val="zh-CN" w:eastAsia="zh-CN"/>
        </w:rPr>
        <w:t>具有履行合同所必需的设备和专业技术能力（根据项目需求提供履行合同所必需的设备和专业技术能力的证明材料，复印件加盖公章）；</w:t>
      </w:r>
    </w:p>
    <w:p w14:paraId="079DEB26">
      <w:pPr>
        <w:pStyle w:val="76"/>
        <w:spacing w:before="60"/>
        <w:ind w:left="-178" w:leftChars="-85" w:firstLine="0" w:firstLineChars="0"/>
        <w:rPr>
          <w:rFonts w:hint="eastAsia"/>
          <w:color w:val="000000"/>
          <w:highlight w:val="none"/>
          <w:lang w:val="zh-CN" w:eastAsia="zh-CN"/>
        </w:rPr>
      </w:pPr>
      <w:r>
        <w:rPr>
          <w:rFonts w:hint="eastAsia"/>
          <w:color w:val="000000"/>
          <w:highlight w:val="none"/>
          <w:lang w:val="en-US" w:eastAsia="zh-CN"/>
        </w:rPr>
        <w:t>四、</w:t>
      </w:r>
      <w:r>
        <w:rPr>
          <w:rFonts w:hint="eastAsia"/>
          <w:color w:val="000000"/>
          <w:highlight w:val="none"/>
          <w:lang w:val="zh-CN" w:eastAsia="zh-CN"/>
        </w:rPr>
        <w:t>有依法缴纳税收和社会保障资金的良好记录（提供参加本次采购活动前半年内（至少一个月）依法缴纳税收和社会保障资金的相关资料，复印件加盖公章）；</w:t>
      </w:r>
    </w:p>
    <w:p w14:paraId="402875B4">
      <w:pPr>
        <w:pStyle w:val="76"/>
        <w:spacing w:before="60"/>
        <w:ind w:left="-178" w:leftChars="-85" w:firstLine="0" w:firstLineChars="0"/>
        <w:rPr>
          <w:rFonts w:hint="eastAsia"/>
          <w:color w:val="000000"/>
          <w:highlight w:val="none"/>
          <w:lang w:val="zh-CN" w:eastAsia="zh-CN"/>
        </w:rPr>
      </w:pPr>
      <w:r>
        <w:rPr>
          <w:rFonts w:hint="eastAsia"/>
          <w:color w:val="000000"/>
          <w:highlight w:val="none"/>
          <w:lang w:val="en-US" w:eastAsia="zh-CN"/>
        </w:rPr>
        <w:t>五、</w:t>
      </w:r>
      <w:r>
        <w:rPr>
          <w:rFonts w:hint="eastAsia"/>
          <w:color w:val="000000"/>
          <w:highlight w:val="none"/>
          <w:lang w:val="zh-CN" w:eastAsia="zh-CN"/>
        </w:rPr>
        <w:t>参加政府采购活动前三年内，在经营活动中没有重大违法记录（提供参加本次采购活动前 3 年内在经营活动中没有重大违法记录的书面声明的原件）；</w:t>
      </w:r>
    </w:p>
    <w:p w14:paraId="79327D12">
      <w:pPr>
        <w:pStyle w:val="76"/>
        <w:spacing w:before="60"/>
        <w:ind w:left="-178" w:leftChars="-85" w:firstLine="0" w:firstLineChars="0"/>
        <w:rPr>
          <w:color w:val="000000"/>
          <w:highlight w:val="none"/>
        </w:rPr>
      </w:pPr>
    </w:p>
    <w:p w14:paraId="3E13C242">
      <w:pPr>
        <w:pStyle w:val="76"/>
        <w:spacing w:before="60"/>
        <w:ind w:left="-178" w:leftChars="-85" w:firstLine="0" w:firstLineChars="0"/>
        <w:rPr>
          <w:rFonts w:hint="eastAsia" w:eastAsia="宋体"/>
          <w:color w:val="000000"/>
          <w:highlight w:val="none"/>
          <w:lang w:val="zh-CN" w:eastAsia="zh-CN"/>
        </w:rPr>
      </w:pPr>
      <w:r>
        <w:rPr>
          <w:color w:val="000000"/>
          <w:highlight w:val="none"/>
        </w:rPr>
        <w:t>注：以上资料如</w:t>
      </w:r>
      <w:r>
        <w:rPr>
          <w:rFonts w:hint="eastAsia"/>
          <w:color w:val="000000"/>
          <w:highlight w:val="none"/>
        </w:rPr>
        <w:t>响应文件</w:t>
      </w:r>
      <w:r>
        <w:rPr>
          <w:color w:val="000000"/>
          <w:highlight w:val="none"/>
        </w:rPr>
        <w:t>中已提供的无需再提供</w:t>
      </w:r>
      <w:r>
        <w:rPr>
          <w:rFonts w:hint="eastAsia"/>
          <w:color w:val="000000"/>
          <w:highlight w:val="none"/>
          <w:lang w:eastAsia="zh-CN"/>
        </w:rPr>
        <w:t>，</w:t>
      </w:r>
      <w:r>
        <w:rPr>
          <w:rFonts w:hint="eastAsia" w:hAnsi="宋体" w:cs="宋体"/>
          <w:szCs w:val="21"/>
        </w:rPr>
        <w:t>如为联合体参与比选，联合体各方均需提供以下材料</w:t>
      </w:r>
    </w:p>
    <w:p w14:paraId="17102F80">
      <w:pPr>
        <w:autoSpaceDE w:val="0"/>
        <w:autoSpaceDN w:val="0"/>
        <w:adjustRightInd w:val="0"/>
        <w:jc w:val="left"/>
        <w:rPr>
          <w:rFonts w:ascii="宋体" w:hAnsi="宋体" w:cs="宋体"/>
          <w:b/>
          <w:color w:val="000000"/>
          <w:sz w:val="22"/>
          <w:szCs w:val="21"/>
          <w:highlight w:val="none"/>
        </w:rPr>
      </w:pPr>
    </w:p>
    <w:p w14:paraId="62FB0CF3">
      <w:pPr>
        <w:autoSpaceDE w:val="0"/>
        <w:autoSpaceDN w:val="0"/>
        <w:adjustRightInd w:val="0"/>
        <w:rPr>
          <w:rFonts w:ascii="宋体" w:hAnsi="宋体" w:cs="宋体"/>
          <w:szCs w:val="21"/>
          <w:highlight w:val="none"/>
          <w:lang w:val="zh-CN"/>
        </w:rPr>
      </w:pPr>
    </w:p>
    <w:p w14:paraId="542CC31B">
      <w:pPr>
        <w:autoSpaceDE w:val="0"/>
        <w:autoSpaceDN w:val="0"/>
        <w:adjustRightInd w:val="0"/>
        <w:jc w:val="right"/>
        <w:rPr>
          <w:szCs w:val="21"/>
          <w:highlight w:val="none"/>
        </w:rPr>
      </w:pPr>
    </w:p>
    <w:sectPr>
      <w:headerReference r:id="rId5" w:type="default"/>
      <w:footerReference r:id="rId6" w:type="default"/>
      <w:pgSz w:w="11906" w:h="16838"/>
      <w:pgMar w:top="1418" w:right="1134" w:bottom="1247"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FD66C2-8921-4235-8607-292060331C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17520D3-04F1-432E-B554-F101F8A58A36}"/>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embedRegular r:id="rId3" w:fontKey="{F953E84C-2A80-4C4A-99F1-387F9D826F65}"/>
  </w:font>
  <w:font w:name="仿宋">
    <w:panose1 w:val="02010609060101010101"/>
    <w:charset w:val="86"/>
    <w:family w:val="modern"/>
    <w:pitch w:val="default"/>
    <w:sig w:usb0="800002BF" w:usb1="38CF7CFA" w:usb2="00000016" w:usb3="00000000" w:csb0="00040001" w:csb1="00000000"/>
    <w:embedRegular r:id="rId4" w:fontKey="{9E47848D-8B0A-4FAB-859E-820EFC930091}"/>
  </w:font>
  <w:font w:name="Cambria">
    <w:panose1 w:val="02040503050406030204"/>
    <w:charset w:val="00"/>
    <w:family w:val="roman"/>
    <w:pitch w:val="default"/>
    <w:sig w:usb0="E00006FF" w:usb1="420024FF" w:usb2="02000000" w:usb3="00000000" w:csb0="2000019F" w:csb1="00000000"/>
    <w:embedRegular r:id="rId5" w:fontKey="{B34085B1-B82C-43EF-9B53-323D4C9FB1EE}"/>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金山简魏碑">
    <w:altName w:val="宋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6" w:fontKey="{85A8B64F-935D-40C5-80C1-03E1C4D5ADB7}"/>
  </w:font>
  <w:font w:name="Segoe UI">
    <w:panose1 w:val="020B0502040204020203"/>
    <w:charset w:val="00"/>
    <w:family w:val="auto"/>
    <w:pitch w:val="default"/>
    <w:sig w:usb0="E4002EFF" w:usb1="C000E47F" w:usb2="00000009" w:usb3="00000000" w:csb0="200001FF" w:csb1="00000000"/>
    <w:embedRegular r:id="rId7" w:fontKey="{319590A9-7EC9-4ABB-8D18-FADCBADB45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EAEED">
    <w:pPr>
      <w:pStyle w:val="18"/>
      <w:jc w:val="center"/>
      <w:rPr>
        <w:rFonts w:ascii="宋体" w:hAnsi="宋体"/>
      </w:rPr>
    </w:pPr>
    <w:r>
      <w:rPr>
        <w:rFonts w:hint="eastAsia" w:ascii="宋体" w:hAnsi="宋体"/>
        <w:kern w:val="0"/>
        <w:szCs w:val="21"/>
      </w:rPr>
      <w:t xml:space="preserve">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14</w:t>
    </w:r>
    <w:r>
      <w:rPr>
        <w:rFonts w:ascii="宋体" w:hAnsi="宋体"/>
        <w:kern w:val="0"/>
        <w:szCs w:val="21"/>
      </w:rPr>
      <w:fldChar w:fldCharType="end"/>
    </w:r>
    <w:r>
      <w:rPr>
        <w:rFonts w:hint="eastAsia" w:ascii="宋体" w:hAnsi="宋体"/>
        <w:kern w:val="0"/>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1A51E">
    <w:pPr>
      <w:pStyle w:val="18"/>
      <w:jc w:val="center"/>
      <w:rPr>
        <w:rFonts w:ascii="宋体" w:hAnsi="宋体"/>
      </w:rPr>
    </w:pPr>
    <w:r>
      <w:rPr>
        <w:rFonts w:hint="eastAsia" w:ascii="宋体" w:hAnsi="宋体"/>
        <w:kern w:val="0"/>
        <w:szCs w:val="21"/>
      </w:rPr>
      <w:t xml:space="preserve">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16</w:t>
    </w:r>
    <w:r>
      <w:rPr>
        <w:rFonts w:ascii="宋体" w:hAnsi="宋体"/>
        <w:kern w:val="0"/>
        <w:szCs w:val="21"/>
      </w:rPr>
      <w:fldChar w:fldCharType="end"/>
    </w:r>
    <w:r>
      <w:rPr>
        <w:rFonts w:hint="eastAsia" w:ascii="宋体" w:hAnsi="宋体"/>
        <w:kern w:val="0"/>
        <w:szCs w:val="21"/>
      </w:rPr>
      <w:t xml:space="preserve"> </w:t>
    </w:r>
  </w:p>
  <w:p w14:paraId="76481416"/>
  <w:p w14:paraId="463785E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C198A">
    <w:pPr>
      <w:pStyle w:val="20"/>
      <w:wordWrap w:val="0"/>
      <w:jc w:val="right"/>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5E751">
    <w:pPr>
      <w:pStyle w:val="20"/>
      <w:pBdr>
        <w:bottom w:val="none" w:color="auto" w:sz="0" w:space="0"/>
      </w:pBdr>
      <w:tabs>
        <w:tab w:val="left" w:pos="5210"/>
        <w:tab w:val="clear" w:pos="8306"/>
      </w:tabs>
      <w:jc w:val="left"/>
    </w:pPr>
  </w:p>
  <w:p w14:paraId="7E37CAD1"/>
  <w:p w14:paraId="3D6C9D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086376"/>
    <w:multiLevelType w:val="singleLevel"/>
    <w:tmpl w:val="8B086376"/>
    <w:lvl w:ilvl="0" w:tentative="0">
      <w:start w:val="5"/>
      <w:numFmt w:val="chineseCounting"/>
      <w:suff w:val="nothing"/>
      <w:lvlText w:val="%1、"/>
      <w:lvlJc w:val="left"/>
      <w:rPr>
        <w:rFonts w:hint="eastAsia"/>
      </w:rPr>
    </w:lvl>
  </w:abstractNum>
  <w:abstractNum w:abstractNumId="1">
    <w:nsid w:val="CF092B84"/>
    <w:multiLevelType w:val="multilevel"/>
    <w:tmpl w:val="CF092B84"/>
    <w:lvl w:ilvl="0" w:tentative="0">
      <w:start w:val="1"/>
      <w:numFmt w:val="chineseCountingThousand"/>
      <w:lvlText w:val="第%1章"/>
      <w:legacy w:legacy="1" w:legacySpace="454" w:legacyIndent="0"/>
      <w:lvlJc w:val="center"/>
    </w:lvl>
    <w:lvl w:ilvl="1" w:tentative="0">
      <w:start w:val="1"/>
      <w:numFmt w:val="chineseCountingThousand"/>
      <w:pStyle w:val="94"/>
      <w:lvlText w:val="第%2节"/>
      <w:legacy w:legacy="1" w:legacySpace="340" w:legacyIndent="0"/>
      <w:lvlJc w:val="center"/>
    </w:lvl>
    <w:lvl w:ilvl="2" w:tentative="0">
      <w:start w:val="1"/>
      <w:numFmt w:val="chineseCountingThousand"/>
      <w:lvlText w:val="%3"/>
      <w:legacy w:legacy="1" w:legacySpace="227" w:legacyIndent="0"/>
      <w:lvlJc w:val="left"/>
    </w:lvl>
    <w:lvl w:ilvl="3" w:tentative="0">
      <w:start w:val="1"/>
      <w:numFmt w:val="chineseCountingThousand"/>
      <w:lvlText w:val="(%4)"/>
      <w:legacy w:legacy="1" w:legacySpace="113" w:legacyIndent="0"/>
      <w:lvlJc w:val="left"/>
    </w:lvl>
    <w:lvl w:ilvl="4" w:tentative="0">
      <w:start w:val="1"/>
      <w:numFmt w:val="decimal"/>
      <w:lvlText w:val="%5."/>
      <w:legacy w:legacy="1" w:legacySpace="113" w:legacyIndent="0"/>
      <w:lvlJc w:val="left"/>
      <w:pPr>
        <w:ind w:left="0" w:firstLine="0"/>
      </w:pPr>
    </w:lvl>
    <w:lvl w:ilvl="5" w:tentative="0">
      <w:start w:val="1"/>
      <w:numFmt w:val="decimal"/>
      <w:lvlText w:val="(%6)"/>
      <w:legacy w:legacy="1" w:legacySpace="113" w:legacyIndent="0"/>
      <w:lvlJc w:val="left"/>
    </w:lvl>
    <w:lvl w:ilvl="6" w:tentative="0">
      <w:start w:val="1"/>
      <w:numFmt w:val="lowerRoman"/>
      <w:lvlText w:val="%7"/>
      <w:legacy w:legacy="1" w:legacySpace="113" w:legacyIndent="0"/>
      <w:lvlJc w:val="left"/>
      <w:pPr>
        <w:ind w:left="0" w:firstLine="0"/>
      </w:pPr>
    </w:lvl>
    <w:lvl w:ilvl="7" w:tentative="0">
      <w:start w:val="1"/>
      <w:numFmt w:val="lowerRoman"/>
      <w:lvlText w:val="(%8)"/>
      <w:legacy w:legacy="1" w:legacySpace="113" w:legacyIndent="0"/>
      <w:lvlJc w:val="left"/>
      <w:pPr>
        <w:ind w:left="0" w:firstLine="0"/>
      </w:pPr>
    </w:lvl>
    <w:lvl w:ilvl="8" w:tentative="0">
      <w:start w:val="1"/>
      <w:numFmt w:val="lowerLetter"/>
      <w:lvlText w:val="%9)"/>
      <w:legacy w:legacy="1" w:legacySpace="113" w:legacyIndent="0"/>
      <w:lvlJc w:val="left"/>
      <w:pPr>
        <w:ind w:left="0" w:firstLine="0"/>
      </w:pPr>
    </w:lvl>
  </w:abstractNum>
  <w:abstractNum w:abstractNumId="2">
    <w:nsid w:val="3B1E3A3F"/>
    <w:multiLevelType w:val="multilevel"/>
    <w:tmpl w:val="3B1E3A3F"/>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4D851CE5"/>
    <w:multiLevelType w:val="multilevel"/>
    <w:tmpl w:val="4D851CE5"/>
    <w:lvl w:ilvl="0" w:tentative="0">
      <w:start w:val="1"/>
      <w:numFmt w:val="decimal"/>
      <w:lvlText w:val="%1"/>
      <w:lvlJc w:val="left"/>
      <w:pPr>
        <w:tabs>
          <w:tab w:val="left" w:pos="432"/>
        </w:tabs>
        <w:ind w:left="432" w:hanging="432"/>
      </w:pPr>
    </w:lvl>
    <w:lvl w:ilvl="1" w:tentative="0">
      <w:start w:val="1"/>
      <w:numFmt w:val="none"/>
      <w:lvlText w:val=""/>
      <w:lvlJc w:val="left"/>
      <w:pPr>
        <w:tabs>
          <w:tab w:val="left" w:pos="360"/>
        </w:tabs>
      </w:pPr>
    </w:lvl>
    <w:lvl w:ilvl="2" w:tentative="0">
      <w:start w:val="1"/>
      <w:numFmt w:val="none"/>
      <w:lvlText w:val=""/>
      <w:lvlJc w:val="left"/>
      <w:pPr>
        <w:tabs>
          <w:tab w:val="left" w:pos="360"/>
        </w:tabs>
      </w:pPr>
    </w:lvl>
    <w:lvl w:ilvl="3" w:tentative="0">
      <w:start w:val="1"/>
      <w:numFmt w:val="none"/>
      <w:pStyle w:val="89"/>
      <w:lvlText w:val=""/>
      <w:lvlJc w:val="left"/>
      <w:pPr>
        <w:tabs>
          <w:tab w:val="left" w:pos="360"/>
        </w:tabs>
      </w:pPr>
    </w:lvl>
    <w:lvl w:ilvl="4" w:tentative="0">
      <w:start w:val="1"/>
      <w:numFmt w:val="none"/>
      <w:lvlText w:val=""/>
      <w:lvlJc w:val="left"/>
      <w:pPr>
        <w:tabs>
          <w:tab w:val="left" w:pos="360"/>
        </w:tabs>
      </w:pPr>
    </w:lvl>
    <w:lvl w:ilvl="5" w:tentative="0">
      <w:start w:val="1"/>
      <w:numFmt w:val="none"/>
      <w:lvlText w:val=""/>
      <w:lvlJc w:val="left"/>
      <w:pPr>
        <w:tabs>
          <w:tab w:val="left" w:pos="360"/>
        </w:tabs>
      </w:pPr>
    </w:lvl>
    <w:lvl w:ilvl="6" w:tentative="0">
      <w:start w:val="1"/>
      <w:numFmt w:val="none"/>
      <w:lvlText w:val=""/>
      <w:lvlJc w:val="left"/>
      <w:pPr>
        <w:tabs>
          <w:tab w:val="left" w:pos="360"/>
        </w:tabs>
      </w:pPr>
    </w:lvl>
    <w:lvl w:ilvl="7" w:tentative="0">
      <w:start w:val="1"/>
      <w:numFmt w:val="none"/>
      <w:lvlText w:val=""/>
      <w:lvlJc w:val="left"/>
      <w:pPr>
        <w:tabs>
          <w:tab w:val="left" w:pos="360"/>
        </w:tabs>
      </w:pPr>
    </w:lvl>
    <w:lvl w:ilvl="8" w:tentative="0">
      <w:start w:val="1"/>
      <w:numFmt w:val="none"/>
      <w:lvlText w:val=""/>
      <w:lvlJc w:val="left"/>
      <w:pPr>
        <w:tabs>
          <w:tab w:val="left" w:pos="360"/>
        </w:tabs>
      </w:pPr>
    </w:lvl>
  </w:abstractNum>
  <w:abstractNum w:abstractNumId="4">
    <w:nsid w:val="4F541BB4"/>
    <w:multiLevelType w:val="multilevel"/>
    <w:tmpl w:val="4F541BB4"/>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pStyle w:val="6"/>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ZWYxZmQ4ZTQ1OTg1OWQxNTdmYjEwNzkzMDZhOTQifQ=="/>
  </w:docVars>
  <w:rsids>
    <w:rsidRoot w:val="003E725D"/>
    <w:rsid w:val="00000059"/>
    <w:rsid w:val="00000299"/>
    <w:rsid w:val="00000B3F"/>
    <w:rsid w:val="00000D6E"/>
    <w:rsid w:val="000012B2"/>
    <w:rsid w:val="00001E28"/>
    <w:rsid w:val="00001F1F"/>
    <w:rsid w:val="00002124"/>
    <w:rsid w:val="0000245C"/>
    <w:rsid w:val="0000248A"/>
    <w:rsid w:val="00002C37"/>
    <w:rsid w:val="00002FF1"/>
    <w:rsid w:val="0000340E"/>
    <w:rsid w:val="00004374"/>
    <w:rsid w:val="00004A2E"/>
    <w:rsid w:val="000064EB"/>
    <w:rsid w:val="00006DDB"/>
    <w:rsid w:val="00007088"/>
    <w:rsid w:val="0000757E"/>
    <w:rsid w:val="00010513"/>
    <w:rsid w:val="00010DC2"/>
    <w:rsid w:val="00010FA0"/>
    <w:rsid w:val="00011B4E"/>
    <w:rsid w:val="00011F6D"/>
    <w:rsid w:val="00012410"/>
    <w:rsid w:val="00012DB4"/>
    <w:rsid w:val="000133CE"/>
    <w:rsid w:val="00013D5D"/>
    <w:rsid w:val="0001564A"/>
    <w:rsid w:val="00016B89"/>
    <w:rsid w:val="00020B64"/>
    <w:rsid w:val="00021CE2"/>
    <w:rsid w:val="000224B2"/>
    <w:rsid w:val="0002348C"/>
    <w:rsid w:val="00024932"/>
    <w:rsid w:val="00024A76"/>
    <w:rsid w:val="00025147"/>
    <w:rsid w:val="00025CB4"/>
    <w:rsid w:val="000263E9"/>
    <w:rsid w:val="0002721E"/>
    <w:rsid w:val="00030B13"/>
    <w:rsid w:val="00032CE8"/>
    <w:rsid w:val="000337FD"/>
    <w:rsid w:val="00034181"/>
    <w:rsid w:val="0003510D"/>
    <w:rsid w:val="00035715"/>
    <w:rsid w:val="00036C56"/>
    <w:rsid w:val="00037108"/>
    <w:rsid w:val="000379B8"/>
    <w:rsid w:val="00040282"/>
    <w:rsid w:val="000402B1"/>
    <w:rsid w:val="00040360"/>
    <w:rsid w:val="000405A0"/>
    <w:rsid w:val="00040BB5"/>
    <w:rsid w:val="000419B5"/>
    <w:rsid w:val="00043630"/>
    <w:rsid w:val="00043808"/>
    <w:rsid w:val="0004445B"/>
    <w:rsid w:val="000447E0"/>
    <w:rsid w:val="00044F40"/>
    <w:rsid w:val="000464E1"/>
    <w:rsid w:val="00046577"/>
    <w:rsid w:val="0005083B"/>
    <w:rsid w:val="00050D98"/>
    <w:rsid w:val="0005130B"/>
    <w:rsid w:val="00051899"/>
    <w:rsid w:val="00051D07"/>
    <w:rsid w:val="000528A3"/>
    <w:rsid w:val="00052CB4"/>
    <w:rsid w:val="0005386F"/>
    <w:rsid w:val="00053993"/>
    <w:rsid w:val="00053FD6"/>
    <w:rsid w:val="00054EF2"/>
    <w:rsid w:val="0005507B"/>
    <w:rsid w:val="00055A13"/>
    <w:rsid w:val="000566E8"/>
    <w:rsid w:val="00057EE7"/>
    <w:rsid w:val="00060036"/>
    <w:rsid w:val="000604C8"/>
    <w:rsid w:val="00060B81"/>
    <w:rsid w:val="00060DFA"/>
    <w:rsid w:val="00060E2C"/>
    <w:rsid w:val="00060F46"/>
    <w:rsid w:val="00061B67"/>
    <w:rsid w:val="000631D5"/>
    <w:rsid w:val="000649C7"/>
    <w:rsid w:val="00064CE6"/>
    <w:rsid w:val="000651CA"/>
    <w:rsid w:val="0006700A"/>
    <w:rsid w:val="000673AE"/>
    <w:rsid w:val="000675D7"/>
    <w:rsid w:val="0006772D"/>
    <w:rsid w:val="0006779C"/>
    <w:rsid w:val="000678F4"/>
    <w:rsid w:val="00067ECA"/>
    <w:rsid w:val="00067F4A"/>
    <w:rsid w:val="000709B3"/>
    <w:rsid w:val="00071434"/>
    <w:rsid w:val="000730D7"/>
    <w:rsid w:val="0007338F"/>
    <w:rsid w:val="000742D8"/>
    <w:rsid w:val="00074AF3"/>
    <w:rsid w:val="0007643E"/>
    <w:rsid w:val="00077110"/>
    <w:rsid w:val="000774D2"/>
    <w:rsid w:val="000776F1"/>
    <w:rsid w:val="00077EA4"/>
    <w:rsid w:val="00081A6D"/>
    <w:rsid w:val="00081A8F"/>
    <w:rsid w:val="00081EFD"/>
    <w:rsid w:val="0008242F"/>
    <w:rsid w:val="00082ACB"/>
    <w:rsid w:val="00083B7C"/>
    <w:rsid w:val="000842E6"/>
    <w:rsid w:val="000845C3"/>
    <w:rsid w:val="000860FB"/>
    <w:rsid w:val="000863E4"/>
    <w:rsid w:val="00086B2C"/>
    <w:rsid w:val="000876E2"/>
    <w:rsid w:val="0009042B"/>
    <w:rsid w:val="00091140"/>
    <w:rsid w:val="000917F1"/>
    <w:rsid w:val="000936B3"/>
    <w:rsid w:val="00093992"/>
    <w:rsid w:val="000951B5"/>
    <w:rsid w:val="00095213"/>
    <w:rsid w:val="00095B28"/>
    <w:rsid w:val="00096D6B"/>
    <w:rsid w:val="0009733D"/>
    <w:rsid w:val="000A0270"/>
    <w:rsid w:val="000A0F8F"/>
    <w:rsid w:val="000A2C1D"/>
    <w:rsid w:val="000A394D"/>
    <w:rsid w:val="000A3B77"/>
    <w:rsid w:val="000A42F3"/>
    <w:rsid w:val="000A4C2B"/>
    <w:rsid w:val="000A62C2"/>
    <w:rsid w:val="000A636F"/>
    <w:rsid w:val="000A645D"/>
    <w:rsid w:val="000B11F8"/>
    <w:rsid w:val="000B22E2"/>
    <w:rsid w:val="000B2849"/>
    <w:rsid w:val="000B2D94"/>
    <w:rsid w:val="000B38A6"/>
    <w:rsid w:val="000B49EE"/>
    <w:rsid w:val="000B547C"/>
    <w:rsid w:val="000C0259"/>
    <w:rsid w:val="000C0EEE"/>
    <w:rsid w:val="000C190A"/>
    <w:rsid w:val="000C2A38"/>
    <w:rsid w:val="000C2CD1"/>
    <w:rsid w:val="000C30B6"/>
    <w:rsid w:val="000C45C9"/>
    <w:rsid w:val="000C4CB7"/>
    <w:rsid w:val="000C5D32"/>
    <w:rsid w:val="000C6BB5"/>
    <w:rsid w:val="000C75F6"/>
    <w:rsid w:val="000C7D0B"/>
    <w:rsid w:val="000D0451"/>
    <w:rsid w:val="000D08EF"/>
    <w:rsid w:val="000D0B2B"/>
    <w:rsid w:val="000D0E85"/>
    <w:rsid w:val="000D214C"/>
    <w:rsid w:val="000D4D9A"/>
    <w:rsid w:val="000D4EAE"/>
    <w:rsid w:val="000D5A83"/>
    <w:rsid w:val="000D5CE3"/>
    <w:rsid w:val="000D6533"/>
    <w:rsid w:val="000D71C8"/>
    <w:rsid w:val="000E02AF"/>
    <w:rsid w:val="000E02D6"/>
    <w:rsid w:val="000E0E85"/>
    <w:rsid w:val="000E182B"/>
    <w:rsid w:val="000E3809"/>
    <w:rsid w:val="000E3CD4"/>
    <w:rsid w:val="000E581D"/>
    <w:rsid w:val="000E67B3"/>
    <w:rsid w:val="000E6F8A"/>
    <w:rsid w:val="000E7635"/>
    <w:rsid w:val="000E7739"/>
    <w:rsid w:val="000F1094"/>
    <w:rsid w:val="000F17EC"/>
    <w:rsid w:val="000F23C3"/>
    <w:rsid w:val="000F36FC"/>
    <w:rsid w:val="000F4691"/>
    <w:rsid w:val="000F4D6A"/>
    <w:rsid w:val="000F67CD"/>
    <w:rsid w:val="000F70F9"/>
    <w:rsid w:val="000F7687"/>
    <w:rsid w:val="0010050D"/>
    <w:rsid w:val="0010121E"/>
    <w:rsid w:val="001013D4"/>
    <w:rsid w:val="0010141E"/>
    <w:rsid w:val="00102443"/>
    <w:rsid w:val="00102CC3"/>
    <w:rsid w:val="00103A1D"/>
    <w:rsid w:val="00103FD8"/>
    <w:rsid w:val="00106465"/>
    <w:rsid w:val="001069B1"/>
    <w:rsid w:val="0011023D"/>
    <w:rsid w:val="00111DB5"/>
    <w:rsid w:val="00113A0B"/>
    <w:rsid w:val="00115027"/>
    <w:rsid w:val="001159E7"/>
    <w:rsid w:val="00115B53"/>
    <w:rsid w:val="001162D8"/>
    <w:rsid w:val="00116D22"/>
    <w:rsid w:val="00121685"/>
    <w:rsid w:val="00121ABD"/>
    <w:rsid w:val="00121B15"/>
    <w:rsid w:val="00121B1E"/>
    <w:rsid w:val="0012200E"/>
    <w:rsid w:val="001227FB"/>
    <w:rsid w:val="00122AC9"/>
    <w:rsid w:val="00123DC3"/>
    <w:rsid w:val="00125555"/>
    <w:rsid w:val="0012594D"/>
    <w:rsid w:val="00126AC2"/>
    <w:rsid w:val="001279BB"/>
    <w:rsid w:val="00130372"/>
    <w:rsid w:val="001304CE"/>
    <w:rsid w:val="00130F91"/>
    <w:rsid w:val="00131EB9"/>
    <w:rsid w:val="00132095"/>
    <w:rsid w:val="00132E66"/>
    <w:rsid w:val="001330D2"/>
    <w:rsid w:val="001335C0"/>
    <w:rsid w:val="00134F11"/>
    <w:rsid w:val="001372C6"/>
    <w:rsid w:val="0014209D"/>
    <w:rsid w:val="00142DBA"/>
    <w:rsid w:val="00145008"/>
    <w:rsid w:val="001458E9"/>
    <w:rsid w:val="00145C66"/>
    <w:rsid w:val="00145FF8"/>
    <w:rsid w:val="00152F08"/>
    <w:rsid w:val="00153BC6"/>
    <w:rsid w:val="00154EF1"/>
    <w:rsid w:val="00156D61"/>
    <w:rsid w:val="0015704F"/>
    <w:rsid w:val="001571B2"/>
    <w:rsid w:val="001573E2"/>
    <w:rsid w:val="00160824"/>
    <w:rsid w:val="001609F3"/>
    <w:rsid w:val="00160A61"/>
    <w:rsid w:val="00162244"/>
    <w:rsid w:val="00163338"/>
    <w:rsid w:val="00163629"/>
    <w:rsid w:val="001640EC"/>
    <w:rsid w:val="00164755"/>
    <w:rsid w:val="00165F2E"/>
    <w:rsid w:val="00170443"/>
    <w:rsid w:val="00170F4B"/>
    <w:rsid w:val="0017164C"/>
    <w:rsid w:val="001718D1"/>
    <w:rsid w:val="001722DC"/>
    <w:rsid w:val="0017287C"/>
    <w:rsid w:val="00173BD1"/>
    <w:rsid w:val="001742D9"/>
    <w:rsid w:val="00174A4F"/>
    <w:rsid w:val="00175824"/>
    <w:rsid w:val="00175855"/>
    <w:rsid w:val="00176A25"/>
    <w:rsid w:val="00177072"/>
    <w:rsid w:val="00181944"/>
    <w:rsid w:val="00181B00"/>
    <w:rsid w:val="00184C01"/>
    <w:rsid w:val="00185BDD"/>
    <w:rsid w:val="00186E05"/>
    <w:rsid w:val="00186F34"/>
    <w:rsid w:val="001873CE"/>
    <w:rsid w:val="0018795C"/>
    <w:rsid w:val="00190E8E"/>
    <w:rsid w:val="00191DE2"/>
    <w:rsid w:val="00191F7B"/>
    <w:rsid w:val="0019201E"/>
    <w:rsid w:val="00194F1D"/>
    <w:rsid w:val="00195339"/>
    <w:rsid w:val="0019582D"/>
    <w:rsid w:val="0019661B"/>
    <w:rsid w:val="00197B70"/>
    <w:rsid w:val="001A1708"/>
    <w:rsid w:val="001A2063"/>
    <w:rsid w:val="001A2742"/>
    <w:rsid w:val="001A30D7"/>
    <w:rsid w:val="001A4BAC"/>
    <w:rsid w:val="001A5D5F"/>
    <w:rsid w:val="001A5D88"/>
    <w:rsid w:val="001A623A"/>
    <w:rsid w:val="001A7A99"/>
    <w:rsid w:val="001B0FA4"/>
    <w:rsid w:val="001B1438"/>
    <w:rsid w:val="001B1B7A"/>
    <w:rsid w:val="001B227E"/>
    <w:rsid w:val="001B34D4"/>
    <w:rsid w:val="001B3AEA"/>
    <w:rsid w:val="001B46D3"/>
    <w:rsid w:val="001B4A2C"/>
    <w:rsid w:val="001B55B7"/>
    <w:rsid w:val="001B566A"/>
    <w:rsid w:val="001B5841"/>
    <w:rsid w:val="001B5E9E"/>
    <w:rsid w:val="001B7103"/>
    <w:rsid w:val="001B79E7"/>
    <w:rsid w:val="001C1449"/>
    <w:rsid w:val="001C1731"/>
    <w:rsid w:val="001C1738"/>
    <w:rsid w:val="001C1F85"/>
    <w:rsid w:val="001C27CA"/>
    <w:rsid w:val="001C3005"/>
    <w:rsid w:val="001C36A7"/>
    <w:rsid w:val="001C408A"/>
    <w:rsid w:val="001C523F"/>
    <w:rsid w:val="001C5F81"/>
    <w:rsid w:val="001C7709"/>
    <w:rsid w:val="001C7C1B"/>
    <w:rsid w:val="001D145E"/>
    <w:rsid w:val="001D1DEC"/>
    <w:rsid w:val="001D34F2"/>
    <w:rsid w:val="001D4569"/>
    <w:rsid w:val="001D538D"/>
    <w:rsid w:val="001D643C"/>
    <w:rsid w:val="001E03D1"/>
    <w:rsid w:val="001E0779"/>
    <w:rsid w:val="001E0AEA"/>
    <w:rsid w:val="001E0D0F"/>
    <w:rsid w:val="001E0E66"/>
    <w:rsid w:val="001E1ADC"/>
    <w:rsid w:val="001E25A6"/>
    <w:rsid w:val="001E5DCA"/>
    <w:rsid w:val="001E719B"/>
    <w:rsid w:val="001E750C"/>
    <w:rsid w:val="001E757C"/>
    <w:rsid w:val="001F024F"/>
    <w:rsid w:val="001F0A0B"/>
    <w:rsid w:val="001F0D98"/>
    <w:rsid w:val="001F0E3C"/>
    <w:rsid w:val="001F1602"/>
    <w:rsid w:val="001F1EB9"/>
    <w:rsid w:val="001F3180"/>
    <w:rsid w:val="001F4744"/>
    <w:rsid w:val="001F4A2F"/>
    <w:rsid w:val="001F5AAE"/>
    <w:rsid w:val="001F724E"/>
    <w:rsid w:val="001F79EA"/>
    <w:rsid w:val="001F7E57"/>
    <w:rsid w:val="00200ADA"/>
    <w:rsid w:val="00200CC0"/>
    <w:rsid w:val="00201B3E"/>
    <w:rsid w:val="00201C19"/>
    <w:rsid w:val="00202320"/>
    <w:rsid w:val="00202A8B"/>
    <w:rsid w:val="00203A30"/>
    <w:rsid w:val="00204C14"/>
    <w:rsid w:val="00205AD0"/>
    <w:rsid w:val="00205BE7"/>
    <w:rsid w:val="00206C55"/>
    <w:rsid w:val="00207967"/>
    <w:rsid w:val="00207C2D"/>
    <w:rsid w:val="00207D7E"/>
    <w:rsid w:val="00207ECF"/>
    <w:rsid w:val="00210B1C"/>
    <w:rsid w:val="00210B6E"/>
    <w:rsid w:val="002115BA"/>
    <w:rsid w:val="002132DF"/>
    <w:rsid w:val="00214B7E"/>
    <w:rsid w:val="00215044"/>
    <w:rsid w:val="00215075"/>
    <w:rsid w:val="00217D3C"/>
    <w:rsid w:val="00221207"/>
    <w:rsid w:val="0022161B"/>
    <w:rsid w:val="00221E82"/>
    <w:rsid w:val="00221FF3"/>
    <w:rsid w:val="0022322D"/>
    <w:rsid w:val="00224498"/>
    <w:rsid w:val="00225079"/>
    <w:rsid w:val="00226B89"/>
    <w:rsid w:val="00226FEE"/>
    <w:rsid w:val="00227001"/>
    <w:rsid w:val="002276D1"/>
    <w:rsid w:val="00227965"/>
    <w:rsid w:val="002317D9"/>
    <w:rsid w:val="00231D1B"/>
    <w:rsid w:val="00232272"/>
    <w:rsid w:val="00232540"/>
    <w:rsid w:val="00234446"/>
    <w:rsid w:val="002347E6"/>
    <w:rsid w:val="00235476"/>
    <w:rsid w:val="002363B6"/>
    <w:rsid w:val="002369D4"/>
    <w:rsid w:val="00236AC8"/>
    <w:rsid w:val="00236C24"/>
    <w:rsid w:val="00237957"/>
    <w:rsid w:val="002400B0"/>
    <w:rsid w:val="00240CE7"/>
    <w:rsid w:val="00240F9A"/>
    <w:rsid w:val="002415A4"/>
    <w:rsid w:val="00241AC3"/>
    <w:rsid w:val="00241B6E"/>
    <w:rsid w:val="0024216E"/>
    <w:rsid w:val="002430C2"/>
    <w:rsid w:val="00243773"/>
    <w:rsid w:val="00243B26"/>
    <w:rsid w:val="002440A3"/>
    <w:rsid w:val="00244328"/>
    <w:rsid w:val="00244794"/>
    <w:rsid w:val="002451B4"/>
    <w:rsid w:val="0024582E"/>
    <w:rsid w:val="00245E56"/>
    <w:rsid w:val="00247192"/>
    <w:rsid w:val="00247CCA"/>
    <w:rsid w:val="00250DBF"/>
    <w:rsid w:val="00250DEC"/>
    <w:rsid w:val="00251C9B"/>
    <w:rsid w:val="00251FB6"/>
    <w:rsid w:val="002523A5"/>
    <w:rsid w:val="00252501"/>
    <w:rsid w:val="0025332D"/>
    <w:rsid w:val="0025384E"/>
    <w:rsid w:val="00253AB4"/>
    <w:rsid w:val="00253B58"/>
    <w:rsid w:val="00254CA0"/>
    <w:rsid w:val="00255B56"/>
    <w:rsid w:val="00255CE2"/>
    <w:rsid w:val="0025725F"/>
    <w:rsid w:val="002579F6"/>
    <w:rsid w:val="00260050"/>
    <w:rsid w:val="00261038"/>
    <w:rsid w:val="00261895"/>
    <w:rsid w:val="00261C0D"/>
    <w:rsid w:val="00262228"/>
    <w:rsid w:val="00262299"/>
    <w:rsid w:val="00263DB9"/>
    <w:rsid w:val="002641C2"/>
    <w:rsid w:val="00264542"/>
    <w:rsid w:val="002656D5"/>
    <w:rsid w:val="00266466"/>
    <w:rsid w:val="00267365"/>
    <w:rsid w:val="00267394"/>
    <w:rsid w:val="002678DB"/>
    <w:rsid w:val="00271F13"/>
    <w:rsid w:val="00273E5A"/>
    <w:rsid w:val="00273FD3"/>
    <w:rsid w:val="00275C25"/>
    <w:rsid w:val="00276486"/>
    <w:rsid w:val="0027663B"/>
    <w:rsid w:val="00276D5A"/>
    <w:rsid w:val="002800EF"/>
    <w:rsid w:val="002817C7"/>
    <w:rsid w:val="00282435"/>
    <w:rsid w:val="00282D32"/>
    <w:rsid w:val="00282E8F"/>
    <w:rsid w:val="0028349D"/>
    <w:rsid w:val="00283B1F"/>
    <w:rsid w:val="0028582F"/>
    <w:rsid w:val="00285D4C"/>
    <w:rsid w:val="002867E9"/>
    <w:rsid w:val="00286977"/>
    <w:rsid w:val="00287470"/>
    <w:rsid w:val="002903CC"/>
    <w:rsid w:val="002906C5"/>
    <w:rsid w:val="00290C54"/>
    <w:rsid w:val="00290EE4"/>
    <w:rsid w:val="002926BC"/>
    <w:rsid w:val="00294842"/>
    <w:rsid w:val="00295256"/>
    <w:rsid w:val="00295AD7"/>
    <w:rsid w:val="00297CB8"/>
    <w:rsid w:val="002A05AC"/>
    <w:rsid w:val="002A1BB4"/>
    <w:rsid w:val="002A32AE"/>
    <w:rsid w:val="002A4A6F"/>
    <w:rsid w:val="002A5724"/>
    <w:rsid w:val="002A5BD5"/>
    <w:rsid w:val="002A6CB1"/>
    <w:rsid w:val="002A72B5"/>
    <w:rsid w:val="002A789C"/>
    <w:rsid w:val="002B0370"/>
    <w:rsid w:val="002B0BAF"/>
    <w:rsid w:val="002B1486"/>
    <w:rsid w:val="002B161F"/>
    <w:rsid w:val="002B19B6"/>
    <w:rsid w:val="002B2C59"/>
    <w:rsid w:val="002B316C"/>
    <w:rsid w:val="002B32C3"/>
    <w:rsid w:val="002B4AEA"/>
    <w:rsid w:val="002B5208"/>
    <w:rsid w:val="002B5A00"/>
    <w:rsid w:val="002B5CDD"/>
    <w:rsid w:val="002B655E"/>
    <w:rsid w:val="002C15CD"/>
    <w:rsid w:val="002C1917"/>
    <w:rsid w:val="002C1E9A"/>
    <w:rsid w:val="002C24F7"/>
    <w:rsid w:val="002C36DD"/>
    <w:rsid w:val="002C5A38"/>
    <w:rsid w:val="002C65B8"/>
    <w:rsid w:val="002C6B3C"/>
    <w:rsid w:val="002C705B"/>
    <w:rsid w:val="002C7200"/>
    <w:rsid w:val="002C7792"/>
    <w:rsid w:val="002D07CB"/>
    <w:rsid w:val="002D15DA"/>
    <w:rsid w:val="002D1957"/>
    <w:rsid w:val="002D1FE4"/>
    <w:rsid w:val="002D2569"/>
    <w:rsid w:val="002D3045"/>
    <w:rsid w:val="002D311D"/>
    <w:rsid w:val="002D3F11"/>
    <w:rsid w:val="002D613D"/>
    <w:rsid w:val="002D6412"/>
    <w:rsid w:val="002E14AA"/>
    <w:rsid w:val="002E2A37"/>
    <w:rsid w:val="002E2A6D"/>
    <w:rsid w:val="002E30D9"/>
    <w:rsid w:val="002E333B"/>
    <w:rsid w:val="002E37E4"/>
    <w:rsid w:val="002E4C94"/>
    <w:rsid w:val="002E5A7F"/>
    <w:rsid w:val="002E6986"/>
    <w:rsid w:val="002E77AA"/>
    <w:rsid w:val="002E7C2D"/>
    <w:rsid w:val="002F0B51"/>
    <w:rsid w:val="002F0BB8"/>
    <w:rsid w:val="002F0DC4"/>
    <w:rsid w:val="002F190B"/>
    <w:rsid w:val="002F1E5D"/>
    <w:rsid w:val="002F211F"/>
    <w:rsid w:val="002F32B0"/>
    <w:rsid w:val="002F33F8"/>
    <w:rsid w:val="002F3F1C"/>
    <w:rsid w:val="002F5737"/>
    <w:rsid w:val="002F6473"/>
    <w:rsid w:val="002F6568"/>
    <w:rsid w:val="002F6D90"/>
    <w:rsid w:val="002F77C5"/>
    <w:rsid w:val="002F790F"/>
    <w:rsid w:val="002F7E60"/>
    <w:rsid w:val="003010FE"/>
    <w:rsid w:val="0030126C"/>
    <w:rsid w:val="00301AAD"/>
    <w:rsid w:val="0030219F"/>
    <w:rsid w:val="00304C78"/>
    <w:rsid w:val="00305697"/>
    <w:rsid w:val="00305CF4"/>
    <w:rsid w:val="0030718E"/>
    <w:rsid w:val="00307CD3"/>
    <w:rsid w:val="00307D2F"/>
    <w:rsid w:val="0031013D"/>
    <w:rsid w:val="0031093D"/>
    <w:rsid w:val="003111BC"/>
    <w:rsid w:val="00311E0F"/>
    <w:rsid w:val="003124DD"/>
    <w:rsid w:val="00312553"/>
    <w:rsid w:val="00312706"/>
    <w:rsid w:val="00312DDA"/>
    <w:rsid w:val="0031320E"/>
    <w:rsid w:val="00313235"/>
    <w:rsid w:val="00313315"/>
    <w:rsid w:val="00313FAE"/>
    <w:rsid w:val="00315A4B"/>
    <w:rsid w:val="00315F19"/>
    <w:rsid w:val="0031605E"/>
    <w:rsid w:val="00316380"/>
    <w:rsid w:val="00316DA4"/>
    <w:rsid w:val="0031790B"/>
    <w:rsid w:val="00317F25"/>
    <w:rsid w:val="00321890"/>
    <w:rsid w:val="003221E2"/>
    <w:rsid w:val="00322515"/>
    <w:rsid w:val="003230DE"/>
    <w:rsid w:val="0032378B"/>
    <w:rsid w:val="00323B3B"/>
    <w:rsid w:val="00324F77"/>
    <w:rsid w:val="003250FC"/>
    <w:rsid w:val="00325991"/>
    <w:rsid w:val="00326051"/>
    <w:rsid w:val="00326D27"/>
    <w:rsid w:val="003278CA"/>
    <w:rsid w:val="00333378"/>
    <w:rsid w:val="003349D8"/>
    <w:rsid w:val="00334A2E"/>
    <w:rsid w:val="00334D31"/>
    <w:rsid w:val="00334ED7"/>
    <w:rsid w:val="003354F3"/>
    <w:rsid w:val="00335D0E"/>
    <w:rsid w:val="003361F8"/>
    <w:rsid w:val="00336718"/>
    <w:rsid w:val="00337E3F"/>
    <w:rsid w:val="003408AB"/>
    <w:rsid w:val="00340F6D"/>
    <w:rsid w:val="0034183A"/>
    <w:rsid w:val="00341952"/>
    <w:rsid w:val="00341E04"/>
    <w:rsid w:val="00342A1F"/>
    <w:rsid w:val="00342FC4"/>
    <w:rsid w:val="00345A5E"/>
    <w:rsid w:val="00345BE9"/>
    <w:rsid w:val="0034632E"/>
    <w:rsid w:val="0034697B"/>
    <w:rsid w:val="003507F2"/>
    <w:rsid w:val="00351D65"/>
    <w:rsid w:val="00352A32"/>
    <w:rsid w:val="0035400D"/>
    <w:rsid w:val="003549C0"/>
    <w:rsid w:val="00354FCB"/>
    <w:rsid w:val="00355BBA"/>
    <w:rsid w:val="00355C05"/>
    <w:rsid w:val="003560F0"/>
    <w:rsid w:val="0035633E"/>
    <w:rsid w:val="0035669F"/>
    <w:rsid w:val="00357B39"/>
    <w:rsid w:val="0036047D"/>
    <w:rsid w:val="00360B7F"/>
    <w:rsid w:val="00361596"/>
    <w:rsid w:val="00361A56"/>
    <w:rsid w:val="00362761"/>
    <w:rsid w:val="003646F5"/>
    <w:rsid w:val="0036703A"/>
    <w:rsid w:val="00371887"/>
    <w:rsid w:val="0037320C"/>
    <w:rsid w:val="003740E5"/>
    <w:rsid w:val="00374176"/>
    <w:rsid w:val="003749B6"/>
    <w:rsid w:val="003754C4"/>
    <w:rsid w:val="00375A68"/>
    <w:rsid w:val="00376A50"/>
    <w:rsid w:val="00376E5B"/>
    <w:rsid w:val="00380DB9"/>
    <w:rsid w:val="00380EEE"/>
    <w:rsid w:val="00381026"/>
    <w:rsid w:val="00381127"/>
    <w:rsid w:val="00382B45"/>
    <w:rsid w:val="003830FA"/>
    <w:rsid w:val="00383384"/>
    <w:rsid w:val="00383CF7"/>
    <w:rsid w:val="00384B20"/>
    <w:rsid w:val="00384B7D"/>
    <w:rsid w:val="003850D1"/>
    <w:rsid w:val="003855D7"/>
    <w:rsid w:val="00385A49"/>
    <w:rsid w:val="003868AB"/>
    <w:rsid w:val="003869DF"/>
    <w:rsid w:val="00387FC0"/>
    <w:rsid w:val="00392255"/>
    <w:rsid w:val="00392583"/>
    <w:rsid w:val="003934AF"/>
    <w:rsid w:val="0039384C"/>
    <w:rsid w:val="00393BBA"/>
    <w:rsid w:val="00394C47"/>
    <w:rsid w:val="00395635"/>
    <w:rsid w:val="003962D9"/>
    <w:rsid w:val="0039649E"/>
    <w:rsid w:val="00396FC3"/>
    <w:rsid w:val="00397C85"/>
    <w:rsid w:val="00397F15"/>
    <w:rsid w:val="003A0C11"/>
    <w:rsid w:val="003A1393"/>
    <w:rsid w:val="003A2829"/>
    <w:rsid w:val="003A3576"/>
    <w:rsid w:val="003A37E8"/>
    <w:rsid w:val="003A3FE8"/>
    <w:rsid w:val="003A421E"/>
    <w:rsid w:val="003A4F1D"/>
    <w:rsid w:val="003A5225"/>
    <w:rsid w:val="003A59A0"/>
    <w:rsid w:val="003A5C91"/>
    <w:rsid w:val="003A6181"/>
    <w:rsid w:val="003A63CD"/>
    <w:rsid w:val="003A6DB4"/>
    <w:rsid w:val="003B1DB2"/>
    <w:rsid w:val="003B1EFF"/>
    <w:rsid w:val="003B30EC"/>
    <w:rsid w:val="003B3954"/>
    <w:rsid w:val="003B443F"/>
    <w:rsid w:val="003B5605"/>
    <w:rsid w:val="003B6398"/>
    <w:rsid w:val="003B6F1D"/>
    <w:rsid w:val="003C08CC"/>
    <w:rsid w:val="003C1B51"/>
    <w:rsid w:val="003C2375"/>
    <w:rsid w:val="003C2F5B"/>
    <w:rsid w:val="003C398D"/>
    <w:rsid w:val="003C5198"/>
    <w:rsid w:val="003C52D9"/>
    <w:rsid w:val="003C59FC"/>
    <w:rsid w:val="003C5A6C"/>
    <w:rsid w:val="003C61BA"/>
    <w:rsid w:val="003C7060"/>
    <w:rsid w:val="003C718C"/>
    <w:rsid w:val="003C78A8"/>
    <w:rsid w:val="003C7AF4"/>
    <w:rsid w:val="003D023F"/>
    <w:rsid w:val="003D0888"/>
    <w:rsid w:val="003D0EC3"/>
    <w:rsid w:val="003D21A1"/>
    <w:rsid w:val="003D3625"/>
    <w:rsid w:val="003D3B78"/>
    <w:rsid w:val="003D5FEB"/>
    <w:rsid w:val="003D792A"/>
    <w:rsid w:val="003D7C49"/>
    <w:rsid w:val="003E0CBD"/>
    <w:rsid w:val="003E1EAF"/>
    <w:rsid w:val="003E2555"/>
    <w:rsid w:val="003E2CAF"/>
    <w:rsid w:val="003E2F57"/>
    <w:rsid w:val="003E3FCF"/>
    <w:rsid w:val="003E48C2"/>
    <w:rsid w:val="003E4D6B"/>
    <w:rsid w:val="003E4D94"/>
    <w:rsid w:val="003E518B"/>
    <w:rsid w:val="003E5CAD"/>
    <w:rsid w:val="003E68CB"/>
    <w:rsid w:val="003E725D"/>
    <w:rsid w:val="003F092E"/>
    <w:rsid w:val="003F0DFC"/>
    <w:rsid w:val="003F13B1"/>
    <w:rsid w:val="003F19AC"/>
    <w:rsid w:val="003F1D2A"/>
    <w:rsid w:val="003F230E"/>
    <w:rsid w:val="003F3666"/>
    <w:rsid w:val="003F3712"/>
    <w:rsid w:val="003F3BCA"/>
    <w:rsid w:val="003F4877"/>
    <w:rsid w:val="003F5B89"/>
    <w:rsid w:val="003F6C10"/>
    <w:rsid w:val="003F70E4"/>
    <w:rsid w:val="003F7322"/>
    <w:rsid w:val="00400616"/>
    <w:rsid w:val="0040095E"/>
    <w:rsid w:val="00400B84"/>
    <w:rsid w:val="00400C06"/>
    <w:rsid w:val="00401BD8"/>
    <w:rsid w:val="00401E41"/>
    <w:rsid w:val="00402C50"/>
    <w:rsid w:val="00405559"/>
    <w:rsid w:val="00405659"/>
    <w:rsid w:val="00406471"/>
    <w:rsid w:val="00406E84"/>
    <w:rsid w:val="00406F2D"/>
    <w:rsid w:val="00407119"/>
    <w:rsid w:val="00407515"/>
    <w:rsid w:val="00407608"/>
    <w:rsid w:val="004113C8"/>
    <w:rsid w:val="00411C43"/>
    <w:rsid w:val="00412168"/>
    <w:rsid w:val="004144D7"/>
    <w:rsid w:val="00414BF3"/>
    <w:rsid w:val="00414D2F"/>
    <w:rsid w:val="00414EC7"/>
    <w:rsid w:val="00417379"/>
    <w:rsid w:val="004201C4"/>
    <w:rsid w:val="004203C1"/>
    <w:rsid w:val="0042063A"/>
    <w:rsid w:val="00423CD4"/>
    <w:rsid w:val="00424D3F"/>
    <w:rsid w:val="00426BB9"/>
    <w:rsid w:val="00426C0B"/>
    <w:rsid w:val="00426D42"/>
    <w:rsid w:val="00427C16"/>
    <w:rsid w:val="00431E01"/>
    <w:rsid w:val="00431E5B"/>
    <w:rsid w:val="00434907"/>
    <w:rsid w:val="00434D8E"/>
    <w:rsid w:val="0043580C"/>
    <w:rsid w:val="0043599D"/>
    <w:rsid w:val="0043600A"/>
    <w:rsid w:val="004365BA"/>
    <w:rsid w:val="00436888"/>
    <w:rsid w:val="0043786C"/>
    <w:rsid w:val="004409B0"/>
    <w:rsid w:val="00440C76"/>
    <w:rsid w:val="0044118F"/>
    <w:rsid w:val="00442B3F"/>
    <w:rsid w:val="00442EE7"/>
    <w:rsid w:val="00443F78"/>
    <w:rsid w:val="004451CB"/>
    <w:rsid w:val="00445F8D"/>
    <w:rsid w:val="004469DA"/>
    <w:rsid w:val="004473CB"/>
    <w:rsid w:val="00447656"/>
    <w:rsid w:val="004478F8"/>
    <w:rsid w:val="00450A13"/>
    <w:rsid w:val="004512AB"/>
    <w:rsid w:val="00451AED"/>
    <w:rsid w:val="00452706"/>
    <w:rsid w:val="0045363B"/>
    <w:rsid w:val="0045380A"/>
    <w:rsid w:val="004538A6"/>
    <w:rsid w:val="00453A89"/>
    <w:rsid w:val="00454A4C"/>
    <w:rsid w:val="00454F6C"/>
    <w:rsid w:val="004550CE"/>
    <w:rsid w:val="004555EF"/>
    <w:rsid w:val="00455A6D"/>
    <w:rsid w:val="00455E44"/>
    <w:rsid w:val="00456AD0"/>
    <w:rsid w:val="00457140"/>
    <w:rsid w:val="00457BA3"/>
    <w:rsid w:val="00461B34"/>
    <w:rsid w:val="00461D2F"/>
    <w:rsid w:val="00463607"/>
    <w:rsid w:val="00464797"/>
    <w:rsid w:val="00465890"/>
    <w:rsid w:val="00467788"/>
    <w:rsid w:val="00467824"/>
    <w:rsid w:val="00467EB0"/>
    <w:rsid w:val="004706D0"/>
    <w:rsid w:val="00470759"/>
    <w:rsid w:val="0047089F"/>
    <w:rsid w:val="00472908"/>
    <w:rsid w:val="00472B1B"/>
    <w:rsid w:val="00473871"/>
    <w:rsid w:val="004742C6"/>
    <w:rsid w:val="0047432B"/>
    <w:rsid w:val="00475F30"/>
    <w:rsid w:val="00476377"/>
    <w:rsid w:val="004764D2"/>
    <w:rsid w:val="004807FA"/>
    <w:rsid w:val="00480B2E"/>
    <w:rsid w:val="00481511"/>
    <w:rsid w:val="00483370"/>
    <w:rsid w:val="00483CB1"/>
    <w:rsid w:val="004847AC"/>
    <w:rsid w:val="0048544C"/>
    <w:rsid w:val="00485EEB"/>
    <w:rsid w:val="00486287"/>
    <w:rsid w:val="0048735A"/>
    <w:rsid w:val="0049077F"/>
    <w:rsid w:val="00490E7E"/>
    <w:rsid w:val="00490EE5"/>
    <w:rsid w:val="00491ADD"/>
    <w:rsid w:val="0049267C"/>
    <w:rsid w:val="0049287C"/>
    <w:rsid w:val="00492D18"/>
    <w:rsid w:val="00492EFD"/>
    <w:rsid w:val="004937C5"/>
    <w:rsid w:val="00493809"/>
    <w:rsid w:val="004938FB"/>
    <w:rsid w:val="00494A8B"/>
    <w:rsid w:val="00494DEB"/>
    <w:rsid w:val="004A01CE"/>
    <w:rsid w:val="004A0527"/>
    <w:rsid w:val="004A122F"/>
    <w:rsid w:val="004A13B0"/>
    <w:rsid w:val="004A1786"/>
    <w:rsid w:val="004A19A1"/>
    <w:rsid w:val="004A26A7"/>
    <w:rsid w:val="004A2B94"/>
    <w:rsid w:val="004A318A"/>
    <w:rsid w:val="004A3417"/>
    <w:rsid w:val="004A3A27"/>
    <w:rsid w:val="004A46D9"/>
    <w:rsid w:val="004A6C7E"/>
    <w:rsid w:val="004A7073"/>
    <w:rsid w:val="004A7B35"/>
    <w:rsid w:val="004B0498"/>
    <w:rsid w:val="004B19FC"/>
    <w:rsid w:val="004B1C32"/>
    <w:rsid w:val="004B1E1F"/>
    <w:rsid w:val="004B3706"/>
    <w:rsid w:val="004B3708"/>
    <w:rsid w:val="004B3A3B"/>
    <w:rsid w:val="004B3EAF"/>
    <w:rsid w:val="004B43EE"/>
    <w:rsid w:val="004B4933"/>
    <w:rsid w:val="004B672C"/>
    <w:rsid w:val="004B6866"/>
    <w:rsid w:val="004B7047"/>
    <w:rsid w:val="004C14EB"/>
    <w:rsid w:val="004C20CA"/>
    <w:rsid w:val="004C2BC8"/>
    <w:rsid w:val="004C2C8C"/>
    <w:rsid w:val="004C5B75"/>
    <w:rsid w:val="004C5E10"/>
    <w:rsid w:val="004C5F21"/>
    <w:rsid w:val="004C66C7"/>
    <w:rsid w:val="004C6A9C"/>
    <w:rsid w:val="004C7B9A"/>
    <w:rsid w:val="004C7CC4"/>
    <w:rsid w:val="004D000B"/>
    <w:rsid w:val="004D113E"/>
    <w:rsid w:val="004D1743"/>
    <w:rsid w:val="004D192B"/>
    <w:rsid w:val="004D2105"/>
    <w:rsid w:val="004D2204"/>
    <w:rsid w:val="004D2749"/>
    <w:rsid w:val="004D2B8E"/>
    <w:rsid w:val="004D2CA4"/>
    <w:rsid w:val="004D3079"/>
    <w:rsid w:val="004D4784"/>
    <w:rsid w:val="004D4B78"/>
    <w:rsid w:val="004D5F43"/>
    <w:rsid w:val="004E0EC8"/>
    <w:rsid w:val="004E1A25"/>
    <w:rsid w:val="004E1AF9"/>
    <w:rsid w:val="004E2952"/>
    <w:rsid w:val="004E380B"/>
    <w:rsid w:val="004E5324"/>
    <w:rsid w:val="004E5E27"/>
    <w:rsid w:val="004E5E8E"/>
    <w:rsid w:val="004E64C0"/>
    <w:rsid w:val="004E6D82"/>
    <w:rsid w:val="004E7D44"/>
    <w:rsid w:val="004E7EC6"/>
    <w:rsid w:val="004F094B"/>
    <w:rsid w:val="004F1324"/>
    <w:rsid w:val="004F2B68"/>
    <w:rsid w:val="004F2FB8"/>
    <w:rsid w:val="004F3343"/>
    <w:rsid w:val="004F3851"/>
    <w:rsid w:val="004F3C91"/>
    <w:rsid w:val="004F4B1C"/>
    <w:rsid w:val="004F4C25"/>
    <w:rsid w:val="004F4CB4"/>
    <w:rsid w:val="004F4FCB"/>
    <w:rsid w:val="004F6389"/>
    <w:rsid w:val="00500FD8"/>
    <w:rsid w:val="00502558"/>
    <w:rsid w:val="00502B55"/>
    <w:rsid w:val="0050323B"/>
    <w:rsid w:val="00503B9E"/>
    <w:rsid w:val="0050514B"/>
    <w:rsid w:val="0050564F"/>
    <w:rsid w:val="00505C6F"/>
    <w:rsid w:val="00506571"/>
    <w:rsid w:val="005100BD"/>
    <w:rsid w:val="00510663"/>
    <w:rsid w:val="005121F5"/>
    <w:rsid w:val="00512865"/>
    <w:rsid w:val="0051297A"/>
    <w:rsid w:val="00513098"/>
    <w:rsid w:val="00513995"/>
    <w:rsid w:val="00514E1D"/>
    <w:rsid w:val="00515C43"/>
    <w:rsid w:val="005160F0"/>
    <w:rsid w:val="00517792"/>
    <w:rsid w:val="00517B95"/>
    <w:rsid w:val="00522E44"/>
    <w:rsid w:val="00523362"/>
    <w:rsid w:val="00523E0F"/>
    <w:rsid w:val="005240F5"/>
    <w:rsid w:val="00524A42"/>
    <w:rsid w:val="00524ADF"/>
    <w:rsid w:val="00524E8A"/>
    <w:rsid w:val="00525208"/>
    <w:rsid w:val="005268C8"/>
    <w:rsid w:val="005279EB"/>
    <w:rsid w:val="00530050"/>
    <w:rsid w:val="005303F0"/>
    <w:rsid w:val="005319F4"/>
    <w:rsid w:val="00532D90"/>
    <w:rsid w:val="005331FE"/>
    <w:rsid w:val="005340AF"/>
    <w:rsid w:val="005341FF"/>
    <w:rsid w:val="005349A4"/>
    <w:rsid w:val="00534BE3"/>
    <w:rsid w:val="00534EC8"/>
    <w:rsid w:val="005351AF"/>
    <w:rsid w:val="00535DAC"/>
    <w:rsid w:val="0053649F"/>
    <w:rsid w:val="00536F70"/>
    <w:rsid w:val="0054093E"/>
    <w:rsid w:val="0054151D"/>
    <w:rsid w:val="00541D88"/>
    <w:rsid w:val="005426F3"/>
    <w:rsid w:val="00542EF7"/>
    <w:rsid w:val="005441C3"/>
    <w:rsid w:val="0054444E"/>
    <w:rsid w:val="00544650"/>
    <w:rsid w:val="00544E52"/>
    <w:rsid w:val="00545801"/>
    <w:rsid w:val="00550326"/>
    <w:rsid w:val="00551D4C"/>
    <w:rsid w:val="005524AF"/>
    <w:rsid w:val="0055336A"/>
    <w:rsid w:val="00553E1C"/>
    <w:rsid w:val="00554711"/>
    <w:rsid w:val="0055521F"/>
    <w:rsid w:val="005553D2"/>
    <w:rsid w:val="00555498"/>
    <w:rsid w:val="005555F2"/>
    <w:rsid w:val="00555728"/>
    <w:rsid w:val="00560A18"/>
    <w:rsid w:val="00561B97"/>
    <w:rsid w:val="00562CD3"/>
    <w:rsid w:val="0056309B"/>
    <w:rsid w:val="005641A6"/>
    <w:rsid w:val="005644A8"/>
    <w:rsid w:val="005646BC"/>
    <w:rsid w:val="00565555"/>
    <w:rsid w:val="00566895"/>
    <w:rsid w:val="00567919"/>
    <w:rsid w:val="005709A8"/>
    <w:rsid w:val="00571E93"/>
    <w:rsid w:val="00571FB5"/>
    <w:rsid w:val="00572942"/>
    <w:rsid w:val="00573A71"/>
    <w:rsid w:val="005746AD"/>
    <w:rsid w:val="00574C8A"/>
    <w:rsid w:val="0057505A"/>
    <w:rsid w:val="0057507C"/>
    <w:rsid w:val="00576D60"/>
    <w:rsid w:val="005806BA"/>
    <w:rsid w:val="00581643"/>
    <w:rsid w:val="00581AFF"/>
    <w:rsid w:val="00582D54"/>
    <w:rsid w:val="0058398D"/>
    <w:rsid w:val="00583B41"/>
    <w:rsid w:val="005843EF"/>
    <w:rsid w:val="00584741"/>
    <w:rsid w:val="00584F21"/>
    <w:rsid w:val="0058597C"/>
    <w:rsid w:val="005859B5"/>
    <w:rsid w:val="00585AD2"/>
    <w:rsid w:val="00585E77"/>
    <w:rsid w:val="005875E4"/>
    <w:rsid w:val="00587CC3"/>
    <w:rsid w:val="00590959"/>
    <w:rsid w:val="00590E3B"/>
    <w:rsid w:val="00591824"/>
    <w:rsid w:val="00592E69"/>
    <w:rsid w:val="00592E7F"/>
    <w:rsid w:val="00594256"/>
    <w:rsid w:val="005950DC"/>
    <w:rsid w:val="005968BB"/>
    <w:rsid w:val="00597237"/>
    <w:rsid w:val="005A08C0"/>
    <w:rsid w:val="005A0A0C"/>
    <w:rsid w:val="005A542D"/>
    <w:rsid w:val="005A54B3"/>
    <w:rsid w:val="005A70A5"/>
    <w:rsid w:val="005A73DF"/>
    <w:rsid w:val="005A7B0B"/>
    <w:rsid w:val="005B0913"/>
    <w:rsid w:val="005B32C1"/>
    <w:rsid w:val="005B3CD5"/>
    <w:rsid w:val="005B495B"/>
    <w:rsid w:val="005B4A3F"/>
    <w:rsid w:val="005B5BF2"/>
    <w:rsid w:val="005B6AC6"/>
    <w:rsid w:val="005B7ADF"/>
    <w:rsid w:val="005C0CC5"/>
    <w:rsid w:val="005C0EAD"/>
    <w:rsid w:val="005C10DB"/>
    <w:rsid w:val="005C1126"/>
    <w:rsid w:val="005C1A21"/>
    <w:rsid w:val="005C23BA"/>
    <w:rsid w:val="005C331D"/>
    <w:rsid w:val="005C41E2"/>
    <w:rsid w:val="005C447A"/>
    <w:rsid w:val="005C4A4C"/>
    <w:rsid w:val="005C6434"/>
    <w:rsid w:val="005C6E6A"/>
    <w:rsid w:val="005C6FD3"/>
    <w:rsid w:val="005D00DB"/>
    <w:rsid w:val="005D1AC5"/>
    <w:rsid w:val="005D3405"/>
    <w:rsid w:val="005D3AA5"/>
    <w:rsid w:val="005D449E"/>
    <w:rsid w:val="005D4A1A"/>
    <w:rsid w:val="005D4F34"/>
    <w:rsid w:val="005D5858"/>
    <w:rsid w:val="005D5D57"/>
    <w:rsid w:val="005D5EC4"/>
    <w:rsid w:val="005D6028"/>
    <w:rsid w:val="005D6DB7"/>
    <w:rsid w:val="005D7C95"/>
    <w:rsid w:val="005E0115"/>
    <w:rsid w:val="005E25F6"/>
    <w:rsid w:val="005E4373"/>
    <w:rsid w:val="005E4B1D"/>
    <w:rsid w:val="005E51CF"/>
    <w:rsid w:val="005E56EF"/>
    <w:rsid w:val="005E6309"/>
    <w:rsid w:val="005E6BCD"/>
    <w:rsid w:val="005E77C7"/>
    <w:rsid w:val="005F047B"/>
    <w:rsid w:val="005F075C"/>
    <w:rsid w:val="005F0E63"/>
    <w:rsid w:val="005F1D60"/>
    <w:rsid w:val="005F275B"/>
    <w:rsid w:val="005F3C0A"/>
    <w:rsid w:val="005F555D"/>
    <w:rsid w:val="005F5700"/>
    <w:rsid w:val="005F5A3F"/>
    <w:rsid w:val="005F5F8B"/>
    <w:rsid w:val="005F6E1B"/>
    <w:rsid w:val="005F7DD4"/>
    <w:rsid w:val="006001C9"/>
    <w:rsid w:val="006009C3"/>
    <w:rsid w:val="006012FF"/>
    <w:rsid w:val="00602F51"/>
    <w:rsid w:val="006042D4"/>
    <w:rsid w:val="00605117"/>
    <w:rsid w:val="0060541D"/>
    <w:rsid w:val="006064D7"/>
    <w:rsid w:val="006070D3"/>
    <w:rsid w:val="0061144C"/>
    <w:rsid w:val="006127A6"/>
    <w:rsid w:val="00614732"/>
    <w:rsid w:val="00614A3F"/>
    <w:rsid w:val="00615431"/>
    <w:rsid w:val="006165C7"/>
    <w:rsid w:val="00616F37"/>
    <w:rsid w:val="00617F8E"/>
    <w:rsid w:val="006200DB"/>
    <w:rsid w:val="00622ACF"/>
    <w:rsid w:val="00622D53"/>
    <w:rsid w:val="00622E6B"/>
    <w:rsid w:val="00623D4E"/>
    <w:rsid w:val="0062471A"/>
    <w:rsid w:val="006250DB"/>
    <w:rsid w:val="0062584F"/>
    <w:rsid w:val="006279B7"/>
    <w:rsid w:val="00630820"/>
    <w:rsid w:val="00630CC8"/>
    <w:rsid w:val="00631CEB"/>
    <w:rsid w:val="00635428"/>
    <w:rsid w:val="00636388"/>
    <w:rsid w:val="0063690B"/>
    <w:rsid w:val="006422E7"/>
    <w:rsid w:val="0064259C"/>
    <w:rsid w:val="00642C3E"/>
    <w:rsid w:val="006430E3"/>
    <w:rsid w:val="00644407"/>
    <w:rsid w:val="0064479E"/>
    <w:rsid w:val="00644BA2"/>
    <w:rsid w:val="00645E11"/>
    <w:rsid w:val="00647263"/>
    <w:rsid w:val="00647B2E"/>
    <w:rsid w:val="006504BC"/>
    <w:rsid w:val="00650A47"/>
    <w:rsid w:val="0065145C"/>
    <w:rsid w:val="00651BD8"/>
    <w:rsid w:val="00651FD9"/>
    <w:rsid w:val="00652E58"/>
    <w:rsid w:val="0065330B"/>
    <w:rsid w:val="00653DBB"/>
    <w:rsid w:val="006544AA"/>
    <w:rsid w:val="00654B6A"/>
    <w:rsid w:val="006557F2"/>
    <w:rsid w:val="00655AFA"/>
    <w:rsid w:val="0065664D"/>
    <w:rsid w:val="0065699D"/>
    <w:rsid w:val="006569EF"/>
    <w:rsid w:val="00656BC7"/>
    <w:rsid w:val="006572E6"/>
    <w:rsid w:val="00657B0F"/>
    <w:rsid w:val="00657F8D"/>
    <w:rsid w:val="006603CD"/>
    <w:rsid w:val="00660AC0"/>
    <w:rsid w:val="00662B5A"/>
    <w:rsid w:val="006632CE"/>
    <w:rsid w:val="006634BC"/>
    <w:rsid w:val="0066374A"/>
    <w:rsid w:val="0066644B"/>
    <w:rsid w:val="00666E81"/>
    <w:rsid w:val="0066750D"/>
    <w:rsid w:val="006676FF"/>
    <w:rsid w:val="00667DF6"/>
    <w:rsid w:val="00667F47"/>
    <w:rsid w:val="0067018F"/>
    <w:rsid w:val="0067019A"/>
    <w:rsid w:val="00670929"/>
    <w:rsid w:val="00670B1D"/>
    <w:rsid w:val="00670F65"/>
    <w:rsid w:val="00672A45"/>
    <w:rsid w:val="00673885"/>
    <w:rsid w:val="00674C24"/>
    <w:rsid w:val="00674C55"/>
    <w:rsid w:val="00675C2A"/>
    <w:rsid w:val="00677C34"/>
    <w:rsid w:val="0068011A"/>
    <w:rsid w:val="00680678"/>
    <w:rsid w:val="00683AFB"/>
    <w:rsid w:val="006848C9"/>
    <w:rsid w:val="006848D2"/>
    <w:rsid w:val="0068667E"/>
    <w:rsid w:val="006867EA"/>
    <w:rsid w:val="0068726B"/>
    <w:rsid w:val="00687473"/>
    <w:rsid w:val="00690827"/>
    <w:rsid w:val="00691147"/>
    <w:rsid w:val="006925E4"/>
    <w:rsid w:val="0069281D"/>
    <w:rsid w:val="00692D70"/>
    <w:rsid w:val="0069398C"/>
    <w:rsid w:val="00694693"/>
    <w:rsid w:val="00694A78"/>
    <w:rsid w:val="00695213"/>
    <w:rsid w:val="00695DB1"/>
    <w:rsid w:val="00696107"/>
    <w:rsid w:val="0069691D"/>
    <w:rsid w:val="00696C39"/>
    <w:rsid w:val="006A02F4"/>
    <w:rsid w:val="006A3225"/>
    <w:rsid w:val="006A4870"/>
    <w:rsid w:val="006A648A"/>
    <w:rsid w:val="006A7864"/>
    <w:rsid w:val="006A791A"/>
    <w:rsid w:val="006B05E7"/>
    <w:rsid w:val="006B1A5D"/>
    <w:rsid w:val="006B1F6B"/>
    <w:rsid w:val="006B3819"/>
    <w:rsid w:val="006B5175"/>
    <w:rsid w:val="006B51D9"/>
    <w:rsid w:val="006B69FD"/>
    <w:rsid w:val="006C0B97"/>
    <w:rsid w:val="006C108A"/>
    <w:rsid w:val="006C10C9"/>
    <w:rsid w:val="006C1845"/>
    <w:rsid w:val="006C18B8"/>
    <w:rsid w:val="006C271D"/>
    <w:rsid w:val="006C31FA"/>
    <w:rsid w:val="006C3FE1"/>
    <w:rsid w:val="006C477B"/>
    <w:rsid w:val="006C4E54"/>
    <w:rsid w:val="006C5591"/>
    <w:rsid w:val="006C5652"/>
    <w:rsid w:val="006C57FC"/>
    <w:rsid w:val="006C5963"/>
    <w:rsid w:val="006C6BF0"/>
    <w:rsid w:val="006C70A0"/>
    <w:rsid w:val="006D0BDA"/>
    <w:rsid w:val="006D1D89"/>
    <w:rsid w:val="006D2777"/>
    <w:rsid w:val="006D32C8"/>
    <w:rsid w:val="006D3597"/>
    <w:rsid w:val="006D4824"/>
    <w:rsid w:val="006D5B09"/>
    <w:rsid w:val="006D5DE6"/>
    <w:rsid w:val="006D66D9"/>
    <w:rsid w:val="006D67D2"/>
    <w:rsid w:val="006D69CC"/>
    <w:rsid w:val="006D6EC9"/>
    <w:rsid w:val="006E05A7"/>
    <w:rsid w:val="006E2014"/>
    <w:rsid w:val="006E4F32"/>
    <w:rsid w:val="006E4FFF"/>
    <w:rsid w:val="006E5FD8"/>
    <w:rsid w:val="006E6A7F"/>
    <w:rsid w:val="006F0430"/>
    <w:rsid w:val="006F063B"/>
    <w:rsid w:val="006F1B0C"/>
    <w:rsid w:val="006F21FA"/>
    <w:rsid w:val="006F397A"/>
    <w:rsid w:val="006F6E3D"/>
    <w:rsid w:val="007003CA"/>
    <w:rsid w:val="00700907"/>
    <w:rsid w:val="00701BF8"/>
    <w:rsid w:val="00703A4F"/>
    <w:rsid w:val="007045C4"/>
    <w:rsid w:val="007046F1"/>
    <w:rsid w:val="00706D30"/>
    <w:rsid w:val="0070701F"/>
    <w:rsid w:val="00707605"/>
    <w:rsid w:val="007111BC"/>
    <w:rsid w:val="00712121"/>
    <w:rsid w:val="0071300B"/>
    <w:rsid w:val="00715703"/>
    <w:rsid w:val="00715A28"/>
    <w:rsid w:val="00716367"/>
    <w:rsid w:val="00716F8B"/>
    <w:rsid w:val="007176F7"/>
    <w:rsid w:val="00720019"/>
    <w:rsid w:val="00720742"/>
    <w:rsid w:val="00720FD2"/>
    <w:rsid w:val="007226AA"/>
    <w:rsid w:val="00723394"/>
    <w:rsid w:val="00723C84"/>
    <w:rsid w:val="00726EC6"/>
    <w:rsid w:val="00726FE8"/>
    <w:rsid w:val="007302CC"/>
    <w:rsid w:val="007308A4"/>
    <w:rsid w:val="0073098E"/>
    <w:rsid w:val="00730CA8"/>
    <w:rsid w:val="00731F90"/>
    <w:rsid w:val="00732AA9"/>
    <w:rsid w:val="00733080"/>
    <w:rsid w:val="00737AB8"/>
    <w:rsid w:val="00741E8E"/>
    <w:rsid w:val="00743637"/>
    <w:rsid w:val="00743A9B"/>
    <w:rsid w:val="00743BBA"/>
    <w:rsid w:val="00743CB4"/>
    <w:rsid w:val="007446B0"/>
    <w:rsid w:val="00744E43"/>
    <w:rsid w:val="00745E0C"/>
    <w:rsid w:val="00746784"/>
    <w:rsid w:val="00750303"/>
    <w:rsid w:val="007508A0"/>
    <w:rsid w:val="00750CB3"/>
    <w:rsid w:val="00752506"/>
    <w:rsid w:val="0075302E"/>
    <w:rsid w:val="00754E54"/>
    <w:rsid w:val="00755297"/>
    <w:rsid w:val="007561EA"/>
    <w:rsid w:val="00756272"/>
    <w:rsid w:val="00760C89"/>
    <w:rsid w:val="0076155D"/>
    <w:rsid w:val="00761852"/>
    <w:rsid w:val="007628CD"/>
    <w:rsid w:val="007636C4"/>
    <w:rsid w:val="00763D49"/>
    <w:rsid w:val="00764224"/>
    <w:rsid w:val="007643AA"/>
    <w:rsid w:val="007649ED"/>
    <w:rsid w:val="00767343"/>
    <w:rsid w:val="007720DA"/>
    <w:rsid w:val="0077357D"/>
    <w:rsid w:val="00775D4B"/>
    <w:rsid w:val="00776810"/>
    <w:rsid w:val="0077706B"/>
    <w:rsid w:val="0078032A"/>
    <w:rsid w:val="00780DA1"/>
    <w:rsid w:val="00780DF4"/>
    <w:rsid w:val="00783A6D"/>
    <w:rsid w:val="00784026"/>
    <w:rsid w:val="007841A0"/>
    <w:rsid w:val="007844A1"/>
    <w:rsid w:val="007846C1"/>
    <w:rsid w:val="007850B3"/>
    <w:rsid w:val="0078570C"/>
    <w:rsid w:val="0078795A"/>
    <w:rsid w:val="00787A64"/>
    <w:rsid w:val="007900F9"/>
    <w:rsid w:val="00790410"/>
    <w:rsid w:val="0079055D"/>
    <w:rsid w:val="00790C25"/>
    <w:rsid w:val="00791168"/>
    <w:rsid w:val="007919A8"/>
    <w:rsid w:val="00791B36"/>
    <w:rsid w:val="007924C8"/>
    <w:rsid w:val="00792715"/>
    <w:rsid w:val="007929D6"/>
    <w:rsid w:val="00792A03"/>
    <w:rsid w:val="00793BC9"/>
    <w:rsid w:val="00794469"/>
    <w:rsid w:val="00796FCE"/>
    <w:rsid w:val="007A0B3A"/>
    <w:rsid w:val="007A104A"/>
    <w:rsid w:val="007A1242"/>
    <w:rsid w:val="007A17C0"/>
    <w:rsid w:val="007A1DF0"/>
    <w:rsid w:val="007A21F1"/>
    <w:rsid w:val="007A24B5"/>
    <w:rsid w:val="007A2E2F"/>
    <w:rsid w:val="007A3B3D"/>
    <w:rsid w:val="007A3D7F"/>
    <w:rsid w:val="007A4C6B"/>
    <w:rsid w:val="007A53D4"/>
    <w:rsid w:val="007A6B2C"/>
    <w:rsid w:val="007A7BCF"/>
    <w:rsid w:val="007B0905"/>
    <w:rsid w:val="007B0B30"/>
    <w:rsid w:val="007B1B0A"/>
    <w:rsid w:val="007B2C97"/>
    <w:rsid w:val="007B3FC5"/>
    <w:rsid w:val="007B4C47"/>
    <w:rsid w:val="007B4F93"/>
    <w:rsid w:val="007B6874"/>
    <w:rsid w:val="007B693F"/>
    <w:rsid w:val="007B7D96"/>
    <w:rsid w:val="007B7E93"/>
    <w:rsid w:val="007C0233"/>
    <w:rsid w:val="007C1B67"/>
    <w:rsid w:val="007C2060"/>
    <w:rsid w:val="007C2295"/>
    <w:rsid w:val="007C2788"/>
    <w:rsid w:val="007C2CB0"/>
    <w:rsid w:val="007C4325"/>
    <w:rsid w:val="007C46AC"/>
    <w:rsid w:val="007C4704"/>
    <w:rsid w:val="007C4A3A"/>
    <w:rsid w:val="007C5AB0"/>
    <w:rsid w:val="007C5DEA"/>
    <w:rsid w:val="007C6657"/>
    <w:rsid w:val="007D01EF"/>
    <w:rsid w:val="007D0C2B"/>
    <w:rsid w:val="007D0E9F"/>
    <w:rsid w:val="007D19DF"/>
    <w:rsid w:val="007D1D5C"/>
    <w:rsid w:val="007D243C"/>
    <w:rsid w:val="007D3307"/>
    <w:rsid w:val="007D408E"/>
    <w:rsid w:val="007D52F9"/>
    <w:rsid w:val="007D5730"/>
    <w:rsid w:val="007D5F15"/>
    <w:rsid w:val="007E1534"/>
    <w:rsid w:val="007E2BC0"/>
    <w:rsid w:val="007E2F0F"/>
    <w:rsid w:val="007E3495"/>
    <w:rsid w:val="007E3E50"/>
    <w:rsid w:val="007E3F57"/>
    <w:rsid w:val="007E4669"/>
    <w:rsid w:val="007E6ED4"/>
    <w:rsid w:val="007E7298"/>
    <w:rsid w:val="007E756B"/>
    <w:rsid w:val="007E7917"/>
    <w:rsid w:val="007F0A7F"/>
    <w:rsid w:val="007F12ED"/>
    <w:rsid w:val="007F2580"/>
    <w:rsid w:val="007F3058"/>
    <w:rsid w:val="007F3BCD"/>
    <w:rsid w:val="007F3CB0"/>
    <w:rsid w:val="007F4601"/>
    <w:rsid w:val="007F47A0"/>
    <w:rsid w:val="007F4A7E"/>
    <w:rsid w:val="007F4A7F"/>
    <w:rsid w:val="007F6314"/>
    <w:rsid w:val="007F6BD0"/>
    <w:rsid w:val="007F7C4E"/>
    <w:rsid w:val="008007A5"/>
    <w:rsid w:val="008009B1"/>
    <w:rsid w:val="00801647"/>
    <w:rsid w:val="00801AA7"/>
    <w:rsid w:val="00802095"/>
    <w:rsid w:val="00803932"/>
    <w:rsid w:val="008043B9"/>
    <w:rsid w:val="00805209"/>
    <w:rsid w:val="008055DC"/>
    <w:rsid w:val="00805E1C"/>
    <w:rsid w:val="00806041"/>
    <w:rsid w:val="00806538"/>
    <w:rsid w:val="00810D9B"/>
    <w:rsid w:val="0081135F"/>
    <w:rsid w:val="00813571"/>
    <w:rsid w:val="0081367C"/>
    <w:rsid w:val="00813C28"/>
    <w:rsid w:val="0081453D"/>
    <w:rsid w:val="00817245"/>
    <w:rsid w:val="0082257B"/>
    <w:rsid w:val="00822CFB"/>
    <w:rsid w:val="008237B3"/>
    <w:rsid w:val="00825550"/>
    <w:rsid w:val="00825629"/>
    <w:rsid w:val="00825889"/>
    <w:rsid w:val="0082651C"/>
    <w:rsid w:val="0083065E"/>
    <w:rsid w:val="0083076A"/>
    <w:rsid w:val="0083093E"/>
    <w:rsid w:val="0083179F"/>
    <w:rsid w:val="008318CB"/>
    <w:rsid w:val="0083234E"/>
    <w:rsid w:val="008329B9"/>
    <w:rsid w:val="00836D78"/>
    <w:rsid w:val="00837083"/>
    <w:rsid w:val="00840B8D"/>
    <w:rsid w:val="008423A6"/>
    <w:rsid w:val="008431EB"/>
    <w:rsid w:val="00843640"/>
    <w:rsid w:val="00844373"/>
    <w:rsid w:val="00844CA0"/>
    <w:rsid w:val="00844D9F"/>
    <w:rsid w:val="00846370"/>
    <w:rsid w:val="008463D5"/>
    <w:rsid w:val="008503EF"/>
    <w:rsid w:val="008540CB"/>
    <w:rsid w:val="0085421B"/>
    <w:rsid w:val="00854E6B"/>
    <w:rsid w:val="00854FAD"/>
    <w:rsid w:val="008552A0"/>
    <w:rsid w:val="00855B47"/>
    <w:rsid w:val="0085671B"/>
    <w:rsid w:val="00856FF5"/>
    <w:rsid w:val="008573F9"/>
    <w:rsid w:val="008579D0"/>
    <w:rsid w:val="008623F2"/>
    <w:rsid w:val="00862598"/>
    <w:rsid w:val="00862767"/>
    <w:rsid w:val="008646AE"/>
    <w:rsid w:val="00864B0D"/>
    <w:rsid w:val="00865FFE"/>
    <w:rsid w:val="0087015C"/>
    <w:rsid w:val="00871D23"/>
    <w:rsid w:val="00872038"/>
    <w:rsid w:val="00872606"/>
    <w:rsid w:val="0087286A"/>
    <w:rsid w:val="00872DB6"/>
    <w:rsid w:val="008742FF"/>
    <w:rsid w:val="008743A7"/>
    <w:rsid w:val="008767F8"/>
    <w:rsid w:val="00880D4A"/>
    <w:rsid w:val="00881754"/>
    <w:rsid w:val="00883223"/>
    <w:rsid w:val="00883468"/>
    <w:rsid w:val="00883859"/>
    <w:rsid w:val="00884BFE"/>
    <w:rsid w:val="00884F27"/>
    <w:rsid w:val="00884F5E"/>
    <w:rsid w:val="008858B6"/>
    <w:rsid w:val="00891C39"/>
    <w:rsid w:val="00892758"/>
    <w:rsid w:val="008928A9"/>
    <w:rsid w:val="00892DBC"/>
    <w:rsid w:val="00892E1A"/>
    <w:rsid w:val="00892EA6"/>
    <w:rsid w:val="00893770"/>
    <w:rsid w:val="00896D8F"/>
    <w:rsid w:val="00897047"/>
    <w:rsid w:val="008A0F43"/>
    <w:rsid w:val="008A26EE"/>
    <w:rsid w:val="008A3C32"/>
    <w:rsid w:val="008A51FA"/>
    <w:rsid w:val="008A5BF4"/>
    <w:rsid w:val="008A5D7F"/>
    <w:rsid w:val="008A7FF3"/>
    <w:rsid w:val="008B0E5F"/>
    <w:rsid w:val="008B0EFB"/>
    <w:rsid w:val="008B12B7"/>
    <w:rsid w:val="008B13C2"/>
    <w:rsid w:val="008B1897"/>
    <w:rsid w:val="008B25DE"/>
    <w:rsid w:val="008B31AA"/>
    <w:rsid w:val="008B3916"/>
    <w:rsid w:val="008B46CA"/>
    <w:rsid w:val="008B4980"/>
    <w:rsid w:val="008B54FD"/>
    <w:rsid w:val="008B6B19"/>
    <w:rsid w:val="008B6EE5"/>
    <w:rsid w:val="008B7396"/>
    <w:rsid w:val="008B7D31"/>
    <w:rsid w:val="008C0830"/>
    <w:rsid w:val="008C37E7"/>
    <w:rsid w:val="008C45F8"/>
    <w:rsid w:val="008C481A"/>
    <w:rsid w:val="008C4A41"/>
    <w:rsid w:val="008C4BB6"/>
    <w:rsid w:val="008C5203"/>
    <w:rsid w:val="008C54D1"/>
    <w:rsid w:val="008C6902"/>
    <w:rsid w:val="008C6ACC"/>
    <w:rsid w:val="008D26E3"/>
    <w:rsid w:val="008D3DC7"/>
    <w:rsid w:val="008D3FD9"/>
    <w:rsid w:val="008D4A29"/>
    <w:rsid w:val="008D50F5"/>
    <w:rsid w:val="008D50FA"/>
    <w:rsid w:val="008E03D7"/>
    <w:rsid w:val="008E0AB1"/>
    <w:rsid w:val="008E103D"/>
    <w:rsid w:val="008E228D"/>
    <w:rsid w:val="008E2482"/>
    <w:rsid w:val="008E35B6"/>
    <w:rsid w:val="008E3F33"/>
    <w:rsid w:val="008E439B"/>
    <w:rsid w:val="008E4770"/>
    <w:rsid w:val="008E6294"/>
    <w:rsid w:val="008E767D"/>
    <w:rsid w:val="008E7D70"/>
    <w:rsid w:val="008F0AA1"/>
    <w:rsid w:val="008F0B4F"/>
    <w:rsid w:val="008F2507"/>
    <w:rsid w:val="008F27CE"/>
    <w:rsid w:val="008F34C0"/>
    <w:rsid w:val="008F3EEC"/>
    <w:rsid w:val="008F4462"/>
    <w:rsid w:val="008F48B0"/>
    <w:rsid w:val="008F576A"/>
    <w:rsid w:val="008F6850"/>
    <w:rsid w:val="008F6B8D"/>
    <w:rsid w:val="008F7A95"/>
    <w:rsid w:val="009004A2"/>
    <w:rsid w:val="00900E64"/>
    <w:rsid w:val="00902904"/>
    <w:rsid w:val="00903105"/>
    <w:rsid w:val="00903A89"/>
    <w:rsid w:val="00903D9F"/>
    <w:rsid w:val="00903E89"/>
    <w:rsid w:val="009044F6"/>
    <w:rsid w:val="009055A5"/>
    <w:rsid w:val="00905B26"/>
    <w:rsid w:val="0090630F"/>
    <w:rsid w:val="00906A69"/>
    <w:rsid w:val="00907F6F"/>
    <w:rsid w:val="00910D87"/>
    <w:rsid w:val="00911260"/>
    <w:rsid w:val="00911D91"/>
    <w:rsid w:val="00911F27"/>
    <w:rsid w:val="00912342"/>
    <w:rsid w:val="009127E4"/>
    <w:rsid w:val="00914C4F"/>
    <w:rsid w:val="00915328"/>
    <w:rsid w:val="009159CD"/>
    <w:rsid w:val="009202E7"/>
    <w:rsid w:val="00920C14"/>
    <w:rsid w:val="00921FC8"/>
    <w:rsid w:val="00922841"/>
    <w:rsid w:val="00922BDB"/>
    <w:rsid w:val="00922D15"/>
    <w:rsid w:val="00923141"/>
    <w:rsid w:val="00923B0C"/>
    <w:rsid w:val="00923DBF"/>
    <w:rsid w:val="00924AE6"/>
    <w:rsid w:val="0092512F"/>
    <w:rsid w:val="00925CC1"/>
    <w:rsid w:val="009261C5"/>
    <w:rsid w:val="00926210"/>
    <w:rsid w:val="00926773"/>
    <w:rsid w:val="0092713C"/>
    <w:rsid w:val="00931929"/>
    <w:rsid w:val="00931C67"/>
    <w:rsid w:val="009323C9"/>
    <w:rsid w:val="009326F7"/>
    <w:rsid w:val="00934339"/>
    <w:rsid w:val="00934932"/>
    <w:rsid w:val="00934E03"/>
    <w:rsid w:val="00935341"/>
    <w:rsid w:val="0093579E"/>
    <w:rsid w:val="00935B14"/>
    <w:rsid w:val="009363AE"/>
    <w:rsid w:val="00936D16"/>
    <w:rsid w:val="00936FA3"/>
    <w:rsid w:val="009370CD"/>
    <w:rsid w:val="00937665"/>
    <w:rsid w:val="00937771"/>
    <w:rsid w:val="009377D9"/>
    <w:rsid w:val="009409FB"/>
    <w:rsid w:val="00940C5D"/>
    <w:rsid w:val="009410A8"/>
    <w:rsid w:val="00941933"/>
    <w:rsid w:val="0094458C"/>
    <w:rsid w:val="00946C30"/>
    <w:rsid w:val="0094734A"/>
    <w:rsid w:val="009478E3"/>
    <w:rsid w:val="009506C9"/>
    <w:rsid w:val="009509A2"/>
    <w:rsid w:val="00950A5E"/>
    <w:rsid w:val="00951178"/>
    <w:rsid w:val="00952611"/>
    <w:rsid w:val="0095292D"/>
    <w:rsid w:val="00953B89"/>
    <w:rsid w:val="00953CC9"/>
    <w:rsid w:val="00953FBE"/>
    <w:rsid w:val="00954009"/>
    <w:rsid w:val="009545A3"/>
    <w:rsid w:val="0095471E"/>
    <w:rsid w:val="00954A15"/>
    <w:rsid w:val="00954D97"/>
    <w:rsid w:val="00954FFE"/>
    <w:rsid w:val="00957ADC"/>
    <w:rsid w:val="009615E0"/>
    <w:rsid w:val="009626D3"/>
    <w:rsid w:val="00962BBB"/>
    <w:rsid w:val="00963B12"/>
    <w:rsid w:val="00965512"/>
    <w:rsid w:val="00965C0B"/>
    <w:rsid w:val="009667CE"/>
    <w:rsid w:val="00966A56"/>
    <w:rsid w:val="00966F20"/>
    <w:rsid w:val="00967537"/>
    <w:rsid w:val="0097005E"/>
    <w:rsid w:val="00970120"/>
    <w:rsid w:val="00970CAB"/>
    <w:rsid w:val="009714FA"/>
    <w:rsid w:val="00972A57"/>
    <w:rsid w:val="00973E0F"/>
    <w:rsid w:val="00973F27"/>
    <w:rsid w:val="0097436E"/>
    <w:rsid w:val="0097452B"/>
    <w:rsid w:val="00975690"/>
    <w:rsid w:val="00975D90"/>
    <w:rsid w:val="00976D00"/>
    <w:rsid w:val="00976E5B"/>
    <w:rsid w:val="009774E7"/>
    <w:rsid w:val="009776B4"/>
    <w:rsid w:val="00977A77"/>
    <w:rsid w:val="00980037"/>
    <w:rsid w:val="00981744"/>
    <w:rsid w:val="00981961"/>
    <w:rsid w:val="0098558E"/>
    <w:rsid w:val="00986148"/>
    <w:rsid w:val="00986513"/>
    <w:rsid w:val="009865BD"/>
    <w:rsid w:val="00986765"/>
    <w:rsid w:val="009874F4"/>
    <w:rsid w:val="009910E9"/>
    <w:rsid w:val="00991476"/>
    <w:rsid w:val="0099197A"/>
    <w:rsid w:val="00991CB0"/>
    <w:rsid w:val="00992659"/>
    <w:rsid w:val="00993457"/>
    <w:rsid w:val="00993521"/>
    <w:rsid w:val="0099457A"/>
    <w:rsid w:val="0099461F"/>
    <w:rsid w:val="00995B85"/>
    <w:rsid w:val="00995C11"/>
    <w:rsid w:val="00996ADA"/>
    <w:rsid w:val="00997869"/>
    <w:rsid w:val="00997AB9"/>
    <w:rsid w:val="009A0526"/>
    <w:rsid w:val="009A1C49"/>
    <w:rsid w:val="009A2918"/>
    <w:rsid w:val="009A2C00"/>
    <w:rsid w:val="009A3258"/>
    <w:rsid w:val="009A369E"/>
    <w:rsid w:val="009A3F88"/>
    <w:rsid w:val="009A7758"/>
    <w:rsid w:val="009A7A26"/>
    <w:rsid w:val="009B1F72"/>
    <w:rsid w:val="009B2534"/>
    <w:rsid w:val="009B2768"/>
    <w:rsid w:val="009B3DD8"/>
    <w:rsid w:val="009B3DE5"/>
    <w:rsid w:val="009B3F83"/>
    <w:rsid w:val="009B463F"/>
    <w:rsid w:val="009B4891"/>
    <w:rsid w:val="009B6E9F"/>
    <w:rsid w:val="009B74D2"/>
    <w:rsid w:val="009B7F99"/>
    <w:rsid w:val="009C17BB"/>
    <w:rsid w:val="009C3682"/>
    <w:rsid w:val="009C56E3"/>
    <w:rsid w:val="009C5F41"/>
    <w:rsid w:val="009C687F"/>
    <w:rsid w:val="009C7D29"/>
    <w:rsid w:val="009D000F"/>
    <w:rsid w:val="009D0F29"/>
    <w:rsid w:val="009D12B1"/>
    <w:rsid w:val="009D1574"/>
    <w:rsid w:val="009D175E"/>
    <w:rsid w:val="009D19A9"/>
    <w:rsid w:val="009D3462"/>
    <w:rsid w:val="009D38D2"/>
    <w:rsid w:val="009D39C3"/>
    <w:rsid w:val="009D4095"/>
    <w:rsid w:val="009D4F6F"/>
    <w:rsid w:val="009D6DA8"/>
    <w:rsid w:val="009D7F8D"/>
    <w:rsid w:val="009E06AC"/>
    <w:rsid w:val="009E1879"/>
    <w:rsid w:val="009E1BBD"/>
    <w:rsid w:val="009E250B"/>
    <w:rsid w:val="009E25D1"/>
    <w:rsid w:val="009E28FE"/>
    <w:rsid w:val="009E2CE8"/>
    <w:rsid w:val="009E4AE1"/>
    <w:rsid w:val="009E5B5C"/>
    <w:rsid w:val="009E7036"/>
    <w:rsid w:val="009E7DC6"/>
    <w:rsid w:val="009F0327"/>
    <w:rsid w:val="009F189B"/>
    <w:rsid w:val="009F2B9F"/>
    <w:rsid w:val="009F478D"/>
    <w:rsid w:val="009F4A2C"/>
    <w:rsid w:val="009F4FBE"/>
    <w:rsid w:val="009F5363"/>
    <w:rsid w:val="009F5D7A"/>
    <w:rsid w:val="009F61DE"/>
    <w:rsid w:val="009F6322"/>
    <w:rsid w:val="00A00BA6"/>
    <w:rsid w:val="00A02265"/>
    <w:rsid w:val="00A02946"/>
    <w:rsid w:val="00A0321A"/>
    <w:rsid w:val="00A036A6"/>
    <w:rsid w:val="00A03E78"/>
    <w:rsid w:val="00A04BC6"/>
    <w:rsid w:val="00A04C44"/>
    <w:rsid w:val="00A04C54"/>
    <w:rsid w:val="00A053AE"/>
    <w:rsid w:val="00A066DD"/>
    <w:rsid w:val="00A1090D"/>
    <w:rsid w:val="00A10945"/>
    <w:rsid w:val="00A1157C"/>
    <w:rsid w:val="00A12047"/>
    <w:rsid w:val="00A12A24"/>
    <w:rsid w:val="00A13040"/>
    <w:rsid w:val="00A14156"/>
    <w:rsid w:val="00A15881"/>
    <w:rsid w:val="00A15D82"/>
    <w:rsid w:val="00A15E48"/>
    <w:rsid w:val="00A17291"/>
    <w:rsid w:val="00A202BF"/>
    <w:rsid w:val="00A219CF"/>
    <w:rsid w:val="00A21B2B"/>
    <w:rsid w:val="00A22945"/>
    <w:rsid w:val="00A22F09"/>
    <w:rsid w:val="00A23000"/>
    <w:rsid w:val="00A24578"/>
    <w:rsid w:val="00A24730"/>
    <w:rsid w:val="00A2482A"/>
    <w:rsid w:val="00A25FD9"/>
    <w:rsid w:val="00A25FF3"/>
    <w:rsid w:val="00A267BD"/>
    <w:rsid w:val="00A301A6"/>
    <w:rsid w:val="00A30D21"/>
    <w:rsid w:val="00A31CDC"/>
    <w:rsid w:val="00A31D1E"/>
    <w:rsid w:val="00A31F87"/>
    <w:rsid w:val="00A321F3"/>
    <w:rsid w:val="00A343D8"/>
    <w:rsid w:val="00A34CB0"/>
    <w:rsid w:val="00A35104"/>
    <w:rsid w:val="00A35831"/>
    <w:rsid w:val="00A36601"/>
    <w:rsid w:val="00A36AF9"/>
    <w:rsid w:val="00A36DD8"/>
    <w:rsid w:val="00A3766F"/>
    <w:rsid w:val="00A40938"/>
    <w:rsid w:val="00A4238F"/>
    <w:rsid w:val="00A434CB"/>
    <w:rsid w:val="00A43668"/>
    <w:rsid w:val="00A44D5C"/>
    <w:rsid w:val="00A46C57"/>
    <w:rsid w:val="00A47A07"/>
    <w:rsid w:val="00A5025C"/>
    <w:rsid w:val="00A502A0"/>
    <w:rsid w:val="00A51951"/>
    <w:rsid w:val="00A537F6"/>
    <w:rsid w:val="00A545D7"/>
    <w:rsid w:val="00A546C6"/>
    <w:rsid w:val="00A549A9"/>
    <w:rsid w:val="00A54B0B"/>
    <w:rsid w:val="00A55DD1"/>
    <w:rsid w:val="00A56206"/>
    <w:rsid w:val="00A56EC7"/>
    <w:rsid w:val="00A578C0"/>
    <w:rsid w:val="00A627D5"/>
    <w:rsid w:val="00A62F34"/>
    <w:rsid w:val="00A6305E"/>
    <w:rsid w:val="00A6376C"/>
    <w:rsid w:val="00A63F93"/>
    <w:rsid w:val="00A65D2F"/>
    <w:rsid w:val="00A65F70"/>
    <w:rsid w:val="00A6610B"/>
    <w:rsid w:val="00A6667B"/>
    <w:rsid w:val="00A66900"/>
    <w:rsid w:val="00A67F10"/>
    <w:rsid w:val="00A70903"/>
    <w:rsid w:val="00A70F61"/>
    <w:rsid w:val="00A70FA4"/>
    <w:rsid w:val="00A7131F"/>
    <w:rsid w:val="00A71839"/>
    <w:rsid w:val="00A71C2A"/>
    <w:rsid w:val="00A71D05"/>
    <w:rsid w:val="00A729A8"/>
    <w:rsid w:val="00A734D0"/>
    <w:rsid w:val="00A73772"/>
    <w:rsid w:val="00A76666"/>
    <w:rsid w:val="00A773E2"/>
    <w:rsid w:val="00A77F74"/>
    <w:rsid w:val="00A80CF9"/>
    <w:rsid w:val="00A819A1"/>
    <w:rsid w:val="00A81F8E"/>
    <w:rsid w:val="00A82C73"/>
    <w:rsid w:val="00A839D6"/>
    <w:rsid w:val="00A83AA9"/>
    <w:rsid w:val="00A83B51"/>
    <w:rsid w:val="00A840C1"/>
    <w:rsid w:val="00A84C61"/>
    <w:rsid w:val="00A85730"/>
    <w:rsid w:val="00A857A3"/>
    <w:rsid w:val="00A86292"/>
    <w:rsid w:val="00A868C1"/>
    <w:rsid w:val="00A8776A"/>
    <w:rsid w:val="00A90E3B"/>
    <w:rsid w:val="00A91DC8"/>
    <w:rsid w:val="00A920F7"/>
    <w:rsid w:val="00A92567"/>
    <w:rsid w:val="00A927DB"/>
    <w:rsid w:val="00A93370"/>
    <w:rsid w:val="00A93E87"/>
    <w:rsid w:val="00A963EF"/>
    <w:rsid w:val="00A9669D"/>
    <w:rsid w:val="00A97F65"/>
    <w:rsid w:val="00AA0956"/>
    <w:rsid w:val="00AA0D8E"/>
    <w:rsid w:val="00AA0DA5"/>
    <w:rsid w:val="00AA15BF"/>
    <w:rsid w:val="00AA2D75"/>
    <w:rsid w:val="00AA3CB0"/>
    <w:rsid w:val="00AA5625"/>
    <w:rsid w:val="00AA56F4"/>
    <w:rsid w:val="00AA6375"/>
    <w:rsid w:val="00AA65EC"/>
    <w:rsid w:val="00AA7406"/>
    <w:rsid w:val="00AA7CDD"/>
    <w:rsid w:val="00AA7D15"/>
    <w:rsid w:val="00AB1ABD"/>
    <w:rsid w:val="00AB1F23"/>
    <w:rsid w:val="00AB2033"/>
    <w:rsid w:val="00AB3D7A"/>
    <w:rsid w:val="00AB4882"/>
    <w:rsid w:val="00AB4FEF"/>
    <w:rsid w:val="00AB5422"/>
    <w:rsid w:val="00AB566A"/>
    <w:rsid w:val="00AB56BA"/>
    <w:rsid w:val="00AB58A7"/>
    <w:rsid w:val="00AB5C73"/>
    <w:rsid w:val="00AB71F4"/>
    <w:rsid w:val="00AC0263"/>
    <w:rsid w:val="00AC1264"/>
    <w:rsid w:val="00AC1476"/>
    <w:rsid w:val="00AC1CC6"/>
    <w:rsid w:val="00AC3575"/>
    <w:rsid w:val="00AC573E"/>
    <w:rsid w:val="00AC6366"/>
    <w:rsid w:val="00AC6FC7"/>
    <w:rsid w:val="00AC7503"/>
    <w:rsid w:val="00AD0487"/>
    <w:rsid w:val="00AD0871"/>
    <w:rsid w:val="00AD1A68"/>
    <w:rsid w:val="00AD22C5"/>
    <w:rsid w:val="00AD25EF"/>
    <w:rsid w:val="00AD2F61"/>
    <w:rsid w:val="00AD3211"/>
    <w:rsid w:val="00AD40AC"/>
    <w:rsid w:val="00AD5382"/>
    <w:rsid w:val="00AD577C"/>
    <w:rsid w:val="00AD78A7"/>
    <w:rsid w:val="00AE04C1"/>
    <w:rsid w:val="00AE1CB1"/>
    <w:rsid w:val="00AE2462"/>
    <w:rsid w:val="00AE2676"/>
    <w:rsid w:val="00AE2F45"/>
    <w:rsid w:val="00AE3FDC"/>
    <w:rsid w:val="00AE43AA"/>
    <w:rsid w:val="00AE4F03"/>
    <w:rsid w:val="00AE6857"/>
    <w:rsid w:val="00AE6D6A"/>
    <w:rsid w:val="00AE773F"/>
    <w:rsid w:val="00AF022C"/>
    <w:rsid w:val="00AF0846"/>
    <w:rsid w:val="00AF0F43"/>
    <w:rsid w:val="00AF1480"/>
    <w:rsid w:val="00AF157E"/>
    <w:rsid w:val="00AF21A7"/>
    <w:rsid w:val="00AF21E6"/>
    <w:rsid w:val="00AF2C89"/>
    <w:rsid w:val="00AF3B38"/>
    <w:rsid w:val="00AF3BB1"/>
    <w:rsid w:val="00AF433E"/>
    <w:rsid w:val="00AF509C"/>
    <w:rsid w:val="00AF51D5"/>
    <w:rsid w:val="00AF5CEF"/>
    <w:rsid w:val="00AF5EB6"/>
    <w:rsid w:val="00B003CC"/>
    <w:rsid w:val="00B00823"/>
    <w:rsid w:val="00B00A3B"/>
    <w:rsid w:val="00B00C70"/>
    <w:rsid w:val="00B01A1E"/>
    <w:rsid w:val="00B03EB9"/>
    <w:rsid w:val="00B0533E"/>
    <w:rsid w:val="00B053EC"/>
    <w:rsid w:val="00B054F7"/>
    <w:rsid w:val="00B0592B"/>
    <w:rsid w:val="00B05DE2"/>
    <w:rsid w:val="00B0624B"/>
    <w:rsid w:val="00B063A9"/>
    <w:rsid w:val="00B074A7"/>
    <w:rsid w:val="00B113E9"/>
    <w:rsid w:val="00B119EF"/>
    <w:rsid w:val="00B1210D"/>
    <w:rsid w:val="00B1253B"/>
    <w:rsid w:val="00B1325B"/>
    <w:rsid w:val="00B13295"/>
    <w:rsid w:val="00B13B03"/>
    <w:rsid w:val="00B1461D"/>
    <w:rsid w:val="00B14B8E"/>
    <w:rsid w:val="00B14EA2"/>
    <w:rsid w:val="00B15EC8"/>
    <w:rsid w:val="00B173DC"/>
    <w:rsid w:val="00B20108"/>
    <w:rsid w:val="00B2087F"/>
    <w:rsid w:val="00B21A83"/>
    <w:rsid w:val="00B226C7"/>
    <w:rsid w:val="00B226EA"/>
    <w:rsid w:val="00B23D8C"/>
    <w:rsid w:val="00B23F22"/>
    <w:rsid w:val="00B244EA"/>
    <w:rsid w:val="00B257B2"/>
    <w:rsid w:val="00B25C06"/>
    <w:rsid w:val="00B26476"/>
    <w:rsid w:val="00B30494"/>
    <w:rsid w:val="00B304EE"/>
    <w:rsid w:val="00B30682"/>
    <w:rsid w:val="00B3072C"/>
    <w:rsid w:val="00B31ADC"/>
    <w:rsid w:val="00B32A79"/>
    <w:rsid w:val="00B33437"/>
    <w:rsid w:val="00B33978"/>
    <w:rsid w:val="00B351E0"/>
    <w:rsid w:val="00B35E8E"/>
    <w:rsid w:val="00B3693D"/>
    <w:rsid w:val="00B373AD"/>
    <w:rsid w:val="00B37798"/>
    <w:rsid w:val="00B378CC"/>
    <w:rsid w:val="00B37BE4"/>
    <w:rsid w:val="00B37BEB"/>
    <w:rsid w:val="00B406EC"/>
    <w:rsid w:val="00B40FEC"/>
    <w:rsid w:val="00B414C3"/>
    <w:rsid w:val="00B429E5"/>
    <w:rsid w:val="00B42DBC"/>
    <w:rsid w:val="00B43EE0"/>
    <w:rsid w:val="00B4430B"/>
    <w:rsid w:val="00B44A1D"/>
    <w:rsid w:val="00B44A4C"/>
    <w:rsid w:val="00B46052"/>
    <w:rsid w:val="00B4605A"/>
    <w:rsid w:val="00B47FFD"/>
    <w:rsid w:val="00B51954"/>
    <w:rsid w:val="00B51EE4"/>
    <w:rsid w:val="00B5289A"/>
    <w:rsid w:val="00B52EF8"/>
    <w:rsid w:val="00B54781"/>
    <w:rsid w:val="00B549B9"/>
    <w:rsid w:val="00B54AA9"/>
    <w:rsid w:val="00B5515B"/>
    <w:rsid w:val="00B558B3"/>
    <w:rsid w:val="00B56E0D"/>
    <w:rsid w:val="00B57185"/>
    <w:rsid w:val="00B57C7F"/>
    <w:rsid w:val="00B60CB0"/>
    <w:rsid w:val="00B6245F"/>
    <w:rsid w:val="00B629C8"/>
    <w:rsid w:val="00B62B84"/>
    <w:rsid w:val="00B62DCB"/>
    <w:rsid w:val="00B64264"/>
    <w:rsid w:val="00B64F61"/>
    <w:rsid w:val="00B65C5F"/>
    <w:rsid w:val="00B65D02"/>
    <w:rsid w:val="00B66E3F"/>
    <w:rsid w:val="00B6765C"/>
    <w:rsid w:val="00B67835"/>
    <w:rsid w:val="00B67D00"/>
    <w:rsid w:val="00B7162B"/>
    <w:rsid w:val="00B71C7F"/>
    <w:rsid w:val="00B71EDD"/>
    <w:rsid w:val="00B721F2"/>
    <w:rsid w:val="00B72B24"/>
    <w:rsid w:val="00B72E13"/>
    <w:rsid w:val="00B7341A"/>
    <w:rsid w:val="00B73731"/>
    <w:rsid w:val="00B73766"/>
    <w:rsid w:val="00B76285"/>
    <w:rsid w:val="00B76B55"/>
    <w:rsid w:val="00B77A11"/>
    <w:rsid w:val="00B81769"/>
    <w:rsid w:val="00B8249E"/>
    <w:rsid w:val="00B825BC"/>
    <w:rsid w:val="00B8297F"/>
    <w:rsid w:val="00B82AD2"/>
    <w:rsid w:val="00B82CA8"/>
    <w:rsid w:val="00B82CC4"/>
    <w:rsid w:val="00B83014"/>
    <w:rsid w:val="00B84B83"/>
    <w:rsid w:val="00B84DCA"/>
    <w:rsid w:val="00B86A99"/>
    <w:rsid w:val="00B86DC1"/>
    <w:rsid w:val="00B87180"/>
    <w:rsid w:val="00B87FC2"/>
    <w:rsid w:val="00B9096E"/>
    <w:rsid w:val="00B924D7"/>
    <w:rsid w:val="00B926A3"/>
    <w:rsid w:val="00B9347D"/>
    <w:rsid w:val="00B93C1E"/>
    <w:rsid w:val="00B93E69"/>
    <w:rsid w:val="00B93F5B"/>
    <w:rsid w:val="00B946A5"/>
    <w:rsid w:val="00B95167"/>
    <w:rsid w:val="00B955A1"/>
    <w:rsid w:val="00B95B77"/>
    <w:rsid w:val="00B967B4"/>
    <w:rsid w:val="00B96B28"/>
    <w:rsid w:val="00B97889"/>
    <w:rsid w:val="00BA11AF"/>
    <w:rsid w:val="00BA22F8"/>
    <w:rsid w:val="00BA2CBE"/>
    <w:rsid w:val="00BA3B52"/>
    <w:rsid w:val="00BA4FD2"/>
    <w:rsid w:val="00BA5FF9"/>
    <w:rsid w:val="00BA71B9"/>
    <w:rsid w:val="00BA773B"/>
    <w:rsid w:val="00BA7D1C"/>
    <w:rsid w:val="00BB0411"/>
    <w:rsid w:val="00BB0E1D"/>
    <w:rsid w:val="00BB18D4"/>
    <w:rsid w:val="00BB1B95"/>
    <w:rsid w:val="00BB29C6"/>
    <w:rsid w:val="00BB353C"/>
    <w:rsid w:val="00BB3D84"/>
    <w:rsid w:val="00BB4BF9"/>
    <w:rsid w:val="00BB5E36"/>
    <w:rsid w:val="00BB5ED9"/>
    <w:rsid w:val="00BB6D81"/>
    <w:rsid w:val="00BB7683"/>
    <w:rsid w:val="00BB787D"/>
    <w:rsid w:val="00BB7BD4"/>
    <w:rsid w:val="00BC04A5"/>
    <w:rsid w:val="00BC1EDD"/>
    <w:rsid w:val="00BC2337"/>
    <w:rsid w:val="00BC3569"/>
    <w:rsid w:val="00BC35CC"/>
    <w:rsid w:val="00BC4245"/>
    <w:rsid w:val="00BC5A97"/>
    <w:rsid w:val="00BC61DD"/>
    <w:rsid w:val="00BC65F2"/>
    <w:rsid w:val="00BC7718"/>
    <w:rsid w:val="00BC7788"/>
    <w:rsid w:val="00BC7B6D"/>
    <w:rsid w:val="00BC7F19"/>
    <w:rsid w:val="00BD078D"/>
    <w:rsid w:val="00BD258B"/>
    <w:rsid w:val="00BD2B5E"/>
    <w:rsid w:val="00BD2F49"/>
    <w:rsid w:val="00BD35F0"/>
    <w:rsid w:val="00BD457F"/>
    <w:rsid w:val="00BD5C38"/>
    <w:rsid w:val="00BD69C7"/>
    <w:rsid w:val="00BD7902"/>
    <w:rsid w:val="00BD7FD0"/>
    <w:rsid w:val="00BE1032"/>
    <w:rsid w:val="00BE1204"/>
    <w:rsid w:val="00BE1240"/>
    <w:rsid w:val="00BE2D10"/>
    <w:rsid w:val="00BE4A4C"/>
    <w:rsid w:val="00BE6761"/>
    <w:rsid w:val="00BF260D"/>
    <w:rsid w:val="00BF30C6"/>
    <w:rsid w:val="00BF4B81"/>
    <w:rsid w:val="00BF4EDD"/>
    <w:rsid w:val="00BF5694"/>
    <w:rsid w:val="00BF5E4F"/>
    <w:rsid w:val="00BF6DFC"/>
    <w:rsid w:val="00BF6E50"/>
    <w:rsid w:val="00BF74CF"/>
    <w:rsid w:val="00C003FE"/>
    <w:rsid w:val="00C013D7"/>
    <w:rsid w:val="00C0142F"/>
    <w:rsid w:val="00C02C5C"/>
    <w:rsid w:val="00C05290"/>
    <w:rsid w:val="00C0540E"/>
    <w:rsid w:val="00C06ECF"/>
    <w:rsid w:val="00C07ABB"/>
    <w:rsid w:val="00C07DCC"/>
    <w:rsid w:val="00C103A7"/>
    <w:rsid w:val="00C10D40"/>
    <w:rsid w:val="00C11602"/>
    <w:rsid w:val="00C122F1"/>
    <w:rsid w:val="00C12497"/>
    <w:rsid w:val="00C130FA"/>
    <w:rsid w:val="00C144F3"/>
    <w:rsid w:val="00C15448"/>
    <w:rsid w:val="00C1574D"/>
    <w:rsid w:val="00C15DCE"/>
    <w:rsid w:val="00C16F30"/>
    <w:rsid w:val="00C175DE"/>
    <w:rsid w:val="00C1784F"/>
    <w:rsid w:val="00C17AE6"/>
    <w:rsid w:val="00C223CA"/>
    <w:rsid w:val="00C22BB9"/>
    <w:rsid w:val="00C2328A"/>
    <w:rsid w:val="00C24472"/>
    <w:rsid w:val="00C252EC"/>
    <w:rsid w:val="00C254FA"/>
    <w:rsid w:val="00C25825"/>
    <w:rsid w:val="00C25F09"/>
    <w:rsid w:val="00C26726"/>
    <w:rsid w:val="00C26840"/>
    <w:rsid w:val="00C27615"/>
    <w:rsid w:val="00C30458"/>
    <w:rsid w:val="00C33145"/>
    <w:rsid w:val="00C34457"/>
    <w:rsid w:val="00C37261"/>
    <w:rsid w:val="00C402BA"/>
    <w:rsid w:val="00C41B4B"/>
    <w:rsid w:val="00C42907"/>
    <w:rsid w:val="00C43142"/>
    <w:rsid w:val="00C43183"/>
    <w:rsid w:val="00C431C1"/>
    <w:rsid w:val="00C43DA0"/>
    <w:rsid w:val="00C44FFF"/>
    <w:rsid w:val="00C45134"/>
    <w:rsid w:val="00C45329"/>
    <w:rsid w:val="00C45C29"/>
    <w:rsid w:val="00C468D5"/>
    <w:rsid w:val="00C50164"/>
    <w:rsid w:val="00C50C16"/>
    <w:rsid w:val="00C50EFA"/>
    <w:rsid w:val="00C53868"/>
    <w:rsid w:val="00C53CB0"/>
    <w:rsid w:val="00C54C0B"/>
    <w:rsid w:val="00C55BDC"/>
    <w:rsid w:val="00C55C81"/>
    <w:rsid w:val="00C5614C"/>
    <w:rsid w:val="00C56155"/>
    <w:rsid w:val="00C566DA"/>
    <w:rsid w:val="00C56AC0"/>
    <w:rsid w:val="00C57FDA"/>
    <w:rsid w:val="00C610AF"/>
    <w:rsid w:val="00C61F64"/>
    <w:rsid w:val="00C62696"/>
    <w:rsid w:val="00C6283C"/>
    <w:rsid w:val="00C62905"/>
    <w:rsid w:val="00C62AC4"/>
    <w:rsid w:val="00C62EA0"/>
    <w:rsid w:val="00C641A3"/>
    <w:rsid w:val="00C6448A"/>
    <w:rsid w:val="00C64EF7"/>
    <w:rsid w:val="00C650F5"/>
    <w:rsid w:val="00C66428"/>
    <w:rsid w:val="00C668D8"/>
    <w:rsid w:val="00C66D9B"/>
    <w:rsid w:val="00C67596"/>
    <w:rsid w:val="00C67701"/>
    <w:rsid w:val="00C67B7F"/>
    <w:rsid w:val="00C70837"/>
    <w:rsid w:val="00C70E78"/>
    <w:rsid w:val="00C7131B"/>
    <w:rsid w:val="00C71859"/>
    <w:rsid w:val="00C7330B"/>
    <w:rsid w:val="00C73CAC"/>
    <w:rsid w:val="00C73E4C"/>
    <w:rsid w:val="00C73EEA"/>
    <w:rsid w:val="00C7443C"/>
    <w:rsid w:val="00C75359"/>
    <w:rsid w:val="00C75664"/>
    <w:rsid w:val="00C75922"/>
    <w:rsid w:val="00C76106"/>
    <w:rsid w:val="00C77B27"/>
    <w:rsid w:val="00C80A2B"/>
    <w:rsid w:val="00C81AE4"/>
    <w:rsid w:val="00C82C0B"/>
    <w:rsid w:val="00C82F9B"/>
    <w:rsid w:val="00C840E7"/>
    <w:rsid w:val="00C84E51"/>
    <w:rsid w:val="00C85187"/>
    <w:rsid w:val="00C8574F"/>
    <w:rsid w:val="00C86456"/>
    <w:rsid w:val="00C9048E"/>
    <w:rsid w:val="00C91098"/>
    <w:rsid w:val="00C91533"/>
    <w:rsid w:val="00C91E75"/>
    <w:rsid w:val="00C92DAA"/>
    <w:rsid w:val="00C93323"/>
    <w:rsid w:val="00C94C25"/>
    <w:rsid w:val="00C94C8A"/>
    <w:rsid w:val="00CA024B"/>
    <w:rsid w:val="00CA03E9"/>
    <w:rsid w:val="00CA209E"/>
    <w:rsid w:val="00CA265B"/>
    <w:rsid w:val="00CA3BCF"/>
    <w:rsid w:val="00CA4462"/>
    <w:rsid w:val="00CA4645"/>
    <w:rsid w:val="00CA4BB5"/>
    <w:rsid w:val="00CA4C22"/>
    <w:rsid w:val="00CA5131"/>
    <w:rsid w:val="00CA5FFB"/>
    <w:rsid w:val="00CA6003"/>
    <w:rsid w:val="00CA6D55"/>
    <w:rsid w:val="00CB09D6"/>
    <w:rsid w:val="00CB2271"/>
    <w:rsid w:val="00CB2A0F"/>
    <w:rsid w:val="00CB3A66"/>
    <w:rsid w:val="00CB3DD2"/>
    <w:rsid w:val="00CB5179"/>
    <w:rsid w:val="00CB5219"/>
    <w:rsid w:val="00CB594E"/>
    <w:rsid w:val="00CB7AF5"/>
    <w:rsid w:val="00CC0033"/>
    <w:rsid w:val="00CC0836"/>
    <w:rsid w:val="00CC131B"/>
    <w:rsid w:val="00CC158C"/>
    <w:rsid w:val="00CC1615"/>
    <w:rsid w:val="00CC364F"/>
    <w:rsid w:val="00CC3EF3"/>
    <w:rsid w:val="00CC489B"/>
    <w:rsid w:val="00CC5043"/>
    <w:rsid w:val="00CC5E57"/>
    <w:rsid w:val="00CC6D9B"/>
    <w:rsid w:val="00CC7FF0"/>
    <w:rsid w:val="00CD080F"/>
    <w:rsid w:val="00CD0F01"/>
    <w:rsid w:val="00CD2682"/>
    <w:rsid w:val="00CD2B12"/>
    <w:rsid w:val="00CD33AB"/>
    <w:rsid w:val="00CD3415"/>
    <w:rsid w:val="00CD3EE9"/>
    <w:rsid w:val="00CD5809"/>
    <w:rsid w:val="00CD635A"/>
    <w:rsid w:val="00CD6C7A"/>
    <w:rsid w:val="00CD73D1"/>
    <w:rsid w:val="00CE02F0"/>
    <w:rsid w:val="00CE0675"/>
    <w:rsid w:val="00CE0DEE"/>
    <w:rsid w:val="00CE174B"/>
    <w:rsid w:val="00CE1944"/>
    <w:rsid w:val="00CE1983"/>
    <w:rsid w:val="00CE22F7"/>
    <w:rsid w:val="00CE2314"/>
    <w:rsid w:val="00CE31C3"/>
    <w:rsid w:val="00CE3AC4"/>
    <w:rsid w:val="00CE3ED2"/>
    <w:rsid w:val="00CE400E"/>
    <w:rsid w:val="00CE42E6"/>
    <w:rsid w:val="00CE4C23"/>
    <w:rsid w:val="00CE5BD6"/>
    <w:rsid w:val="00CE5FDF"/>
    <w:rsid w:val="00CE7283"/>
    <w:rsid w:val="00CF24DB"/>
    <w:rsid w:val="00CF2D79"/>
    <w:rsid w:val="00CF3448"/>
    <w:rsid w:val="00CF48B4"/>
    <w:rsid w:val="00CF5D33"/>
    <w:rsid w:val="00CF6408"/>
    <w:rsid w:val="00CF7B3B"/>
    <w:rsid w:val="00D007B2"/>
    <w:rsid w:val="00D0193D"/>
    <w:rsid w:val="00D019E7"/>
    <w:rsid w:val="00D0338A"/>
    <w:rsid w:val="00D03DCF"/>
    <w:rsid w:val="00D05B05"/>
    <w:rsid w:val="00D0611C"/>
    <w:rsid w:val="00D06E81"/>
    <w:rsid w:val="00D07D72"/>
    <w:rsid w:val="00D101CD"/>
    <w:rsid w:val="00D10F90"/>
    <w:rsid w:val="00D111D5"/>
    <w:rsid w:val="00D111F1"/>
    <w:rsid w:val="00D114A4"/>
    <w:rsid w:val="00D13FF1"/>
    <w:rsid w:val="00D146F9"/>
    <w:rsid w:val="00D1534E"/>
    <w:rsid w:val="00D173DA"/>
    <w:rsid w:val="00D17BEC"/>
    <w:rsid w:val="00D17EFC"/>
    <w:rsid w:val="00D202EA"/>
    <w:rsid w:val="00D204F5"/>
    <w:rsid w:val="00D21D69"/>
    <w:rsid w:val="00D23F1F"/>
    <w:rsid w:val="00D2511F"/>
    <w:rsid w:val="00D25CA4"/>
    <w:rsid w:val="00D26056"/>
    <w:rsid w:val="00D26A76"/>
    <w:rsid w:val="00D26AB9"/>
    <w:rsid w:val="00D26BEC"/>
    <w:rsid w:val="00D27AC7"/>
    <w:rsid w:val="00D27B13"/>
    <w:rsid w:val="00D27DED"/>
    <w:rsid w:val="00D27E47"/>
    <w:rsid w:val="00D30932"/>
    <w:rsid w:val="00D30E99"/>
    <w:rsid w:val="00D31C87"/>
    <w:rsid w:val="00D3277D"/>
    <w:rsid w:val="00D3280B"/>
    <w:rsid w:val="00D32A78"/>
    <w:rsid w:val="00D32F1E"/>
    <w:rsid w:val="00D33AC8"/>
    <w:rsid w:val="00D33DA7"/>
    <w:rsid w:val="00D34C01"/>
    <w:rsid w:val="00D360E4"/>
    <w:rsid w:val="00D36A23"/>
    <w:rsid w:val="00D373EE"/>
    <w:rsid w:val="00D40575"/>
    <w:rsid w:val="00D413DF"/>
    <w:rsid w:val="00D419A2"/>
    <w:rsid w:val="00D41A57"/>
    <w:rsid w:val="00D41D54"/>
    <w:rsid w:val="00D423E0"/>
    <w:rsid w:val="00D427F5"/>
    <w:rsid w:val="00D4302E"/>
    <w:rsid w:val="00D4629E"/>
    <w:rsid w:val="00D465EE"/>
    <w:rsid w:val="00D4695B"/>
    <w:rsid w:val="00D50469"/>
    <w:rsid w:val="00D5076C"/>
    <w:rsid w:val="00D5142B"/>
    <w:rsid w:val="00D51CD8"/>
    <w:rsid w:val="00D51D8E"/>
    <w:rsid w:val="00D5227B"/>
    <w:rsid w:val="00D54DE5"/>
    <w:rsid w:val="00D55B56"/>
    <w:rsid w:val="00D55D5E"/>
    <w:rsid w:val="00D56814"/>
    <w:rsid w:val="00D6009E"/>
    <w:rsid w:val="00D60249"/>
    <w:rsid w:val="00D619F3"/>
    <w:rsid w:val="00D62692"/>
    <w:rsid w:val="00D62DD4"/>
    <w:rsid w:val="00D637D7"/>
    <w:rsid w:val="00D63800"/>
    <w:rsid w:val="00D64C0A"/>
    <w:rsid w:val="00D65B16"/>
    <w:rsid w:val="00D66BF7"/>
    <w:rsid w:val="00D70A50"/>
    <w:rsid w:val="00D71878"/>
    <w:rsid w:val="00D725D9"/>
    <w:rsid w:val="00D7291A"/>
    <w:rsid w:val="00D737DA"/>
    <w:rsid w:val="00D7424E"/>
    <w:rsid w:val="00D75097"/>
    <w:rsid w:val="00D754AF"/>
    <w:rsid w:val="00D75B54"/>
    <w:rsid w:val="00D768B0"/>
    <w:rsid w:val="00D77CF2"/>
    <w:rsid w:val="00D8070E"/>
    <w:rsid w:val="00D80711"/>
    <w:rsid w:val="00D80E59"/>
    <w:rsid w:val="00D82824"/>
    <w:rsid w:val="00D8291D"/>
    <w:rsid w:val="00D82AE8"/>
    <w:rsid w:val="00D82C49"/>
    <w:rsid w:val="00D836F8"/>
    <w:rsid w:val="00D840C8"/>
    <w:rsid w:val="00D8526F"/>
    <w:rsid w:val="00D8588D"/>
    <w:rsid w:val="00D86C1D"/>
    <w:rsid w:val="00D86CA7"/>
    <w:rsid w:val="00D876DF"/>
    <w:rsid w:val="00D87918"/>
    <w:rsid w:val="00D87EFB"/>
    <w:rsid w:val="00D908E7"/>
    <w:rsid w:val="00D90CA7"/>
    <w:rsid w:val="00D90D07"/>
    <w:rsid w:val="00D92071"/>
    <w:rsid w:val="00D9319C"/>
    <w:rsid w:val="00D94A42"/>
    <w:rsid w:val="00D94ACE"/>
    <w:rsid w:val="00D95439"/>
    <w:rsid w:val="00D965F6"/>
    <w:rsid w:val="00D97A65"/>
    <w:rsid w:val="00DA0C99"/>
    <w:rsid w:val="00DA21B9"/>
    <w:rsid w:val="00DA2EA7"/>
    <w:rsid w:val="00DA401D"/>
    <w:rsid w:val="00DA460A"/>
    <w:rsid w:val="00DA487E"/>
    <w:rsid w:val="00DA48F2"/>
    <w:rsid w:val="00DA5564"/>
    <w:rsid w:val="00DA5EB7"/>
    <w:rsid w:val="00DA72D5"/>
    <w:rsid w:val="00DB0571"/>
    <w:rsid w:val="00DB1962"/>
    <w:rsid w:val="00DB1A81"/>
    <w:rsid w:val="00DB2292"/>
    <w:rsid w:val="00DB2868"/>
    <w:rsid w:val="00DB33BF"/>
    <w:rsid w:val="00DB39E8"/>
    <w:rsid w:val="00DB3A25"/>
    <w:rsid w:val="00DB3CFC"/>
    <w:rsid w:val="00DB40BC"/>
    <w:rsid w:val="00DB4DAE"/>
    <w:rsid w:val="00DB5888"/>
    <w:rsid w:val="00DB64E6"/>
    <w:rsid w:val="00DB6F3D"/>
    <w:rsid w:val="00DC065D"/>
    <w:rsid w:val="00DC08E0"/>
    <w:rsid w:val="00DC0F37"/>
    <w:rsid w:val="00DC1305"/>
    <w:rsid w:val="00DC3B17"/>
    <w:rsid w:val="00DC3B1A"/>
    <w:rsid w:val="00DC5395"/>
    <w:rsid w:val="00DC5AA4"/>
    <w:rsid w:val="00DC62E2"/>
    <w:rsid w:val="00DC6765"/>
    <w:rsid w:val="00DC700C"/>
    <w:rsid w:val="00DD0838"/>
    <w:rsid w:val="00DD08AA"/>
    <w:rsid w:val="00DD2F73"/>
    <w:rsid w:val="00DD35E4"/>
    <w:rsid w:val="00DD3FF2"/>
    <w:rsid w:val="00DD565D"/>
    <w:rsid w:val="00DD5EC7"/>
    <w:rsid w:val="00DD64ED"/>
    <w:rsid w:val="00DD6A5F"/>
    <w:rsid w:val="00DD7530"/>
    <w:rsid w:val="00DE0E39"/>
    <w:rsid w:val="00DE1AAC"/>
    <w:rsid w:val="00DE1CF9"/>
    <w:rsid w:val="00DE1DEA"/>
    <w:rsid w:val="00DE2567"/>
    <w:rsid w:val="00DE3DFF"/>
    <w:rsid w:val="00DE4006"/>
    <w:rsid w:val="00DE483E"/>
    <w:rsid w:val="00DE4D79"/>
    <w:rsid w:val="00DE5164"/>
    <w:rsid w:val="00DE5DDF"/>
    <w:rsid w:val="00DE60DF"/>
    <w:rsid w:val="00DE72DC"/>
    <w:rsid w:val="00DE79E0"/>
    <w:rsid w:val="00DF060D"/>
    <w:rsid w:val="00DF0E68"/>
    <w:rsid w:val="00DF0E93"/>
    <w:rsid w:val="00DF245A"/>
    <w:rsid w:val="00DF43B4"/>
    <w:rsid w:val="00DF4524"/>
    <w:rsid w:val="00DF4F4E"/>
    <w:rsid w:val="00DF5043"/>
    <w:rsid w:val="00DF62A5"/>
    <w:rsid w:val="00DF6EA7"/>
    <w:rsid w:val="00DF77C1"/>
    <w:rsid w:val="00E0156F"/>
    <w:rsid w:val="00E01A4F"/>
    <w:rsid w:val="00E03AB9"/>
    <w:rsid w:val="00E03BE3"/>
    <w:rsid w:val="00E03D5B"/>
    <w:rsid w:val="00E049F4"/>
    <w:rsid w:val="00E04D92"/>
    <w:rsid w:val="00E068DB"/>
    <w:rsid w:val="00E07622"/>
    <w:rsid w:val="00E07704"/>
    <w:rsid w:val="00E07A39"/>
    <w:rsid w:val="00E07A52"/>
    <w:rsid w:val="00E07E54"/>
    <w:rsid w:val="00E101E6"/>
    <w:rsid w:val="00E10828"/>
    <w:rsid w:val="00E11895"/>
    <w:rsid w:val="00E11F31"/>
    <w:rsid w:val="00E122BA"/>
    <w:rsid w:val="00E1373A"/>
    <w:rsid w:val="00E1379F"/>
    <w:rsid w:val="00E13F5C"/>
    <w:rsid w:val="00E14C46"/>
    <w:rsid w:val="00E150BB"/>
    <w:rsid w:val="00E17DD9"/>
    <w:rsid w:val="00E2113A"/>
    <w:rsid w:val="00E21FF7"/>
    <w:rsid w:val="00E22959"/>
    <w:rsid w:val="00E23B66"/>
    <w:rsid w:val="00E25B99"/>
    <w:rsid w:val="00E26FDE"/>
    <w:rsid w:val="00E2748A"/>
    <w:rsid w:val="00E27550"/>
    <w:rsid w:val="00E27D06"/>
    <w:rsid w:val="00E30627"/>
    <w:rsid w:val="00E30FCD"/>
    <w:rsid w:val="00E31C2C"/>
    <w:rsid w:val="00E31D3C"/>
    <w:rsid w:val="00E32634"/>
    <w:rsid w:val="00E337F3"/>
    <w:rsid w:val="00E338FA"/>
    <w:rsid w:val="00E33CD2"/>
    <w:rsid w:val="00E344CA"/>
    <w:rsid w:val="00E35660"/>
    <w:rsid w:val="00E35AF0"/>
    <w:rsid w:val="00E365A4"/>
    <w:rsid w:val="00E36653"/>
    <w:rsid w:val="00E40C59"/>
    <w:rsid w:val="00E40FF2"/>
    <w:rsid w:val="00E41BFB"/>
    <w:rsid w:val="00E41CB2"/>
    <w:rsid w:val="00E42684"/>
    <w:rsid w:val="00E42727"/>
    <w:rsid w:val="00E42ADA"/>
    <w:rsid w:val="00E42E39"/>
    <w:rsid w:val="00E43152"/>
    <w:rsid w:val="00E439B7"/>
    <w:rsid w:val="00E43F22"/>
    <w:rsid w:val="00E44093"/>
    <w:rsid w:val="00E45097"/>
    <w:rsid w:val="00E453BC"/>
    <w:rsid w:val="00E45712"/>
    <w:rsid w:val="00E45C1D"/>
    <w:rsid w:val="00E46497"/>
    <w:rsid w:val="00E50B1A"/>
    <w:rsid w:val="00E516B5"/>
    <w:rsid w:val="00E531F8"/>
    <w:rsid w:val="00E539ED"/>
    <w:rsid w:val="00E53C47"/>
    <w:rsid w:val="00E55982"/>
    <w:rsid w:val="00E56965"/>
    <w:rsid w:val="00E56971"/>
    <w:rsid w:val="00E57055"/>
    <w:rsid w:val="00E60A82"/>
    <w:rsid w:val="00E61A97"/>
    <w:rsid w:val="00E63010"/>
    <w:rsid w:val="00E6381E"/>
    <w:rsid w:val="00E653F4"/>
    <w:rsid w:val="00E65A84"/>
    <w:rsid w:val="00E65CA4"/>
    <w:rsid w:val="00E66EB0"/>
    <w:rsid w:val="00E671AF"/>
    <w:rsid w:val="00E705D5"/>
    <w:rsid w:val="00E718F2"/>
    <w:rsid w:val="00E72AE5"/>
    <w:rsid w:val="00E73E71"/>
    <w:rsid w:val="00E74160"/>
    <w:rsid w:val="00E74E20"/>
    <w:rsid w:val="00E754CF"/>
    <w:rsid w:val="00E757FE"/>
    <w:rsid w:val="00E75A02"/>
    <w:rsid w:val="00E76E16"/>
    <w:rsid w:val="00E76E98"/>
    <w:rsid w:val="00E76FDB"/>
    <w:rsid w:val="00E77066"/>
    <w:rsid w:val="00E80277"/>
    <w:rsid w:val="00E80B7B"/>
    <w:rsid w:val="00E80E95"/>
    <w:rsid w:val="00E832F1"/>
    <w:rsid w:val="00E83854"/>
    <w:rsid w:val="00E8392F"/>
    <w:rsid w:val="00E842AC"/>
    <w:rsid w:val="00E845D3"/>
    <w:rsid w:val="00E85099"/>
    <w:rsid w:val="00E85108"/>
    <w:rsid w:val="00E85A94"/>
    <w:rsid w:val="00E862BA"/>
    <w:rsid w:val="00E864F6"/>
    <w:rsid w:val="00E864FE"/>
    <w:rsid w:val="00E8680E"/>
    <w:rsid w:val="00E86D87"/>
    <w:rsid w:val="00E86EC6"/>
    <w:rsid w:val="00E87FA3"/>
    <w:rsid w:val="00E90441"/>
    <w:rsid w:val="00E930EE"/>
    <w:rsid w:val="00E9329C"/>
    <w:rsid w:val="00E9469C"/>
    <w:rsid w:val="00E946ED"/>
    <w:rsid w:val="00E94957"/>
    <w:rsid w:val="00E95FC8"/>
    <w:rsid w:val="00E97213"/>
    <w:rsid w:val="00EA0D60"/>
    <w:rsid w:val="00EA1414"/>
    <w:rsid w:val="00EA2215"/>
    <w:rsid w:val="00EA33A5"/>
    <w:rsid w:val="00EA33B6"/>
    <w:rsid w:val="00EA43FF"/>
    <w:rsid w:val="00EA4673"/>
    <w:rsid w:val="00EA486B"/>
    <w:rsid w:val="00EA52AD"/>
    <w:rsid w:val="00EA5597"/>
    <w:rsid w:val="00EA6DF9"/>
    <w:rsid w:val="00EA7B3D"/>
    <w:rsid w:val="00EB130E"/>
    <w:rsid w:val="00EB1C65"/>
    <w:rsid w:val="00EB3229"/>
    <w:rsid w:val="00EB3980"/>
    <w:rsid w:val="00EB5E61"/>
    <w:rsid w:val="00EB64EB"/>
    <w:rsid w:val="00EB6C4C"/>
    <w:rsid w:val="00EB7609"/>
    <w:rsid w:val="00EC0982"/>
    <w:rsid w:val="00EC0A48"/>
    <w:rsid w:val="00EC0C97"/>
    <w:rsid w:val="00EC3CF9"/>
    <w:rsid w:val="00EC3D0E"/>
    <w:rsid w:val="00EC3D5C"/>
    <w:rsid w:val="00EC4170"/>
    <w:rsid w:val="00EC46E2"/>
    <w:rsid w:val="00EC5D52"/>
    <w:rsid w:val="00EC652D"/>
    <w:rsid w:val="00EC658C"/>
    <w:rsid w:val="00EC7873"/>
    <w:rsid w:val="00ED0B97"/>
    <w:rsid w:val="00ED15CA"/>
    <w:rsid w:val="00ED1A49"/>
    <w:rsid w:val="00ED2D04"/>
    <w:rsid w:val="00ED461D"/>
    <w:rsid w:val="00ED4659"/>
    <w:rsid w:val="00ED4923"/>
    <w:rsid w:val="00ED4945"/>
    <w:rsid w:val="00ED569A"/>
    <w:rsid w:val="00ED66B2"/>
    <w:rsid w:val="00ED6A46"/>
    <w:rsid w:val="00ED6B97"/>
    <w:rsid w:val="00ED6D59"/>
    <w:rsid w:val="00EE2479"/>
    <w:rsid w:val="00EE27DF"/>
    <w:rsid w:val="00EE2B13"/>
    <w:rsid w:val="00EE526B"/>
    <w:rsid w:val="00EE5D76"/>
    <w:rsid w:val="00EE6B2F"/>
    <w:rsid w:val="00EE78BD"/>
    <w:rsid w:val="00EF054D"/>
    <w:rsid w:val="00EF0B8E"/>
    <w:rsid w:val="00EF0F67"/>
    <w:rsid w:val="00EF14A0"/>
    <w:rsid w:val="00EF1ADE"/>
    <w:rsid w:val="00EF1BA3"/>
    <w:rsid w:val="00EF1EE4"/>
    <w:rsid w:val="00EF294E"/>
    <w:rsid w:val="00EF346D"/>
    <w:rsid w:val="00EF44C5"/>
    <w:rsid w:val="00EF47AD"/>
    <w:rsid w:val="00EF5325"/>
    <w:rsid w:val="00EF552B"/>
    <w:rsid w:val="00EF573B"/>
    <w:rsid w:val="00EF69B3"/>
    <w:rsid w:val="00EF780F"/>
    <w:rsid w:val="00F005DD"/>
    <w:rsid w:val="00F00B25"/>
    <w:rsid w:val="00F00F40"/>
    <w:rsid w:val="00F01F42"/>
    <w:rsid w:val="00F02739"/>
    <w:rsid w:val="00F035CC"/>
    <w:rsid w:val="00F042F5"/>
    <w:rsid w:val="00F04728"/>
    <w:rsid w:val="00F04C88"/>
    <w:rsid w:val="00F05368"/>
    <w:rsid w:val="00F076CE"/>
    <w:rsid w:val="00F103B7"/>
    <w:rsid w:val="00F10D10"/>
    <w:rsid w:val="00F1531C"/>
    <w:rsid w:val="00F16564"/>
    <w:rsid w:val="00F169A7"/>
    <w:rsid w:val="00F16BF7"/>
    <w:rsid w:val="00F17626"/>
    <w:rsid w:val="00F2092B"/>
    <w:rsid w:val="00F21404"/>
    <w:rsid w:val="00F23386"/>
    <w:rsid w:val="00F23E80"/>
    <w:rsid w:val="00F24702"/>
    <w:rsid w:val="00F249DF"/>
    <w:rsid w:val="00F256D7"/>
    <w:rsid w:val="00F25EB1"/>
    <w:rsid w:val="00F267C1"/>
    <w:rsid w:val="00F27910"/>
    <w:rsid w:val="00F304E4"/>
    <w:rsid w:val="00F304F2"/>
    <w:rsid w:val="00F305D1"/>
    <w:rsid w:val="00F31B4E"/>
    <w:rsid w:val="00F32789"/>
    <w:rsid w:val="00F339D6"/>
    <w:rsid w:val="00F346E8"/>
    <w:rsid w:val="00F34CAB"/>
    <w:rsid w:val="00F35397"/>
    <w:rsid w:val="00F35BA6"/>
    <w:rsid w:val="00F35DF0"/>
    <w:rsid w:val="00F35E48"/>
    <w:rsid w:val="00F3726B"/>
    <w:rsid w:val="00F41B0D"/>
    <w:rsid w:val="00F42743"/>
    <w:rsid w:val="00F437C3"/>
    <w:rsid w:val="00F4400E"/>
    <w:rsid w:val="00F45274"/>
    <w:rsid w:val="00F46136"/>
    <w:rsid w:val="00F4716B"/>
    <w:rsid w:val="00F47906"/>
    <w:rsid w:val="00F47C6C"/>
    <w:rsid w:val="00F47F1F"/>
    <w:rsid w:val="00F500E8"/>
    <w:rsid w:val="00F5111A"/>
    <w:rsid w:val="00F51131"/>
    <w:rsid w:val="00F51E0D"/>
    <w:rsid w:val="00F5347A"/>
    <w:rsid w:val="00F53A4A"/>
    <w:rsid w:val="00F54062"/>
    <w:rsid w:val="00F545FA"/>
    <w:rsid w:val="00F55192"/>
    <w:rsid w:val="00F558D5"/>
    <w:rsid w:val="00F55A8D"/>
    <w:rsid w:val="00F57430"/>
    <w:rsid w:val="00F6065C"/>
    <w:rsid w:val="00F60AE1"/>
    <w:rsid w:val="00F60BDA"/>
    <w:rsid w:val="00F63BFF"/>
    <w:rsid w:val="00F63FDC"/>
    <w:rsid w:val="00F64677"/>
    <w:rsid w:val="00F64EEF"/>
    <w:rsid w:val="00F65471"/>
    <w:rsid w:val="00F66235"/>
    <w:rsid w:val="00F66F71"/>
    <w:rsid w:val="00F67A38"/>
    <w:rsid w:val="00F70B17"/>
    <w:rsid w:val="00F717A0"/>
    <w:rsid w:val="00F725C6"/>
    <w:rsid w:val="00F72EB6"/>
    <w:rsid w:val="00F72F9D"/>
    <w:rsid w:val="00F74498"/>
    <w:rsid w:val="00F74812"/>
    <w:rsid w:val="00F74907"/>
    <w:rsid w:val="00F75A47"/>
    <w:rsid w:val="00F75ECA"/>
    <w:rsid w:val="00F8036B"/>
    <w:rsid w:val="00F81791"/>
    <w:rsid w:val="00F821C8"/>
    <w:rsid w:val="00F82D29"/>
    <w:rsid w:val="00F84ACB"/>
    <w:rsid w:val="00F85282"/>
    <w:rsid w:val="00F87509"/>
    <w:rsid w:val="00F87C1E"/>
    <w:rsid w:val="00F87D22"/>
    <w:rsid w:val="00F91293"/>
    <w:rsid w:val="00F92695"/>
    <w:rsid w:val="00F935D2"/>
    <w:rsid w:val="00F93BFE"/>
    <w:rsid w:val="00F93D08"/>
    <w:rsid w:val="00F94406"/>
    <w:rsid w:val="00F94BDC"/>
    <w:rsid w:val="00F95801"/>
    <w:rsid w:val="00F967E1"/>
    <w:rsid w:val="00F96CCE"/>
    <w:rsid w:val="00F971A6"/>
    <w:rsid w:val="00F97C40"/>
    <w:rsid w:val="00FA01E6"/>
    <w:rsid w:val="00FA10E1"/>
    <w:rsid w:val="00FA1923"/>
    <w:rsid w:val="00FA1C2E"/>
    <w:rsid w:val="00FA3345"/>
    <w:rsid w:val="00FA33B8"/>
    <w:rsid w:val="00FA4EC5"/>
    <w:rsid w:val="00FA5112"/>
    <w:rsid w:val="00FA5ACF"/>
    <w:rsid w:val="00FB0523"/>
    <w:rsid w:val="00FB0841"/>
    <w:rsid w:val="00FB084C"/>
    <w:rsid w:val="00FB0928"/>
    <w:rsid w:val="00FB109B"/>
    <w:rsid w:val="00FB1903"/>
    <w:rsid w:val="00FB436D"/>
    <w:rsid w:val="00FB4BFB"/>
    <w:rsid w:val="00FB5408"/>
    <w:rsid w:val="00FB5A39"/>
    <w:rsid w:val="00FB6028"/>
    <w:rsid w:val="00FB77BB"/>
    <w:rsid w:val="00FB78E6"/>
    <w:rsid w:val="00FB7EB4"/>
    <w:rsid w:val="00FC0BD0"/>
    <w:rsid w:val="00FC15B3"/>
    <w:rsid w:val="00FC1753"/>
    <w:rsid w:val="00FC1FFF"/>
    <w:rsid w:val="00FC534E"/>
    <w:rsid w:val="00FC60BC"/>
    <w:rsid w:val="00FC64E1"/>
    <w:rsid w:val="00FC66A9"/>
    <w:rsid w:val="00FC6918"/>
    <w:rsid w:val="00FC7BB9"/>
    <w:rsid w:val="00FC7D3B"/>
    <w:rsid w:val="00FC7EEE"/>
    <w:rsid w:val="00FD02AD"/>
    <w:rsid w:val="00FD08A1"/>
    <w:rsid w:val="00FD29FC"/>
    <w:rsid w:val="00FD4C71"/>
    <w:rsid w:val="00FD5336"/>
    <w:rsid w:val="00FD6388"/>
    <w:rsid w:val="00FD6C9B"/>
    <w:rsid w:val="00FD6D66"/>
    <w:rsid w:val="00FD7B5D"/>
    <w:rsid w:val="00FE3D28"/>
    <w:rsid w:val="00FE3E79"/>
    <w:rsid w:val="00FE3F9C"/>
    <w:rsid w:val="00FE400B"/>
    <w:rsid w:val="00FE59DA"/>
    <w:rsid w:val="00FE7AC2"/>
    <w:rsid w:val="00FE7DD8"/>
    <w:rsid w:val="00FE7E8F"/>
    <w:rsid w:val="00FF0079"/>
    <w:rsid w:val="00FF096E"/>
    <w:rsid w:val="00FF0AA6"/>
    <w:rsid w:val="00FF304E"/>
    <w:rsid w:val="00FF3653"/>
    <w:rsid w:val="00FF4944"/>
    <w:rsid w:val="00FF4E7D"/>
    <w:rsid w:val="00FF5525"/>
    <w:rsid w:val="00FF5CF5"/>
    <w:rsid w:val="00FF694D"/>
    <w:rsid w:val="01303AC5"/>
    <w:rsid w:val="01B464A4"/>
    <w:rsid w:val="023A4BFB"/>
    <w:rsid w:val="02A470E4"/>
    <w:rsid w:val="02FF6FFC"/>
    <w:rsid w:val="0361003C"/>
    <w:rsid w:val="037F5AB6"/>
    <w:rsid w:val="03E06E1E"/>
    <w:rsid w:val="04C37F66"/>
    <w:rsid w:val="0503127E"/>
    <w:rsid w:val="05556BA2"/>
    <w:rsid w:val="05830E11"/>
    <w:rsid w:val="05A52CD4"/>
    <w:rsid w:val="05B567E9"/>
    <w:rsid w:val="05DA264D"/>
    <w:rsid w:val="05F93719"/>
    <w:rsid w:val="06007F0A"/>
    <w:rsid w:val="06A24354"/>
    <w:rsid w:val="06CD24AD"/>
    <w:rsid w:val="06FC4B75"/>
    <w:rsid w:val="070E3F93"/>
    <w:rsid w:val="072F46D6"/>
    <w:rsid w:val="07AA7CFB"/>
    <w:rsid w:val="07E8709B"/>
    <w:rsid w:val="083640B7"/>
    <w:rsid w:val="083B628C"/>
    <w:rsid w:val="085B3B1D"/>
    <w:rsid w:val="08A86D71"/>
    <w:rsid w:val="0928797B"/>
    <w:rsid w:val="094238FF"/>
    <w:rsid w:val="09880710"/>
    <w:rsid w:val="09B325E0"/>
    <w:rsid w:val="09EB20A5"/>
    <w:rsid w:val="0A6071C9"/>
    <w:rsid w:val="0A7219B3"/>
    <w:rsid w:val="0AA95014"/>
    <w:rsid w:val="0AC66E29"/>
    <w:rsid w:val="0BC2628A"/>
    <w:rsid w:val="0BC47C2C"/>
    <w:rsid w:val="0C1C2D09"/>
    <w:rsid w:val="0C5B5961"/>
    <w:rsid w:val="0CB64B99"/>
    <w:rsid w:val="0CBD0903"/>
    <w:rsid w:val="0D2C17C2"/>
    <w:rsid w:val="0D751EE0"/>
    <w:rsid w:val="0E6B3E0A"/>
    <w:rsid w:val="0E7211D3"/>
    <w:rsid w:val="0E83792A"/>
    <w:rsid w:val="0EDB7766"/>
    <w:rsid w:val="0F8336F9"/>
    <w:rsid w:val="0F8F3094"/>
    <w:rsid w:val="0FC66900"/>
    <w:rsid w:val="0FD13499"/>
    <w:rsid w:val="102C70F6"/>
    <w:rsid w:val="10824299"/>
    <w:rsid w:val="108C5E9A"/>
    <w:rsid w:val="10B94E09"/>
    <w:rsid w:val="11145777"/>
    <w:rsid w:val="117348AC"/>
    <w:rsid w:val="11C24EF4"/>
    <w:rsid w:val="12533063"/>
    <w:rsid w:val="12900781"/>
    <w:rsid w:val="130C2528"/>
    <w:rsid w:val="138D7D0A"/>
    <w:rsid w:val="141D612B"/>
    <w:rsid w:val="142614ED"/>
    <w:rsid w:val="15DE2AE9"/>
    <w:rsid w:val="16704C38"/>
    <w:rsid w:val="169C7970"/>
    <w:rsid w:val="17782FDA"/>
    <w:rsid w:val="177842FC"/>
    <w:rsid w:val="17AD3976"/>
    <w:rsid w:val="18694035"/>
    <w:rsid w:val="189A3639"/>
    <w:rsid w:val="18A4506D"/>
    <w:rsid w:val="18F445A3"/>
    <w:rsid w:val="193F3540"/>
    <w:rsid w:val="19415D98"/>
    <w:rsid w:val="194707E4"/>
    <w:rsid w:val="19474AC2"/>
    <w:rsid w:val="19A867CC"/>
    <w:rsid w:val="19F6550C"/>
    <w:rsid w:val="1A287852"/>
    <w:rsid w:val="1A3509EA"/>
    <w:rsid w:val="1A4F2F07"/>
    <w:rsid w:val="1A576475"/>
    <w:rsid w:val="1A6B469C"/>
    <w:rsid w:val="1B125001"/>
    <w:rsid w:val="1B1453A9"/>
    <w:rsid w:val="1B59702C"/>
    <w:rsid w:val="1B622BAA"/>
    <w:rsid w:val="1B90378F"/>
    <w:rsid w:val="1BDD1D30"/>
    <w:rsid w:val="1C0C0F5F"/>
    <w:rsid w:val="1C344363"/>
    <w:rsid w:val="1C521E49"/>
    <w:rsid w:val="1C6953CD"/>
    <w:rsid w:val="1C931680"/>
    <w:rsid w:val="1CBB1E75"/>
    <w:rsid w:val="1CF8604A"/>
    <w:rsid w:val="1D0D7DFD"/>
    <w:rsid w:val="1DA629DC"/>
    <w:rsid w:val="1E721AEE"/>
    <w:rsid w:val="1FBF278C"/>
    <w:rsid w:val="1FC37DB3"/>
    <w:rsid w:val="1FDF3083"/>
    <w:rsid w:val="1FE72D5B"/>
    <w:rsid w:val="1FF64618"/>
    <w:rsid w:val="200855D2"/>
    <w:rsid w:val="20342AE8"/>
    <w:rsid w:val="208F0285"/>
    <w:rsid w:val="20900380"/>
    <w:rsid w:val="20C6324C"/>
    <w:rsid w:val="20E2105B"/>
    <w:rsid w:val="213C277F"/>
    <w:rsid w:val="224241CC"/>
    <w:rsid w:val="22886558"/>
    <w:rsid w:val="228D16AD"/>
    <w:rsid w:val="22BB320F"/>
    <w:rsid w:val="23351E2F"/>
    <w:rsid w:val="2346188D"/>
    <w:rsid w:val="23973D57"/>
    <w:rsid w:val="23AC0626"/>
    <w:rsid w:val="24002F86"/>
    <w:rsid w:val="2412732E"/>
    <w:rsid w:val="242001F6"/>
    <w:rsid w:val="244D7128"/>
    <w:rsid w:val="24A1592C"/>
    <w:rsid w:val="24CD5D18"/>
    <w:rsid w:val="24FB7DC2"/>
    <w:rsid w:val="2503311B"/>
    <w:rsid w:val="25B45D9C"/>
    <w:rsid w:val="263B0A89"/>
    <w:rsid w:val="26633E71"/>
    <w:rsid w:val="26921582"/>
    <w:rsid w:val="26C46CF3"/>
    <w:rsid w:val="26F372DF"/>
    <w:rsid w:val="26F751E4"/>
    <w:rsid w:val="274C18F4"/>
    <w:rsid w:val="27D03FCC"/>
    <w:rsid w:val="28A3240B"/>
    <w:rsid w:val="28B07E2D"/>
    <w:rsid w:val="292C3CA3"/>
    <w:rsid w:val="29A15F9B"/>
    <w:rsid w:val="2A5A43B6"/>
    <w:rsid w:val="2A756869"/>
    <w:rsid w:val="2AFF4553"/>
    <w:rsid w:val="2B08443D"/>
    <w:rsid w:val="2B692324"/>
    <w:rsid w:val="2BC35524"/>
    <w:rsid w:val="2C051084"/>
    <w:rsid w:val="2D1E6CA3"/>
    <w:rsid w:val="2D3F7A7B"/>
    <w:rsid w:val="2D9127FD"/>
    <w:rsid w:val="2DC33E42"/>
    <w:rsid w:val="2E423187"/>
    <w:rsid w:val="2E826F2C"/>
    <w:rsid w:val="2E9C5B4F"/>
    <w:rsid w:val="2EC3582C"/>
    <w:rsid w:val="2EF22236"/>
    <w:rsid w:val="2F0B6DEA"/>
    <w:rsid w:val="2F8224C8"/>
    <w:rsid w:val="2FD33142"/>
    <w:rsid w:val="30247EF6"/>
    <w:rsid w:val="302C0A9A"/>
    <w:rsid w:val="31400623"/>
    <w:rsid w:val="3142583B"/>
    <w:rsid w:val="31637664"/>
    <w:rsid w:val="33AF4564"/>
    <w:rsid w:val="344D5253"/>
    <w:rsid w:val="3531162A"/>
    <w:rsid w:val="3545697A"/>
    <w:rsid w:val="36033B1B"/>
    <w:rsid w:val="366511FC"/>
    <w:rsid w:val="369762E5"/>
    <w:rsid w:val="37931E99"/>
    <w:rsid w:val="37B61998"/>
    <w:rsid w:val="37BB76A1"/>
    <w:rsid w:val="37D33959"/>
    <w:rsid w:val="382244D2"/>
    <w:rsid w:val="3838124C"/>
    <w:rsid w:val="38A317E0"/>
    <w:rsid w:val="390639F3"/>
    <w:rsid w:val="397D7DDC"/>
    <w:rsid w:val="3AA02BFE"/>
    <w:rsid w:val="3C40376A"/>
    <w:rsid w:val="3D2120BA"/>
    <w:rsid w:val="3D2739F3"/>
    <w:rsid w:val="3DC6320C"/>
    <w:rsid w:val="3E2E20CC"/>
    <w:rsid w:val="3E9809BD"/>
    <w:rsid w:val="3EB013C8"/>
    <w:rsid w:val="3F013CA7"/>
    <w:rsid w:val="3F2D6A74"/>
    <w:rsid w:val="3F6330AC"/>
    <w:rsid w:val="3F7B0026"/>
    <w:rsid w:val="3FA54FA1"/>
    <w:rsid w:val="401A06BA"/>
    <w:rsid w:val="4071452C"/>
    <w:rsid w:val="40A67F99"/>
    <w:rsid w:val="41164BA6"/>
    <w:rsid w:val="414E2E62"/>
    <w:rsid w:val="415D1BD8"/>
    <w:rsid w:val="421765B5"/>
    <w:rsid w:val="424E7184"/>
    <w:rsid w:val="42587E57"/>
    <w:rsid w:val="42607D18"/>
    <w:rsid w:val="437600F7"/>
    <w:rsid w:val="439E5666"/>
    <w:rsid w:val="43E82A91"/>
    <w:rsid w:val="43EB70B0"/>
    <w:rsid w:val="44AD39BA"/>
    <w:rsid w:val="450C41E0"/>
    <w:rsid w:val="45367EB1"/>
    <w:rsid w:val="4565155C"/>
    <w:rsid w:val="463F2877"/>
    <w:rsid w:val="46B64604"/>
    <w:rsid w:val="47017063"/>
    <w:rsid w:val="4760622B"/>
    <w:rsid w:val="48456F4F"/>
    <w:rsid w:val="48BB276A"/>
    <w:rsid w:val="49BD0313"/>
    <w:rsid w:val="49C55E30"/>
    <w:rsid w:val="4A280EE3"/>
    <w:rsid w:val="4A5042D8"/>
    <w:rsid w:val="4A5874F7"/>
    <w:rsid w:val="4A677B24"/>
    <w:rsid w:val="4ABD4946"/>
    <w:rsid w:val="4AD7236F"/>
    <w:rsid w:val="4B414E13"/>
    <w:rsid w:val="4B4A10CE"/>
    <w:rsid w:val="4B5D2F1E"/>
    <w:rsid w:val="4B6A0F72"/>
    <w:rsid w:val="4B9744D1"/>
    <w:rsid w:val="4B99798D"/>
    <w:rsid w:val="4B9A04A9"/>
    <w:rsid w:val="4BBE33D4"/>
    <w:rsid w:val="4BDA19A1"/>
    <w:rsid w:val="4BF74ED8"/>
    <w:rsid w:val="4BFC5547"/>
    <w:rsid w:val="4C15535E"/>
    <w:rsid w:val="4C7E1A72"/>
    <w:rsid w:val="4CB47948"/>
    <w:rsid w:val="4CBA35E0"/>
    <w:rsid w:val="4CC90623"/>
    <w:rsid w:val="4CD60FEC"/>
    <w:rsid w:val="4CE80AAD"/>
    <w:rsid w:val="4DC43168"/>
    <w:rsid w:val="4E602C54"/>
    <w:rsid w:val="4F02649B"/>
    <w:rsid w:val="4F1315B6"/>
    <w:rsid w:val="501F632F"/>
    <w:rsid w:val="507D7715"/>
    <w:rsid w:val="514552F3"/>
    <w:rsid w:val="5175184D"/>
    <w:rsid w:val="51F50B94"/>
    <w:rsid w:val="521E0C47"/>
    <w:rsid w:val="52371FDC"/>
    <w:rsid w:val="52A52567"/>
    <w:rsid w:val="52A92133"/>
    <w:rsid w:val="52EC1E29"/>
    <w:rsid w:val="53153739"/>
    <w:rsid w:val="537A72CF"/>
    <w:rsid w:val="539F3E8B"/>
    <w:rsid w:val="53E1785D"/>
    <w:rsid w:val="53F42C56"/>
    <w:rsid w:val="54344F61"/>
    <w:rsid w:val="54CB4E2C"/>
    <w:rsid w:val="54D300CC"/>
    <w:rsid w:val="551D3042"/>
    <w:rsid w:val="55240090"/>
    <w:rsid w:val="55A734CB"/>
    <w:rsid w:val="55CE18C4"/>
    <w:rsid w:val="55DC2650"/>
    <w:rsid w:val="56505911"/>
    <w:rsid w:val="56E337D4"/>
    <w:rsid w:val="572F4716"/>
    <w:rsid w:val="57325016"/>
    <w:rsid w:val="574E6F76"/>
    <w:rsid w:val="57784BC6"/>
    <w:rsid w:val="57E732C7"/>
    <w:rsid w:val="58122E1F"/>
    <w:rsid w:val="58E72C67"/>
    <w:rsid w:val="58ED7447"/>
    <w:rsid w:val="59266DFD"/>
    <w:rsid w:val="59D14218"/>
    <w:rsid w:val="59F070B0"/>
    <w:rsid w:val="5A113609"/>
    <w:rsid w:val="5A2B0C2A"/>
    <w:rsid w:val="5A76162F"/>
    <w:rsid w:val="5AC739CB"/>
    <w:rsid w:val="5B481F6D"/>
    <w:rsid w:val="5CC2508E"/>
    <w:rsid w:val="5D6A3ACC"/>
    <w:rsid w:val="5D8A06C1"/>
    <w:rsid w:val="5D8F575B"/>
    <w:rsid w:val="5D9B3F6D"/>
    <w:rsid w:val="5E6107D9"/>
    <w:rsid w:val="5E966037"/>
    <w:rsid w:val="5EA41668"/>
    <w:rsid w:val="5EE63413"/>
    <w:rsid w:val="5F2142EE"/>
    <w:rsid w:val="5F651970"/>
    <w:rsid w:val="5FA665A1"/>
    <w:rsid w:val="5FE72053"/>
    <w:rsid w:val="603363F5"/>
    <w:rsid w:val="605E0A05"/>
    <w:rsid w:val="606E57FF"/>
    <w:rsid w:val="60C81BF4"/>
    <w:rsid w:val="61736957"/>
    <w:rsid w:val="61F47A98"/>
    <w:rsid w:val="62CA18D1"/>
    <w:rsid w:val="62E034D9"/>
    <w:rsid w:val="62FC4DE5"/>
    <w:rsid w:val="630A6F0C"/>
    <w:rsid w:val="633345F0"/>
    <w:rsid w:val="63640C4D"/>
    <w:rsid w:val="647F284C"/>
    <w:rsid w:val="649821F6"/>
    <w:rsid w:val="64AA471D"/>
    <w:rsid w:val="652F332F"/>
    <w:rsid w:val="65C85C1B"/>
    <w:rsid w:val="662965A9"/>
    <w:rsid w:val="665E7C6E"/>
    <w:rsid w:val="66864FFF"/>
    <w:rsid w:val="669E4476"/>
    <w:rsid w:val="66A7157D"/>
    <w:rsid w:val="66FB3304"/>
    <w:rsid w:val="673A04B6"/>
    <w:rsid w:val="675C1C7E"/>
    <w:rsid w:val="677F3CA3"/>
    <w:rsid w:val="6820646A"/>
    <w:rsid w:val="68557F87"/>
    <w:rsid w:val="68731FC1"/>
    <w:rsid w:val="68D878FA"/>
    <w:rsid w:val="68E115F5"/>
    <w:rsid w:val="69155448"/>
    <w:rsid w:val="699833FF"/>
    <w:rsid w:val="69DD7064"/>
    <w:rsid w:val="6A4E7C00"/>
    <w:rsid w:val="6A995C2C"/>
    <w:rsid w:val="6AA81A82"/>
    <w:rsid w:val="6AB843CA"/>
    <w:rsid w:val="6ACC331B"/>
    <w:rsid w:val="6B0F2187"/>
    <w:rsid w:val="6C2C71F5"/>
    <w:rsid w:val="6CD53355"/>
    <w:rsid w:val="6CE54D97"/>
    <w:rsid w:val="6D400FEA"/>
    <w:rsid w:val="6D815B49"/>
    <w:rsid w:val="6DAF4BDE"/>
    <w:rsid w:val="6E3B07FD"/>
    <w:rsid w:val="6E4B5091"/>
    <w:rsid w:val="6E5F44EB"/>
    <w:rsid w:val="6EA1078E"/>
    <w:rsid w:val="6FA14AD0"/>
    <w:rsid w:val="6FBB7992"/>
    <w:rsid w:val="70644124"/>
    <w:rsid w:val="70886B63"/>
    <w:rsid w:val="70B45D12"/>
    <w:rsid w:val="70EA64BE"/>
    <w:rsid w:val="71CB3530"/>
    <w:rsid w:val="721605D2"/>
    <w:rsid w:val="728E489C"/>
    <w:rsid w:val="72FB2AE9"/>
    <w:rsid w:val="73B17E2F"/>
    <w:rsid w:val="74155AC4"/>
    <w:rsid w:val="74275786"/>
    <w:rsid w:val="746F197A"/>
    <w:rsid w:val="748C3B60"/>
    <w:rsid w:val="74CF3D6B"/>
    <w:rsid w:val="7529717F"/>
    <w:rsid w:val="75506C29"/>
    <w:rsid w:val="762845D8"/>
    <w:rsid w:val="76ED08D4"/>
    <w:rsid w:val="77B86EDF"/>
    <w:rsid w:val="782F3180"/>
    <w:rsid w:val="78FC60B2"/>
    <w:rsid w:val="79121E37"/>
    <w:rsid w:val="795310F0"/>
    <w:rsid w:val="797869A1"/>
    <w:rsid w:val="7A5C657F"/>
    <w:rsid w:val="7AA91281"/>
    <w:rsid w:val="7AAF67FA"/>
    <w:rsid w:val="7B73328B"/>
    <w:rsid w:val="7B854E3B"/>
    <w:rsid w:val="7BBF2C71"/>
    <w:rsid w:val="7BC2430B"/>
    <w:rsid w:val="7BD87F12"/>
    <w:rsid w:val="7C4225A4"/>
    <w:rsid w:val="7C46447C"/>
    <w:rsid w:val="7CC17B1D"/>
    <w:rsid w:val="7CC61BD9"/>
    <w:rsid w:val="7D2D1C58"/>
    <w:rsid w:val="7D3A3228"/>
    <w:rsid w:val="7DC67BD8"/>
    <w:rsid w:val="7DEA7937"/>
    <w:rsid w:val="7E213B52"/>
    <w:rsid w:val="7E287710"/>
    <w:rsid w:val="7E383347"/>
    <w:rsid w:val="7E8B0402"/>
    <w:rsid w:val="7EEE14C7"/>
    <w:rsid w:val="7F133AFB"/>
    <w:rsid w:val="7FA95426"/>
    <w:rsid w:val="7FD17F42"/>
    <w:rsid w:val="7FDE1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42"/>
    <w:autoRedefine/>
    <w:qFormat/>
    <w:uiPriority w:val="0"/>
    <w:pPr>
      <w:keepNext/>
      <w:keepLines/>
      <w:numPr>
        <w:ilvl w:val="0"/>
        <w:numId w:val="1"/>
      </w:numPr>
      <w:autoSpaceDE w:val="0"/>
      <w:autoSpaceDN w:val="0"/>
      <w:adjustRightInd w:val="0"/>
      <w:snapToGrid w:val="0"/>
      <w:spacing w:before="340" w:after="330" w:line="578" w:lineRule="auto"/>
      <w:outlineLvl w:val="0"/>
    </w:pPr>
    <w:rPr>
      <w:rFonts w:ascii="宋体"/>
      <w:b/>
      <w:color w:val="000000"/>
      <w:kern w:val="44"/>
      <w:sz w:val="44"/>
      <w:szCs w:val="20"/>
    </w:rPr>
  </w:style>
  <w:style w:type="paragraph" w:styleId="3">
    <w:name w:val="heading 2"/>
    <w:basedOn w:val="1"/>
    <w:next w:val="1"/>
    <w:autoRedefine/>
    <w:qFormat/>
    <w:uiPriority w:val="0"/>
    <w:pPr>
      <w:ind w:left="3062"/>
      <w:jc w:val="left"/>
      <w:outlineLvl w:val="1"/>
    </w:pPr>
    <w:rPr>
      <w:rFonts w:ascii="楷体" w:hAnsi="楷体" w:eastAsia="楷体"/>
      <w:kern w:val="0"/>
      <w:sz w:val="44"/>
      <w:szCs w:val="44"/>
      <w:lang w:eastAsia="en-US"/>
    </w:rPr>
  </w:style>
  <w:style w:type="paragraph" w:styleId="4">
    <w:name w:val="heading 3"/>
    <w:basedOn w:val="1"/>
    <w:next w:val="5"/>
    <w:link w:val="43"/>
    <w:autoRedefine/>
    <w:qFormat/>
    <w:uiPriority w:val="0"/>
    <w:pPr>
      <w:keepNext/>
      <w:keepLines/>
      <w:numPr>
        <w:ilvl w:val="2"/>
        <w:numId w:val="1"/>
      </w:numPr>
      <w:autoSpaceDE w:val="0"/>
      <w:autoSpaceDN w:val="0"/>
      <w:adjustRightInd w:val="0"/>
      <w:snapToGrid w:val="0"/>
      <w:spacing w:before="260" w:after="260" w:line="416" w:lineRule="auto"/>
      <w:outlineLvl w:val="2"/>
    </w:pPr>
    <w:rPr>
      <w:rFonts w:ascii="宋体"/>
      <w:b/>
      <w:color w:val="000000"/>
      <w:sz w:val="32"/>
      <w:szCs w:val="20"/>
    </w:rPr>
  </w:style>
  <w:style w:type="paragraph" w:styleId="6">
    <w:name w:val="heading 4"/>
    <w:basedOn w:val="1"/>
    <w:next w:val="1"/>
    <w:link w:val="41"/>
    <w:autoRedefine/>
    <w:qFormat/>
    <w:uiPriority w:val="0"/>
    <w:pPr>
      <w:keepNext/>
      <w:keepLines/>
      <w:numPr>
        <w:ilvl w:val="3"/>
        <w:numId w:val="2"/>
      </w:numPr>
      <w:spacing w:before="280" w:after="290" w:line="376" w:lineRule="auto"/>
      <w:outlineLvl w:val="3"/>
    </w:pPr>
    <w:rPr>
      <w:rFonts w:ascii="Arial" w:hAnsi="Arial" w:eastAsia="黑体"/>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szCs w:val="20"/>
    </w:rPr>
  </w:style>
  <w:style w:type="paragraph" w:styleId="7">
    <w:name w:val="Document Map"/>
    <w:basedOn w:val="1"/>
    <w:link w:val="44"/>
    <w:autoRedefine/>
    <w:semiHidden/>
    <w:qFormat/>
    <w:uiPriority w:val="0"/>
    <w:pPr>
      <w:shd w:val="clear" w:color="auto" w:fill="000080"/>
    </w:pPr>
  </w:style>
  <w:style w:type="paragraph" w:styleId="8">
    <w:name w:val="annotation text"/>
    <w:basedOn w:val="1"/>
    <w:link w:val="45"/>
    <w:autoRedefine/>
    <w:qFormat/>
    <w:uiPriority w:val="0"/>
    <w:pPr>
      <w:jc w:val="left"/>
    </w:pPr>
    <w:rPr>
      <w:szCs w:val="20"/>
    </w:rPr>
  </w:style>
  <w:style w:type="paragraph" w:styleId="9">
    <w:name w:val="Body Text"/>
    <w:basedOn w:val="1"/>
    <w:link w:val="46"/>
    <w:autoRedefine/>
    <w:qFormat/>
    <w:uiPriority w:val="0"/>
    <w:pPr>
      <w:spacing w:after="120"/>
    </w:pPr>
  </w:style>
  <w:style w:type="paragraph" w:styleId="10">
    <w:name w:val="Body Text Indent"/>
    <w:basedOn w:val="1"/>
    <w:next w:val="1"/>
    <w:autoRedefine/>
    <w:qFormat/>
    <w:uiPriority w:val="0"/>
    <w:pPr>
      <w:spacing w:after="120"/>
      <w:ind w:left="420" w:leftChars="200"/>
    </w:pPr>
    <w:rPr>
      <w:kern w:val="0"/>
      <w:sz w:val="24"/>
    </w:rPr>
  </w:style>
  <w:style w:type="paragraph" w:styleId="11">
    <w:name w:val="Block Text"/>
    <w:basedOn w:val="1"/>
    <w:qFormat/>
    <w:uiPriority w:val="99"/>
    <w:pPr>
      <w:spacing w:after="120"/>
      <w:ind w:left="1440" w:right="1440"/>
    </w:pPr>
  </w:style>
  <w:style w:type="paragraph" w:styleId="12">
    <w:name w:val="index 4"/>
    <w:basedOn w:val="1"/>
    <w:next w:val="1"/>
    <w:semiHidden/>
    <w:qFormat/>
    <w:uiPriority w:val="0"/>
    <w:pPr>
      <w:widowControl w:val="0"/>
      <w:ind w:left="1260"/>
      <w:jc w:val="both"/>
    </w:pPr>
    <w:rPr>
      <w:rFonts w:ascii="Calibri" w:hAnsi="Calibri" w:eastAsia="宋体" w:cs="Times New Roman"/>
      <w:kern w:val="2"/>
      <w:sz w:val="24"/>
      <w:lang w:val="en-US" w:eastAsia="zh-CN" w:bidi="ar-SA"/>
    </w:rPr>
  </w:style>
  <w:style w:type="paragraph" w:styleId="13">
    <w:name w:val="toc 3"/>
    <w:basedOn w:val="1"/>
    <w:next w:val="1"/>
    <w:autoRedefine/>
    <w:qFormat/>
    <w:uiPriority w:val="39"/>
    <w:pPr>
      <w:ind w:left="840" w:leftChars="400"/>
    </w:pPr>
  </w:style>
  <w:style w:type="paragraph" w:styleId="14">
    <w:name w:val="Plain Text"/>
    <w:basedOn w:val="1"/>
    <w:link w:val="47"/>
    <w:autoRedefine/>
    <w:unhideWhenUsed/>
    <w:qFormat/>
    <w:uiPriority w:val="0"/>
    <w:rPr>
      <w:rFonts w:ascii="宋体" w:hAnsi="Courier New"/>
      <w:szCs w:val="21"/>
    </w:rPr>
  </w:style>
  <w:style w:type="paragraph" w:styleId="15">
    <w:name w:val="Date"/>
    <w:basedOn w:val="1"/>
    <w:next w:val="1"/>
    <w:link w:val="48"/>
    <w:autoRedefine/>
    <w:qFormat/>
    <w:uiPriority w:val="0"/>
    <w:pPr>
      <w:ind w:left="100" w:leftChars="2500"/>
    </w:pPr>
  </w:style>
  <w:style w:type="paragraph" w:styleId="16">
    <w:name w:val="Body Text Indent 2"/>
    <w:basedOn w:val="1"/>
    <w:next w:val="1"/>
    <w:link w:val="49"/>
    <w:autoRedefine/>
    <w:qFormat/>
    <w:uiPriority w:val="0"/>
    <w:pPr>
      <w:ind w:left="630" w:firstLine="645"/>
    </w:pPr>
    <w:rPr>
      <w:rFonts w:ascii="Arial" w:hAnsi="Arial" w:eastAsia="仿宋_GB2312"/>
      <w:sz w:val="32"/>
      <w:szCs w:val="20"/>
    </w:rPr>
  </w:style>
  <w:style w:type="paragraph" w:styleId="17">
    <w:name w:val="Balloon Text"/>
    <w:basedOn w:val="1"/>
    <w:link w:val="50"/>
    <w:autoRedefine/>
    <w:semiHidden/>
    <w:qFormat/>
    <w:uiPriority w:val="0"/>
    <w:rPr>
      <w:sz w:val="18"/>
      <w:szCs w:val="18"/>
    </w:rPr>
  </w:style>
  <w:style w:type="paragraph" w:styleId="18">
    <w:name w:val="footer"/>
    <w:basedOn w:val="1"/>
    <w:link w:val="51"/>
    <w:autoRedefine/>
    <w:qFormat/>
    <w:uiPriority w:val="0"/>
    <w:pPr>
      <w:tabs>
        <w:tab w:val="center" w:pos="4153"/>
        <w:tab w:val="right" w:pos="8306"/>
      </w:tabs>
      <w:snapToGrid w:val="0"/>
      <w:jc w:val="left"/>
    </w:pPr>
    <w:rPr>
      <w:sz w:val="18"/>
      <w:szCs w:val="18"/>
    </w:rPr>
  </w:style>
  <w:style w:type="paragraph" w:styleId="19">
    <w:name w:val="envelope return"/>
    <w:basedOn w:val="1"/>
    <w:qFormat/>
    <w:uiPriority w:val="0"/>
    <w:pPr>
      <w:snapToGrid w:val="0"/>
    </w:pPr>
    <w:rPr>
      <w:rFonts w:ascii="Arial" w:hAnsi="Arial" w:eastAsia="宋体" w:cs="宋体"/>
    </w:rPr>
  </w:style>
  <w:style w:type="paragraph" w:styleId="20">
    <w:name w:val="header"/>
    <w:basedOn w:val="1"/>
    <w:link w:val="52"/>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style>
  <w:style w:type="paragraph" w:styleId="22">
    <w:name w:val="index heading"/>
    <w:basedOn w:val="1"/>
    <w:next w:val="23"/>
    <w:autoRedefine/>
    <w:semiHidden/>
    <w:qFormat/>
    <w:uiPriority w:val="0"/>
    <w:rPr>
      <w:szCs w:val="20"/>
    </w:rPr>
  </w:style>
  <w:style w:type="paragraph" w:styleId="23">
    <w:name w:val="index 1"/>
    <w:basedOn w:val="1"/>
    <w:next w:val="1"/>
    <w:autoRedefine/>
    <w:semiHidden/>
    <w:qFormat/>
    <w:uiPriority w:val="0"/>
    <w:pPr>
      <w:jc w:val="center"/>
    </w:pPr>
    <w:rPr>
      <w:bCs/>
      <w:szCs w:val="20"/>
    </w:rPr>
  </w:style>
  <w:style w:type="paragraph" w:styleId="24">
    <w:name w:val="toc 2"/>
    <w:basedOn w:val="1"/>
    <w:next w:val="1"/>
    <w:autoRedefine/>
    <w:qFormat/>
    <w:uiPriority w:val="39"/>
    <w:pPr>
      <w:ind w:left="420" w:leftChars="200"/>
    </w:pPr>
  </w:style>
  <w:style w:type="paragraph" w:styleId="25">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3"/>
    <w:autoRedefine/>
    <w:qFormat/>
    <w:uiPriority w:val="0"/>
    <w:pPr>
      <w:spacing w:before="240" w:after="60"/>
      <w:jc w:val="center"/>
      <w:outlineLvl w:val="0"/>
    </w:pPr>
    <w:rPr>
      <w:rFonts w:ascii="Cambria" w:hAnsi="Cambria"/>
      <w:b/>
      <w:bCs/>
      <w:sz w:val="32"/>
      <w:szCs w:val="32"/>
    </w:rPr>
  </w:style>
  <w:style w:type="paragraph" w:styleId="27">
    <w:name w:val="annotation subject"/>
    <w:basedOn w:val="8"/>
    <w:next w:val="8"/>
    <w:link w:val="54"/>
    <w:autoRedefine/>
    <w:qFormat/>
    <w:uiPriority w:val="0"/>
    <w:rPr>
      <w:b/>
      <w:bCs/>
      <w:szCs w:val="24"/>
    </w:rPr>
  </w:style>
  <w:style w:type="paragraph" w:styleId="28">
    <w:name w:val="Body Text First Indent 2"/>
    <w:basedOn w:val="10"/>
    <w:next w:val="1"/>
    <w:qFormat/>
    <w:uiPriority w:val="0"/>
    <w:pPr>
      <w:spacing w:after="0" w:line="360" w:lineRule="auto"/>
      <w:ind w:left="0" w:leftChars="0" w:firstLine="420" w:firstLineChars="200"/>
    </w:pPr>
    <w:rPr>
      <w:rFonts w:ascii="宋体" w:hAnsi="宋体" w:eastAsia="宋体" w:cs="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0"/>
    <w:rPr>
      <w:b/>
      <w:bCs/>
    </w:rPr>
  </w:style>
  <w:style w:type="character" w:styleId="33">
    <w:name w:val="page number"/>
    <w:autoRedefine/>
    <w:qFormat/>
    <w:uiPriority w:val="0"/>
  </w:style>
  <w:style w:type="character" w:styleId="34">
    <w:name w:val="FollowedHyperlink"/>
    <w:autoRedefine/>
    <w:unhideWhenUsed/>
    <w:qFormat/>
    <w:uiPriority w:val="99"/>
    <w:rPr>
      <w:color w:val="000000"/>
      <w:sz w:val="18"/>
      <w:szCs w:val="18"/>
      <w:u w:val="none"/>
    </w:rPr>
  </w:style>
  <w:style w:type="character" w:styleId="35">
    <w:name w:val="Emphasis"/>
    <w:autoRedefine/>
    <w:qFormat/>
    <w:uiPriority w:val="0"/>
  </w:style>
  <w:style w:type="character" w:styleId="36">
    <w:name w:val="Hyperlink"/>
    <w:autoRedefine/>
    <w:qFormat/>
    <w:uiPriority w:val="99"/>
    <w:rPr>
      <w:color w:val="000000"/>
      <w:sz w:val="18"/>
      <w:szCs w:val="18"/>
      <w:u w:val="none"/>
    </w:rPr>
  </w:style>
  <w:style w:type="character" w:styleId="37">
    <w:name w:val="HTML Code"/>
    <w:autoRedefine/>
    <w:qFormat/>
    <w:uiPriority w:val="0"/>
    <w:rPr>
      <w:rFonts w:ascii="Courier New" w:hAnsi="Courier New"/>
      <w:sz w:val="20"/>
    </w:rPr>
  </w:style>
  <w:style w:type="character" w:styleId="38">
    <w:name w:val="annotation reference"/>
    <w:autoRedefine/>
    <w:qFormat/>
    <w:uiPriority w:val="0"/>
    <w:rPr>
      <w:sz w:val="21"/>
      <w:szCs w:val="21"/>
    </w:rPr>
  </w:style>
  <w:style w:type="paragraph" w:styleId="39">
    <w:name w:val="List Paragraph"/>
    <w:basedOn w:val="1"/>
    <w:autoRedefine/>
    <w:qFormat/>
    <w:uiPriority w:val="99"/>
    <w:pPr>
      <w:spacing w:line="360" w:lineRule="auto"/>
      <w:ind w:firstLine="420" w:firstLineChars="200"/>
    </w:pPr>
    <w:rPr>
      <w:sz w:val="28"/>
    </w:rPr>
  </w:style>
  <w:style w:type="paragraph" w:customStyle="1" w:styleId="4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kern w:val="0"/>
      <w:sz w:val="16"/>
      <w:szCs w:val="16"/>
      <w:lang w:eastAsia="zh-TW"/>
    </w:rPr>
  </w:style>
  <w:style w:type="character" w:customStyle="1" w:styleId="41">
    <w:name w:val="标题 4 字符"/>
    <w:link w:val="6"/>
    <w:autoRedefine/>
    <w:qFormat/>
    <w:uiPriority w:val="0"/>
    <w:rPr>
      <w:rFonts w:ascii="Arial" w:hAnsi="Arial" w:eastAsia="黑体"/>
      <w:b/>
      <w:bCs/>
      <w:kern w:val="2"/>
      <w:sz w:val="28"/>
      <w:szCs w:val="28"/>
    </w:rPr>
  </w:style>
  <w:style w:type="character" w:customStyle="1" w:styleId="42">
    <w:name w:val="标题 1 字符"/>
    <w:link w:val="2"/>
    <w:autoRedefine/>
    <w:qFormat/>
    <w:uiPriority w:val="0"/>
    <w:rPr>
      <w:rFonts w:ascii="宋体"/>
      <w:b/>
      <w:color w:val="000000"/>
      <w:kern w:val="44"/>
      <w:sz w:val="44"/>
    </w:rPr>
  </w:style>
  <w:style w:type="character" w:customStyle="1" w:styleId="43">
    <w:name w:val="标题 3 字符"/>
    <w:link w:val="4"/>
    <w:autoRedefine/>
    <w:qFormat/>
    <w:uiPriority w:val="0"/>
    <w:rPr>
      <w:rFonts w:ascii="宋体"/>
      <w:b/>
      <w:color w:val="000000"/>
      <w:kern w:val="2"/>
      <w:sz w:val="32"/>
    </w:rPr>
  </w:style>
  <w:style w:type="character" w:customStyle="1" w:styleId="44">
    <w:name w:val="文档结构图 字符"/>
    <w:link w:val="7"/>
    <w:autoRedefine/>
    <w:semiHidden/>
    <w:qFormat/>
    <w:uiPriority w:val="0"/>
    <w:rPr>
      <w:kern w:val="2"/>
      <w:sz w:val="21"/>
      <w:szCs w:val="24"/>
      <w:shd w:val="clear" w:color="auto" w:fill="000080"/>
    </w:rPr>
  </w:style>
  <w:style w:type="character" w:customStyle="1" w:styleId="45">
    <w:name w:val="批注文字 字符"/>
    <w:link w:val="8"/>
    <w:autoRedefine/>
    <w:qFormat/>
    <w:uiPriority w:val="0"/>
    <w:rPr>
      <w:kern w:val="2"/>
      <w:sz w:val="21"/>
    </w:rPr>
  </w:style>
  <w:style w:type="character" w:customStyle="1" w:styleId="46">
    <w:name w:val="正文文本 字符"/>
    <w:link w:val="9"/>
    <w:autoRedefine/>
    <w:qFormat/>
    <w:uiPriority w:val="0"/>
    <w:rPr>
      <w:kern w:val="2"/>
      <w:sz w:val="21"/>
      <w:szCs w:val="24"/>
    </w:rPr>
  </w:style>
  <w:style w:type="character" w:customStyle="1" w:styleId="47">
    <w:name w:val="纯文本 字符"/>
    <w:link w:val="14"/>
    <w:autoRedefine/>
    <w:qFormat/>
    <w:locked/>
    <w:uiPriority w:val="0"/>
    <w:rPr>
      <w:rFonts w:ascii="宋体" w:hAnsi="Courier New" w:cs="金山简魏碑"/>
      <w:kern w:val="2"/>
      <w:sz w:val="21"/>
      <w:szCs w:val="21"/>
    </w:rPr>
  </w:style>
  <w:style w:type="character" w:customStyle="1" w:styleId="48">
    <w:name w:val="日期 字符"/>
    <w:link w:val="15"/>
    <w:autoRedefine/>
    <w:qFormat/>
    <w:uiPriority w:val="0"/>
    <w:rPr>
      <w:kern w:val="2"/>
      <w:sz w:val="21"/>
      <w:szCs w:val="24"/>
    </w:rPr>
  </w:style>
  <w:style w:type="character" w:customStyle="1" w:styleId="49">
    <w:name w:val="正文文本缩进 2 字符"/>
    <w:link w:val="16"/>
    <w:autoRedefine/>
    <w:qFormat/>
    <w:uiPriority w:val="0"/>
    <w:rPr>
      <w:rFonts w:ascii="Arial" w:hAnsi="Arial" w:eastAsia="仿宋_GB2312"/>
      <w:kern w:val="2"/>
      <w:sz w:val="32"/>
    </w:rPr>
  </w:style>
  <w:style w:type="character" w:customStyle="1" w:styleId="50">
    <w:name w:val="批注框文本 字符"/>
    <w:link w:val="17"/>
    <w:autoRedefine/>
    <w:semiHidden/>
    <w:qFormat/>
    <w:uiPriority w:val="0"/>
    <w:rPr>
      <w:kern w:val="2"/>
      <w:sz w:val="18"/>
      <w:szCs w:val="18"/>
    </w:rPr>
  </w:style>
  <w:style w:type="character" w:customStyle="1" w:styleId="51">
    <w:name w:val="页脚 字符"/>
    <w:link w:val="18"/>
    <w:autoRedefine/>
    <w:qFormat/>
    <w:uiPriority w:val="0"/>
    <w:rPr>
      <w:kern w:val="2"/>
      <w:sz w:val="18"/>
      <w:szCs w:val="18"/>
    </w:rPr>
  </w:style>
  <w:style w:type="character" w:customStyle="1" w:styleId="52">
    <w:name w:val="页眉 字符"/>
    <w:link w:val="20"/>
    <w:autoRedefine/>
    <w:qFormat/>
    <w:uiPriority w:val="0"/>
    <w:rPr>
      <w:kern w:val="2"/>
      <w:sz w:val="18"/>
      <w:szCs w:val="18"/>
    </w:rPr>
  </w:style>
  <w:style w:type="character" w:customStyle="1" w:styleId="53">
    <w:name w:val="标题 字符"/>
    <w:link w:val="26"/>
    <w:autoRedefine/>
    <w:qFormat/>
    <w:uiPriority w:val="0"/>
    <w:rPr>
      <w:rFonts w:ascii="Cambria" w:hAnsi="Cambria" w:cs="Times New Roman"/>
      <w:b/>
      <w:bCs/>
      <w:kern w:val="2"/>
      <w:sz w:val="32"/>
      <w:szCs w:val="32"/>
    </w:rPr>
  </w:style>
  <w:style w:type="character" w:customStyle="1" w:styleId="54">
    <w:name w:val="批注主题 字符"/>
    <w:link w:val="27"/>
    <w:autoRedefine/>
    <w:qFormat/>
    <w:uiPriority w:val="0"/>
    <w:rPr>
      <w:b/>
      <w:bCs/>
      <w:kern w:val="2"/>
      <w:sz w:val="21"/>
      <w:szCs w:val="24"/>
    </w:rPr>
  </w:style>
  <w:style w:type="character" w:customStyle="1" w:styleId="55">
    <w:name w:val="标题 4 Char1"/>
    <w:autoRedefine/>
    <w:semiHidden/>
    <w:qFormat/>
    <w:uiPriority w:val="0"/>
    <w:rPr>
      <w:rFonts w:ascii="Cambria" w:hAnsi="Cambria" w:eastAsia="宋体" w:cs="Times New Roman"/>
      <w:b/>
      <w:bCs/>
      <w:kern w:val="2"/>
      <w:sz w:val="28"/>
      <w:szCs w:val="28"/>
    </w:rPr>
  </w:style>
  <w:style w:type="character" w:customStyle="1" w:styleId="56">
    <w:name w:val="纯文本 Char"/>
    <w:autoRedefine/>
    <w:qFormat/>
    <w:uiPriority w:val="0"/>
    <w:rPr>
      <w:rFonts w:ascii="宋体" w:hAnsi="Courier New" w:cs="Courier New"/>
      <w:kern w:val="2"/>
      <w:sz w:val="21"/>
      <w:szCs w:val="21"/>
    </w:rPr>
  </w:style>
  <w:style w:type="character" w:customStyle="1" w:styleId="57">
    <w:name w:val="标题 1 Char1"/>
    <w:autoRedefine/>
    <w:qFormat/>
    <w:uiPriority w:val="0"/>
    <w:rPr>
      <w:b/>
      <w:bCs/>
      <w:kern w:val="44"/>
      <w:sz w:val="44"/>
      <w:szCs w:val="44"/>
    </w:rPr>
  </w:style>
  <w:style w:type="character" w:customStyle="1" w:styleId="58">
    <w:name w:val="Char Char9"/>
    <w:autoRedefine/>
    <w:qFormat/>
    <w:uiPriority w:val="0"/>
    <w:rPr>
      <w:kern w:val="2"/>
      <w:sz w:val="21"/>
      <w:szCs w:val="24"/>
    </w:rPr>
  </w:style>
  <w:style w:type="character" w:customStyle="1" w:styleId="59">
    <w:name w:val="标题 3 Char1"/>
    <w:autoRedefine/>
    <w:semiHidden/>
    <w:qFormat/>
    <w:uiPriority w:val="0"/>
    <w:rPr>
      <w:b/>
      <w:bCs/>
      <w:kern w:val="2"/>
      <w:sz w:val="32"/>
      <w:szCs w:val="32"/>
    </w:rPr>
  </w:style>
  <w:style w:type="paragraph" w:customStyle="1" w:styleId="60">
    <w:name w:val="样式 小四 段前: 5 磅 段后: 5 磅 首行缩进:  2 字符"/>
    <w:basedOn w:val="1"/>
    <w:autoRedefine/>
    <w:qFormat/>
    <w:uiPriority w:val="0"/>
    <w:pPr>
      <w:spacing w:line="360" w:lineRule="auto"/>
    </w:pPr>
    <w:rPr>
      <w:rFonts w:ascii="宋体" w:hAnsi="宋体"/>
      <w:szCs w:val="21"/>
    </w:rPr>
  </w:style>
  <w:style w:type="paragraph" w:customStyle="1" w:styleId="6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2">
    <w:name w:val="Char7"/>
    <w:basedOn w:val="7"/>
    <w:autoRedefine/>
    <w:qFormat/>
    <w:uiPriority w:val="0"/>
    <w:pPr>
      <w:adjustRightInd w:val="0"/>
      <w:snapToGrid w:val="0"/>
      <w:spacing w:line="360" w:lineRule="auto"/>
    </w:pPr>
    <w:rPr>
      <w:rFonts w:ascii="Tahoma" w:hAnsi="Tahoma"/>
      <w:sz w:val="24"/>
    </w:rPr>
  </w:style>
  <w:style w:type="paragraph" w:customStyle="1" w:styleId="63">
    <w:name w:val="默认段落字体 Para Char Char Char Char Char Char Char"/>
    <w:basedOn w:val="1"/>
    <w:autoRedefine/>
    <w:qFormat/>
    <w:uiPriority w:val="0"/>
    <w:rPr>
      <w:rFonts w:ascii="Tahoma" w:hAnsi="Tahoma"/>
      <w:sz w:val="24"/>
      <w:szCs w:val="20"/>
    </w:rPr>
  </w:style>
  <w:style w:type="paragraph" w:customStyle="1" w:styleId="64">
    <w:name w:val="pa-2"/>
    <w:basedOn w:val="1"/>
    <w:autoRedefine/>
    <w:qFormat/>
    <w:uiPriority w:val="0"/>
    <w:pPr>
      <w:widowControl/>
      <w:spacing w:line="320" w:lineRule="atLeast"/>
      <w:ind w:firstLine="700"/>
    </w:pPr>
    <w:rPr>
      <w:rFonts w:ascii="宋体" w:hAnsi="宋体" w:cs="宋体"/>
      <w:kern w:val="0"/>
      <w:sz w:val="24"/>
    </w:rPr>
  </w:style>
  <w:style w:type="paragraph" w:customStyle="1" w:styleId="65">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表格无间距"/>
    <w:basedOn w:val="1"/>
    <w:autoRedefine/>
    <w:qFormat/>
    <w:uiPriority w:val="0"/>
    <w:pPr>
      <w:widowControl/>
      <w:spacing w:line="240" w:lineRule="atLeast"/>
      <w:jc w:val="center"/>
    </w:pPr>
    <w:rPr>
      <w:rFonts w:ascii="宋体" w:hAnsi="宋体" w:cs="宋体"/>
      <w:bCs/>
      <w:kern w:val="0"/>
      <w:sz w:val="18"/>
      <w:szCs w:val="18"/>
    </w:rPr>
  </w:style>
  <w:style w:type="paragraph" w:customStyle="1" w:styleId="67">
    <w:name w:val="_Style 2"/>
    <w:basedOn w:val="1"/>
    <w:autoRedefine/>
    <w:qFormat/>
    <w:uiPriority w:val="0"/>
    <w:pPr>
      <w:widowControl/>
      <w:ind w:firstLine="420" w:firstLineChars="200"/>
      <w:jc w:val="left"/>
    </w:pPr>
    <w:rPr>
      <w:kern w:val="0"/>
      <w:szCs w:val="22"/>
    </w:rPr>
  </w:style>
  <w:style w:type="paragraph" w:customStyle="1" w:styleId="68">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69">
    <w:name w:val="Char71"/>
    <w:basedOn w:val="7"/>
    <w:autoRedefine/>
    <w:qFormat/>
    <w:uiPriority w:val="0"/>
    <w:pPr>
      <w:adjustRightInd w:val="0"/>
      <w:snapToGrid w:val="0"/>
      <w:spacing w:line="360" w:lineRule="auto"/>
    </w:pPr>
    <w:rPr>
      <w:rFonts w:ascii="Tahoma" w:hAnsi="Tahoma"/>
      <w:sz w:val="24"/>
    </w:rPr>
  </w:style>
  <w:style w:type="paragraph" w:customStyle="1" w:styleId="70">
    <w:name w:val="p8"/>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71">
    <w:name w:val="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2">
    <w:name w:val="列出段落1"/>
    <w:basedOn w:val="1"/>
    <w:autoRedefine/>
    <w:qFormat/>
    <w:uiPriority w:val="0"/>
    <w:pPr>
      <w:ind w:firstLine="420" w:firstLineChars="200"/>
    </w:pPr>
    <w:rPr>
      <w:szCs w:val="22"/>
    </w:rPr>
  </w:style>
  <w:style w:type="paragraph" w:customStyle="1" w:styleId="73">
    <w:name w:val="Table Paragraph"/>
    <w:basedOn w:val="1"/>
    <w:autoRedefine/>
    <w:qFormat/>
    <w:uiPriority w:val="1"/>
    <w:pPr>
      <w:jc w:val="left"/>
    </w:pPr>
    <w:rPr>
      <w:kern w:val="0"/>
      <w:sz w:val="22"/>
      <w:szCs w:val="22"/>
      <w:lang w:eastAsia="en-US"/>
    </w:rPr>
  </w:style>
  <w:style w:type="paragraph" w:customStyle="1" w:styleId="74">
    <w:name w:val="列出段落11"/>
    <w:basedOn w:val="1"/>
    <w:autoRedefine/>
    <w:qFormat/>
    <w:uiPriority w:val="0"/>
    <w:pPr>
      <w:ind w:firstLine="420" w:firstLineChars="200"/>
    </w:pPr>
  </w:style>
  <w:style w:type="paragraph" w:customStyle="1" w:styleId="75">
    <w:name w:val="标题1，章节第一层"/>
    <w:basedOn w:val="76"/>
    <w:next w:val="76"/>
    <w:autoRedefine/>
    <w:qFormat/>
    <w:uiPriority w:val="0"/>
    <w:pPr>
      <w:tabs>
        <w:tab w:val="left" w:pos="693"/>
      </w:tabs>
      <w:ind w:left="272" w:hanging="272"/>
      <w:jc w:val="center"/>
      <w:outlineLvl w:val="0"/>
    </w:pPr>
    <w:rPr>
      <w:rFonts w:eastAsia="黑体"/>
      <w:color w:val="000000"/>
      <w:sz w:val="32"/>
      <w:szCs w:val="24"/>
      <w:lang w:val="zh-CN"/>
    </w:rPr>
  </w:style>
  <w:style w:type="paragraph" w:customStyle="1" w:styleId="76">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character" w:customStyle="1" w:styleId="77">
    <w:name w:val="NormalCharacter"/>
    <w:autoRedefine/>
    <w:semiHidden/>
    <w:qFormat/>
    <w:uiPriority w:val="0"/>
  </w:style>
  <w:style w:type="paragraph" w:customStyle="1" w:styleId="78">
    <w:name w:val="样式 样式 样式 左侧:  2 字符1 + 首行缩进:  2 字符1 + 首行缩进:  2 字符"/>
    <w:basedOn w:val="1"/>
    <w:autoRedefine/>
    <w:qFormat/>
    <w:uiPriority w:val="0"/>
    <w:pPr>
      <w:widowControl/>
      <w:adjustRightInd w:val="0"/>
      <w:spacing w:before="60" w:after="120" w:line="440" w:lineRule="atLeast"/>
      <w:ind w:firstLine="480"/>
      <w:textAlignment w:val="baseline"/>
    </w:pPr>
    <w:rPr>
      <w:rFonts w:ascii="Times New Roman" w:hAnsi="Times New Roman" w:eastAsia="微软雅黑"/>
      <w:sz w:val="24"/>
    </w:rPr>
  </w:style>
  <w:style w:type="paragraph" w:customStyle="1" w:styleId="79">
    <w:name w:val="普通(网站)1"/>
    <w:basedOn w:val="1"/>
    <w:autoRedefine/>
    <w:qFormat/>
    <w:uiPriority w:val="0"/>
    <w:pPr>
      <w:widowControl/>
      <w:spacing w:before="100" w:beforeAutospacing="1" w:after="100" w:afterAutospacing="1"/>
      <w:jc w:val="left"/>
    </w:pPr>
    <w:rPr>
      <w:rFonts w:ascii="宋体" w:cs="宋体"/>
      <w:kern w:val="0"/>
      <w:sz w:val="24"/>
    </w:rPr>
  </w:style>
  <w:style w:type="paragraph" w:customStyle="1" w:styleId="80">
    <w:name w:val="正文文本首行缩进1"/>
    <w:basedOn w:val="81"/>
    <w:autoRedefine/>
    <w:unhideWhenUsed/>
    <w:qFormat/>
    <w:uiPriority w:val="99"/>
    <w:pPr>
      <w:ind w:firstLine="420"/>
    </w:pPr>
  </w:style>
  <w:style w:type="paragraph" w:customStyle="1" w:styleId="81">
    <w:name w:val="正文文本1"/>
    <w:basedOn w:val="1"/>
    <w:autoRedefine/>
    <w:unhideWhenUsed/>
    <w:qFormat/>
    <w:uiPriority w:val="99"/>
    <w:pPr>
      <w:spacing w:after="120"/>
    </w:pPr>
  </w:style>
  <w:style w:type="character" w:customStyle="1" w:styleId="82">
    <w:name w:val="font11"/>
    <w:basedOn w:val="31"/>
    <w:autoRedefine/>
    <w:qFormat/>
    <w:uiPriority w:val="0"/>
    <w:rPr>
      <w:rFonts w:hint="eastAsia" w:ascii="宋体" w:hAnsi="宋体" w:eastAsia="宋体" w:cs="宋体"/>
      <w:color w:val="000000"/>
      <w:sz w:val="32"/>
      <w:szCs w:val="32"/>
      <w:u w:val="none"/>
    </w:rPr>
  </w:style>
  <w:style w:type="character" w:customStyle="1" w:styleId="83">
    <w:name w:val="font21"/>
    <w:basedOn w:val="31"/>
    <w:autoRedefine/>
    <w:qFormat/>
    <w:uiPriority w:val="0"/>
    <w:rPr>
      <w:rFonts w:hint="eastAsia" w:ascii="宋体" w:hAnsi="宋体" w:eastAsia="宋体" w:cs="宋体"/>
      <w:color w:val="000000"/>
      <w:sz w:val="22"/>
      <w:szCs w:val="22"/>
      <w:u w:val="none"/>
    </w:rPr>
  </w:style>
  <w:style w:type="paragraph" w:customStyle="1" w:styleId="84">
    <w:name w:val="首行缩进"/>
    <w:basedOn w:val="1"/>
    <w:autoRedefine/>
    <w:qFormat/>
    <w:uiPriority w:val="0"/>
    <w:pPr>
      <w:spacing w:line="360" w:lineRule="auto"/>
      <w:ind w:firstLine="480" w:firstLineChars="200"/>
      <w:jc w:val="left"/>
    </w:pPr>
    <w:rPr>
      <w:rFonts w:ascii="宋体" w:hAnsi="宋体"/>
      <w:sz w:val="24"/>
    </w:rPr>
  </w:style>
  <w:style w:type="paragraph" w:customStyle="1" w:styleId="85">
    <w:name w:val="正文首行缩进 21"/>
    <w:basedOn w:val="86"/>
    <w:next w:val="1"/>
    <w:qFormat/>
    <w:uiPriority w:val="99"/>
    <w:pPr>
      <w:jc w:val="left"/>
    </w:pPr>
    <w:rPr>
      <w:rFonts w:hAnsi="宋体" w:cs="宋体"/>
      <w:sz w:val="20"/>
      <w:lang w:val="zh-CN" w:bidi="zh-CN"/>
    </w:rPr>
  </w:style>
  <w:style w:type="paragraph" w:customStyle="1" w:styleId="86">
    <w:name w:val="正文文本缩进1"/>
    <w:basedOn w:val="1"/>
    <w:next w:val="87"/>
    <w:unhideWhenUsed/>
    <w:qFormat/>
    <w:uiPriority w:val="0"/>
    <w:pPr>
      <w:spacing w:line="360" w:lineRule="auto"/>
      <w:ind w:firstLine="420"/>
    </w:pPr>
    <w:rPr>
      <w:rFonts w:ascii="宋体" w:hAnsi="Times New Roman"/>
      <w:sz w:val="24"/>
      <w:szCs w:val="20"/>
    </w:rPr>
  </w:style>
  <w:style w:type="paragraph" w:customStyle="1" w:styleId="87">
    <w:name w:val="寄信人地址1"/>
    <w:basedOn w:val="1"/>
    <w:unhideWhenUsed/>
    <w:qFormat/>
    <w:uiPriority w:val="99"/>
    <w:rPr>
      <w:rFonts w:ascii="Arial" w:hAnsi="Arial" w:cs="Arial"/>
    </w:rPr>
  </w:style>
  <w:style w:type="character" w:customStyle="1" w:styleId="88">
    <w:name w:val="Title Char"/>
    <w:basedOn w:val="31"/>
    <w:qFormat/>
    <w:uiPriority w:val="10"/>
    <w:rPr>
      <w:sz w:val="48"/>
      <w:szCs w:val="48"/>
    </w:rPr>
  </w:style>
  <w:style w:type="paragraph" w:customStyle="1" w:styleId="89">
    <w:name w:val="标题 41"/>
    <w:basedOn w:val="1"/>
    <w:next w:val="1"/>
    <w:link w:val="90"/>
    <w:qFormat/>
    <w:uiPriority w:val="9"/>
    <w:pPr>
      <w:keepNext/>
      <w:keepLines/>
      <w:numPr>
        <w:ilvl w:val="3"/>
        <w:numId w:val="3"/>
      </w:numPr>
      <w:spacing w:before="280" w:after="290" w:line="377" w:lineRule="auto"/>
      <w:outlineLvl w:val="3"/>
    </w:pPr>
    <w:rPr>
      <w:rFonts w:ascii="Arial" w:hAnsi="Arial" w:eastAsia="黑体"/>
      <w:b/>
      <w:bCs/>
      <w:kern w:val="0"/>
      <w:sz w:val="28"/>
      <w:szCs w:val="28"/>
    </w:rPr>
  </w:style>
  <w:style w:type="character" w:customStyle="1" w:styleId="90">
    <w:name w:val="Heading 4 Char"/>
    <w:basedOn w:val="31"/>
    <w:link w:val="89"/>
    <w:qFormat/>
    <w:uiPriority w:val="9"/>
    <w:rPr>
      <w:rFonts w:ascii="Arial" w:hAnsi="Arial" w:eastAsia="黑体"/>
      <w:b/>
      <w:bCs/>
      <w:sz w:val="28"/>
      <w:szCs w:val="28"/>
    </w:rPr>
  </w:style>
  <w:style w:type="table" w:customStyle="1" w:styleId="91">
    <w:name w:val="网格型1"/>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
    <w:name w:val="正文文本缩进11"/>
    <w:basedOn w:val="1"/>
    <w:next w:val="93"/>
    <w:unhideWhenUsed/>
    <w:qFormat/>
    <w:uiPriority w:val="0"/>
    <w:pPr>
      <w:spacing w:after="120"/>
      <w:ind w:left="420"/>
    </w:pPr>
  </w:style>
  <w:style w:type="paragraph" w:customStyle="1" w:styleId="93">
    <w:name w:val="正文首行缩进 211"/>
    <w:basedOn w:val="92"/>
    <w:qFormat/>
    <w:uiPriority w:val="0"/>
    <w:pPr>
      <w:spacing w:after="0" w:line="360" w:lineRule="auto"/>
      <w:ind w:left="0" w:firstLine="420"/>
    </w:pPr>
    <w:rPr>
      <w:szCs w:val="20"/>
    </w:rPr>
  </w:style>
  <w:style w:type="paragraph" w:customStyle="1" w:styleId="94">
    <w:name w:val="投标文件二级标题"/>
    <w:basedOn w:val="3"/>
    <w:qFormat/>
    <w:uiPriority w:val="0"/>
    <w:pPr>
      <w:numPr>
        <w:ilvl w:val="1"/>
        <w:numId w:val="4"/>
      </w:numPr>
      <w:spacing w:before="480" w:after="120" w:line="400" w:lineRule="exact"/>
    </w:pPr>
    <w:rPr>
      <w:szCs w:val="28"/>
    </w:rPr>
  </w:style>
  <w:style w:type="paragraph" w:customStyle="1" w:styleId="95">
    <w:name w:val="索引 41"/>
    <w:basedOn w:val="1"/>
    <w:next w:val="1"/>
    <w:qFormat/>
    <w:uiPriority w:val="0"/>
    <w:pPr>
      <w:spacing w:before="280" w:after="280"/>
      <w:ind w:left="1260" w:firstLine="0"/>
    </w:pPr>
  </w:style>
  <w:style w:type="paragraph" w:customStyle="1" w:styleId="96">
    <w:name w:val="其他"/>
    <w:basedOn w:val="1"/>
    <w:qFormat/>
    <w:uiPriority w:val="0"/>
    <w:pPr>
      <w:spacing w:line="480" w:lineRule="auto"/>
      <w:ind w:firstLine="400"/>
    </w:pPr>
    <w:rPr>
      <w:rFonts w:ascii="宋体" w:hAnsi="宋体" w:cs="Times New Roman"/>
      <w:sz w:val="20"/>
      <w:szCs w:val="20"/>
    </w:rPr>
  </w:style>
  <w:style w:type="paragraph" w:customStyle="1" w:styleId="97">
    <w:name w:val="_Style 1"/>
    <w:qFormat/>
    <w:uiPriority w:val="1"/>
    <w:rPr>
      <w:rFonts w:ascii="宋体" w:hAnsi="宋体" w:eastAsia="宋体" w:cs="宋体"/>
      <w:sz w:val="21"/>
      <w:szCs w:val="24"/>
      <w:lang w:val="en-US" w:eastAsia="zh-CN" w:bidi="ar-SA"/>
    </w:rPr>
  </w:style>
  <w:style w:type="paragraph" w:customStyle="1" w:styleId="98">
    <w:name w:val="Table Text"/>
    <w:basedOn w:val="1"/>
    <w:semiHidden/>
    <w:qFormat/>
    <w:uiPriority w:val="0"/>
    <w:rPr>
      <w:rFonts w:ascii="宋体" w:hAnsi="宋体" w:cs="宋体"/>
      <w:sz w:val="22"/>
      <w:szCs w:val="22"/>
      <w:lang w:eastAsia="en-US"/>
    </w:rPr>
  </w:style>
  <w:style w:type="paragraph" w:customStyle="1" w:styleId="99">
    <w:name w:val="index heading1"/>
    <w:basedOn w:val="1"/>
    <w:next w:val="100"/>
    <w:qFormat/>
    <w:uiPriority w:val="0"/>
    <w:rPr>
      <w:rFonts w:ascii="Arial" w:hAnsi="Arial" w:cs="Arial"/>
      <w:b/>
      <w:bCs/>
    </w:rPr>
  </w:style>
  <w:style w:type="paragraph" w:customStyle="1" w:styleId="100">
    <w:name w:val="index 11"/>
    <w:basedOn w:val="1"/>
    <w:next w:val="1"/>
    <w:qFormat/>
    <w:uiPriority w:val="0"/>
  </w:style>
  <w:style w:type="character" w:customStyle="1" w:styleId="101">
    <w:name w:val="font31"/>
    <w:basedOn w:val="31"/>
    <w:qFormat/>
    <w:uiPriority w:val="0"/>
    <w:rPr>
      <w:rFonts w:hint="default" w:ascii="Calibri" w:hAnsi="Calibri" w:cs="Calibri"/>
      <w:color w:val="000000"/>
      <w:sz w:val="24"/>
      <w:szCs w:val="24"/>
      <w:u w:val="none"/>
    </w:rPr>
  </w:style>
  <w:style w:type="character" w:customStyle="1" w:styleId="102">
    <w:name w:val="font01"/>
    <w:basedOn w:val="3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ABF036-EA5B-4DC1-8949-46BE14CD33A4}">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136</Words>
  <Characters>152</Characters>
  <Lines>210</Lines>
  <Paragraphs>59</Paragraphs>
  <TotalTime>0</TotalTime>
  <ScaleCrop>false</ScaleCrop>
  <LinksUpToDate>false</LinksUpToDate>
  <CharactersWithSpaces>175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2024-03-20T08:00:00Z</dcterms:created>
  <dc:creator>高 网芹</dc:creator>
  <cp:lastModifiedBy>c x</cp:lastModifiedBy>
  <cp:lastPrinted>2026-06-13T01:38:00Z</cp:lastPrinted>
  <dcterms:modified xsi:type="dcterms:W3CDTF">2026-07-15T06:58:21Z</dcterms:modified>
  <dc:title>磋商文件</dc:title>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CC56C9E2CD364522B84D9A76C3892F60_13</vt:lpwstr>
  </property>
  <property fmtid="{D5CDD505-2E9C-101B-9397-08002B2CF9AE}" pid="4" name="KSOTemplateDocerSaveRecord">
    <vt:lpwstr>eyJoZGlkIjoiN2M5ZWYxZmQ4ZTQ1OTg1OWQxNTdmYjEwNzkzMDZhOTQiLCJ1c2VySWQiOiI2MzA5MTI0ODgifQ==</vt:lpwstr>
  </property>
</Properties>
</file>